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8BE2D" w14:textId="77777777" w:rsidR="00A74650" w:rsidRPr="00AE688C" w:rsidRDefault="00A74650" w:rsidP="00A74650">
      <w:pPr>
        <w:tabs>
          <w:tab w:val="right" w:pos="9060"/>
        </w:tabs>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AE688C">
        <w:rPr>
          <w:rFonts w:ascii="Garamond" w:hAnsi="Garamond"/>
          <w:b/>
          <w:bCs/>
          <w:color w:val="000000"/>
          <w:sz w:val="24"/>
          <w:szCs w:val="24"/>
          <w:lang w:val="sq-AL" w:eastAsia="sq-AL"/>
        </w:rPr>
        <w:t>VENDIM</w:t>
      </w:r>
    </w:p>
    <w:p w14:paraId="66E8BE2E" w14:textId="382B6AC4" w:rsidR="00A74650" w:rsidRPr="00AE688C" w:rsidRDefault="00F450A6" w:rsidP="00A74650">
      <w:pPr>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AE688C">
        <w:rPr>
          <w:rFonts w:ascii="Garamond" w:hAnsi="Garamond"/>
          <w:b/>
          <w:bCs/>
          <w:color w:val="000000"/>
          <w:sz w:val="24"/>
          <w:szCs w:val="24"/>
          <w:lang w:val="sq-AL" w:eastAsia="sq-AL"/>
        </w:rPr>
        <w:t>Nr.</w:t>
      </w:r>
      <w:r w:rsidR="00AE688C" w:rsidRPr="00AE688C">
        <w:rPr>
          <w:rFonts w:ascii="Garamond" w:hAnsi="Garamond"/>
          <w:b/>
          <w:bCs/>
          <w:color w:val="000000"/>
          <w:sz w:val="24"/>
          <w:szCs w:val="24"/>
          <w:lang w:val="sq-AL" w:eastAsia="sq-AL"/>
        </w:rPr>
        <w:t xml:space="preserve"> </w:t>
      </w:r>
      <w:r w:rsidRPr="00AE688C">
        <w:rPr>
          <w:rFonts w:ascii="Garamond" w:hAnsi="Garamond"/>
          <w:b/>
          <w:bCs/>
          <w:color w:val="000000"/>
          <w:sz w:val="24"/>
          <w:szCs w:val="24"/>
          <w:lang w:val="sq-AL" w:eastAsia="sq-AL"/>
        </w:rPr>
        <w:t>673</w:t>
      </w:r>
      <w:r w:rsidR="00A74650" w:rsidRPr="00AE688C">
        <w:rPr>
          <w:rFonts w:ascii="Garamond" w:hAnsi="Garamond"/>
          <w:b/>
          <w:bCs/>
          <w:color w:val="000000"/>
          <w:sz w:val="24"/>
          <w:szCs w:val="24"/>
          <w:lang w:val="sq-AL" w:eastAsia="sq-AL"/>
        </w:rPr>
        <w:t>, datë 10.11.2021</w:t>
      </w:r>
    </w:p>
    <w:p w14:paraId="66E8BE2F" w14:textId="77777777" w:rsidR="00A74650" w:rsidRPr="00AE688C" w:rsidRDefault="00A74650" w:rsidP="00A74650">
      <w:pPr>
        <w:autoSpaceDE w:val="0"/>
        <w:autoSpaceDN w:val="0"/>
        <w:adjustRightInd w:val="0"/>
        <w:spacing w:after="0" w:line="240" w:lineRule="auto"/>
        <w:ind w:firstLine="284"/>
        <w:rPr>
          <w:rFonts w:ascii="Garamond" w:hAnsi="Garamond"/>
          <w:color w:val="000000"/>
          <w:sz w:val="24"/>
          <w:szCs w:val="24"/>
          <w:lang w:val="sq-AL" w:eastAsia="sq-AL"/>
        </w:rPr>
      </w:pPr>
    </w:p>
    <w:p w14:paraId="66E8BE30" w14:textId="34BFAA02" w:rsidR="00A74650" w:rsidRPr="00AE688C" w:rsidRDefault="00A74650" w:rsidP="00A74650">
      <w:pPr>
        <w:autoSpaceDE w:val="0"/>
        <w:autoSpaceDN w:val="0"/>
        <w:adjustRightInd w:val="0"/>
        <w:spacing w:after="0" w:line="240" w:lineRule="auto"/>
        <w:ind w:firstLine="284"/>
        <w:jc w:val="center"/>
        <w:rPr>
          <w:rFonts w:ascii="Garamond" w:hAnsi="Garamond"/>
          <w:b/>
          <w:bCs/>
          <w:color w:val="000000"/>
          <w:sz w:val="24"/>
          <w:szCs w:val="24"/>
          <w:lang w:val="sq-AL" w:eastAsia="sq-AL"/>
        </w:rPr>
      </w:pPr>
      <w:r w:rsidRPr="00AE688C">
        <w:rPr>
          <w:rFonts w:ascii="Garamond" w:hAnsi="Garamond"/>
          <w:b/>
          <w:bCs/>
          <w:color w:val="000000"/>
          <w:sz w:val="24"/>
          <w:szCs w:val="24"/>
          <w:lang w:val="sq-AL" w:eastAsia="sq-AL"/>
        </w:rPr>
        <w:t>PËR DISA SHTESA DHE NDRYSHIME NË VENDIMIN NR.</w:t>
      </w:r>
      <w:r w:rsidR="00AE688C" w:rsidRPr="00AE688C">
        <w:rPr>
          <w:rFonts w:ascii="Garamond" w:hAnsi="Garamond"/>
          <w:b/>
          <w:bCs/>
          <w:color w:val="000000"/>
          <w:sz w:val="24"/>
          <w:szCs w:val="24"/>
          <w:lang w:val="sq-AL" w:eastAsia="sq-AL"/>
        </w:rPr>
        <w:t xml:space="preserve"> </w:t>
      </w:r>
      <w:r w:rsidRPr="00AE688C">
        <w:rPr>
          <w:rFonts w:ascii="Garamond" w:hAnsi="Garamond"/>
          <w:b/>
          <w:bCs/>
          <w:color w:val="000000"/>
          <w:sz w:val="24"/>
          <w:szCs w:val="24"/>
          <w:lang w:val="sq-AL" w:eastAsia="sq-AL"/>
        </w:rPr>
        <w:t xml:space="preserve">382, DATË 27.6.2018, TË KËSHILLIT TË MINISTRAVE, “PËR MIRATIMIN E RREGULLORES </w:t>
      </w:r>
      <w:r w:rsidR="00AE688C">
        <w:rPr>
          <w:rFonts w:ascii="Garamond" w:hAnsi="Garamond"/>
          <w:b/>
          <w:bCs/>
          <w:color w:val="000000"/>
          <w:sz w:val="24"/>
          <w:szCs w:val="24"/>
          <w:lang w:val="sq-AL" w:eastAsia="sq-AL"/>
        </w:rPr>
        <w:t>‘</w:t>
      </w:r>
      <w:r w:rsidRPr="00AE688C">
        <w:rPr>
          <w:rFonts w:ascii="Garamond" w:hAnsi="Garamond"/>
          <w:b/>
          <w:bCs/>
          <w:color w:val="000000"/>
          <w:sz w:val="24"/>
          <w:szCs w:val="24"/>
          <w:lang w:val="sq-AL" w:eastAsia="sq-AL"/>
        </w:rPr>
        <w:t>PËR VEPRIMTARINË E STANDARDIZIMIT</w:t>
      </w:r>
      <w:r w:rsidR="00AE688C">
        <w:rPr>
          <w:rFonts w:ascii="Garamond" w:hAnsi="Garamond"/>
          <w:b/>
          <w:bCs/>
          <w:color w:val="000000"/>
          <w:sz w:val="24"/>
          <w:szCs w:val="24"/>
          <w:lang w:val="sq-AL" w:eastAsia="sq-AL"/>
        </w:rPr>
        <w:t>’</w:t>
      </w:r>
      <w:r w:rsidRPr="00AE688C">
        <w:rPr>
          <w:rFonts w:ascii="Garamond" w:hAnsi="Garamond"/>
          <w:b/>
          <w:bCs/>
          <w:color w:val="000000"/>
          <w:sz w:val="24"/>
          <w:szCs w:val="24"/>
          <w:lang w:val="sq-AL" w:eastAsia="sq-AL"/>
        </w:rPr>
        <w:t>”</w:t>
      </w:r>
      <w:r w:rsidRPr="00AE688C">
        <w:rPr>
          <w:rStyle w:val="FootnoteReference"/>
          <w:rFonts w:ascii="Garamond" w:hAnsi="Garamond"/>
          <w:b/>
          <w:bCs/>
          <w:color w:val="000000"/>
          <w:sz w:val="24"/>
          <w:szCs w:val="24"/>
          <w:lang w:val="sq-AL" w:eastAsia="sq-AL"/>
        </w:rPr>
        <w:footnoteReference w:id="2"/>
      </w:r>
    </w:p>
    <w:p w14:paraId="66E8BE31" w14:textId="77777777" w:rsidR="00A74650" w:rsidRPr="00AE688C" w:rsidRDefault="00A74650" w:rsidP="00A74650">
      <w:pPr>
        <w:autoSpaceDE w:val="0"/>
        <w:autoSpaceDN w:val="0"/>
        <w:adjustRightInd w:val="0"/>
        <w:spacing w:after="0" w:line="240" w:lineRule="auto"/>
        <w:ind w:firstLine="284"/>
        <w:jc w:val="center"/>
        <w:rPr>
          <w:rFonts w:ascii="Garamond" w:hAnsi="Garamond"/>
          <w:color w:val="000000"/>
          <w:sz w:val="24"/>
          <w:szCs w:val="24"/>
          <w:lang w:val="sq-AL" w:eastAsia="sq-AL"/>
        </w:rPr>
      </w:pPr>
    </w:p>
    <w:p w14:paraId="66E8BE32" w14:textId="78BB031E"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Në mbështetje të nenit 100 të Kushtetutës dhe të pikës 5, të nenit 8, të ligjit nr.</w:t>
      </w:r>
      <w:r w:rsidR="00AE688C" w:rsidRPr="00AE688C">
        <w:rPr>
          <w:rFonts w:ascii="Garamond" w:hAnsi="Garamond"/>
          <w:color w:val="000000"/>
          <w:sz w:val="24"/>
          <w:szCs w:val="24"/>
          <w:lang w:val="sq-AL" w:eastAsia="sq-AL"/>
        </w:rPr>
        <w:t xml:space="preserve"> </w:t>
      </w:r>
      <w:r w:rsidRPr="00AE688C">
        <w:rPr>
          <w:rFonts w:ascii="Garamond" w:hAnsi="Garamond"/>
          <w:color w:val="000000"/>
          <w:sz w:val="24"/>
          <w:szCs w:val="24"/>
          <w:lang w:val="sq-AL" w:eastAsia="sq-AL"/>
        </w:rPr>
        <w:t>9870, datë 4.2.2008, “Për standardizimin”, të ndryshuar, me propozimin e ministrit të Financave dhe Ekonomisë, Këshilli i Ministrave</w:t>
      </w:r>
    </w:p>
    <w:p w14:paraId="66E8BE33" w14:textId="77777777" w:rsidR="00A74650" w:rsidRPr="00AE688C" w:rsidRDefault="00A74650" w:rsidP="00A74650">
      <w:pPr>
        <w:autoSpaceDE w:val="0"/>
        <w:autoSpaceDN w:val="0"/>
        <w:adjustRightInd w:val="0"/>
        <w:spacing w:after="0" w:line="240" w:lineRule="auto"/>
        <w:ind w:firstLine="284"/>
        <w:jc w:val="center"/>
        <w:rPr>
          <w:rFonts w:ascii="Garamond" w:hAnsi="Garamond"/>
          <w:color w:val="000000"/>
          <w:sz w:val="24"/>
          <w:szCs w:val="24"/>
          <w:lang w:val="sq-AL" w:eastAsia="sq-AL"/>
        </w:rPr>
      </w:pPr>
    </w:p>
    <w:p w14:paraId="66E8BE34" w14:textId="77777777" w:rsidR="00A74650" w:rsidRPr="00AE688C" w:rsidRDefault="00A74650" w:rsidP="00A74650">
      <w:pPr>
        <w:autoSpaceDE w:val="0"/>
        <w:autoSpaceDN w:val="0"/>
        <w:adjustRightInd w:val="0"/>
        <w:spacing w:after="0" w:line="240" w:lineRule="auto"/>
        <w:ind w:firstLine="284"/>
        <w:jc w:val="center"/>
        <w:rPr>
          <w:rFonts w:ascii="Garamond" w:hAnsi="Garamond"/>
          <w:bCs/>
          <w:color w:val="000000"/>
          <w:sz w:val="24"/>
          <w:szCs w:val="24"/>
          <w:lang w:val="sq-AL" w:eastAsia="sq-AL"/>
        </w:rPr>
      </w:pPr>
      <w:r w:rsidRPr="00AE688C">
        <w:rPr>
          <w:rFonts w:ascii="Garamond" w:hAnsi="Garamond"/>
          <w:bCs/>
          <w:color w:val="000000"/>
          <w:sz w:val="24"/>
          <w:szCs w:val="24"/>
          <w:lang w:val="sq-AL" w:eastAsia="sq-AL"/>
        </w:rPr>
        <w:t>VENDOSI:</w:t>
      </w:r>
    </w:p>
    <w:p w14:paraId="66E8BE35" w14:textId="77777777" w:rsidR="00A74650" w:rsidRPr="00AE688C" w:rsidRDefault="00A74650" w:rsidP="00A74650">
      <w:pPr>
        <w:autoSpaceDE w:val="0"/>
        <w:autoSpaceDN w:val="0"/>
        <w:adjustRightInd w:val="0"/>
        <w:spacing w:after="0" w:line="240" w:lineRule="auto"/>
        <w:ind w:firstLine="284"/>
        <w:jc w:val="both"/>
        <w:rPr>
          <w:rFonts w:ascii="Garamond" w:hAnsi="Garamond"/>
          <w:b/>
          <w:bCs/>
          <w:color w:val="000000"/>
          <w:sz w:val="24"/>
          <w:szCs w:val="24"/>
          <w:lang w:val="sq-AL" w:eastAsia="sq-AL"/>
        </w:rPr>
      </w:pPr>
    </w:p>
    <w:p w14:paraId="66E8BE36" w14:textId="37E9D84F"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Në rregulloren bashkëlidhur vendimit nr.</w:t>
      </w:r>
      <w:r w:rsidR="00AE688C">
        <w:rPr>
          <w:rFonts w:ascii="Garamond" w:hAnsi="Garamond"/>
          <w:color w:val="000000"/>
          <w:sz w:val="24"/>
          <w:szCs w:val="24"/>
          <w:lang w:val="sq-AL" w:eastAsia="sq-AL"/>
        </w:rPr>
        <w:t xml:space="preserve"> </w:t>
      </w:r>
      <w:r w:rsidRPr="00AE688C">
        <w:rPr>
          <w:rFonts w:ascii="Garamond" w:hAnsi="Garamond"/>
          <w:color w:val="000000"/>
          <w:sz w:val="24"/>
          <w:szCs w:val="24"/>
          <w:lang w:val="sq-AL" w:eastAsia="sq-AL"/>
        </w:rPr>
        <w:t>382, datë 27.6.2018, të Këshillit të Ministrave, bëhen këto shtesa dhe ndryshime:</w:t>
      </w:r>
    </w:p>
    <w:p w14:paraId="66E8BE37"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1.</w:t>
      </w:r>
      <w:r w:rsidRPr="00AE688C">
        <w:rPr>
          <w:rFonts w:ascii="Garamond" w:hAnsi="Garamond"/>
          <w:b/>
          <w:bCs/>
          <w:color w:val="000000"/>
          <w:sz w:val="24"/>
          <w:szCs w:val="24"/>
          <w:lang w:val="sq-AL" w:eastAsia="sq-AL"/>
        </w:rPr>
        <w:t xml:space="preserve"> </w:t>
      </w:r>
      <w:r w:rsidRPr="00AE688C">
        <w:rPr>
          <w:rFonts w:ascii="Garamond" w:hAnsi="Garamond"/>
          <w:color w:val="000000"/>
          <w:sz w:val="24"/>
          <w:szCs w:val="24"/>
          <w:lang w:val="sq-AL" w:eastAsia="sq-AL"/>
        </w:rPr>
        <w:t>Në kreun I, “Dispozita të përgjithshme”, bëhen shtesat dhe një ndryshim, si më poshtë vijon:</w:t>
      </w:r>
    </w:p>
    <w:p w14:paraId="66E8BE38" w14:textId="69A595F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a) </w:t>
      </w:r>
      <w:r w:rsidR="00E31B54">
        <w:rPr>
          <w:rFonts w:ascii="Garamond" w:hAnsi="Garamond"/>
          <w:color w:val="000000"/>
          <w:sz w:val="24"/>
          <w:szCs w:val="24"/>
          <w:lang w:val="sq-AL" w:eastAsia="sq-AL"/>
        </w:rPr>
        <w:t>n</w:t>
      </w:r>
      <w:r w:rsidRPr="00AE688C">
        <w:rPr>
          <w:rFonts w:ascii="Garamond" w:hAnsi="Garamond"/>
          <w:color w:val="000000"/>
          <w:sz w:val="24"/>
          <w:szCs w:val="24"/>
          <w:lang w:val="sq-AL" w:eastAsia="sq-AL"/>
        </w:rPr>
        <w:t>ë fund të pikës 1, “Qëllimi”, shtohen fjalët “… dhe pjesëmarrjen e palëve të interesit në proceset e standardiz</w:t>
      </w:r>
      <w:r w:rsidR="00E31B54">
        <w:rPr>
          <w:rFonts w:ascii="Garamond" w:hAnsi="Garamond"/>
          <w:color w:val="000000"/>
          <w:sz w:val="24"/>
          <w:szCs w:val="24"/>
          <w:lang w:val="sq-AL" w:eastAsia="sq-AL"/>
        </w:rPr>
        <w:t>imit.”;</w:t>
      </w:r>
    </w:p>
    <w:p w14:paraId="66E8BE39" w14:textId="2A51133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b)</w:t>
      </w:r>
      <w:r w:rsidRPr="00AE688C">
        <w:rPr>
          <w:rFonts w:ascii="Garamond" w:hAnsi="Garamond"/>
          <w:b/>
          <w:bCs/>
          <w:color w:val="000000"/>
          <w:sz w:val="24"/>
          <w:szCs w:val="24"/>
          <w:lang w:val="sq-AL" w:eastAsia="sq-AL"/>
        </w:rPr>
        <w:t xml:space="preserve"> </w:t>
      </w:r>
      <w:r w:rsidR="00E31B54">
        <w:rPr>
          <w:rFonts w:ascii="Garamond" w:hAnsi="Garamond"/>
          <w:color w:val="000000"/>
          <w:sz w:val="24"/>
          <w:szCs w:val="24"/>
          <w:lang w:val="sq-AL" w:eastAsia="sq-AL"/>
        </w:rPr>
        <w:t>n</w:t>
      </w:r>
      <w:r w:rsidRPr="00AE688C">
        <w:rPr>
          <w:rFonts w:ascii="Garamond" w:hAnsi="Garamond"/>
          <w:color w:val="000000"/>
          <w:sz w:val="24"/>
          <w:szCs w:val="24"/>
          <w:lang w:val="sq-AL" w:eastAsia="sq-AL"/>
        </w:rPr>
        <w:t>ë pikën 2, “Përkufizime”, bëhet një ndryshim dhe një shtesë, si më poshtë vijon:</w:t>
      </w:r>
    </w:p>
    <w:p w14:paraId="66E8BE3A" w14:textId="554D6BB1"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i. </w:t>
      </w:r>
      <w:r w:rsidR="00E31B54">
        <w:rPr>
          <w:rFonts w:ascii="Garamond" w:hAnsi="Garamond"/>
          <w:color w:val="000000"/>
          <w:sz w:val="24"/>
          <w:szCs w:val="24"/>
          <w:lang w:val="sq-AL" w:eastAsia="sq-AL"/>
        </w:rPr>
        <w:t>p</w:t>
      </w:r>
      <w:r w:rsidRPr="00AE688C">
        <w:rPr>
          <w:rFonts w:ascii="Garamond" w:hAnsi="Garamond"/>
          <w:color w:val="000000"/>
          <w:sz w:val="24"/>
          <w:szCs w:val="24"/>
          <w:lang w:val="sq-AL" w:eastAsia="sq-AL"/>
        </w:rPr>
        <w:t>ika 5 ndryshohet, si më poshtë vijon:</w:t>
      </w:r>
    </w:p>
    <w:p w14:paraId="66E8BE3B"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“5. </w:t>
      </w:r>
      <w:r w:rsidRPr="00AE688C">
        <w:rPr>
          <w:rFonts w:ascii="Garamond" w:hAnsi="Garamond"/>
          <w:b/>
          <w:bCs/>
          <w:color w:val="000000"/>
          <w:sz w:val="24"/>
          <w:szCs w:val="24"/>
          <w:lang w:val="sq-AL" w:eastAsia="sq-AL"/>
        </w:rPr>
        <w:t>“Shërbim”</w:t>
      </w:r>
      <w:r w:rsidRPr="00AE688C">
        <w:rPr>
          <w:rFonts w:ascii="Garamond" w:hAnsi="Garamond"/>
          <w:color w:val="000000"/>
          <w:sz w:val="24"/>
          <w:szCs w:val="24"/>
          <w:lang w:val="sq-AL" w:eastAsia="sq-AL"/>
        </w:rPr>
        <w:t xml:space="preserve"> është çdo aktivitet ekonomik vetëpunësimi, i cili normalisht sigurohet për shpërblim, përfshirë aktivitete të karakterit:</w:t>
      </w:r>
    </w:p>
    <w:p w14:paraId="66E8BE3C"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 </w:t>
      </w:r>
      <w:r w:rsidRPr="00AE688C">
        <w:rPr>
          <w:rFonts w:ascii="Garamond" w:hAnsi="Garamond" w:cs="Calibri"/>
          <w:color w:val="000000"/>
          <w:sz w:val="24"/>
          <w:szCs w:val="24"/>
          <w:lang w:val="sq-AL" w:eastAsia="sq-AL"/>
        </w:rPr>
        <w:t xml:space="preserve">- </w:t>
      </w:r>
      <w:r w:rsidRPr="00AE688C">
        <w:rPr>
          <w:rFonts w:ascii="Garamond" w:hAnsi="Garamond"/>
          <w:color w:val="000000"/>
          <w:sz w:val="24"/>
          <w:szCs w:val="24"/>
          <w:lang w:val="sq-AL" w:eastAsia="sq-AL"/>
        </w:rPr>
        <w:t>industrial;</w:t>
      </w:r>
    </w:p>
    <w:p w14:paraId="66E8BE3D"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s="Calibri"/>
          <w:color w:val="000000"/>
          <w:sz w:val="24"/>
          <w:szCs w:val="24"/>
          <w:lang w:val="sq-AL" w:eastAsia="sq-AL"/>
        </w:rPr>
        <w:t xml:space="preserve">- </w:t>
      </w:r>
      <w:r w:rsidRPr="00AE688C">
        <w:rPr>
          <w:rFonts w:ascii="Garamond" w:hAnsi="Garamond"/>
          <w:color w:val="000000"/>
          <w:sz w:val="24"/>
          <w:szCs w:val="24"/>
          <w:lang w:val="sq-AL" w:eastAsia="sq-AL"/>
        </w:rPr>
        <w:t>tregtar;</w:t>
      </w:r>
    </w:p>
    <w:p w14:paraId="66E8BE3E"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s="Calibri"/>
          <w:color w:val="000000"/>
          <w:sz w:val="24"/>
          <w:szCs w:val="24"/>
          <w:lang w:val="sq-AL" w:eastAsia="sq-AL"/>
        </w:rPr>
        <w:t xml:space="preserve">- </w:t>
      </w:r>
      <w:r w:rsidRPr="00AE688C">
        <w:rPr>
          <w:rFonts w:ascii="Garamond" w:hAnsi="Garamond"/>
          <w:color w:val="000000"/>
          <w:sz w:val="24"/>
          <w:szCs w:val="24"/>
          <w:lang w:val="sq-AL" w:eastAsia="sq-AL"/>
        </w:rPr>
        <w:t>zejtar;</w:t>
      </w:r>
    </w:p>
    <w:p w14:paraId="66E8BE3F" w14:textId="49F49C65"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s="Calibri"/>
          <w:color w:val="000000"/>
          <w:sz w:val="24"/>
          <w:szCs w:val="24"/>
          <w:lang w:val="sq-AL" w:eastAsia="sq-AL"/>
        </w:rPr>
        <w:t xml:space="preserve">- </w:t>
      </w:r>
      <w:r w:rsidR="00E31B54">
        <w:rPr>
          <w:rFonts w:ascii="Garamond" w:hAnsi="Garamond"/>
          <w:color w:val="000000"/>
          <w:sz w:val="24"/>
          <w:szCs w:val="24"/>
          <w:lang w:val="sq-AL" w:eastAsia="sq-AL"/>
        </w:rPr>
        <w:t>të profesionistëve.”;</w:t>
      </w:r>
    </w:p>
    <w:p w14:paraId="66E8BE40" w14:textId="25A6B555"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ii. </w:t>
      </w:r>
      <w:r w:rsidR="00E31B54">
        <w:rPr>
          <w:rFonts w:ascii="Garamond" w:hAnsi="Garamond"/>
          <w:color w:val="000000"/>
          <w:sz w:val="24"/>
          <w:szCs w:val="24"/>
          <w:lang w:val="sq-AL" w:eastAsia="sq-AL"/>
        </w:rPr>
        <w:t>p</w:t>
      </w:r>
      <w:r w:rsidRPr="00AE688C">
        <w:rPr>
          <w:rFonts w:ascii="Garamond" w:hAnsi="Garamond"/>
          <w:color w:val="000000"/>
          <w:sz w:val="24"/>
          <w:szCs w:val="24"/>
          <w:lang w:val="sq-AL" w:eastAsia="sq-AL"/>
        </w:rPr>
        <w:t>as pikës 5 shtohet pika 6, me këtë përmbajtje:</w:t>
      </w:r>
    </w:p>
    <w:p w14:paraId="66E8BE41"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“6. </w:t>
      </w:r>
      <w:r w:rsidRPr="00AE688C">
        <w:rPr>
          <w:rFonts w:ascii="Garamond" w:hAnsi="Garamond"/>
          <w:b/>
          <w:bCs/>
          <w:color w:val="000000"/>
          <w:sz w:val="24"/>
          <w:szCs w:val="24"/>
          <w:lang w:val="sq-AL" w:eastAsia="sq-AL"/>
        </w:rPr>
        <w:t>“Standard”</w:t>
      </w:r>
      <w:r w:rsidRPr="00AE688C">
        <w:rPr>
          <w:rFonts w:ascii="Garamond" w:hAnsi="Garamond"/>
          <w:color w:val="000000"/>
          <w:sz w:val="24"/>
          <w:szCs w:val="24"/>
          <w:lang w:val="sq-AL" w:eastAsia="sq-AL"/>
        </w:rPr>
        <w:t xml:space="preserve"> është një specifikim teknik, i miratuar nga një organ i njohur standardizimi, për zbatim të përsëritur ose të vazhdueshëm, përputhshmëria me të cilin nuk është e detyrueshme dhe që është një nga përcaktimet e mëposhtme:</w:t>
      </w:r>
    </w:p>
    <w:p w14:paraId="66E8BE42" w14:textId="2C15A851"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a) </w:t>
      </w:r>
      <w:r w:rsidR="00AE688C">
        <w:rPr>
          <w:rFonts w:ascii="Garamond" w:hAnsi="Garamond"/>
          <w:color w:val="000000"/>
          <w:sz w:val="24"/>
          <w:szCs w:val="24"/>
          <w:lang w:val="sq-AL" w:eastAsia="sq-AL"/>
        </w:rPr>
        <w:t>“</w:t>
      </w:r>
      <w:r w:rsidRPr="00AE688C">
        <w:rPr>
          <w:rFonts w:ascii="Garamond" w:hAnsi="Garamond"/>
          <w:color w:val="000000"/>
          <w:sz w:val="24"/>
          <w:szCs w:val="24"/>
          <w:lang w:val="sq-AL" w:eastAsia="sq-AL"/>
        </w:rPr>
        <w:t>Standard ndërkombëtar”, një standard i miratuar nga një organ ndërkombëtar standardizimi;</w:t>
      </w:r>
    </w:p>
    <w:p w14:paraId="66E8BE43" w14:textId="6C92088B"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b) </w:t>
      </w:r>
      <w:r w:rsidR="00AE688C">
        <w:rPr>
          <w:rFonts w:ascii="Garamond" w:hAnsi="Garamond"/>
          <w:color w:val="000000"/>
          <w:sz w:val="24"/>
          <w:szCs w:val="24"/>
          <w:lang w:val="sq-AL" w:eastAsia="sq-AL"/>
        </w:rPr>
        <w:t>“</w:t>
      </w:r>
      <w:r w:rsidRPr="00AE688C">
        <w:rPr>
          <w:rFonts w:ascii="Garamond" w:hAnsi="Garamond"/>
          <w:color w:val="000000"/>
          <w:sz w:val="24"/>
          <w:szCs w:val="24"/>
          <w:lang w:val="sq-AL" w:eastAsia="sq-AL"/>
        </w:rPr>
        <w:t>Standard evropian”, një standard i miratuar nga një organizatë evropiane standardizimi;</w:t>
      </w:r>
    </w:p>
    <w:p w14:paraId="66E8BE44" w14:textId="6AC1853E"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c) </w:t>
      </w:r>
      <w:r w:rsidR="00AE688C">
        <w:rPr>
          <w:rFonts w:ascii="Garamond" w:hAnsi="Garamond"/>
          <w:color w:val="000000"/>
          <w:sz w:val="24"/>
          <w:szCs w:val="24"/>
          <w:lang w:val="sq-AL" w:eastAsia="sq-AL"/>
        </w:rPr>
        <w:t>“</w:t>
      </w:r>
      <w:r w:rsidRPr="00AE688C">
        <w:rPr>
          <w:rFonts w:ascii="Garamond" w:hAnsi="Garamond"/>
          <w:color w:val="000000"/>
          <w:sz w:val="24"/>
          <w:szCs w:val="24"/>
          <w:lang w:val="sq-AL" w:eastAsia="sq-AL"/>
        </w:rPr>
        <w:t>Standard i harmonizuar”, një standard evropian i miratuar në bazë të një kërkese të bërë nga Komisioni Evropian për zbatimin e legjislacionit të harmonizuar të Bashkimit Evropian;</w:t>
      </w:r>
    </w:p>
    <w:p w14:paraId="66E8BE45"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ç) “Standard kombëtar”, një standard i miratuar nga një organ kombëtar standardizimi.”.</w:t>
      </w:r>
    </w:p>
    <w:p w14:paraId="66E8BE46" w14:textId="1D219882"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2.</w:t>
      </w:r>
      <w:r w:rsidRPr="00AE688C">
        <w:rPr>
          <w:rFonts w:ascii="Garamond" w:hAnsi="Garamond"/>
          <w:b/>
          <w:bCs/>
          <w:color w:val="000000"/>
          <w:sz w:val="24"/>
          <w:szCs w:val="24"/>
          <w:lang w:val="sq-AL" w:eastAsia="sq-AL"/>
        </w:rPr>
        <w:t xml:space="preserve"> </w:t>
      </w:r>
      <w:r w:rsidRPr="00AE688C">
        <w:rPr>
          <w:rFonts w:ascii="Garamond" w:hAnsi="Garamond"/>
          <w:color w:val="000000"/>
          <w:sz w:val="24"/>
          <w:szCs w:val="24"/>
          <w:lang w:val="sq-AL" w:eastAsia="sq-AL"/>
        </w:rPr>
        <w:t>Në kreun II, “Transparenca dhe pjesëmarrja e grupeve të interesit”, bëhet një ndryshim dhe një shtesë, si më poshtë vijon:</w:t>
      </w:r>
    </w:p>
    <w:p w14:paraId="66E8BE47" w14:textId="5A65B526"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a)</w:t>
      </w:r>
      <w:r w:rsidRPr="00AE688C">
        <w:rPr>
          <w:rFonts w:ascii="Garamond" w:hAnsi="Garamond"/>
          <w:b/>
          <w:bCs/>
          <w:color w:val="000000"/>
          <w:sz w:val="24"/>
          <w:szCs w:val="24"/>
          <w:lang w:val="sq-AL" w:eastAsia="sq-AL"/>
        </w:rPr>
        <w:t xml:space="preserve"> </w:t>
      </w:r>
      <w:r w:rsidR="00E31B54">
        <w:rPr>
          <w:rFonts w:ascii="Garamond" w:hAnsi="Garamond"/>
          <w:color w:val="000000"/>
          <w:sz w:val="24"/>
          <w:szCs w:val="24"/>
          <w:lang w:val="sq-AL" w:eastAsia="sq-AL"/>
        </w:rPr>
        <w:t>n</w:t>
      </w:r>
      <w:r w:rsidRPr="00AE688C">
        <w:rPr>
          <w:rFonts w:ascii="Garamond" w:hAnsi="Garamond"/>
          <w:color w:val="000000"/>
          <w:sz w:val="24"/>
          <w:szCs w:val="24"/>
          <w:lang w:val="sq-AL" w:eastAsia="sq-AL"/>
        </w:rPr>
        <w:t>ënpika 3.4 ndryshohet, si më poshtë vijon:</w:t>
      </w:r>
    </w:p>
    <w:p w14:paraId="66E8BE48" w14:textId="4C81AD4E" w:rsidR="00A74650" w:rsidRPr="00AE688C" w:rsidRDefault="00AE688C" w:rsidP="00A74650">
      <w:pPr>
        <w:autoSpaceDE w:val="0"/>
        <w:autoSpaceDN w:val="0"/>
        <w:adjustRightInd w:val="0"/>
        <w:spacing w:after="0" w:line="240" w:lineRule="auto"/>
        <w:ind w:firstLine="284"/>
        <w:jc w:val="both"/>
        <w:rPr>
          <w:rFonts w:ascii="Garamond" w:hAnsi="Garamond"/>
          <w:sz w:val="24"/>
          <w:szCs w:val="24"/>
          <w:lang w:val="sq-AL" w:eastAsia="sq-AL"/>
        </w:rPr>
      </w:pPr>
      <w:r>
        <w:rPr>
          <w:rFonts w:ascii="Garamond" w:hAnsi="Garamond"/>
          <w:color w:val="000000"/>
          <w:sz w:val="24"/>
          <w:szCs w:val="24"/>
          <w:lang w:val="sq-AL" w:eastAsia="sq-AL"/>
        </w:rPr>
        <w:t>“3.4</w:t>
      </w:r>
      <w:r w:rsidR="00A74650" w:rsidRPr="00AE688C">
        <w:rPr>
          <w:rFonts w:ascii="Garamond" w:hAnsi="Garamond"/>
          <w:color w:val="000000"/>
          <w:sz w:val="24"/>
          <w:szCs w:val="24"/>
          <w:lang w:val="sq-AL" w:eastAsia="sq-AL"/>
        </w:rPr>
        <w:t xml:space="preserve"> DPS-ja njofton organizatat e tjera të standardizimit në nivel rajonal dhe/ose ndërkombëtar për ekzistencën e programit të punës në përputhje me legjislacionin, rregulloret e brendshme dhe procedurat e saj në fuqi</w:t>
      </w:r>
      <w:r w:rsidR="00E31B54">
        <w:rPr>
          <w:rFonts w:ascii="Garamond" w:hAnsi="Garamond"/>
          <w:sz w:val="24"/>
          <w:szCs w:val="24"/>
          <w:lang w:val="sq-AL" w:eastAsia="sq-AL"/>
        </w:rPr>
        <w:t>.”;</w:t>
      </w:r>
    </w:p>
    <w:p w14:paraId="66E8BE49" w14:textId="759F59E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lastRenderedPageBreak/>
        <w:t>b)</w:t>
      </w:r>
      <w:r w:rsidRPr="00AE688C">
        <w:rPr>
          <w:rFonts w:ascii="Garamond" w:hAnsi="Garamond"/>
          <w:b/>
          <w:bCs/>
          <w:color w:val="000000"/>
          <w:sz w:val="24"/>
          <w:szCs w:val="24"/>
          <w:lang w:val="sq-AL" w:eastAsia="sq-AL"/>
        </w:rPr>
        <w:t xml:space="preserve"> </w:t>
      </w:r>
      <w:r w:rsidR="00E31B54">
        <w:rPr>
          <w:rFonts w:ascii="Garamond" w:hAnsi="Garamond"/>
          <w:color w:val="000000"/>
          <w:sz w:val="24"/>
          <w:szCs w:val="24"/>
          <w:lang w:val="sq-AL" w:eastAsia="sq-AL"/>
        </w:rPr>
        <w:t>p</w:t>
      </w:r>
      <w:r w:rsidRPr="00AE688C">
        <w:rPr>
          <w:rFonts w:ascii="Garamond" w:hAnsi="Garamond"/>
          <w:color w:val="000000"/>
          <w:sz w:val="24"/>
          <w:szCs w:val="24"/>
          <w:lang w:val="sq-AL" w:eastAsia="sq-AL"/>
        </w:rPr>
        <w:t>as nënpikës 6.1 shtohet nënpika 6.2, me këtë përmbajtje:</w:t>
      </w:r>
    </w:p>
    <w:p w14:paraId="66E8BE4B" w14:textId="229CA4E0"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“6.2</w:t>
      </w:r>
      <w:r w:rsidR="00901DB3">
        <w:rPr>
          <w:rFonts w:ascii="Garamond" w:hAnsi="Garamond"/>
          <w:color w:val="000000"/>
          <w:sz w:val="24"/>
          <w:szCs w:val="24"/>
          <w:lang w:val="sq-AL" w:eastAsia="sq-AL"/>
        </w:rPr>
        <w:t xml:space="preserve"> </w:t>
      </w:r>
      <w:r w:rsidRPr="00AE688C">
        <w:rPr>
          <w:rFonts w:ascii="Garamond" w:hAnsi="Garamond"/>
          <w:color w:val="000000"/>
          <w:sz w:val="24"/>
          <w:szCs w:val="24"/>
          <w:lang w:val="sq-AL" w:eastAsia="sq-AL"/>
        </w:rPr>
        <w:t>Kundërshtitë zyrtare ndaj standardeve të harmonizuara</w:t>
      </w:r>
    </w:p>
    <w:p w14:paraId="66E8BE4C" w14:textId="1E349826"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t>6.2.1</w:t>
      </w:r>
      <w:r w:rsidR="00A74650" w:rsidRPr="00AE688C">
        <w:rPr>
          <w:rFonts w:ascii="Garamond" w:hAnsi="Garamond"/>
          <w:color w:val="000000"/>
          <w:sz w:val="24"/>
          <w:szCs w:val="24"/>
          <w:lang w:val="sq-AL" w:eastAsia="sq-AL"/>
        </w:rPr>
        <w:t xml:space="preserve"> Kur autoritetet shqiptare, përfshirë DPS-në ose ministrinë </w:t>
      </w:r>
      <w:r>
        <w:rPr>
          <w:rFonts w:ascii="Garamond" w:hAnsi="Garamond"/>
          <w:color w:val="000000"/>
          <w:sz w:val="24"/>
          <w:szCs w:val="24"/>
          <w:lang w:val="sq-AL" w:eastAsia="sq-AL"/>
        </w:rPr>
        <w:t>përgjegjëse</w:t>
      </w:r>
      <w:r w:rsidR="00A74650" w:rsidRPr="00AE688C">
        <w:rPr>
          <w:rFonts w:ascii="Garamond" w:hAnsi="Garamond"/>
          <w:color w:val="000000"/>
          <w:sz w:val="24"/>
          <w:szCs w:val="24"/>
          <w:lang w:val="sq-AL" w:eastAsia="sq-AL"/>
        </w:rPr>
        <w:t xml:space="preserve"> konsiderojnë se një standard shqiptar i harmonizuar nuk përmbush plotësisht kërkesat që synon të mbulojë dhe që përcaktohen në legjislacionin përkatës (rregulloret teknike), Këshilli i Ministrave, me propozimin e ministrisë përgjegjëse për çështjet tregtare dhe/ose ekonomike, pas konsultimit me DPS-në, mund të anulojë referencën për këtë standard dhe ta heqë atë nga lista e botuar për standardet e referencës. Procedura do të kryhet në përputhje me detyrimet e autoriteteve shqiptare dhe me legjislacionin, rregulloret e brendshme dhe procedurat e DPS-së në fuqi.”.</w:t>
      </w:r>
    </w:p>
    <w:p w14:paraId="66E8BE4D" w14:textId="0A24725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3.</w:t>
      </w:r>
      <w:r w:rsidR="00901DB3">
        <w:rPr>
          <w:rFonts w:ascii="Garamond" w:hAnsi="Garamond"/>
          <w:b/>
          <w:bCs/>
          <w:color w:val="000000"/>
          <w:sz w:val="24"/>
          <w:szCs w:val="24"/>
          <w:lang w:val="sq-AL" w:eastAsia="sq-AL"/>
        </w:rPr>
        <w:t xml:space="preserve"> </w:t>
      </w:r>
      <w:r w:rsidRPr="00AE688C">
        <w:rPr>
          <w:rFonts w:ascii="Garamond" w:hAnsi="Garamond"/>
          <w:color w:val="000000"/>
          <w:sz w:val="24"/>
          <w:szCs w:val="24"/>
          <w:lang w:val="sq-AL" w:eastAsia="sq-AL"/>
        </w:rPr>
        <w:t>Në kreun IV, “Financimi i standardizimit evropian”, bëhen disa shtesa dhe një ndryshim, si më poshtë vijon:</w:t>
      </w:r>
    </w:p>
    <w:p w14:paraId="66E8BE4E" w14:textId="4BFB6F6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a) </w:t>
      </w:r>
      <w:r w:rsidR="00E31B54">
        <w:rPr>
          <w:rFonts w:ascii="Garamond" w:hAnsi="Garamond"/>
          <w:color w:val="000000"/>
          <w:sz w:val="24"/>
          <w:szCs w:val="24"/>
          <w:lang w:val="sq-AL" w:eastAsia="sq-AL"/>
        </w:rPr>
        <w:t>n</w:t>
      </w:r>
      <w:r w:rsidRPr="00AE688C">
        <w:rPr>
          <w:rFonts w:ascii="Garamond" w:hAnsi="Garamond"/>
          <w:color w:val="000000"/>
          <w:sz w:val="24"/>
          <w:szCs w:val="24"/>
          <w:lang w:val="sq-AL" w:eastAsia="sq-AL"/>
        </w:rPr>
        <w:t>ë fund të të shkronjës “a”, të nënpikës 9.2, shtohen fjalët “… si dhe organizatat evropiane të grupeve të interesit, siç përcaktohen në</w:t>
      </w:r>
      <w:r w:rsidR="00901DB3">
        <w:rPr>
          <w:rFonts w:ascii="Garamond" w:hAnsi="Garamond"/>
          <w:color w:val="000000"/>
          <w:sz w:val="24"/>
          <w:szCs w:val="24"/>
          <w:lang w:val="sq-AL" w:eastAsia="sq-AL"/>
        </w:rPr>
        <w:t xml:space="preserve"> </w:t>
      </w:r>
      <w:r w:rsidRPr="00AE688C">
        <w:rPr>
          <w:rFonts w:ascii="Garamond" w:hAnsi="Garamond"/>
          <w:color w:val="000000"/>
          <w:sz w:val="24"/>
          <w:szCs w:val="24"/>
          <w:lang w:val="sq-AL" w:eastAsia="sq-AL"/>
        </w:rPr>
        <w:t>shtojcën II të vendimit;”;</w:t>
      </w:r>
    </w:p>
    <w:p w14:paraId="66E8BE4F" w14:textId="23B5C1BC"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b) </w:t>
      </w:r>
      <w:r w:rsidR="00E31B54">
        <w:rPr>
          <w:rFonts w:ascii="Garamond" w:hAnsi="Garamond"/>
          <w:color w:val="000000"/>
          <w:sz w:val="24"/>
          <w:szCs w:val="24"/>
          <w:lang w:val="sq-AL" w:eastAsia="sq-AL"/>
        </w:rPr>
        <w:t>n</w:t>
      </w:r>
      <w:r w:rsidRPr="00AE688C">
        <w:rPr>
          <w:rFonts w:ascii="Garamond" w:hAnsi="Garamond"/>
          <w:color w:val="000000"/>
          <w:sz w:val="24"/>
          <w:szCs w:val="24"/>
          <w:lang w:val="sq-AL" w:eastAsia="sq-AL"/>
        </w:rPr>
        <w:t>ë nënpikën 10.1, fjala “Qeveria ...” zëvendësohet me “Drejtoria e Përg</w:t>
      </w:r>
      <w:r w:rsidR="00E31B54">
        <w:rPr>
          <w:rFonts w:ascii="Garamond" w:hAnsi="Garamond"/>
          <w:color w:val="000000"/>
          <w:sz w:val="24"/>
          <w:szCs w:val="24"/>
          <w:lang w:val="sq-AL" w:eastAsia="sq-AL"/>
        </w:rPr>
        <w:t>jithshme e Standardizimit ...”;</w:t>
      </w:r>
    </w:p>
    <w:p w14:paraId="66E8BE50" w14:textId="47D549F9"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c) </w:t>
      </w:r>
      <w:r w:rsidR="00E31B54">
        <w:rPr>
          <w:rFonts w:ascii="Garamond" w:hAnsi="Garamond"/>
          <w:color w:val="000000"/>
          <w:sz w:val="24"/>
          <w:szCs w:val="24"/>
          <w:lang w:val="sq-AL" w:eastAsia="sq-AL"/>
        </w:rPr>
        <w:t>p</w:t>
      </w:r>
      <w:r w:rsidRPr="00AE688C">
        <w:rPr>
          <w:rFonts w:ascii="Garamond" w:hAnsi="Garamond"/>
          <w:color w:val="000000"/>
          <w:sz w:val="24"/>
          <w:szCs w:val="24"/>
          <w:lang w:val="sq-AL" w:eastAsia="sq-AL"/>
        </w:rPr>
        <w:t>as nënpikës 10.2 shtohet nënpika 10.3, me këtë përmbajtje:</w:t>
      </w:r>
    </w:p>
    <w:p w14:paraId="66E8BE51"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“10.3 Drejtoria e Përgjithshme e Standardizimit dërgon një raport vjetor në organizmat evropianë të standardizimit, në përputhje me detyrimet e autoriteteve shqiptare dhe me legjislacionin, rregulloret e brendshme dhe procedurat e saj në fuqi. Raporti përmban informacione të hollësishme për sa vijon:</w:t>
      </w:r>
    </w:p>
    <w:p w14:paraId="66E8BE52" w14:textId="3E0A2C4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a) </w:t>
      </w:r>
      <w:r w:rsidR="00AE688C" w:rsidRPr="00AE688C">
        <w:rPr>
          <w:rFonts w:ascii="Garamond" w:hAnsi="Garamond"/>
          <w:color w:val="000000"/>
          <w:sz w:val="24"/>
          <w:szCs w:val="24"/>
          <w:lang w:val="sq-AL" w:eastAsia="sq-AL"/>
        </w:rPr>
        <w:t>t</w:t>
      </w:r>
      <w:r w:rsidRPr="00AE688C">
        <w:rPr>
          <w:rFonts w:ascii="Garamond" w:hAnsi="Garamond"/>
          <w:color w:val="000000"/>
          <w:sz w:val="24"/>
          <w:szCs w:val="24"/>
          <w:lang w:val="sq-AL" w:eastAsia="sq-AL"/>
        </w:rPr>
        <w:t>ransparencën e standardeve;</w:t>
      </w:r>
    </w:p>
    <w:p w14:paraId="66E8BE53" w14:textId="23E4141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b) </w:t>
      </w:r>
      <w:r w:rsidR="00AE688C" w:rsidRPr="00AE688C">
        <w:rPr>
          <w:rFonts w:ascii="Garamond" w:hAnsi="Garamond"/>
          <w:color w:val="000000"/>
          <w:sz w:val="24"/>
          <w:szCs w:val="24"/>
          <w:lang w:val="sq-AL" w:eastAsia="sq-AL"/>
        </w:rPr>
        <w:t>p</w:t>
      </w:r>
      <w:r w:rsidRPr="00AE688C">
        <w:rPr>
          <w:rFonts w:ascii="Garamond" w:hAnsi="Garamond"/>
          <w:color w:val="000000"/>
          <w:sz w:val="24"/>
          <w:szCs w:val="24"/>
          <w:lang w:val="sq-AL" w:eastAsia="sq-AL"/>
        </w:rPr>
        <w:t>jesëmarrjen e palëve të interesuara në standardizimin shqiptar dhe evropian;</w:t>
      </w:r>
    </w:p>
    <w:p w14:paraId="66E8BE54" w14:textId="277D9BAF"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c) </w:t>
      </w:r>
      <w:r w:rsidR="00AE688C" w:rsidRPr="00AE688C">
        <w:rPr>
          <w:rFonts w:ascii="Garamond" w:hAnsi="Garamond"/>
          <w:color w:val="000000"/>
          <w:sz w:val="24"/>
          <w:szCs w:val="24"/>
          <w:lang w:val="sq-AL" w:eastAsia="sq-AL"/>
        </w:rPr>
        <w:t>f</w:t>
      </w:r>
      <w:r w:rsidRPr="00AE688C">
        <w:rPr>
          <w:rFonts w:ascii="Garamond" w:hAnsi="Garamond"/>
          <w:color w:val="000000"/>
          <w:sz w:val="24"/>
          <w:szCs w:val="24"/>
          <w:lang w:val="sq-AL" w:eastAsia="sq-AL"/>
        </w:rPr>
        <w:t>inancimet nga Bashkimi Evropian;</w:t>
      </w:r>
    </w:p>
    <w:p w14:paraId="66E8BE55" w14:textId="7096B03C"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ç) </w:t>
      </w:r>
      <w:r w:rsidR="00AE688C" w:rsidRPr="00AE688C">
        <w:rPr>
          <w:rFonts w:ascii="Garamond" w:hAnsi="Garamond"/>
          <w:color w:val="000000"/>
          <w:sz w:val="24"/>
          <w:szCs w:val="24"/>
          <w:lang w:val="sq-AL" w:eastAsia="sq-AL"/>
        </w:rPr>
        <w:t>p</w:t>
      </w:r>
      <w:r w:rsidRPr="00AE688C">
        <w:rPr>
          <w:rFonts w:ascii="Garamond" w:hAnsi="Garamond"/>
          <w:color w:val="000000"/>
          <w:sz w:val="24"/>
          <w:szCs w:val="24"/>
          <w:lang w:val="sq-AL" w:eastAsia="sq-AL"/>
        </w:rPr>
        <w:t>ërfaqësimin e NVM-ve, organizatave të konsumatorëve dhe aktorëve mjedisorë e socialë në organet kombëtare të standardizimit;</w:t>
      </w:r>
    </w:p>
    <w:p w14:paraId="66E8BE56" w14:textId="2750CE33"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d) </w:t>
      </w:r>
      <w:r w:rsidR="00AE688C" w:rsidRPr="00AE688C">
        <w:rPr>
          <w:rFonts w:ascii="Garamond" w:hAnsi="Garamond"/>
          <w:color w:val="000000"/>
          <w:sz w:val="24"/>
          <w:szCs w:val="24"/>
          <w:lang w:val="sq-AL" w:eastAsia="sq-AL"/>
        </w:rPr>
        <w:t>p</w:t>
      </w:r>
      <w:r w:rsidRPr="00AE688C">
        <w:rPr>
          <w:rFonts w:ascii="Garamond" w:hAnsi="Garamond"/>
          <w:color w:val="000000"/>
          <w:sz w:val="24"/>
          <w:szCs w:val="24"/>
          <w:lang w:val="sq-AL" w:eastAsia="sq-AL"/>
        </w:rPr>
        <w:t>ublikimin në faqen e internetit të DPS-së për lehtësirat e krijuara për NVM-të</w:t>
      </w:r>
      <w:r w:rsidR="00AE688C">
        <w:rPr>
          <w:rFonts w:ascii="Garamond" w:hAnsi="Garamond"/>
          <w:color w:val="000000"/>
          <w:sz w:val="24"/>
          <w:szCs w:val="24"/>
          <w:lang w:val="sq-AL" w:eastAsia="sq-AL"/>
        </w:rPr>
        <w:t>,</w:t>
      </w:r>
      <w:r w:rsidRPr="00AE688C">
        <w:rPr>
          <w:rFonts w:ascii="Garamond" w:hAnsi="Garamond"/>
          <w:color w:val="000000"/>
          <w:sz w:val="24"/>
          <w:szCs w:val="24"/>
          <w:lang w:val="sq-AL" w:eastAsia="sq-AL"/>
        </w:rPr>
        <w:t xml:space="preserve"> për përdorimin e standardeve dhe pjesëmarrjen e tyre në proceset e hartimit e adoptimit të standardeve;</w:t>
      </w:r>
    </w:p>
    <w:p w14:paraId="66E8BE57" w14:textId="510CB35A"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dh) </w:t>
      </w:r>
      <w:r w:rsidR="00AE688C" w:rsidRPr="00AE688C">
        <w:rPr>
          <w:rFonts w:ascii="Garamond" w:hAnsi="Garamond"/>
          <w:color w:val="000000"/>
          <w:sz w:val="24"/>
          <w:szCs w:val="24"/>
          <w:lang w:val="sq-AL" w:eastAsia="sq-AL"/>
        </w:rPr>
        <w:t>p</w:t>
      </w:r>
      <w:r w:rsidRPr="00AE688C">
        <w:rPr>
          <w:rFonts w:ascii="Garamond" w:hAnsi="Garamond"/>
          <w:color w:val="000000"/>
          <w:sz w:val="24"/>
          <w:szCs w:val="24"/>
          <w:lang w:val="sq-AL" w:eastAsia="sq-AL"/>
        </w:rPr>
        <w:t>ërdorimin e specifikimeve teknike të TIK-ut në sistemin e standardizimit;</w:t>
      </w:r>
    </w:p>
    <w:p w14:paraId="66E8BE58" w14:textId="525AFD8D"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e) </w:t>
      </w:r>
      <w:r w:rsidR="00AE688C" w:rsidRPr="00AE688C">
        <w:rPr>
          <w:rFonts w:ascii="Garamond" w:hAnsi="Garamond"/>
          <w:color w:val="000000"/>
          <w:sz w:val="24"/>
          <w:szCs w:val="24"/>
          <w:lang w:val="sq-AL" w:eastAsia="sq-AL"/>
        </w:rPr>
        <w:t>b</w:t>
      </w:r>
      <w:r w:rsidRPr="00AE688C">
        <w:rPr>
          <w:rFonts w:ascii="Garamond" w:hAnsi="Garamond"/>
          <w:color w:val="000000"/>
          <w:sz w:val="24"/>
          <w:szCs w:val="24"/>
          <w:lang w:val="sq-AL" w:eastAsia="sq-AL"/>
        </w:rPr>
        <w:t>ashkëpunimin ndërmjet organeve kombëtare të standardizimit dhe organizatav</w:t>
      </w:r>
      <w:r w:rsidR="00D955E6">
        <w:rPr>
          <w:rFonts w:ascii="Garamond" w:hAnsi="Garamond"/>
          <w:color w:val="000000"/>
          <w:sz w:val="24"/>
          <w:szCs w:val="24"/>
          <w:lang w:val="sq-AL" w:eastAsia="sq-AL"/>
        </w:rPr>
        <w:t>e evropiane të standardizimit.”.</w:t>
      </w:r>
      <w:bookmarkStart w:id="0" w:name="_GoBack"/>
      <w:bookmarkEnd w:id="0"/>
    </w:p>
    <w:p w14:paraId="66E8BE59" w14:textId="7834F646"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ç) </w:t>
      </w:r>
      <w:r w:rsidR="00E31B54">
        <w:rPr>
          <w:rFonts w:ascii="Garamond" w:hAnsi="Garamond"/>
          <w:color w:val="000000"/>
          <w:sz w:val="24"/>
          <w:szCs w:val="24"/>
          <w:lang w:val="sq-AL" w:eastAsia="sq-AL"/>
        </w:rPr>
        <w:t>p</w:t>
      </w:r>
      <w:r w:rsidRPr="00AE688C">
        <w:rPr>
          <w:rFonts w:ascii="Garamond" w:hAnsi="Garamond"/>
          <w:color w:val="000000"/>
          <w:sz w:val="24"/>
          <w:szCs w:val="24"/>
          <w:lang w:val="sq-AL" w:eastAsia="sq-AL"/>
        </w:rPr>
        <w:t>as pikës 10, “Organet kombëtare të standardizimit”, shtohet pika 11, me këtë përmbajtje:</w:t>
      </w:r>
    </w:p>
    <w:p w14:paraId="66E8BE5A"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“11. Pjesëmarrja e palëve të interesuara në standardizimin shqiptar dhe evropian</w:t>
      </w:r>
    </w:p>
    <w:p w14:paraId="66E8BE5B" w14:textId="3025413C"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t>11.1</w:t>
      </w:r>
      <w:r w:rsidR="00A74650" w:rsidRPr="00AE688C">
        <w:rPr>
          <w:rFonts w:ascii="Garamond" w:hAnsi="Garamond"/>
          <w:color w:val="000000"/>
          <w:sz w:val="24"/>
          <w:szCs w:val="24"/>
          <w:lang w:val="sq-AL" w:eastAsia="sq-AL"/>
        </w:rPr>
        <w:t xml:space="preserve"> DPS-ja zbaton qasjen e procedurave të mëposhtme në veprimtarinë kombëtare në fushën e standardizimit dhe bashkëpunon për zbatimin e saj në nivelin rajonal (evropian).</w:t>
      </w:r>
    </w:p>
    <w:p w14:paraId="66E8BE5C" w14:textId="7983EDB1"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t>11.2</w:t>
      </w:r>
      <w:r w:rsidR="00A74650" w:rsidRPr="00AE688C">
        <w:rPr>
          <w:rFonts w:ascii="Garamond" w:hAnsi="Garamond"/>
          <w:color w:val="000000"/>
          <w:sz w:val="24"/>
          <w:szCs w:val="24"/>
          <w:lang w:val="sq-AL" w:eastAsia="sq-AL"/>
        </w:rPr>
        <w:t xml:space="preserve"> DPS-ja inkurajon e lehtëson përfaqësimin dhe pjesëmarrjen efektive të të gjithë aktorëve relevantë, përfshirë NVM-të, organizatat e konsumatorëve dhe palët e interesit mjedisor dhe social në aktivitetet e saj të standardizimit. Ajo e realizon këtë veçanërisht përmes organizatave evropiane të interesit, që marrin financime nga Bashkimi Evropian, në përputhje me këtë rregullore në nivelin e zhvillimit të politikave dhe në fazat vijuese të zhvillimit të standardeve evropiane ose çdo publikim tjetër për standardizimin evropian:</w:t>
      </w:r>
    </w:p>
    <w:p w14:paraId="66E8BE5D"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a) propozimin e pranimin e titujve të rinj të punës;</w:t>
      </w:r>
    </w:p>
    <w:p w14:paraId="66E8BE5E"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b) diskutimin teknik për propozimet;</w:t>
      </w:r>
    </w:p>
    <w:p w14:paraId="66E8BE5F"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c) paraqitjen e komenteve për draftet e përgatitura;</w:t>
      </w:r>
    </w:p>
    <w:p w14:paraId="66E8BE60"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ç) rishikimin e standardeve ekzistuese evropiane ose të publikimeve të tjera të standardizimit evropian;</w:t>
      </w:r>
    </w:p>
    <w:p w14:paraId="66E8BE61"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d) shpërndarjen e informacionit dhe rritjen e ndërgjegjësimit në nivel kombëtar për standardet evropiane të miratuara ose publikimet e standardizimit evropian.</w:t>
      </w:r>
    </w:p>
    <w:p w14:paraId="66E8BE62" w14:textId="755027D1"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lastRenderedPageBreak/>
        <w:t>11.3</w:t>
      </w:r>
      <w:r w:rsidR="00A74650" w:rsidRPr="00AE688C">
        <w:rPr>
          <w:rFonts w:ascii="Garamond" w:hAnsi="Garamond"/>
          <w:color w:val="000000"/>
          <w:sz w:val="24"/>
          <w:szCs w:val="24"/>
          <w:lang w:val="sq-AL" w:eastAsia="sq-AL"/>
        </w:rPr>
        <w:t xml:space="preserve"> DPS-ja bashkëpunon me autoritetet e mbikëqyrjes së tregut në rajon, objektet kërkimore të Komisionit Evropian dhe organizatat evropiane të interesit, që marrin financime nga Bashkimi Evropian, në përputhje me këtë rregullore, dhe lehtëson përfaqësimin, në nivelin teknik, të ndërmarrjeve, qendrave kërkimore, universiteteve dhe personave të tjerë juridikë (kur këta të fundit kanë marrë pjesë në projekte të kësaj fushe dhe që është financuar nga Bashkimi Evropian me programe shumëvjeçare në fushën e kërkimit, të inovacionit dhe zhvillimit teknologjik) në aktivitetet e standardizimit lidhur me një fushë në zhvillim me ndikime të rëndësishme teknologjike.”.</w:t>
      </w:r>
    </w:p>
    <w:p w14:paraId="66E8BE63"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4.</w:t>
      </w:r>
      <w:r w:rsidRPr="00AE688C">
        <w:rPr>
          <w:rFonts w:ascii="Garamond" w:hAnsi="Garamond"/>
          <w:b/>
          <w:bCs/>
          <w:color w:val="000000"/>
          <w:sz w:val="24"/>
          <w:szCs w:val="24"/>
          <w:lang w:val="sq-AL" w:eastAsia="sq-AL"/>
        </w:rPr>
        <w:t xml:space="preserve"> </w:t>
      </w:r>
      <w:r w:rsidRPr="00AE688C">
        <w:rPr>
          <w:rFonts w:ascii="Garamond" w:hAnsi="Garamond"/>
          <w:color w:val="000000"/>
          <w:sz w:val="24"/>
          <w:szCs w:val="24"/>
          <w:lang w:val="sq-AL" w:eastAsia="sq-AL"/>
        </w:rPr>
        <w:t>Kreu V, “Dispozita kalimtare”, riformulohet, si më poshtë vijon:</w:t>
      </w:r>
    </w:p>
    <w:p w14:paraId="66E8BE64" w14:textId="77777777" w:rsidR="00A74650" w:rsidRPr="00AE688C" w:rsidRDefault="00A74650" w:rsidP="00A74650">
      <w:pPr>
        <w:autoSpaceDE w:val="0"/>
        <w:autoSpaceDN w:val="0"/>
        <w:adjustRightInd w:val="0"/>
        <w:spacing w:after="0" w:line="240" w:lineRule="auto"/>
        <w:ind w:firstLine="284"/>
        <w:rPr>
          <w:rFonts w:ascii="Garamond" w:hAnsi="Garamond"/>
          <w:color w:val="000000"/>
          <w:sz w:val="24"/>
          <w:szCs w:val="24"/>
          <w:lang w:val="sq-AL" w:eastAsia="sq-AL"/>
        </w:rPr>
      </w:pPr>
    </w:p>
    <w:p w14:paraId="6C81F5CE" w14:textId="77777777" w:rsidR="00AE688C" w:rsidRPr="00AE688C" w:rsidRDefault="00A74650" w:rsidP="00A74650">
      <w:pPr>
        <w:autoSpaceDE w:val="0"/>
        <w:autoSpaceDN w:val="0"/>
        <w:adjustRightInd w:val="0"/>
        <w:spacing w:after="0" w:line="240" w:lineRule="auto"/>
        <w:ind w:firstLine="284"/>
        <w:jc w:val="center"/>
        <w:rPr>
          <w:rFonts w:ascii="Garamond" w:hAnsi="Garamond"/>
          <w:b/>
          <w:color w:val="000000"/>
          <w:sz w:val="24"/>
          <w:szCs w:val="24"/>
          <w:lang w:val="sq-AL" w:eastAsia="sq-AL"/>
        </w:rPr>
      </w:pPr>
      <w:r w:rsidRPr="00AE688C">
        <w:rPr>
          <w:rFonts w:ascii="Garamond" w:hAnsi="Garamond"/>
          <w:color w:val="000000"/>
          <w:sz w:val="24"/>
          <w:szCs w:val="24"/>
          <w:lang w:val="sq-AL" w:eastAsia="sq-AL"/>
        </w:rPr>
        <w:t>“</w:t>
      </w:r>
      <w:r w:rsidRPr="00AE688C">
        <w:rPr>
          <w:rFonts w:ascii="Garamond" w:hAnsi="Garamond"/>
          <w:b/>
          <w:color w:val="000000"/>
          <w:sz w:val="24"/>
          <w:szCs w:val="24"/>
          <w:lang w:val="sq-AL" w:eastAsia="sq-AL"/>
        </w:rPr>
        <w:t xml:space="preserve">Kreu </w:t>
      </w:r>
      <w:r w:rsidR="00AE688C" w:rsidRPr="00AE688C">
        <w:rPr>
          <w:rFonts w:ascii="Garamond" w:hAnsi="Garamond"/>
          <w:b/>
          <w:color w:val="000000"/>
          <w:sz w:val="24"/>
          <w:szCs w:val="24"/>
          <w:lang w:val="sq-AL" w:eastAsia="sq-AL"/>
        </w:rPr>
        <w:t>V</w:t>
      </w:r>
    </w:p>
    <w:p w14:paraId="66E8BE65" w14:textId="50BFC92F" w:rsidR="00A74650" w:rsidRPr="00AE688C" w:rsidRDefault="00A74650" w:rsidP="00A74650">
      <w:pPr>
        <w:autoSpaceDE w:val="0"/>
        <w:autoSpaceDN w:val="0"/>
        <w:adjustRightInd w:val="0"/>
        <w:spacing w:after="0" w:line="240" w:lineRule="auto"/>
        <w:ind w:firstLine="284"/>
        <w:jc w:val="center"/>
        <w:rPr>
          <w:rFonts w:ascii="Garamond" w:hAnsi="Garamond"/>
          <w:color w:val="000000"/>
          <w:sz w:val="24"/>
          <w:szCs w:val="24"/>
          <w:lang w:val="sq-AL" w:eastAsia="sq-AL"/>
        </w:rPr>
      </w:pPr>
      <w:r w:rsidRPr="00AE688C">
        <w:rPr>
          <w:rFonts w:ascii="Garamond" w:hAnsi="Garamond"/>
          <w:color w:val="000000"/>
          <w:sz w:val="24"/>
          <w:szCs w:val="24"/>
          <w:lang w:val="sq-AL" w:eastAsia="sq-AL"/>
        </w:rPr>
        <w:t xml:space="preserve"> DISPOZITA KALIMTARE</w:t>
      </w:r>
    </w:p>
    <w:p w14:paraId="66E8BE66" w14:textId="77777777" w:rsidR="00A74650" w:rsidRPr="00AE688C" w:rsidRDefault="00A74650" w:rsidP="00A74650">
      <w:pPr>
        <w:autoSpaceDE w:val="0"/>
        <w:autoSpaceDN w:val="0"/>
        <w:adjustRightInd w:val="0"/>
        <w:spacing w:after="0" w:line="240" w:lineRule="auto"/>
        <w:ind w:firstLine="284"/>
        <w:jc w:val="both"/>
        <w:rPr>
          <w:rFonts w:ascii="Garamond" w:hAnsi="Garamond"/>
          <w:b/>
          <w:bCs/>
          <w:color w:val="000000"/>
          <w:sz w:val="24"/>
          <w:szCs w:val="24"/>
          <w:lang w:val="sq-AL" w:eastAsia="sq-AL"/>
        </w:rPr>
      </w:pPr>
    </w:p>
    <w:p w14:paraId="66E8BE67"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12. Periudhat e zbatimit të rregullores</w:t>
      </w:r>
    </w:p>
    <w:p w14:paraId="66E8BE68" w14:textId="5C7A6DD0"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t>12.1</w:t>
      </w:r>
      <w:r w:rsidR="00A74650" w:rsidRPr="00AE688C">
        <w:rPr>
          <w:rFonts w:ascii="Garamond" w:hAnsi="Garamond"/>
          <w:color w:val="000000"/>
          <w:sz w:val="24"/>
          <w:szCs w:val="24"/>
          <w:lang w:val="sq-AL" w:eastAsia="sq-AL"/>
        </w:rPr>
        <w:t xml:space="preserve"> Me përjashtim të pikës 7, pikat 1 deri në 11 zbatohen me hyrjen në fuqi të vendimit të Këshillit të Ministrave, që miraton këtë rregullore.</w:t>
      </w:r>
    </w:p>
    <w:p w14:paraId="66E8BE69" w14:textId="575645B9" w:rsidR="00A74650" w:rsidRPr="00AE688C" w:rsidRDefault="00AE688C"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Pr>
          <w:rFonts w:ascii="Garamond" w:hAnsi="Garamond"/>
          <w:color w:val="000000"/>
          <w:sz w:val="24"/>
          <w:szCs w:val="24"/>
          <w:lang w:val="sq-AL" w:eastAsia="sq-AL"/>
        </w:rPr>
        <w:t>12.2</w:t>
      </w:r>
      <w:r w:rsidR="00A74650" w:rsidRPr="00AE688C">
        <w:rPr>
          <w:rFonts w:ascii="Garamond" w:hAnsi="Garamond"/>
          <w:color w:val="000000"/>
          <w:sz w:val="24"/>
          <w:szCs w:val="24"/>
          <w:lang w:val="sq-AL" w:eastAsia="sq-AL"/>
        </w:rPr>
        <w:t xml:space="preserve"> Pika 7, e kësaj rregulloreje, zbatohet drejtpërdrejt me anëtarësimin e Shqipërisë në Bashkimin Evropian.”.</w:t>
      </w:r>
    </w:p>
    <w:p w14:paraId="66E8BE6A" w14:textId="77777777" w:rsidR="00A74650" w:rsidRPr="00AE688C" w:rsidRDefault="00A74650" w:rsidP="00A74650">
      <w:pPr>
        <w:autoSpaceDE w:val="0"/>
        <w:autoSpaceDN w:val="0"/>
        <w:adjustRightInd w:val="0"/>
        <w:spacing w:after="0" w:line="240" w:lineRule="auto"/>
        <w:ind w:firstLine="284"/>
        <w:jc w:val="both"/>
        <w:rPr>
          <w:rFonts w:ascii="Garamond" w:hAnsi="Garamond"/>
          <w:color w:val="000000"/>
          <w:sz w:val="24"/>
          <w:szCs w:val="24"/>
          <w:lang w:val="sq-AL" w:eastAsia="sq-AL"/>
        </w:rPr>
      </w:pPr>
      <w:r w:rsidRPr="00AE688C">
        <w:rPr>
          <w:rFonts w:ascii="Garamond" w:hAnsi="Garamond"/>
          <w:color w:val="000000"/>
          <w:sz w:val="24"/>
          <w:szCs w:val="24"/>
          <w:lang w:val="sq-AL" w:eastAsia="sq-AL"/>
        </w:rPr>
        <w:t>Ky vendim hyn në fuqi pas botimit në Fletoren Zyrtare.</w:t>
      </w:r>
    </w:p>
    <w:p w14:paraId="66E8BE6B" w14:textId="77777777" w:rsidR="00A74650" w:rsidRPr="00AE688C" w:rsidRDefault="00A74650" w:rsidP="00A74650">
      <w:pPr>
        <w:autoSpaceDE w:val="0"/>
        <w:autoSpaceDN w:val="0"/>
        <w:adjustRightInd w:val="0"/>
        <w:spacing w:after="0" w:line="240" w:lineRule="auto"/>
        <w:ind w:firstLine="284"/>
        <w:rPr>
          <w:rFonts w:ascii="Garamond" w:hAnsi="Garamond"/>
          <w:color w:val="000000"/>
          <w:sz w:val="24"/>
          <w:szCs w:val="24"/>
          <w:lang w:val="sq-AL" w:eastAsia="sq-AL"/>
        </w:rPr>
      </w:pPr>
    </w:p>
    <w:p w14:paraId="66E8BE6C" w14:textId="77777777" w:rsidR="00A74650" w:rsidRPr="00AE688C" w:rsidRDefault="00A74650" w:rsidP="00A74650">
      <w:pPr>
        <w:autoSpaceDE w:val="0"/>
        <w:autoSpaceDN w:val="0"/>
        <w:adjustRightInd w:val="0"/>
        <w:spacing w:after="0" w:line="240" w:lineRule="auto"/>
        <w:ind w:firstLine="284"/>
        <w:jc w:val="right"/>
        <w:rPr>
          <w:rFonts w:ascii="Garamond" w:hAnsi="Garamond"/>
          <w:color w:val="000000"/>
          <w:sz w:val="24"/>
          <w:szCs w:val="24"/>
          <w:lang w:val="sq-AL" w:eastAsia="sq-AL"/>
        </w:rPr>
      </w:pPr>
      <w:r w:rsidRPr="00AE688C">
        <w:rPr>
          <w:rFonts w:ascii="Garamond" w:hAnsi="Garamond"/>
          <w:color w:val="000000"/>
          <w:sz w:val="24"/>
          <w:szCs w:val="24"/>
          <w:lang w:val="sq-AL" w:eastAsia="sq-AL"/>
        </w:rPr>
        <w:t>KRYEMINISTËR</w:t>
      </w:r>
    </w:p>
    <w:p w14:paraId="66E8BE6D" w14:textId="77777777" w:rsidR="00A74650" w:rsidRPr="00AE688C" w:rsidRDefault="00A74650" w:rsidP="00A74650">
      <w:pPr>
        <w:autoSpaceDE w:val="0"/>
        <w:autoSpaceDN w:val="0"/>
        <w:adjustRightInd w:val="0"/>
        <w:spacing w:after="0" w:line="240" w:lineRule="auto"/>
        <w:ind w:firstLine="284"/>
        <w:jc w:val="right"/>
        <w:rPr>
          <w:rFonts w:ascii="Garamond" w:hAnsi="Garamond"/>
          <w:b/>
          <w:color w:val="000000"/>
          <w:sz w:val="24"/>
          <w:szCs w:val="24"/>
          <w:lang w:val="sq-AL" w:eastAsia="sq-AL"/>
        </w:rPr>
      </w:pPr>
      <w:r w:rsidRPr="00AE688C">
        <w:rPr>
          <w:rFonts w:ascii="Garamond" w:hAnsi="Garamond"/>
          <w:b/>
          <w:color w:val="000000"/>
          <w:sz w:val="24"/>
          <w:szCs w:val="24"/>
          <w:lang w:val="sq-AL" w:eastAsia="sq-AL"/>
        </w:rPr>
        <w:t>Edi Rama</w:t>
      </w:r>
    </w:p>
    <w:p w14:paraId="66E8BE6E" w14:textId="77777777" w:rsidR="003C3138" w:rsidRPr="00AE688C" w:rsidRDefault="003C3138">
      <w:pPr>
        <w:rPr>
          <w:lang w:val="sq-AL"/>
        </w:rPr>
      </w:pPr>
    </w:p>
    <w:sectPr w:rsidR="003C3138" w:rsidRPr="00AE68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1E013A" w14:textId="77777777" w:rsidR="00D955E6" w:rsidRDefault="00D955E6" w:rsidP="00A74650">
      <w:pPr>
        <w:spacing w:after="0" w:line="240" w:lineRule="auto"/>
      </w:pPr>
      <w:r>
        <w:separator/>
      </w:r>
    </w:p>
  </w:endnote>
  <w:endnote w:type="continuationSeparator" w:id="0">
    <w:p w14:paraId="05795164" w14:textId="77777777" w:rsidR="00D955E6" w:rsidRDefault="00D955E6" w:rsidP="00A74650">
      <w:pPr>
        <w:spacing w:after="0" w:line="240" w:lineRule="auto"/>
      </w:pPr>
      <w:r>
        <w:continuationSeparator/>
      </w:r>
    </w:p>
  </w:endnote>
  <w:endnote w:type="continuationNotice" w:id="1">
    <w:p w14:paraId="5D5E6FB4" w14:textId="77777777" w:rsidR="00D955E6" w:rsidRDefault="00D955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908DA" w14:textId="77777777" w:rsidR="00D955E6" w:rsidRDefault="00D955E6" w:rsidP="00A74650">
      <w:pPr>
        <w:spacing w:after="0" w:line="240" w:lineRule="auto"/>
      </w:pPr>
      <w:r>
        <w:separator/>
      </w:r>
    </w:p>
  </w:footnote>
  <w:footnote w:type="continuationSeparator" w:id="0">
    <w:p w14:paraId="22DDC94E" w14:textId="77777777" w:rsidR="00D955E6" w:rsidRDefault="00D955E6" w:rsidP="00A74650">
      <w:pPr>
        <w:spacing w:after="0" w:line="240" w:lineRule="auto"/>
      </w:pPr>
      <w:r>
        <w:continuationSeparator/>
      </w:r>
    </w:p>
  </w:footnote>
  <w:footnote w:type="continuationNotice" w:id="1">
    <w:p w14:paraId="288F0AB9" w14:textId="77777777" w:rsidR="00D955E6" w:rsidRDefault="00D955E6">
      <w:pPr>
        <w:spacing w:after="0" w:line="240" w:lineRule="auto"/>
      </w:pPr>
    </w:p>
  </w:footnote>
  <w:footnote w:id="2">
    <w:p w14:paraId="66E8BE73" w14:textId="137AF3B1" w:rsidR="00D955E6" w:rsidRPr="008446CF" w:rsidRDefault="00D955E6" w:rsidP="00A74650">
      <w:pPr>
        <w:pStyle w:val="FootnoteText"/>
        <w:spacing w:after="0" w:line="240" w:lineRule="auto"/>
        <w:jc w:val="both"/>
        <w:rPr>
          <w:rFonts w:ascii="Garamond" w:hAnsi="Garamond"/>
        </w:rPr>
      </w:pPr>
      <w:r w:rsidRPr="008446CF">
        <w:rPr>
          <w:rStyle w:val="FootnoteReference"/>
          <w:rFonts w:ascii="Garamond" w:hAnsi="Garamond"/>
        </w:rPr>
        <w:footnoteRef/>
      </w:r>
      <w:r w:rsidRPr="008446CF">
        <w:rPr>
          <w:rFonts w:ascii="Garamond" w:hAnsi="Garamond"/>
        </w:rPr>
        <w:t xml:space="preserve"> </w:t>
      </w:r>
      <w:r w:rsidRPr="008446CF">
        <w:rPr>
          <w:rFonts w:ascii="Garamond" w:hAnsi="Garamond"/>
          <w:lang w:val="sq-AL"/>
        </w:rPr>
        <w:t xml:space="preserve">Ndryshimet dhe shtesat e propozuara në këtë projektvendim transpozojnë të plotë </w:t>
      </w:r>
      <w:r>
        <w:rPr>
          <w:rFonts w:ascii="Garamond" w:hAnsi="Garamond"/>
          <w:lang w:val="sq-AL"/>
        </w:rPr>
        <w:t>r</w:t>
      </w:r>
      <w:r w:rsidRPr="008446CF">
        <w:rPr>
          <w:rFonts w:ascii="Garamond" w:hAnsi="Garamond"/>
          <w:lang w:val="sq-AL"/>
        </w:rPr>
        <w:t>regulloren (BE) nr.</w:t>
      </w:r>
      <w:r>
        <w:rPr>
          <w:rFonts w:ascii="Garamond" w:hAnsi="Garamond"/>
          <w:lang w:val="sq-AL"/>
        </w:rPr>
        <w:t xml:space="preserve"> </w:t>
      </w:r>
      <w:r w:rsidRPr="008446CF">
        <w:rPr>
          <w:rFonts w:ascii="Garamond" w:hAnsi="Garamond"/>
          <w:lang w:val="sq-AL"/>
        </w:rPr>
        <w:t>1025/2012</w:t>
      </w:r>
      <w:r>
        <w:rPr>
          <w:rFonts w:ascii="Garamond" w:hAnsi="Garamond"/>
          <w:lang w:val="sq-AL"/>
        </w:rPr>
        <w:t>,</w:t>
      </w:r>
      <w:r w:rsidRPr="008446CF">
        <w:rPr>
          <w:rFonts w:ascii="Garamond" w:hAnsi="Garamond"/>
          <w:lang w:val="sq-AL"/>
        </w:rPr>
        <w:t xml:space="preserve"> të Parlamentit Evropian dhe të Këshillit</w:t>
      </w:r>
      <w:r>
        <w:rPr>
          <w:rFonts w:ascii="Garamond" w:hAnsi="Garamond"/>
          <w:lang w:val="sq-AL"/>
        </w:rPr>
        <w:t>,</w:t>
      </w:r>
      <w:r w:rsidRPr="008446CF">
        <w:rPr>
          <w:rFonts w:ascii="Garamond" w:hAnsi="Garamond"/>
          <w:lang w:val="sq-AL"/>
        </w:rPr>
        <w:t xml:space="preserve"> të 25 tetorit 2012</w:t>
      </w:r>
      <w:r>
        <w:rPr>
          <w:rFonts w:ascii="Garamond" w:hAnsi="Garamond"/>
          <w:lang w:val="sq-AL"/>
        </w:rPr>
        <w:t>,</w:t>
      </w:r>
      <w:r w:rsidRPr="008446CF">
        <w:rPr>
          <w:rFonts w:ascii="Garamond" w:hAnsi="Garamond"/>
          <w:lang w:val="sq-AL"/>
        </w:rPr>
        <w:t xml:space="preserve"> “Për standardizimin evropian”, që ndryshojnë </w:t>
      </w:r>
      <w:r>
        <w:rPr>
          <w:rFonts w:ascii="Garamond" w:hAnsi="Garamond"/>
          <w:lang w:val="sq-AL"/>
        </w:rPr>
        <w:t>d</w:t>
      </w:r>
      <w:r w:rsidRPr="008446CF">
        <w:rPr>
          <w:rFonts w:ascii="Garamond" w:hAnsi="Garamond"/>
          <w:lang w:val="sq-AL"/>
        </w:rPr>
        <w:t xml:space="preserve">irektivat e Këshillit 89/686/KEE dhe 93/15/KEE dhe </w:t>
      </w:r>
      <w:r>
        <w:rPr>
          <w:rFonts w:ascii="Garamond" w:hAnsi="Garamond"/>
          <w:lang w:val="sq-AL"/>
        </w:rPr>
        <w:t>d</w:t>
      </w:r>
      <w:r w:rsidRPr="008446CF">
        <w:rPr>
          <w:rFonts w:ascii="Garamond" w:hAnsi="Garamond"/>
          <w:lang w:val="sq-AL"/>
        </w:rPr>
        <w:t>irektivat 94/9/KE, 94/25/KE, 95/16/KE, 97/23/KE, 98/34/KE, 2004/22/KE, 2007/23/KE, 2009/23/KE dhe 2009/105/KE të Parlamentit Evropian dhe të Këshillit</w:t>
      </w:r>
      <w:r>
        <w:rPr>
          <w:rFonts w:ascii="Garamond" w:hAnsi="Garamond"/>
          <w:lang w:val="sq-AL"/>
        </w:rPr>
        <w:t>,</w:t>
      </w:r>
      <w:r w:rsidRPr="008446CF">
        <w:rPr>
          <w:rFonts w:ascii="Garamond" w:hAnsi="Garamond"/>
          <w:lang w:val="sq-AL"/>
        </w:rPr>
        <w:t xml:space="preserve"> e shfuqizimin e vendimit të Këshillit 87/95/KEE</w:t>
      </w:r>
      <w:r>
        <w:rPr>
          <w:rFonts w:ascii="Garamond" w:hAnsi="Garamond"/>
          <w:lang w:val="sq-AL"/>
        </w:rPr>
        <w:t>,</w:t>
      </w:r>
      <w:r w:rsidRPr="008446CF">
        <w:rPr>
          <w:rFonts w:ascii="Garamond" w:hAnsi="Garamond"/>
          <w:lang w:val="sq-AL"/>
        </w:rPr>
        <w:t xml:space="preserve"> dhe vendimin nr.</w:t>
      </w:r>
      <w:r>
        <w:rPr>
          <w:rFonts w:ascii="Garamond" w:hAnsi="Garamond"/>
          <w:lang w:val="sq-AL"/>
        </w:rPr>
        <w:t xml:space="preserve"> </w:t>
      </w:r>
      <w:r w:rsidRPr="008446CF">
        <w:rPr>
          <w:rFonts w:ascii="Garamond" w:hAnsi="Garamond"/>
          <w:lang w:val="sq-AL"/>
        </w:rPr>
        <w:t>1673/2006/KE të Parlamentit Evropian dhe të Këshillit.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8C1"/>
    <w:multiLevelType w:val="hybridMultilevel"/>
    <w:tmpl w:val="CA7C7F62"/>
    <w:lvl w:ilvl="0" w:tplc="4906D810">
      <w:start w:val="1"/>
      <w:numFmt w:val="lowerLetter"/>
      <w:lvlText w:val="%1)"/>
      <w:lvlJc w:val="left"/>
      <w:pPr>
        <w:ind w:left="810" w:hanging="360"/>
      </w:pPr>
      <w:rPr>
        <w:lang w:val="en-GB"/>
      </w:rPr>
    </w:lvl>
    <w:lvl w:ilvl="1" w:tplc="04090019">
      <w:start w:val="1"/>
      <w:numFmt w:val="lowerLetter"/>
      <w:lvlText w:val="%2."/>
      <w:lvlJc w:val="left"/>
      <w:pPr>
        <w:ind w:left="1440" w:hanging="360"/>
      </w:pPr>
    </w:lvl>
    <w:lvl w:ilvl="2" w:tplc="E6D61B0C">
      <w:start w:val="8"/>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8121C"/>
    <w:multiLevelType w:val="hybridMultilevel"/>
    <w:tmpl w:val="34BCA1B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D58287E"/>
    <w:multiLevelType w:val="hybridMultilevel"/>
    <w:tmpl w:val="750E0DE4"/>
    <w:lvl w:ilvl="0" w:tplc="3E103FC2">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687199"/>
    <w:multiLevelType w:val="hybridMultilevel"/>
    <w:tmpl w:val="34BCA1B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17E32509"/>
    <w:multiLevelType w:val="hybridMultilevel"/>
    <w:tmpl w:val="F216C3A8"/>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5">
    <w:nsid w:val="1B00745F"/>
    <w:multiLevelType w:val="hybridMultilevel"/>
    <w:tmpl w:val="2E12C90A"/>
    <w:lvl w:ilvl="0" w:tplc="07DAA1AE">
      <w:start w:val="7"/>
      <w:numFmt w:val="bullet"/>
      <w:lvlText w:val=""/>
      <w:lvlJc w:val="left"/>
      <w:pPr>
        <w:ind w:left="720" w:hanging="360"/>
      </w:pPr>
      <w:rPr>
        <w:rFonts w:ascii="Symbol" w:eastAsia="Calibr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22FD6F3B"/>
    <w:multiLevelType w:val="hybridMultilevel"/>
    <w:tmpl w:val="842649AC"/>
    <w:lvl w:ilvl="0" w:tplc="D8F49304">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D2470DD"/>
    <w:multiLevelType w:val="hybridMultilevel"/>
    <w:tmpl w:val="456C9D6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AA21A56"/>
    <w:multiLevelType w:val="hybridMultilevel"/>
    <w:tmpl w:val="F32A452C"/>
    <w:lvl w:ilvl="0" w:tplc="976C9EC0">
      <w:start w:val="11"/>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B917CD7"/>
    <w:multiLevelType w:val="hybridMultilevel"/>
    <w:tmpl w:val="5D3AD1AE"/>
    <w:lvl w:ilvl="0" w:tplc="A03A6D52">
      <w:start w:val="1"/>
      <w:numFmt w:val="upperLetter"/>
      <w:lvlText w:val="%1)"/>
      <w:lvlJc w:val="left"/>
      <w:pPr>
        <w:ind w:left="130" w:hanging="49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nsid w:val="432B7FA0"/>
    <w:multiLevelType w:val="hybridMultilevel"/>
    <w:tmpl w:val="02E448D2"/>
    <w:lvl w:ilvl="0" w:tplc="110EAC50">
      <w:start w:val="1"/>
      <w:numFmt w:val="lowerLetter"/>
      <w:lvlText w:val="%1)"/>
      <w:lvlJc w:val="left"/>
      <w:pPr>
        <w:ind w:left="720" w:hanging="360"/>
      </w:pPr>
      <w:rPr>
        <w:rFonts w:eastAsia="Calibr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457B4A1E"/>
    <w:multiLevelType w:val="hybridMultilevel"/>
    <w:tmpl w:val="017898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A96D96"/>
    <w:multiLevelType w:val="hybridMultilevel"/>
    <w:tmpl w:val="26A8533C"/>
    <w:lvl w:ilvl="0" w:tplc="60647BDC">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503725F9"/>
    <w:multiLevelType w:val="hybridMultilevel"/>
    <w:tmpl w:val="EB8047E0"/>
    <w:lvl w:ilvl="0" w:tplc="041C0011">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542A1786"/>
    <w:multiLevelType w:val="hybridMultilevel"/>
    <w:tmpl w:val="64A6CEF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54D94A13"/>
    <w:multiLevelType w:val="hybridMultilevel"/>
    <w:tmpl w:val="360E1EE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589C33CE"/>
    <w:multiLevelType w:val="hybridMultilevel"/>
    <w:tmpl w:val="334EBDA2"/>
    <w:lvl w:ilvl="0" w:tplc="041C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A063F0"/>
    <w:multiLevelType w:val="hybridMultilevel"/>
    <w:tmpl w:val="81680130"/>
    <w:lvl w:ilvl="0" w:tplc="BBC03186">
      <w:numFmt w:val="bullet"/>
      <w:lvlText w:val="-"/>
      <w:lvlJc w:val="left"/>
      <w:pPr>
        <w:ind w:left="720" w:hanging="360"/>
      </w:pPr>
      <w:rPr>
        <w:rFonts w:ascii="Arial" w:eastAsia="Calibri" w:hAnsi="Arial" w:cs="Arial"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EDC6BB8"/>
    <w:multiLevelType w:val="hybridMultilevel"/>
    <w:tmpl w:val="77822D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EA4127"/>
    <w:multiLevelType w:val="hybridMultilevel"/>
    <w:tmpl w:val="57E4559E"/>
    <w:lvl w:ilvl="0" w:tplc="7780EFC0">
      <w:start w:val="6"/>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0"/>
  </w:num>
  <w:num w:numId="3">
    <w:abstractNumId w:val="13"/>
  </w:num>
  <w:num w:numId="4">
    <w:abstractNumId w:val="5"/>
  </w:num>
  <w:num w:numId="5">
    <w:abstractNumId w:val="7"/>
  </w:num>
  <w:num w:numId="6">
    <w:abstractNumId w:val="19"/>
  </w:num>
  <w:num w:numId="7">
    <w:abstractNumId w:val="0"/>
  </w:num>
  <w:num w:numId="8">
    <w:abstractNumId w:val="17"/>
  </w:num>
  <w:num w:numId="9">
    <w:abstractNumId w:val="18"/>
  </w:num>
  <w:num w:numId="10">
    <w:abstractNumId w:val="6"/>
  </w:num>
  <w:num w:numId="11">
    <w:abstractNumId w:val="3"/>
  </w:num>
  <w:num w:numId="12">
    <w:abstractNumId w:val="16"/>
  </w:num>
  <w:num w:numId="13">
    <w:abstractNumId w:val="14"/>
  </w:num>
  <w:num w:numId="14">
    <w:abstractNumId w:val="8"/>
  </w:num>
  <w:num w:numId="15">
    <w:abstractNumId w:val="9"/>
  </w:num>
  <w:num w:numId="16">
    <w:abstractNumId w:val="12"/>
  </w:num>
  <w:num w:numId="17">
    <w:abstractNumId w:val="15"/>
  </w:num>
  <w:num w:numId="18">
    <w:abstractNumId w:val="2"/>
  </w:num>
  <w:num w:numId="19">
    <w:abstractNumId w:val="11"/>
  </w:num>
  <w:num w:numId="20">
    <w:abstractNumId w:val="4"/>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650"/>
    <w:rsid w:val="00152A61"/>
    <w:rsid w:val="002C3D59"/>
    <w:rsid w:val="003C3138"/>
    <w:rsid w:val="00527B47"/>
    <w:rsid w:val="0053411F"/>
    <w:rsid w:val="005A2AFA"/>
    <w:rsid w:val="005C0129"/>
    <w:rsid w:val="005C7B53"/>
    <w:rsid w:val="006306FC"/>
    <w:rsid w:val="00756657"/>
    <w:rsid w:val="007914A6"/>
    <w:rsid w:val="007A3B2E"/>
    <w:rsid w:val="007D39B1"/>
    <w:rsid w:val="00901DB3"/>
    <w:rsid w:val="00A74650"/>
    <w:rsid w:val="00AE688C"/>
    <w:rsid w:val="00BE4BDD"/>
    <w:rsid w:val="00C213F4"/>
    <w:rsid w:val="00D955E6"/>
    <w:rsid w:val="00E31B54"/>
    <w:rsid w:val="00F4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8B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650"/>
    <w:rPr>
      <w:rFonts w:ascii="Calibri" w:eastAsia="Calibri" w:hAnsi="Calibri" w:cs="Times New Roman"/>
    </w:rPr>
  </w:style>
  <w:style w:type="paragraph" w:styleId="Heading1">
    <w:name w:val="heading 1"/>
    <w:basedOn w:val="Normal"/>
    <w:link w:val="Heading1Char"/>
    <w:uiPriority w:val="9"/>
    <w:qFormat/>
    <w:rsid w:val="00A74650"/>
    <w:pPr>
      <w:spacing w:before="100" w:beforeAutospacing="1" w:after="100" w:afterAutospacing="1" w:line="240" w:lineRule="auto"/>
      <w:outlineLvl w:val="0"/>
    </w:pPr>
    <w:rPr>
      <w:rFonts w:ascii="Times New Roman" w:eastAsia="MS Mincho" w:hAnsi="Times New Roman"/>
      <w:b/>
      <w:bCs/>
      <w:kern w:val="36"/>
      <w:sz w:val="48"/>
      <w:szCs w:val="48"/>
      <w:lang w:val="sq-AL"/>
    </w:rPr>
  </w:style>
  <w:style w:type="paragraph" w:styleId="Heading2">
    <w:name w:val="heading 2"/>
    <w:basedOn w:val="Normal"/>
    <w:next w:val="Normal"/>
    <w:link w:val="Heading2Char"/>
    <w:semiHidden/>
    <w:unhideWhenUsed/>
    <w:qFormat/>
    <w:rsid w:val="00A74650"/>
    <w:pPr>
      <w:keepNext/>
      <w:widowControl w:val="0"/>
      <w:autoSpaceDE w:val="0"/>
      <w:autoSpaceDN w:val="0"/>
      <w:adjustRightInd w:val="0"/>
      <w:spacing w:before="240" w:after="60" w:line="240" w:lineRule="auto"/>
      <w:outlineLvl w:val="1"/>
    </w:pPr>
    <w:rPr>
      <w:rFonts w:ascii="Cambria" w:eastAsia="MS Mincho" w:hAnsi="Cambria"/>
      <w:b/>
      <w:bCs/>
      <w:i/>
      <w:iCs/>
      <w:sz w:val="28"/>
      <w:szCs w:val="28"/>
      <w:lang w:val="sq-AL"/>
    </w:rPr>
  </w:style>
  <w:style w:type="paragraph" w:styleId="Heading3">
    <w:name w:val="heading 3"/>
    <w:basedOn w:val="Normal"/>
    <w:next w:val="Normal"/>
    <w:link w:val="Heading3Char"/>
    <w:uiPriority w:val="99"/>
    <w:semiHidden/>
    <w:unhideWhenUsed/>
    <w:qFormat/>
    <w:rsid w:val="00A74650"/>
    <w:pPr>
      <w:keepNext/>
      <w:widowControl w:val="0"/>
      <w:autoSpaceDE w:val="0"/>
      <w:autoSpaceDN w:val="0"/>
      <w:adjustRightInd w:val="0"/>
      <w:spacing w:before="240" w:after="60" w:line="240" w:lineRule="auto"/>
      <w:outlineLvl w:val="2"/>
    </w:pPr>
    <w:rPr>
      <w:rFonts w:ascii="Cambria" w:eastAsia="MS Mincho" w:hAnsi="Cambria"/>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650"/>
    <w:rPr>
      <w:rFonts w:ascii="Times New Roman" w:eastAsia="MS Mincho" w:hAnsi="Times New Roman" w:cs="Times New Roman"/>
      <w:b/>
      <w:bCs/>
      <w:kern w:val="36"/>
      <w:sz w:val="48"/>
      <w:szCs w:val="48"/>
      <w:lang w:val="sq-AL"/>
    </w:rPr>
  </w:style>
  <w:style w:type="character" w:customStyle="1" w:styleId="Heading2Char">
    <w:name w:val="Heading 2 Char"/>
    <w:basedOn w:val="DefaultParagraphFont"/>
    <w:link w:val="Heading2"/>
    <w:semiHidden/>
    <w:rsid w:val="00A74650"/>
    <w:rPr>
      <w:rFonts w:ascii="Cambria" w:eastAsia="MS Mincho" w:hAnsi="Cambria" w:cs="Times New Roman"/>
      <w:b/>
      <w:bCs/>
      <w:i/>
      <w:iCs/>
      <w:sz w:val="28"/>
      <w:szCs w:val="28"/>
      <w:lang w:val="sq-AL"/>
    </w:rPr>
  </w:style>
  <w:style w:type="character" w:customStyle="1" w:styleId="Heading3Char">
    <w:name w:val="Heading 3 Char"/>
    <w:basedOn w:val="DefaultParagraphFont"/>
    <w:link w:val="Heading3"/>
    <w:uiPriority w:val="99"/>
    <w:semiHidden/>
    <w:rsid w:val="00A74650"/>
    <w:rPr>
      <w:rFonts w:ascii="Cambria" w:eastAsia="MS Mincho" w:hAnsi="Cambria" w:cs="Times New Roman"/>
      <w:b/>
      <w:bCs/>
      <w:sz w:val="26"/>
      <w:szCs w:val="26"/>
      <w:lang w:val="sq-AL"/>
    </w:rPr>
  </w:style>
  <w:style w:type="paragraph" w:styleId="NoSpacing">
    <w:name w:val="No Spacing"/>
    <w:uiPriority w:val="1"/>
    <w:qFormat/>
    <w:rsid w:val="00A74650"/>
    <w:pPr>
      <w:spacing w:after="0" w:line="240" w:lineRule="auto"/>
    </w:pPr>
    <w:rPr>
      <w:rFonts w:ascii="Calibri" w:eastAsia="Calibri" w:hAnsi="Calibri" w:cs="Times New Roman"/>
    </w:rPr>
  </w:style>
  <w:style w:type="table" w:styleId="TableGrid">
    <w:name w:val="Table Grid"/>
    <w:basedOn w:val="TableNormal"/>
    <w:uiPriority w:val="99"/>
    <w:rsid w:val="00A74650"/>
    <w:pPr>
      <w:spacing w:after="0" w:line="240" w:lineRule="auto"/>
    </w:pPr>
    <w:rPr>
      <w:rFonts w:ascii="Calibri" w:eastAsia="Calibri" w:hAnsi="Calibri" w:cs="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qFormat/>
    <w:rsid w:val="00A74650"/>
    <w:pPr>
      <w:spacing w:after="0" w:line="240" w:lineRule="auto"/>
      <w:jc w:val="center"/>
    </w:pPr>
    <w:rPr>
      <w:rFonts w:ascii="Times New Roman" w:eastAsia="Times New Roman" w:hAnsi="Times New Roman"/>
      <w:b/>
      <w:bCs/>
      <w:sz w:val="24"/>
      <w:szCs w:val="24"/>
    </w:rPr>
  </w:style>
  <w:style w:type="character" w:customStyle="1" w:styleId="SubtitleChar">
    <w:name w:val="Subtitle Char"/>
    <w:basedOn w:val="DefaultParagraphFont"/>
    <w:link w:val="Subtitle"/>
    <w:rsid w:val="00A74650"/>
    <w:rPr>
      <w:rFonts w:ascii="Times New Roman" w:eastAsia="Times New Roman" w:hAnsi="Times New Roman" w:cs="Times New Roman"/>
      <w:b/>
      <w:bCs/>
      <w:sz w:val="24"/>
      <w:szCs w:val="24"/>
    </w:rPr>
  </w:style>
  <w:style w:type="paragraph" w:styleId="ListParagraph">
    <w:name w:val="List Paragraph"/>
    <w:basedOn w:val="Normal"/>
    <w:uiPriority w:val="99"/>
    <w:qFormat/>
    <w:rsid w:val="00A74650"/>
    <w:pPr>
      <w:spacing w:after="160" w:line="259" w:lineRule="auto"/>
      <w:ind w:left="720"/>
      <w:contextualSpacing/>
    </w:pPr>
  </w:style>
  <w:style w:type="paragraph" w:styleId="EndnoteText">
    <w:name w:val="endnote text"/>
    <w:basedOn w:val="Normal"/>
    <w:link w:val="EndnoteTextChar"/>
    <w:uiPriority w:val="99"/>
    <w:semiHidden/>
    <w:unhideWhenUsed/>
    <w:rsid w:val="00A74650"/>
    <w:rPr>
      <w:sz w:val="20"/>
      <w:szCs w:val="20"/>
    </w:rPr>
  </w:style>
  <w:style w:type="character" w:customStyle="1" w:styleId="EndnoteTextChar">
    <w:name w:val="Endnote Text Char"/>
    <w:basedOn w:val="DefaultParagraphFont"/>
    <w:link w:val="EndnoteText"/>
    <w:uiPriority w:val="99"/>
    <w:semiHidden/>
    <w:rsid w:val="00A74650"/>
    <w:rPr>
      <w:rFonts w:ascii="Calibri" w:eastAsia="Calibri" w:hAnsi="Calibri" w:cs="Times New Roman"/>
      <w:sz w:val="20"/>
      <w:szCs w:val="20"/>
    </w:rPr>
  </w:style>
  <w:style w:type="character" w:styleId="EndnoteReference">
    <w:name w:val="endnote reference"/>
    <w:uiPriority w:val="99"/>
    <w:semiHidden/>
    <w:unhideWhenUsed/>
    <w:rsid w:val="00A74650"/>
    <w:rPr>
      <w:vertAlign w:val="superscript"/>
    </w:rPr>
  </w:style>
  <w:style w:type="paragraph" w:styleId="FootnoteText">
    <w:name w:val="footnote text"/>
    <w:basedOn w:val="Normal"/>
    <w:link w:val="FootnoteTextChar"/>
    <w:uiPriority w:val="99"/>
    <w:unhideWhenUsed/>
    <w:rsid w:val="00A74650"/>
    <w:rPr>
      <w:sz w:val="20"/>
      <w:szCs w:val="20"/>
    </w:rPr>
  </w:style>
  <w:style w:type="character" w:customStyle="1" w:styleId="FootnoteTextChar">
    <w:name w:val="Footnote Text Char"/>
    <w:basedOn w:val="DefaultParagraphFont"/>
    <w:link w:val="FootnoteText"/>
    <w:uiPriority w:val="99"/>
    <w:rsid w:val="00A74650"/>
    <w:rPr>
      <w:rFonts w:ascii="Calibri" w:eastAsia="Calibri" w:hAnsi="Calibri" w:cs="Times New Roman"/>
      <w:sz w:val="20"/>
      <w:szCs w:val="20"/>
    </w:rPr>
  </w:style>
  <w:style w:type="character" w:styleId="FootnoteReference">
    <w:name w:val="footnote reference"/>
    <w:uiPriority w:val="99"/>
    <w:semiHidden/>
    <w:unhideWhenUsed/>
    <w:rsid w:val="00A74650"/>
    <w:rPr>
      <w:vertAlign w:val="superscript"/>
    </w:rPr>
  </w:style>
  <w:style w:type="paragraph" w:styleId="Header">
    <w:name w:val="header"/>
    <w:basedOn w:val="Normal"/>
    <w:link w:val="HeaderChar"/>
    <w:uiPriority w:val="99"/>
    <w:unhideWhenUsed/>
    <w:rsid w:val="00A74650"/>
    <w:pPr>
      <w:tabs>
        <w:tab w:val="center" w:pos="4680"/>
        <w:tab w:val="right" w:pos="9360"/>
      </w:tabs>
    </w:pPr>
  </w:style>
  <w:style w:type="character" w:customStyle="1" w:styleId="HeaderChar">
    <w:name w:val="Header Char"/>
    <w:basedOn w:val="DefaultParagraphFont"/>
    <w:link w:val="Header"/>
    <w:uiPriority w:val="99"/>
    <w:rsid w:val="00A74650"/>
    <w:rPr>
      <w:rFonts w:ascii="Calibri" w:eastAsia="Calibri" w:hAnsi="Calibri" w:cs="Times New Roman"/>
    </w:rPr>
  </w:style>
  <w:style w:type="paragraph" w:styleId="Footer">
    <w:name w:val="footer"/>
    <w:basedOn w:val="Normal"/>
    <w:link w:val="FooterChar"/>
    <w:uiPriority w:val="99"/>
    <w:unhideWhenUsed/>
    <w:rsid w:val="00A74650"/>
    <w:pPr>
      <w:tabs>
        <w:tab w:val="center" w:pos="4680"/>
        <w:tab w:val="right" w:pos="9360"/>
      </w:tabs>
    </w:pPr>
  </w:style>
  <w:style w:type="character" w:customStyle="1" w:styleId="FooterChar">
    <w:name w:val="Footer Char"/>
    <w:basedOn w:val="DefaultParagraphFont"/>
    <w:link w:val="Footer"/>
    <w:uiPriority w:val="99"/>
    <w:rsid w:val="00A74650"/>
    <w:rPr>
      <w:rFonts w:ascii="Calibri" w:eastAsia="Calibri" w:hAnsi="Calibri" w:cs="Times New Roman"/>
    </w:rPr>
  </w:style>
  <w:style w:type="paragraph" w:styleId="BalloonText">
    <w:name w:val="Balloon Text"/>
    <w:basedOn w:val="Normal"/>
    <w:link w:val="BalloonTextChar"/>
    <w:uiPriority w:val="99"/>
    <w:semiHidden/>
    <w:unhideWhenUsed/>
    <w:rsid w:val="00A746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50"/>
    <w:rPr>
      <w:rFonts w:ascii="Segoe UI" w:eastAsia="Calibri" w:hAnsi="Segoe UI" w:cs="Segoe UI"/>
      <w:sz w:val="18"/>
      <w:szCs w:val="18"/>
    </w:rPr>
  </w:style>
  <w:style w:type="character" w:styleId="Hyperlink">
    <w:name w:val="Hyperlink"/>
    <w:basedOn w:val="DefaultParagraphFont"/>
    <w:uiPriority w:val="99"/>
    <w:semiHidden/>
    <w:unhideWhenUsed/>
    <w:rsid w:val="00A74650"/>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A74650"/>
    <w:rPr>
      <w:rFonts w:ascii="Times New Roman" w:hAnsi="Times New Roman" w:cs="Times New Roman" w:hint="default"/>
      <w:color w:val="800080"/>
      <w:u w:val="single"/>
    </w:rPr>
  </w:style>
  <w:style w:type="paragraph" w:styleId="NormalWeb">
    <w:name w:val="Normal (Web)"/>
    <w:basedOn w:val="Normal"/>
    <w:uiPriority w:val="99"/>
    <w:semiHidden/>
    <w:unhideWhenUsed/>
    <w:rsid w:val="00A74650"/>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semiHidden/>
    <w:unhideWhenUsed/>
    <w:rsid w:val="00A74650"/>
    <w:pPr>
      <w:spacing w:after="0" w:line="240" w:lineRule="auto"/>
    </w:pPr>
    <w:rPr>
      <w:sz w:val="24"/>
      <w:szCs w:val="24"/>
    </w:rPr>
  </w:style>
  <w:style w:type="character" w:customStyle="1" w:styleId="CommentTextChar">
    <w:name w:val="Comment Text Char"/>
    <w:basedOn w:val="DefaultParagraphFont"/>
    <w:link w:val="CommentText"/>
    <w:uiPriority w:val="99"/>
    <w:semiHidden/>
    <w:rsid w:val="00A74650"/>
    <w:rPr>
      <w:rFonts w:ascii="Calibri" w:eastAsia="Calibri" w:hAnsi="Calibri" w:cs="Times New Roman"/>
      <w:sz w:val="24"/>
      <w:szCs w:val="24"/>
    </w:rPr>
  </w:style>
  <w:style w:type="paragraph" w:styleId="BodyText">
    <w:name w:val="Body Text"/>
    <w:basedOn w:val="Normal"/>
    <w:link w:val="BodyTextChar"/>
    <w:uiPriority w:val="99"/>
    <w:semiHidden/>
    <w:unhideWhenUsed/>
    <w:rsid w:val="00A74650"/>
    <w:pPr>
      <w:widowControl w:val="0"/>
      <w:autoSpaceDE w:val="0"/>
      <w:autoSpaceDN w:val="0"/>
      <w:adjustRightInd w:val="0"/>
      <w:spacing w:after="120" w:line="240" w:lineRule="auto"/>
    </w:pPr>
    <w:rPr>
      <w:rFonts w:ascii="Times New Roman" w:eastAsia="MS Mincho" w:hAnsi="Times New Roman"/>
      <w:sz w:val="20"/>
      <w:szCs w:val="20"/>
      <w:lang w:val="sq-AL"/>
    </w:rPr>
  </w:style>
  <w:style w:type="character" w:customStyle="1" w:styleId="BodyTextChar">
    <w:name w:val="Body Text Char"/>
    <w:basedOn w:val="DefaultParagraphFont"/>
    <w:link w:val="BodyText"/>
    <w:uiPriority w:val="99"/>
    <w:semiHidden/>
    <w:rsid w:val="00A74650"/>
    <w:rPr>
      <w:rFonts w:ascii="Times New Roman" w:eastAsia="MS Mincho" w:hAnsi="Times New Roman" w:cs="Times New Roman"/>
      <w:sz w:val="20"/>
      <w:szCs w:val="20"/>
      <w:lang w:val="sq-AL"/>
    </w:rPr>
  </w:style>
  <w:style w:type="paragraph" w:styleId="BodyTextIndent">
    <w:name w:val="Body Text Indent"/>
    <w:basedOn w:val="Normal"/>
    <w:link w:val="BodyTextIndentChar"/>
    <w:uiPriority w:val="99"/>
    <w:semiHidden/>
    <w:unhideWhenUsed/>
    <w:rsid w:val="00A74650"/>
    <w:pPr>
      <w:widowControl w:val="0"/>
      <w:autoSpaceDE w:val="0"/>
      <w:autoSpaceDN w:val="0"/>
      <w:adjustRightInd w:val="0"/>
      <w:spacing w:after="120" w:line="240" w:lineRule="auto"/>
      <w:ind w:left="283"/>
    </w:pPr>
    <w:rPr>
      <w:rFonts w:ascii="Times New Roman" w:eastAsia="MS Mincho" w:hAnsi="Times New Roman"/>
      <w:sz w:val="20"/>
      <w:szCs w:val="20"/>
      <w:lang w:val="sq-AL"/>
    </w:rPr>
  </w:style>
  <w:style w:type="character" w:customStyle="1" w:styleId="BodyTextIndentChar">
    <w:name w:val="Body Text Indent Char"/>
    <w:basedOn w:val="DefaultParagraphFont"/>
    <w:link w:val="BodyTextIndent"/>
    <w:uiPriority w:val="99"/>
    <w:semiHidden/>
    <w:rsid w:val="00A74650"/>
    <w:rPr>
      <w:rFonts w:ascii="Times New Roman" w:eastAsia="MS Mincho" w:hAnsi="Times New Roman" w:cs="Times New Roman"/>
      <w:sz w:val="20"/>
      <w:szCs w:val="20"/>
      <w:lang w:val="sq-AL"/>
    </w:rPr>
  </w:style>
  <w:style w:type="paragraph" w:styleId="BodyText2">
    <w:name w:val="Body Text 2"/>
    <w:basedOn w:val="Normal"/>
    <w:link w:val="BodyText2Char"/>
    <w:uiPriority w:val="99"/>
    <w:semiHidden/>
    <w:unhideWhenUsed/>
    <w:rsid w:val="00A74650"/>
    <w:pPr>
      <w:tabs>
        <w:tab w:val="left" w:pos="9000"/>
      </w:tabs>
      <w:spacing w:before="150" w:after="150" w:line="240" w:lineRule="auto"/>
      <w:ind w:right="20"/>
      <w:jc w:val="both"/>
    </w:pPr>
    <w:rPr>
      <w:rFonts w:ascii="Times New Roman" w:hAnsi="Times New Roman"/>
      <w:sz w:val="24"/>
      <w:szCs w:val="24"/>
      <w:lang w:val="sq-AL"/>
    </w:rPr>
  </w:style>
  <w:style w:type="character" w:customStyle="1" w:styleId="BodyText2Char">
    <w:name w:val="Body Text 2 Char"/>
    <w:basedOn w:val="DefaultParagraphFont"/>
    <w:link w:val="BodyText2"/>
    <w:uiPriority w:val="99"/>
    <w:semiHidden/>
    <w:rsid w:val="00A74650"/>
    <w:rPr>
      <w:rFonts w:ascii="Times New Roman" w:eastAsia="Calibri" w:hAnsi="Times New Roman"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A74650"/>
    <w:pPr>
      <w:widowControl w:val="0"/>
      <w:autoSpaceDE w:val="0"/>
      <w:autoSpaceDN w:val="0"/>
      <w:adjustRightInd w:val="0"/>
    </w:pPr>
    <w:rPr>
      <w:rFonts w:ascii="Times New Roman" w:eastAsia="Times New Roman" w:hAnsi="Times New Roman"/>
      <w:b/>
      <w:bCs/>
      <w:sz w:val="20"/>
      <w:szCs w:val="20"/>
      <w:lang w:val="sq-AL"/>
    </w:rPr>
  </w:style>
  <w:style w:type="character" w:customStyle="1" w:styleId="CommentSubjectChar">
    <w:name w:val="Comment Subject Char"/>
    <w:basedOn w:val="CommentTextChar"/>
    <w:link w:val="CommentSubject"/>
    <w:uiPriority w:val="99"/>
    <w:semiHidden/>
    <w:rsid w:val="00A74650"/>
    <w:rPr>
      <w:rFonts w:ascii="Times New Roman" w:eastAsia="Times New Roman" w:hAnsi="Times New Roman" w:cs="Times New Roman"/>
      <w:b/>
      <w:bCs/>
      <w:sz w:val="20"/>
      <w:szCs w:val="20"/>
      <w:lang w:val="sq-AL"/>
    </w:rPr>
  </w:style>
  <w:style w:type="paragraph" w:customStyle="1" w:styleId="CharCharCharChar">
    <w:name w:val="Char Char Char Char"/>
    <w:basedOn w:val="Normal"/>
    <w:uiPriority w:val="99"/>
    <w:rsid w:val="00A74650"/>
    <w:pPr>
      <w:spacing w:after="160" w:line="240" w:lineRule="exact"/>
    </w:pPr>
    <w:rPr>
      <w:rFonts w:ascii="Tahoma" w:eastAsia="MS Mincho" w:hAnsi="Tahoma" w:cs="Tahoma"/>
      <w:sz w:val="20"/>
      <w:szCs w:val="20"/>
      <w:lang w:val="sq-AL"/>
    </w:rPr>
  </w:style>
  <w:style w:type="paragraph" w:customStyle="1" w:styleId="text2">
    <w:name w:val="text2"/>
    <w:basedOn w:val="Normal"/>
    <w:uiPriority w:val="99"/>
    <w:rsid w:val="00A74650"/>
    <w:pPr>
      <w:spacing w:before="100" w:beforeAutospacing="1" w:after="100" w:afterAutospacing="1" w:line="240" w:lineRule="auto"/>
    </w:pPr>
    <w:rPr>
      <w:rFonts w:ascii="Arial" w:eastAsia="Times New Roman" w:hAnsi="Arial" w:cs="Arial"/>
      <w:color w:val="000000"/>
      <w:sz w:val="29"/>
      <w:szCs w:val="29"/>
    </w:rPr>
  </w:style>
  <w:style w:type="paragraph" w:customStyle="1" w:styleId="title2">
    <w:name w:val="title2"/>
    <w:basedOn w:val="Normal"/>
    <w:uiPriority w:val="99"/>
    <w:rsid w:val="00A74650"/>
    <w:pPr>
      <w:spacing w:before="100" w:beforeAutospacing="1" w:after="100" w:afterAutospacing="1" w:line="240" w:lineRule="auto"/>
    </w:pPr>
    <w:rPr>
      <w:rFonts w:ascii="Arial" w:eastAsia="Times New Roman" w:hAnsi="Arial" w:cs="Arial"/>
      <w:b/>
      <w:bCs/>
      <w:caps/>
      <w:color w:val="000080"/>
      <w:sz w:val="26"/>
      <w:szCs w:val="26"/>
    </w:rPr>
  </w:style>
  <w:style w:type="paragraph" w:customStyle="1" w:styleId="WW-Default">
    <w:name w:val="WW-Default"/>
    <w:uiPriority w:val="99"/>
    <w:rsid w:val="00A74650"/>
    <w:pPr>
      <w:suppressAutoHyphens/>
      <w:autoSpaceDE w:val="0"/>
      <w:spacing w:after="0" w:line="240" w:lineRule="auto"/>
    </w:pPr>
    <w:rPr>
      <w:rFonts w:ascii="EU Albertina" w:eastAsia="MS Mincho" w:hAnsi="EU Albertina" w:cs="EU Albertina"/>
      <w:color w:val="000000"/>
      <w:sz w:val="24"/>
      <w:szCs w:val="24"/>
      <w:lang w:eastAsia="ar-SA"/>
    </w:rPr>
  </w:style>
  <w:style w:type="paragraph" w:customStyle="1" w:styleId="Default">
    <w:name w:val="Default"/>
    <w:uiPriority w:val="99"/>
    <w:rsid w:val="00A74650"/>
    <w:pPr>
      <w:autoSpaceDE w:val="0"/>
      <w:autoSpaceDN w:val="0"/>
      <w:adjustRightInd w:val="0"/>
      <w:spacing w:after="0" w:line="240" w:lineRule="auto"/>
    </w:pPr>
    <w:rPr>
      <w:rFonts w:ascii="EU Albertina" w:eastAsia="Times New Roman" w:hAnsi="EU Albertina" w:cs="EU Albertina"/>
      <w:color w:val="000000"/>
      <w:sz w:val="24"/>
      <w:szCs w:val="24"/>
    </w:rPr>
  </w:style>
  <w:style w:type="paragraph" w:customStyle="1" w:styleId="AAATEXXXXT">
    <w:name w:val="AAATEXXXXT"/>
    <w:basedOn w:val="Normal"/>
    <w:uiPriority w:val="99"/>
    <w:qFormat/>
    <w:rsid w:val="00A74650"/>
    <w:pPr>
      <w:widowControl w:val="0"/>
      <w:autoSpaceDE w:val="0"/>
      <w:autoSpaceDN w:val="0"/>
      <w:adjustRightInd w:val="0"/>
      <w:spacing w:after="0" w:line="240" w:lineRule="auto"/>
      <w:ind w:firstLine="284"/>
      <w:jc w:val="both"/>
    </w:pPr>
    <w:rPr>
      <w:rFonts w:ascii="Garamond" w:eastAsia="MS Mincho" w:hAnsi="Garamond"/>
      <w:sz w:val="24"/>
      <w:szCs w:val="24"/>
      <w:lang w:val="sq-AL"/>
    </w:rPr>
  </w:style>
  <w:style w:type="character" w:styleId="CommentReference">
    <w:name w:val="annotation reference"/>
    <w:basedOn w:val="DefaultParagraphFont"/>
    <w:semiHidden/>
    <w:unhideWhenUsed/>
    <w:rsid w:val="00A74650"/>
    <w:rPr>
      <w:sz w:val="16"/>
      <w:szCs w:val="16"/>
    </w:rPr>
  </w:style>
  <w:style w:type="character" w:customStyle="1" w:styleId="hps">
    <w:name w:val="hps"/>
    <w:uiPriority w:val="99"/>
    <w:rsid w:val="00A74650"/>
  </w:style>
  <w:style w:type="character" w:customStyle="1" w:styleId="standardsqueryform-example">
    <w:name w:val="standardsqueryform-example"/>
    <w:basedOn w:val="DefaultParagraphFont"/>
    <w:uiPriority w:val="99"/>
    <w:rsid w:val="00A74650"/>
    <w:rPr>
      <w:rFonts w:ascii="Times New Roman" w:hAnsi="Times New Roman" w:cs="Times New Roman" w:hint="default"/>
    </w:rPr>
  </w:style>
  <w:style w:type="character" w:customStyle="1" w:styleId="standardsqueryform-key">
    <w:name w:val="standardsqueryform-key"/>
    <w:basedOn w:val="DefaultParagraphFont"/>
    <w:uiPriority w:val="99"/>
    <w:rsid w:val="00A74650"/>
    <w:rPr>
      <w:rFonts w:ascii="Times New Roman" w:hAnsi="Times New Roman" w:cs="Times New Roman" w:hint="default"/>
    </w:rPr>
  </w:style>
  <w:style w:type="character" w:customStyle="1" w:styleId="apple-style-span">
    <w:name w:val="apple-style-span"/>
    <w:basedOn w:val="DefaultParagraphFont"/>
    <w:uiPriority w:val="99"/>
    <w:rsid w:val="00A74650"/>
    <w:rPr>
      <w:rFonts w:ascii="Times New Roman" w:hAnsi="Times New Roman" w:cs="Times New Roman" w:hint="default"/>
    </w:rPr>
  </w:style>
  <w:style w:type="character" w:customStyle="1" w:styleId="null">
    <w:name w:val="null"/>
    <w:basedOn w:val="DefaultParagraphFont"/>
    <w:uiPriority w:val="99"/>
    <w:rsid w:val="00A74650"/>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650"/>
    <w:rPr>
      <w:rFonts w:ascii="Calibri" w:eastAsia="Calibri" w:hAnsi="Calibri" w:cs="Times New Roman"/>
    </w:rPr>
  </w:style>
  <w:style w:type="paragraph" w:styleId="Heading1">
    <w:name w:val="heading 1"/>
    <w:basedOn w:val="Normal"/>
    <w:link w:val="Heading1Char"/>
    <w:uiPriority w:val="9"/>
    <w:qFormat/>
    <w:rsid w:val="00A74650"/>
    <w:pPr>
      <w:spacing w:before="100" w:beforeAutospacing="1" w:after="100" w:afterAutospacing="1" w:line="240" w:lineRule="auto"/>
      <w:outlineLvl w:val="0"/>
    </w:pPr>
    <w:rPr>
      <w:rFonts w:ascii="Times New Roman" w:eastAsia="MS Mincho" w:hAnsi="Times New Roman"/>
      <w:b/>
      <w:bCs/>
      <w:kern w:val="36"/>
      <w:sz w:val="48"/>
      <w:szCs w:val="48"/>
      <w:lang w:val="sq-AL"/>
    </w:rPr>
  </w:style>
  <w:style w:type="paragraph" w:styleId="Heading2">
    <w:name w:val="heading 2"/>
    <w:basedOn w:val="Normal"/>
    <w:next w:val="Normal"/>
    <w:link w:val="Heading2Char"/>
    <w:semiHidden/>
    <w:unhideWhenUsed/>
    <w:qFormat/>
    <w:rsid w:val="00A74650"/>
    <w:pPr>
      <w:keepNext/>
      <w:widowControl w:val="0"/>
      <w:autoSpaceDE w:val="0"/>
      <w:autoSpaceDN w:val="0"/>
      <w:adjustRightInd w:val="0"/>
      <w:spacing w:before="240" w:after="60" w:line="240" w:lineRule="auto"/>
      <w:outlineLvl w:val="1"/>
    </w:pPr>
    <w:rPr>
      <w:rFonts w:ascii="Cambria" w:eastAsia="MS Mincho" w:hAnsi="Cambria"/>
      <w:b/>
      <w:bCs/>
      <w:i/>
      <w:iCs/>
      <w:sz w:val="28"/>
      <w:szCs w:val="28"/>
      <w:lang w:val="sq-AL"/>
    </w:rPr>
  </w:style>
  <w:style w:type="paragraph" w:styleId="Heading3">
    <w:name w:val="heading 3"/>
    <w:basedOn w:val="Normal"/>
    <w:next w:val="Normal"/>
    <w:link w:val="Heading3Char"/>
    <w:uiPriority w:val="99"/>
    <w:semiHidden/>
    <w:unhideWhenUsed/>
    <w:qFormat/>
    <w:rsid w:val="00A74650"/>
    <w:pPr>
      <w:keepNext/>
      <w:widowControl w:val="0"/>
      <w:autoSpaceDE w:val="0"/>
      <w:autoSpaceDN w:val="0"/>
      <w:adjustRightInd w:val="0"/>
      <w:spacing w:before="240" w:after="60" w:line="240" w:lineRule="auto"/>
      <w:outlineLvl w:val="2"/>
    </w:pPr>
    <w:rPr>
      <w:rFonts w:ascii="Cambria" w:eastAsia="MS Mincho" w:hAnsi="Cambria"/>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650"/>
    <w:rPr>
      <w:rFonts w:ascii="Times New Roman" w:eastAsia="MS Mincho" w:hAnsi="Times New Roman" w:cs="Times New Roman"/>
      <w:b/>
      <w:bCs/>
      <w:kern w:val="36"/>
      <w:sz w:val="48"/>
      <w:szCs w:val="48"/>
      <w:lang w:val="sq-AL"/>
    </w:rPr>
  </w:style>
  <w:style w:type="character" w:customStyle="1" w:styleId="Heading2Char">
    <w:name w:val="Heading 2 Char"/>
    <w:basedOn w:val="DefaultParagraphFont"/>
    <w:link w:val="Heading2"/>
    <w:semiHidden/>
    <w:rsid w:val="00A74650"/>
    <w:rPr>
      <w:rFonts w:ascii="Cambria" w:eastAsia="MS Mincho" w:hAnsi="Cambria" w:cs="Times New Roman"/>
      <w:b/>
      <w:bCs/>
      <w:i/>
      <w:iCs/>
      <w:sz w:val="28"/>
      <w:szCs w:val="28"/>
      <w:lang w:val="sq-AL"/>
    </w:rPr>
  </w:style>
  <w:style w:type="character" w:customStyle="1" w:styleId="Heading3Char">
    <w:name w:val="Heading 3 Char"/>
    <w:basedOn w:val="DefaultParagraphFont"/>
    <w:link w:val="Heading3"/>
    <w:uiPriority w:val="99"/>
    <w:semiHidden/>
    <w:rsid w:val="00A74650"/>
    <w:rPr>
      <w:rFonts w:ascii="Cambria" w:eastAsia="MS Mincho" w:hAnsi="Cambria" w:cs="Times New Roman"/>
      <w:b/>
      <w:bCs/>
      <w:sz w:val="26"/>
      <w:szCs w:val="26"/>
      <w:lang w:val="sq-AL"/>
    </w:rPr>
  </w:style>
  <w:style w:type="paragraph" w:styleId="NoSpacing">
    <w:name w:val="No Spacing"/>
    <w:uiPriority w:val="1"/>
    <w:qFormat/>
    <w:rsid w:val="00A74650"/>
    <w:pPr>
      <w:spacing w:after="0" w:line="240" w:lineRule="auto"/>
    </w:pPr>
    <w:rPr>
      <w:rFonts w:ascii="Calibri" w:eastAsia="Calibri" w:hAnsi="Calibri" w:cs="Times New Roman"/>
    </w:rPr>
  </w:style>
  <w:style w:type="table" w:styleId="TableGrid">
    <w:name w:val="Table Grid"/>
    <w:basedOn w:val="TableNormal"/>
    <w:uiPriority w:val="99"/>
    <w:rsid w:val="00A74650"/>
    <w:pPr>
      <w:spacing w:after="0" w:line="240" w:lineRule="auto"/>
    </w:pPr>
    <w:rPr>
      <w:rFonts w:ascii="Calibri" w:eastAsia="Calibri" w:hAnsi="Calibri" w:cs="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qFormat/>
    <w:rsid w:val="00A74650"/>
    <w:pPr>
      <w:spacing w:after="0" w:line="240" w:lineRule="auto"/>
      <w:jc w:val="center"/>
    </w:pPr>
    <w:rPr>
      <w:rFonts w:ascii="Times New Roman" w:eastAsia="Times New Roman" w:hAnsi="Times New Roman"/>
      <w:b/>
      <w:bCs/>
      <w:sz w:val="24"/>
      <w:szCs w:val="24"/>
    </w:rPr>
  </w:style>
  <w:style w:type="character" w:customStyle="1" w:styleId="SubtitleChar">
    <w:name w:val="Subtitle Char"/>
    <w:basedOn w:val="DefaultParagraphFont"/>
    <w:link w:val="Subtitle"/>
    <w:rsid w:val="00A74650"/>
    <w:rPr>
      <w:rFonts w:ascii="Times New Roman" w:eastAsia="Times New Roman" w:hAnsi="Times New Roman" w:cs="Times New Roman"/>
      <w:b/>
      <w:bCs/>
      <w:sz w:val="24"/>
      <w:szCs w:val="24"/>
    </w:rPr>
  </w:style>
  <w:style w:type="paragraph" w:styleId="ListParagraph">
    <w:name w:val="List Paragraph"/>
    <w:basedOn w:val="Normal"/>
    <w:uiPriority w:val="99"/>
    <w:qFormat/>
    <w:rsid w:val="00A74650"/>
    <w:pPr>
      <w:spacing w:after="160" w:line="259" w:lineRule="auto"/>
      <w:ind w:left="720"/>
      <w:contextualSpacing/>
    </w:pPr>
  </w:style>
  <w:style w:type="paragraph" w:styleId="EndnoteText">
    <w:name w:val="endnote text"/>
    <w:basedOn w:val="Normal"/>
    <w:link w:val="EndnoteTextChar"/>
    <w:uiPriority w:val="99"/>
    <w:semiHidden/>
    <w:unhideWhenUsed/>
    <w:rsid w:val="00A74650"/>
    <w:rPr>
      <w:sz w:val="20"/>
      <w:szCs w:val="20"/>
    </w:rPr>
  </w:style>
  <w:style w:type="character" w:customStyle="1" w:styleId="EndnoteTextChar">
    <w:name w:val="Endnote Text Char"/>
    <w:basedOn w:val="DefaultParagraphFont"/>
    <w:link w:val="EndnoteText"/>
    <w:uiPriority w:val="99"/>
    <w:semiHidden/>
    <w:rsid w:val="00A74650"/>
    <w:rPr>
      <w:rFonts w:ascii="Calibri" w:eastAsia="Calibri" w:hAnsi="Calibri" w:cs="Times New Roman"/>
      <w:sz w:val="20"/>
      <w:szCs w:val="20"/>
    </w:rPr>
  </w:style>
  <w:style w:type="character" w:styleId="EndnoteReference">
    <w:name w:val="endnote reference"/>
    <w:uiPriority w:val="99"/>
    <w:semiHidden/>
    <w:unhideWhenUsed/>
    <w:rsid w:val="00A74650"/>
    <w:rPr>
      <w:vertAlign w:val="superscript"/>
    </w:rPr>
  </w:style>
  <w:style w:type="paragraph" w:styleId="FootnoteText">
    <w:name w:val="footnote text"/>
    <w:basedOn w:val="Normal"/>
    <w:link w:val="FootnoteTextChar"/>
    <w:uiPriority w:val="99"/>
    <w:unhideWhenUsed/>
    <w:rsid w:val="00A74650"/>
    <w:rPr>
      <w:sz w:val="20"/>
      <w:szCs w:val="20"/>
    </w:rPr>
  </w:style>
  <w:style w:type="character" w:customStyle="1" w:styleId="FootnoteTextChar">
    <w:name w:val="Footnote Text Char"/>
    <w:basedOn w:val="DefaultParagraphFont"/>
    <w:link w:val="FootnoteText"/>
    <w:uiPriority w:val="99"/>
    <w:rsid w:val="00A74650"/>
    <w:rPr>
      <w:rFonts w:ascii="Calibri" w:eastAsia="Calibri" w:hAnsi="Calibri" w:cs="Times New Roman"/>
      <w:sz w:val="20"/>
      <w:szCs w:val="20"/>
    </w:rPr>
  </w:style>
  <w:style w:type="character" w:styleId="FootnoteReference">
    <w:name w:val="footnote reference"/>
    <w:uiPriority w:val="99"/>
    <w:semiHidden/>
    <w:unhideWhenUsed/>
    <w:rsid w:val="00A74650"/>
    <w:rPr>
      <w:vertAlign w:val="superscript"/>
    </w:rPr>
  </w:style>
  <w:style w:type="paragraph" w:styleId="Header">
    <w:name w:val="header"/>
    <w:basedOn w:val="Normal"/>
    <w:link w:val="HeaderChar"/>
    <w:uiPriority w:val="99"/>
    <w:unhideWhenUsed/>
    <w:rsid w:val="00A74650"/>
    <w:pPr>
      <w:tabs>
        <w:tab w:val="center" w:pos="4680"/>
        <w:tab w:val="right" w:pos="9360"/>
      </w:tabs>
    </w:pPr>
  </w:style>
  <w:style w:type="character" w:customStyle="1" w:styleId="HeaderChar">
    <w:name w:val="Header Char"/>
    <w:basedOn w:val="DefaultParagraphFont"/>
    <w:link w:val="Header"/>
    <w:uiPriority w:val="99"/>
    <w:rsid w:val="00A74650"/>
    <w:rPr>
      <w:rFonts w:ascii="Calibri" w:eastAsia="Calibri" w:hAnsi="Calibri" w:cs="Times New Roman"/>
    </w:rPr>
  </w:style>
  <w:style w:type="paragraph" w:styleId="Footer">
    <w:name w:val="footer"/>
    <w:basedOn w:val="Normal"/>
    <w:link w:val="FooterChar"/>
    <w:uiPriority w:val="99"/>
    <w:unhideWhenUsed/>
    <w:rsid w:val="00A74650"/>
    <w:pPr>
      <w:tabs>
        <w:tab w:val="center" w:pos="4680"/>
        <w:tab w:val="right" w:pos="9360"/>
      </w:tabs>
    </w:pPr>
  </w:style>
  <w:style w:type="character" w:customStyle="1" w:styleId="FooterChar">
    <w:name w:val="Footer Char"/>
    <w:basedOn w:val="DefaultParagraphFont"/>
    <w:link w:val="Footer"/>
    <w:uiPriority w:val="99"/>
    <w:rsid w:val="00A74650"/>
    <w:rPr>
      <w:rFonts w:ascii="Calibri" w:eastAsia="Calibri" w:hAnsi="Calibri" w:cs="Times New Roman"/>
    </w:rPr>
  </w:style>
  <w:style w:type="paragraph" w:styleId="BalloonText">
    <w:name w:val="Balloon Text"/>
    <w:basedOn w:val="Normal"/>
    <w:link w:val="BalloonTextChar"/>
    <w:uiPriority w:val="99"/>
    <w:semiHidden/>
    <w:unhideWhenUsed/>
    <w:rsid w:val="00A746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50"/>
    <w:rPr>
      <w:rFonts w:ascii="Segoe UI" w:eastAsia="Calibri" w:hAnsi="Segoe UI" w:cs="Segoe UI"/>
      <w:sz w:val="18"/>
      <w:szCs w:val="18"/>
    </w:rPr>
  </w:style>
  <w:style w:type="character" w:styleId="Hyperlink">
    <w:name w:val="Hyperlink"/>
    <w:basedOn w:val="DefaultParagraphFont"/>
    <w:uiPriority w:val="99"/>
    <w:semiHidden/>
    <w:unhideWhenUsed/>
    <w:rsid w:val="00A74650"/>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A74650"/>
    <w:rPr>
      <w:rFonts w:ascii="Times New Roman" w:hAnsi="Times New Roman" w:cs="Times New Roman" w:hint="default"/>
      <w:color w:val="800080"/>
      <w:u w:val="single"/>
    </w:rPr>
  </w:style>
  <w:style w:type="paragraph" w:styleId="NormalWeb">
    <w:name w:val="Normal (Web)"/>
    <w:basedOn w:val="Normal"/>
    <w:uiPriority w:val="99"/>
    <w:semiHidden/>
    <w:unhideWhenUsed/>
    <w:rsid w:val="00A74650"/>
    <w:pPr>
      <w:spacing w:before="100" w:beforeAutospacing="1" w:after="100" w:afterAutospacing="1" w:line="240" w:lineRule="auto"/>
    </w:pPr>
    <w:rPr>
      <w:rFonts w:ascii="Times New Roman" w:hAnsi="Times New Roman"/>
      <w:sz w:val="24"/>
      <w:szCs w:val="24"/>
    </w:rPr>
  </w:style>
  <w:style w:type="paragraph" w:styleId="CommentText">
    <w:name w:val="annotation text"/>
    <w:basedOn w:val="Normal"/>
    <w:link w:val="CommentTextChar"/>
    <w:uiPriority w:val="99"/>
    <w:semiHidden/>
    <w:unhideWhenUsed/>
    <w:rsid w:val="00A74650"/>
    <w:pPr>
      <w:spacing w:after="0" w:line="240" w:lineRule="auto"/>
    </w:pPr>
    <w:rPr>
      <w:sz w:val="24"/>
      <w:szCs w:val="24"/>
    </w:rPr>
  </w:style>
  <w:style w:type="character" w:customStyle="1" w:styleId="CommentTextChar">
    <w:name w:val="Comment Text Char"/>
    <w:basedOn w:val="DefaultParagraphFont"/>
    <w:link w:val="CommentText"/>
    <w:uiPriority w:val="99"/>
    <w:semiHidden/>
    <w:rsid w:val="00A74650"/>
    <w:rPr>
      <w:rFonts w:ascii="Calibri" w:eastAsia="Calibri" w:hAnsi="Calibri" w:cs="Times New Roman"/>
      <w:sz w:val="24"/>
      <w:szCs w:val="24"/>
    </w:rPr>
  </w:style>
  <w:style w:type="paragraph" w:styleId="BodyText">
    <w:name w:val="Body Text"/>
    <w:basedOn w:val="Normal"/>
    <w:link w:val="BodyTextChar"/>
    <w:uiPriority w:val="99"/>
    <w:semiHidden/>
    <w:unhideWhenUsed/>
    <w:rsid w:val="00A74650"/>
    <w:pPr>
      <w:widowControl w:val="0"/>
      <w:autoSpaceDE w:val="0"/>
      <w:autoSpaceDN w:val="0"/>
      <w:adjustRightInd w:val="0"/>
      <w:spacing w:after="120" w:line="240" w:lineRule="auto"/>
    </w:pPr>
    <w:rPr>
      <w:rFonts w:ascii="Times New Roman" w:eastAsia="MS Mincho" w:hAnsi="Times New Roman"/>
      <w:sz w:val="20"/>
      <w:szCs w:val="20"/>
      <w:lang w:val="sq-AL"/>
    </w:rPr>
  </w:style>
  <w:style w:type="character" w:customStyle="1" w:styleId="BodyTextChar">
    <w:name w:val="Body Text Char"/>
    <w:basedOn w:val="DefaultParagraphFont"/>
    <w:link w:val="BodyText"/>
    <w:uiPriority w:val="99"/>
    <w:semiHidden/>
    <w:rsid w:val="00A74650"/>
    <w:rPr>
      <w:rFonts w:ascii="Times New Roman" w:eastAsia="MS Mincho" w:hAnsi="Times New Roman" w:cs="Times New Roman"/>
      <w:sz w:val="20"/>
      <w:szCs w:val="20"/>
      <w:lang w:val="sq-AL"/>
    </w:rPr>
  </w:style>
  <w:style w:type="paragraph" w:styleId="BodyTextIndent">
    <w:name w:val="Body Text Indent"/>
    <w:basedOn w:val="Normal"/>
    <w:link w:val="BodyTextIndentChar"/>
    <w:uiPriority w:val="99"/>
    <w:semiHidden/>
    <w:unhideWhenUsed/>
    <w:rsid w:val="00A74650"/>
    <w:pPr>
      <w:widowControl w:val="0"/>
      <w:autoSpaceDE w:val="0"/>
      <w:autoSpaceDN w:val="0"/>
      <w:adjustRightInd w:val="0"/>
      <w:spacing w:after="120" w:line="240" w:lineRule="auto"/>
      <w:ind w:left="283"/>
    </w:pPr>
    <w:rPr>
      <w:rFonts w:ascii="Times New Roman" w:eastAsia="MS Mincho" w:hAnsi="Times New Roman"/>
      <w:sz w:val="20"/>
      <w:szCs w:val="20"/>
      <w:lang w:val="sq-AL"/>
    </w:rPr>
  </w:style>
  <w:style w:type="character" w:customStyle="1" w:styleId="BodyTextIndentChar">
    <w:name w:val="Body Text Indent Char"/>
    <w:basedOn w:val="DefaultParagraphFont"/>
    <w:link w:val="BodyTextIndent"/>
    <w:uiPriority w:val="99"/>
    <w:semiHidden/>
    <w:rsid w:val="00A74650"/>
    <w:rPr>
      <w:rFonts w:ascii="Times New Roman" w:eastAsia="MS Mincho" w:hAnsi="Times New Roman" w:cs="Times New Roman"/>
      <w:sz w:val="20"/>
      <w:szCs w:val="20"/>
      <w:lang w:val="sq-AL"/>
    </w:rPr>
  </w:style>
  <w:style w:type="paragraph" w:styleId="BodyText2">
    <w:name w:val="Body Text 2"/>
    <w:basedOn w:val="Normal"/>
    <w:link w:val="BodyText2Char"/>
    <w:uiPriority w:val="99"/>
    <w:semiHidden/>
    <w:unhideWhenUsed/>
    <w:rsid w:val="00A74650"/>
    <w:pPr>
      <w:tabs>
        <w:tab w:val="left" w:pos="9000"/>
      </w:tabs>
      <w:spacing w:before="150" w:after="150" w:line="240" w:lineRule="auto"/>
      <w:ind w:right="20"/>
      <w:jc w:val="both"/>
    </w:pPr>
    <w:rPr>
      <w:rFonts w:ascii="Times New Roman" w:hAnsi="Times New Roman"/>
      <w:sz w:val="24"/>
      <w:szCs w:val="24"/>
      <w:lang w:val="sq-AL"/>
    </w:rPr>
  </w:style>
  <w:style w:type="character" w:customStyle="1" w:styleId="BodyText2Char">
    <w:name w:val="Body Text 2 Char"/>
    <w:basedOn w:val="DefaultParagraphFont"/>
    <w:link w:val="BodyText2"/>
    <w:uiPriority w:val="99"/>
    <w:semiHidden/>
    <w:rsid w:val="00A74650"/>
    <w:rPr>
      <w:rFonts w:ascii="Times New Roman" w:eastAsia="Calibri" w:hAnsi="Times New Roman"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A74650"/>
    <w:pPr>
      <w:widowControl w:val="0"/>
      <w:autoSpaceDE w:val="0"/>
      <w:autoSpaceDN w:val="0"/>
      <w:adjustRightInd w:val="0"/>
    </w:pPr>
    <w:rPr>
      <w:rFonts w:ascii="Times New Roman" w:eastAsia="Times New Roman" w:hAnsi="Times New Roman"/>
      <w:b/>
      <w:bCs/>
      <w:sz w:val="20"/>
      <w:szCs w:val="20"/>
      <w:lang w:val="sq-AL"/>
    </w:rPr>
  </w:style>
  <w:style w:type="character" w:customStyle="1" w:styleId="CommentSubjectChar">
    <w:name w:val="Comment Subject Char"/>
    <w:basedOn w:val="CommentTextChar"/>
    <w:link w:val="CommentSubject"/>
    <w:uiPriority w:val="99"/>
    <w:semiHidden/>
    <w:rsid w:val="00A74650"/>
    <w:rPr>
      <w:rFonts w:ascii="Times New Roman" w:eastAsia="Times New Roman" w:hAnsi="Times New Roman" w:cs="Times New Roman"/>
      <w:b/>
      <w:bCs/>
      <w:sz w:val="20"/>
      <w:szCs w:val="20"/>
      <w:lang w:val="sq-AL"/>
    </w:rPr>
  </w:style>
  <w:style w:type="paragraph" w:customStyle="1" w:styleId="CharCharCharChar">
    <w:name w:val="Char Char Char Char"/>
    <w:basedOn w:val="Normal"/>
    <w:uiPriority w:val="99"/>
    <w:rsid w:val="00A74650"/>
    <w:pPr>
      <w:spacing w:after="160" w:line="240" w:lineRule="exact"/>
    </w:pPr>
    <w:rPr>
      <w:rFonts w:ascii="Tahoma" w:eastAsia="MS Mincho" w:hAnsi="Tahoma" w:cs="Tahoma"/>
      <w:sz w:val="20"/>
      <w:szCs w:val="20"/>
      <w:lang w:val="sq-AL"/>
    </w:rPr>
  </w:style>
  <w:style w:type="paragraph" w:customStyle="1" w:styleId="text2">
    <w:name w:val="text2"/>
    <w:basedOn w:val="Normal"/>
    <w:uiPriority w:val="99"/>
    <w:rsid w:val="00A74650"/>
    <w:pPr>
      <w:spacing w:before="100" w:beforeAutospacing="1" w:after="100" w:afterAutospacing="1" w:line="240" w:lineRule="auto"/>
    </w:pPr>
    <w:rPr>
      <w:rFonts w:ascii="Arial" w:eastAsia="Times New Roman" w:hAnsi="Arial" w:cs="Arial"/>
      <w:color w:val="000000"/>
      <w:sz w:val="29"/>
      <w:szCs w:val="29"/>
    </w:rPr>
  </w:style>
  <w:style w:type="paragraph" w:customStyle="1" w:styleId="title2">
    <w:name w:val="title2"/>
    <w:basedOn w:val="Normal"/>
    <w:uiPriority w:val="99"/>
    <w:rsid w:val="00A74650"/>
    <w:pPr>
      <w:spacing w:before="100" w:beforeAutospacing="1" w:after="100" w:afterAutospacing="1" w:line="240" w:lineRule="auto"/>
    </w:pPr>
    <w:rPr>
      <w:rFonts w:ascii="Arial" w:eastAsia="Times New Roman" w:hAnsi="Arial" w:cs="Arial"/>
      <w:b/>
      <w:bCs/>
      <w:caps/>
      <w:color w:val="000080"/>
      <w:sz w:val="26"/>
      <w:szCs w:val="26"/>
    </w:rPr>
  </w:style>
  <w:style w:type="paragraph" w:customStyle="1" w:styleId="WW-Default">
    <w:name w:val="WW-Default"/>
    <w:uiPriority w:val="99"/>
    <w:rsid w:val="00A74650"/>
    <w:pPr>
      <w:suppressAutoHyphens/>
      <w:autoSpaceDE w:val="0"/>
      <w:spacing w:after="0" w:line="240" w:lineRule="auto"/>
    </w:pPr>
    <w:rPr>
      <w:rFonts w:ascii="EU Albertina" w:eastAsia="MS Mincho" w:hAnsi="EU Albertina" w:cs="EU Albertina"/>
      <w:color w:val="000000"/>
      <w:sz w:val="24"/>
      <w:szCs w:val="24"/>
      <w:lang w:eastAsia="ar-SA"/>
    </w:rPr>
  </w:style>
  <w:style w:type="paragraph" w:customStyle="1" w:styleId="Default">
    <w:name w:val="Default"/>
    <w:uiPriority w:val="99"/>
    <w:rsid w:val="00A74650"/>
    <w:pPr>
      <w:autoSpaceDE w:val="0"/>
      <w:autoSpaceDN w:val="0"/>
      <w:adjustRightInd w:val="0"/>
      <w:spacing w:after="0" w:line="240" w:lineRule="auto"/>
    </w:pPr>
    <w:rPr>
      <w:rFonts w:ascii="EU Albertina" w:eastAsia="Times New Roman" w:hAnsi="EU Albertina" w:cs="EU Albertina"/>
      <w:color w:val="000000"/>
      <w:sz w:val="24"/>
      <w:szCs w:val="24"/>
    </w:rPr>
  </w:style>
  <w:style w:type="paragraph" w:customStyle="1" w:styleId="AAATEXXXXT">
    <w:name w:val="AAATEXXXXT"/>
    <w:basedOn w:val="Normal"/>
    <w:uiPriority w:val="99"/>
    <w:qFormat/>
    <w:rsid w:val="00A74650"/>
    <w:pPr>
      <w:widowControl w:val="0"/>
      <w:autoSpaceDE w:val="0"/>
      <w:autoSpaceDN w:val="0"/>
      <w:adjustRightInd w:val="0"/>
      <w:spacing w:after="0" w:line="240" w:lineRule="auto"/>
      <w:ind w:firstLine="284"/>
      <w:jc w:val="both"/>
    </w:pPr>
    <w:rPr>
      <w:rFonts w:ascii="Garamond" w:eastAsia="MS Mincho" w:hAnsi="Garamond"/>
      <w:sz w:val="24"/>
      <w:szCs w:val="24"/>
      <w:lang w:val="sq-AL"/>
    </w:rPr>
  </w:style>
  <w:style w:type="character" w:styleId="CommentReference">
    <w:name w:val="annotation reference"/>
    <w:basedOn w:val="DefaultParagraphFont"/>
    <w:semiHidden/>
    <w:unhideWhenUsed/>
    <w:rsid w:val="00A74650"/>
    <w:rPr>
      <w:sz w:val="16"/>
      <w:szCs w:val="16"/>
    </w:rPr>
  </w:style>
  <w:style w:type="character" w:customStyle="1" w:styleId="hps">
    <w:name w:val="hps"/>
    <w:uiPriority w:val="99"/>
    <w:rsid w:val="00A74650"/>
  </w:style>
  <w:style w:type="character" w:customStyle="1" w:styleId="standardsqueryform-example">
    <w:name w:val="standardsqueryform-example"/>
    <w:basedOn w:val="DefaultParagraphFont"/>
    <w:uiPriority w:val="99"/>
    <w:rsid w:val="00A74650"/>
    <w:rPr>
      <w:rFonts w:ascii="Times New Roman" w:hAnsi="Times New Roman" w:cs="Times New Roman" w:hint="default"/>
    </w:rPr>
  </w:style>
  <w:style w:type="character" w:customStyle="1" w:styleId="standardsqueryform-key">
    <w:name w:val="standardsqueryform-key"/>
    <w:basedOn w:val="DefaultParagraphFont"/>
    <w:uiPriority w:val="99"/>
    <w:rsid w:val="00A74650"/>
    <w:rPr>
      <w:rFonts w:ascii="Times New Roman" w:hAnsi="Times New Roman" w:cs="Times New Roman" w:hint="default"/>
    </w:rPr>
  </w:style>
  <w:style w:type="character" w:customStyle="1" w:styleId="apple-style-span">
    <w:name w:val="apple-style-span"/>
    <w:basedOn w:val="DefaultParagraphFont"/>
    <w:uiPriority w:val="99"/>
    <w:rsid w:val="00A74650"/>
    <w:rPr>
      <w:rFonts w:ascii="Times New Roman" w:hAnsi="Times New Roman" w:cs="Times New Roman" w:hint="default"/>
    </w:rPr>
  </w:style>
  <w:style w:type="character" w:customStyle="1" w:styleId="null">
    <w:name w:val="null"/>
    <w:basedOn w:val="DefaultParagraphFont"/>
    <w:uiPriority w:val="99"/>
    <w:rsid w:val="00A74650"/>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A08951A52DA4A46859F06BA088C15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673</Nr_x002e__x0020_akti>
    <Data_x0020_e_x0020_Krijimit xmlns="0e656187-b300-4fb0-8bf4-3a50f872073c">2021-11-11T14:10:25Z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2021-11-10T23:00:00Z</Date_x0020_protokolli>
    <Titulli xmlns="0e656187-b300-4fb0-8bf4-3a50f872073c">Për disa shtesa dhe ndryshime në vendimin nr.382, datë 27.6.2018, të Këshillit të Ministrave, “Për miratimin e rregullores “Për veprimtarinë e standardizimit””</Titulli>
    <Modifikuesi xmlns="0e656187-b300-4fb0-8bf4-3a50f872073c">Fjora.Korita</Modifikuesi>
    <Nr_x002e__x0020_prot_x0020_QBZ xmlns="0e656187-b300-4fb0-8bf4-3a50f872073c">1538</Nr_x002e__x0020_prot_x0020_QBZ>
    <Data_x0020_e_x0020_Modifikimit xmlns="0e656187-b300-4fb0-8bf4-3a50f872073c">2021-11-12T08:12:15Z</Data_x0020_e_x0020_Modifikimit>
    <Dekretuar xmlns="0e656187-b300-4fb0-8bf4-3a50f872073c">false</Dekretuar>
    <Data xmlns="0e656187-b300-4fb0-8bf4-3a50f872073c">2021-11-09T23:00:00Z</Data>
    <Nr_x002e__x0020_protokolli_x0020_i_x0020_aktit xmlns="0e656187-b300-4fb0-8bf4-3a50f872073c">5348/1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A08951A52DA4A46859F06BA088C15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F8374-CF1F-4031-A41C-6C57015AF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126FD76-BC52-4288-83B6-F1C0417A5D00}">
  <ds:schemaRefs>
    <ds:schemaRef ds:uri="http://purl.org/dc/elements/1.1/"/>
    <ds:schemaRef ds:uri="http://purl.org/dc/term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dcmitype/"/>
    <ds:schemaRef ds:uri="0e656187-b300-4fb0-8bf4-3a50f872073c"/>
  </ds:schemaRefs>
</ds:datastoreItem>
</file>

<file path=customXml/itemProps3.xml><?xml version="1.0" encoding="utf-8"?>
<ds:datastoreItem xmlns:ds="http://schemas.openxmlformats.org/officeDocument/2006/customXml" ds:itemID="{4D3674DA-D7DD-4DAD-AC01-AA0B1892A406}">
  <ds:schemaRefs>
    <ds:schemaRef ds:uri="http://schemas.microsoft.com/sharepoint/v3/contenttype/forms"/>
  </ds:schemaRefs>
</ds:datastoreItem>
</file>

<file path=customXml/itemProps4.xml><?xml version="1.0" encoding="utf-8"?>
<ds:datastoreItem xmlns:ds="http://schemas.openxmlformats.org/officeDocument/2006/customXml" ds:itemID="{7B04FAFA-4FE2-4FB5-B696-CE489E85AD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950529E-7416-4FA6-B68A-313A938498C9}">
  <ds:schemaRefs>
    <ds:schemaRef ds:uri="http://schemas.microsoft.com/sharepoint/v3/contenttype/forms"/>
  </ds:schemaRefs>
</ds:datastoreItem>
</file>

<file path=customXml/itemProps6.xml><?xml version="1.0" encoding="utf-8"?>
<ds:datastoreItem xmlns:ds="http://schemas.openxmlformats.org/officeDocument/2006/customXml" ds:itemID="{E79C35E1-EE90-4654-975D-A660684D3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Për disa shtesa dhe ndryshime në vendimin nr.382, datë 27.6.2018, të Këshillit të Ministrave, “Për miratimin e rregullores “Për veprimtarinë e standardizimit””</vt:lpstr>
    </vt:vector>
  </TitlesOfParts>
  <Company/>
  <LinksUpToDate>false</LinksUpToDate>
  <CharactersWithSpaces>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nr.382, datë 27.6.2018, të Këshillit të Ministrave, “Për miratimin e rregullores “Për veprimtarinë e standardizimit””</dc:title>
  <dc:creator>Nevila Samarxhi</dc:creator>
  <cp:lastModifiedBy>Amarilda Muja</cp:lastModifiedBy>
  <cp:revision>9</cp:revision>
  <dcterms:created xsi:type="dcterms:W3CDTF">2021-11-11T14:56:00Z</dcterms:created>
  <dcterms:modified xsi:type="dcterms:W3CDTF">2021-11-12T08:32:00Z</dcterms:modified>
</cp:coreProperties>
</file>