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EA391" w14:textId="77777777" w:rsidR="00C50940" w:rsidRPr="005C2370" w:rsidRDefault="00C50940" w:rsidP="00C50940">
      <w:pPr>
        <w:tabs>
          <w:tab w:val="right" w:pos="9060"/>
        </w:tabs>
        <w:spacing w:after="0" w:line="240" w:lineRule="auto"/>
        <w:ind w:firstLine="284"/>
        <w:jc w:val="center"/>
        <w:rPr>
          <w:rFonts w:ascii="Garamond" w:hAnsi="Garamond" w:cs="Times New Roman"/>
          <w:b/>
          <w:bCs/>
          <w:sz w:val="24"/>
          <w:szCs w:val="24"/>
          <w:lang w:val="sq-AL"/>
        </w:rPr>
      </w:pPr>
      <w:r w:rsidRPr="005C2370">
        <w:rPr>
          <w:rFonts w:ascii="Garamond" w:hAnsi="Garamond" w:cs="Times New Roman"/>
          <w:b/>
          <w:bCs/>
          <w:sz w:val="24"/>
          <w:szCs w:val="24"/>
          <w:lang w:val="sq-AL"/>
        </w:rPr>
        <w:t>VENDIM</w:t>
      </w:r>
    </w:p>
    <w:p w14:paraId="397EA392" w14:textId="7027D00B" w:rsidR="00C50940" w:rsidRPr="005C2370" w:rsidRDefault="00C50940" w:rsidP="00C50940">
      <w:pPr>
        <w:tabs>
          <w:tab w:val="right" w:pos="9060"/>
        </w:tabs>
        <w:spacing w:after="0" w:line="240" w:lineRule="auto"/>
        <w:ind w:firstLine="284"/>
        <w:jc w:val="center"/>
        <w:rPr>
          <w:rFonts w:ascii="Garamond" w:hAnsi="Garamond" w:cs="Times New Roman"/>
          <w:b/>
          <w:bCs/>
          <w:sz w:val="24"/>
          <w:szCs w:val="24"/>
          <w:lang w:val="sq-AL"/>
        </w:rPr>
      </w:pPr>
      <w:r w:rsidRPr="005C2370">
        <w:rPr>
          <w:rFonts w:ascii="Garamond" w:hAnsi="Garamond"/>
          <w:b/>
          <w:sz w:val="24"/>
          <w:szCs w:val="24"/>
          <w:lang w:val="sq-AL"/>
        </w:rPr>
        <w:t>Nr.</w:t>
      </w:r>
      <w:r w:rsidR="005C2370" w:rsidRPr="005C2370">
        <w:rPr>
          <w:rFonts w:ascii="Garamond" w:hAnsi="Garamond"/>
          <w:b/>
          <w:sz w:val="24"/>
          <w:szCs w:val="24"/>
          <w:lang w:val="sq-AL"/>
        </w:rPr>
        <w:t xml:space="preserve"> </w:t>
      </w:r>
      <w:r w:rsidR="00130B2C" w:rsidRPr="005C2370">
        <w:rPr>
          <w:rFonts w:ascii="Garamond" w:hAnsi="Garamond"/>
          <w:b/>
          <w:sz w:val="24"/>
          <w:szCs w:val="24"/>
          <w:lang w:val="sq-AL"/>
        </w:rPr>
        <w:t>710</w:t>
      </w:r>
      <w:r w:rsidRPr="005C2370">
        <w:rPr>
          <w:rFonts w:ascii="Garamond" w:hAnsi="Garamond"/>
          <w:b/>
          <w:sz w:val="24"/>
          <w:szCs w:val="24"/>
          <w:lang w:val="sq-AL"/>
        </w:rPr>
        <w:t>, datë</w:t>
      </w:r>
      <w:r w:rsidR="00130B2C" w:rsidRPr="005C2370">
        <w:rPr>
          <w:rFonts w:ascii="Garamond" w:hAnsi="Garamond"/>
          <w:b/>
          <w:sz w:val="24"/>
          <w:szCs w:val="24"/>
          <w:lang w:val="sq-AL"/>
        </w:rPr>
        <w:t xml:space="preserve"> 24.11.2021</w:t>
      </w:r>
    </w:p>
    <w:p w14:paraId="397EA393" w14:textId="77777777" w:rsidR="00C50940" w:rsidRPr="005C2370" w:rsidRDefault="00C50940" w:rsidP="00C50940">
      <w:pPr>
        <w:spacing w:after="0" w:line="240" w:lineRule="auto"/>
        <w:ind w:firstLine="284"/>
        <w:rPr>
          <w:rFonts w:ascii="Garamond" w:hAnsi="Garamond" w:cs="Times New Roman"/>
          <w:b/>
          <w:bCs/>
          <w:sz w:val="24"/>
          <w:szCs w:val="24"/>
          <w:lang w:val="sq-AL"/>
        </w:rPr>
      </w:pPr>
    </w:p>
    <w:p w14:paraId="397EA394" w14:textId="3F0B3DCA" w:rsidR="00C50940" w:rsidRPr="005C2370" w:rsidRDefault="00C50940" w:rsidP="00C50940">
      <w:pPr>
        <w:spacing w:after="0" w:line="240" w:lineRule="auto"/>
        <w:ind w:firstLine="284"/>
        <w:jc w:val="center"/>
        <w:rPr>
          <w:rFonts w:ascii="Garamond" w:hAnsi="Garamond" w:cs="Times New Roman"/>
          <w:b/>
          <w:bCs/>
          <w:sz w:val="24"/>
          <w:szCs w:val="24"/>
          <w:lang w:val="sq-AL"/>
        </w:rPr>
      </w:pPr>
      <w:r w:rsidRPr="005C2370">
        <w:rPr>
          <w:rFonts w:ascii="Garamond" w:hAnsi="Garamond" w:cs="Times New Roman"/>
          <w:b/>
          <w:bCs/>
          <w:sz w:val="24"/>
          <w:szCs w:val="24"/>
          <w:lang w:val="sq-AL"/>
        </w:rPr>
        <w:t>PËR DISA NDRYSHIME DHE SHTESA NË VENDIMIN NR.</w:t>
      </w:r>
      <w:r w:rsidR="005C2370" w:rsidRPr="005C2370">
        <w:rPr>
          <w:rFonts w:ascii="Garamond" w:hAnsi="Garamond" w:cs="Times New Roman"/>
          <w:b/>
          <w:bCs/>
          <w:sz w:val="24"/>
          <w:szCs w:val="24"/>
          <w:lang w:val="sq-AL"/>
        </w:rPr>
        <w:t xml:space="preserve"> </w:t>
      </w:r>
      <w:r w:rsidRPr="005C2370">
        <w:rPr>
          <w:rFonts w:ascii="Garamond" w:hAnsi="Garamond" w:cs="Times New Roman"/>
          <w:b/>
          <w:bCs/>
          <w:sz w:val="24"/>
          <w:szCs w:val="24"/>
          <w:lang w:val="sq-AL"/>
        </w:rPr>
        <w:t>285, DATË 19.5.2021, TË KËSHILLIT TË MINISTRAVE, “PËR MIRATIMIN E RREGULLAVE TË PROKURIMIT PUBLIK”</w:t>
      </w:r>
      <w:r w:rsidRPr="005C2370">
        <w:rPr>
          <w:rStyle w:val="FootnoteReference"/>
          <w:rFonts w:ascii="Garamond" w:hAnsi="Garamond" w:cs="Times New Roman"/>
          <w:b/>
          <w:bCs/>
          <w:sz w:val="24"/>
          <w:szCs w:val="24"/>
          <w:lang w:val="sq-AL"/>
        </w:rPr>
        <w:footnoteReference w:id="2"/>
      </w:r>
    </w:p>
    <w:p w14:paraId="397EA395" w14:textId="77777777" w:rsidR="00C50940" w:rsidRPr="005C2370" w:rsidRDefault="00C50940" w:rsidP="00C50940">
      <w:pPr>
        <w:spacing w:after="0" w:line="240" w:lineRule="auto"/>
        <w:ind w:firstLine="284"/>
        <w:jc w:val="both"/>
        <w:rPr>
          <w:rFonts w:ascii="Garamond" w:hAnsi="Garamond" w:cs="Times New Roman"/>
          <w:sz w:val="24"/>
          <w:szCs w:val="24"/>
          <w:lang w:val="sq-AL"/>
        </w:rPr>
      </w:pPr>
    </w:p>
    <w:p w14:paraId="397EA396" w14:textId="30521794" w:rsidR="00C50940" w:rsidRPr="005C2370" w:rsidRDefault="00C50940" w:rsidP="00C50940">
      <w:pPr>
        <w:spacing w:after="0" w:line="240" w:lineRule="auto"/>
        <w:ind w:firstLine="284"/>
        <w:jc w:val="both"/>
        <w:rPr>
          <w:rFonts w:ascii="Garamond" w:hAnsi="Garamond" w:cs="Times New Roman"/>
          <w:sz w:val="24"/>
          <w:szCs w:val="24"/>
          <w:lang w:val="sq-AL"/>
        </w:rPr>
      </w:pPr>
      <w:r w:rsidRPr="005C2370">
        <w:rPr>
          <w:rFonts w:ascii="Garamond" w:hAnsi="Garamond" w:cs="Times New Roman"/>
          <w:sz w:val="24"/>
          <w:szCs w:val="24"/>
          <w:lang w:val="sq-AL"/>
        </w:rPr>
        <w:t>Në mbështetje të nenit 100 të Kushtetutës dhe të neneve 7, pika 2, 13, pika 1, shkronja “a”, 14, pika 3, 17, pikat 1 dhe 2, 21, pika 4, 23, shkronjat “c” dhe “gj”, 33, pika 2, 34, pika 2, 35, pika 3, 41, pika 2, 42, pikat 1 dhe 3, shkronja “a”, 43, pikat 1 dhe 4, shkronja “a”, 44, pika 1, 50, pikat 2 dhe 7, 54, pika 1, 56, pika 4, 57, pikat 1 dhe 2, shkronja “c”, 58, pika 2, 71, pikat 1 dhe 2, shkronja “c”, 72, pika 1, 74, pika 1, 78, pika 3, 82, pikat 1 dhe 5, 111, pika 1, 116, pika 4, 124,</w:t>
      </w:r>
      <w:r w:rsidR="005C2370">
        <w:rPr>
          <w:rFonts w:ascii="Garamond" w:hAnsi="Garamond" w:cs="Times New Roman"/>
          <w:sz w:val="24"/>
          <w:szCs w:val="24"/>
          <w:lang w:val="sq-AL"/>
        </w:rPr>
        <w:t xml:space="preserve"> </w:t>
      </w:r>
      <w:r w:rsidRPr="005C2370">
        <w:rPr>
          <w:rFonts w:ascii="Garamond" w:hAnsi="Garamond" w:cs="Times New Roman"/>
          <w:sz w:val="24"/>
          <w:szCs w:val="24"/>
          <w:lang w:val="sq-AL"/>
        </w:rPr>
        <w:t>pika 6, 131, pika 2, e 132, pika 2, të ligjit nr.</w:t>
      </w:r>
      <w:r w:rsidR="005C2370">
        <w:rPr>
          <w:rFonts w:ascii="Garamond" w:hAnsi="Garamond" w:cs="Times New Roman"/>
          <w:sz w:val="24"/>
          <w:szCs w:val="24"/>
          <w:lang w:val="sq-AL"/>
        </w:rPr>
        <w:t xml:space="preserve"> </w:t>
      </w:r>
      <w:r w:rsidRPr="005C2370">
        <w:rPr>
          <w:rFonts w:ascii="Garamond" w:hAnsi="Garamond" w:cs="Times New Roman"/>
          <w:sz w:val="24"/>
          <w:szCs w:val="24"/>
          <w:lang w:val="sq-AL"/>
        </w:rPr>
        <w:t>162/2020, “Për prokurimin publik”, me propozimin e Kryeministrit, Këshilli i Ministrave</w:t>
      </w:r>
    </w:p>
    <w:p w14:paraId="397EA397" w14:textId="77777777" w:rsidR="00C50940" w:rsidRPr="005C2370" w:rsidRDefault="00C50940" w:rsidP="00C50940">
      <w:pPr>
        <w:spacing w:after="0" w:line="240" w:lineRule="auto"/>
        <w:ind w:firstLine="284"/>
        <w:jc w:val="center"/>
        <w:rPr>
          <w:rFonts w:ascii="Garamond" w:hAnsi="Garamond" w:cs="Times New Roman"/>
          <w:bCs/>
          <w:sz w:val="24"/>
          <w:szCs w:val="24"/>
          <w:lang w:val="sq-AL"/>
        </w:rPr>
      </w:pPr>
      <w:r w:rsidRPr="005C2370">
        <w:rPr>
          <w:rFonts w:ascii="Garamond" w:hAnsi="Garamond" w:cs="Times New Roman"/>
          <w:bCs/>
          <w:sz w:val="24"/>
          <w:szCs w:val="24"/>
          <w:lang w:val="sq-AL"/>
        </w:rPr>
        <w:t>VENDOSI:</w:t>
      </w:r>
    </w:p>
    <w:p w14:paraId="397EA398" w14:textId="77777777" w:rsidR="00C50940" w:rsidRPr="005C2370" w:rsidRDefault="00C50940" w:rsidP="00C50940">
      <w:pPr>
        <w:spacing w:after="0" w:line="240" w:lineRule="auto"/>
        <w:ind w:firstLine="284"/>
        <w:jc w:val="both"/>
        <w:rPr>
          <w:rFonts w:ascii="Garamond" w:hAnsi="Garamond" w:cs="Times New Roman"/>
          <w:sz w:val="24"/>
          <w:szCs w:val="24"/>
          <w:lang w:val="sq-AL"/>
        </w:rPr>
      </w:pPr>
    </w:p>
    <w:p w14:paraId="397EA399" w14:textId="281F7DC4" w:rsidR="00C50940" w:rsidRPr="005C2370" w:rsidRDefault="00C50940" w:rsidP="00C50940">
      <w:pPr>
        <w:spacing w:after="0" w:line="240" w:lineRule="auto"/>
        <w:ind w:firstLine="284"/>
        <w:jc w:val="both"/>
        <w:rPr>
          <w:rFonts w:ascii="Garamond" w:hAnsi="Garamond" w:cs="Times New Roman"/>
          <w:sz w:val="24"/>
          <w:szCs w:val="24"/>
          <w:lang w:val="sq-AL"/>
        </w:rPr>
      </w:pPr>
      <w:r w:rsidRPr="005C2370">
        <w:rPr>
          <w:rFonts w:ascii="Garamond" w:hAnsi="Garamond" w:cs="Times New Roman"/>
          <w:sz w:val="24"/>
          <w:szCs w:val="24"/>
          <w:lang w:val="sq-AL"/>
        </w:rPr>
        <w:t>Në tekstin bashkëlidhur vendimit nr.</w:t>
      </w:r>
      <w:r w:rsidR="005C2370">
        <w:rPr>
          <w:rFonts w:ascii="Garamond" w:hAnsi="Garamond" w:cs="Times New Roman"/>
          <w:sz w:val="24"/>
          <w:szCs w:val="24"/>
          <w:lang w:val="sq-AL"/>
        </w:rPr>
        <w:t xml:space="preserve"> </w:t>
      </w:r>
      <w:r w:rsidRPr="005C2370">
        <w:rPr>
          <w:rFonts w:ascii="Garamond" w:hAnsi="Garamond" w:cs="Times New Roman"/>
          <w:sz w:val="24"/>
          <w:szCs w:val="24"/>
          <w:lang w:val="sq-AL"/>
        </w:rPr>
        <w:t>285, datë 19.5.2021, të Këshillit të Ministrave, bëhen këto ndryshime dhe shtesa:</w:t>
      </w:r>
      <w:r w:rsidR="005C2370" w:rsidRPr="005C2370">
        <w:rPr>
          <w:rFonts w:ascii="Garamond" w:hAnsi="Garamond" w:cs="Times New Roman"/>
          <w:sz w:val="24"/>
          <w:szCs w:val="24"/>
          <w:lang w:val="sq-AL"/>
        </w:rPr>
        <w:t xml:space="preserve"> </w:t>
      </w:r>
    </w:p>
    <w:p w14:paraId="397EA39A" w14:textId="77777777"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1. Në nenin 26, “Formulari përmbledhës i vetëdeklarimit”, bëhen këto ndryshime:</w:t>
      </w:r>
    </w:p>
    <w:p w14:paraId="397EA39B" w14:textId="3DC9B51B"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a) Në shkronjën “dh”, të pikës 2, fjalët “</w:t>
      </w:r>
      <w:r w:rsidR="005C2370">
        <w:rPr>
          <w:rFonts w:ascii="Garamond" w:hAnsi="Garamond" w:cs="Times New Roman"/>
          <w:color w:val="000000"/>
          <w:sz w:val="24"/>
          <w:szCs w:val="24"/>
          <w:lang w:val="sq-AL"/>
        </w:rPr>
        <w:t>...</w:t>
      </w:r>
      <w:r w:rsidRPr="005C2370">
        <w:rPr>
          <w:rFonts w:ascii="Garamond" w:hAnsi="Garamond" w:cs="Times New Roman"/>
          <w:color w:val="000000"/>
          <w:sz w:val="24"/>
          <w:szCs w:val="24"/>
          <w:lang w:val="sq-AL"/>
        </w:rPr>
        <w:t xml:space="preserve"> për pagimin e tatimeve </w:t>
      </w:r>
      <w:r w:rsidR="005C2370">
        <w:rPr>
          <w:rFonts w:ascii="Garamond" w:hAnsi="Garamond" w:cs="Times New Roman"/>
          <w:color w:val="000000"/>
          <w:sz w:val="24"/>
          <w:szCs w:val="24"/>
          <w:lang w:val="sq-AL"/>
        </w:rPr>
        <w:t>...</w:t>
      </w:r>
      <w:r w:rsidRPr="005C2370">
        <w:rPr>
          <w:rFonts w:ascii="Garamond" w:hAnsi="Garamond" w:cs="Times New Roman"/>
          <w:color w:val="000000"/>
          <w:sz w:val="24"/>
          <w:szCs w:val="24"/>
          <w:lang w:val="sq-AL"/>
        </w:rPr>
        <w:t>” zëvendësohen me “</w:t>
      </w:r>
      <w:r w:rsidR="005C2370">
        <w:rPr>
          <w:rFonts w:ascii="Garamond" w:hAnsi="Garamond" w:cs="Times New Roman"/>
          <w:color w:val="000000"/>
          <w:sz w:val="24"/>
          <w:szCs w:val="24"/>
          <w:lang w:val="sq-AL"/>
        </w:rPr>
        <w:t>...</w:t>
      </w:r>
      <w:r w:rsidRPr="005C2370">
        <w:rPr>
          <w:rFonts w:ascii="Garamond" w:hAnsi="Garamond" w:cs="Times New Roman"/>
          <w:color w:val="000000"/>
          <w:sz w:val="24"/>
          <w:szCs w:val="24"/>
          <w:lang w:val="sq-AL"/>
        </w:rPr>
        <w:t xml:space="preserve"> për pagimin e taksave dhe tatimeve ...”.</w:t>
      </w:r>
    </w:p>
    <w:p w14:paraId="397EA39C" w14:textId="77777777"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b) Në paragrafin e parë, të pikës 6, fjalia e parë ndryshohet, si më poshtë vijon:</w:t>
      </w:r>
    </w:p>
    <w:p w14:paraId="397EA39D" w14:textId="77777777" w:rsidR="00C50940" w:rsidRPr="005C2370" w:rsidRDefault="00C50940" w:rsidP="00C50940">
      <w:pPr>
        <w:spacing w:after="0" w:line="240" w:lineRule="auto"/>
        <w:ind w:firstLine="284"/>
        <w:jc w:val="both"/>
        <w:rPr>
          <w:rFonts w:ascii="Garamond" w:hAnsi="Garamond" w:cs="Times New Roman"/>
          <w:sz w:val="24"/>
          <w:szCs w:val="24"/>
          <w:lang w:val="sq-AL"/>
        </w:rPr>
      </w:pPr>
      <w:r w:rsidRPr="005C2370">
        <w:rPr>
          <w:rFonts w:ascii="Garamond" w:hAnsi="Garamond" w:cs="Times New Roman"/>
          <w:sz w:val="24"/>
          <w:szCs w:val="24"/>
          <w:lang w:val="sq-AL"/>
        </w:rPr>
        <w:t>“Përpara publikimit të njoftimit të fituesit dhe nisjes së afateve të ankimit, autoriteti/enti kontraktor i kërkon ofertuesit të kualifikuar, i pari dorëzimin e dokumenteve provuese të parashikuara në shkronjat “a”, “b”, “d”, “dh”, “e”, “h” “i”, “j”, të pikës 2, të këtij neni, si dhe dokumentet e tjera shoqëruese të ofertës, të dorëzuara në rrugë elektronike.”.</w:t>
      </w:r>
    </w:p>
    <w:p w14:paraId="397EA39E" w14:textId="1C6C83BA" w:rsidR="00C50940" w:rsidRPr="005C2370" w:rsidRDefault="00C50940" w:rsidP="00C50940">
      <w:pPr>
        <w:pStyle w:val="BodyText"/>
        <w:ind w:firstLine="284"/>
        <w:rPr>
          <w:rFonts w:ascii="Garamond" w:hAnsi="Garamond"/>
          <w:color w:val="000000"/>
          <w:lang w:val="sq-AL"/>
        </w:rPr>
      </w:pPr>
      <w:r w:rsidRPr="005C2370">
        <w:rPr>
          <w:rFonts w:ascii="Garamond" w:hAnsi="Garamond"/>
          <w:color w:val="000000"/>
          <w:lang w:val="sq-AL"/>
        </w:rPr>
        <w:t>2. Në pikën 3, të nenit 30, “Sigurimi i ofertës”, në fund të fjalisë së parë shtohen fjalët “</w:t>
      </w:r>
      <w:r w:rsidR="005C2370">
        <w:rPr>
          <w:rFonts w:ascii="Garamond" w:hAnsi="Garamond"/>
          <w:color w:val="000000"/>
          <w:lang w:val="sq-AL"/>
        </w:rPr>
        <w:t>...</w:t>
      </w:r>
      <w:r w:rsidRPr="005C2370">
        <w:rPr>
          <w:rFonts w:ascii="Garamond" w:hAnsi="Garamond"/>
          <w:color w:val="000000"/>
          <w:lang w:val="sq-AL"/>
        </w:rPr>
        <w:t xml:space="preserve"> të kontratës ose lotit </w:t>
      </w:r>
      <w:r w:rsidR="005C2370">
        <w:rPr>
          <w:rFonts w:ascii="Garamond" w:hAnsi="Garamond"/>
          <w:color w:val="000000"/>
          <w:lang w:val="sq-AL"/>
        </w:rPr>
        <w:t>...</w:t>
      </w:r>
      <w:r w:rsidRPr="005C2370">
        <w:rPr>
          <w:rFonts w:ascii="Garamond" w:hAnsi="Garamond"/>
          <w:color w:val="000000"/>
          <w:lang w:val="sq-AL"/>
        </w:rPr>
        <w:t>”.</w:t>
      </w:r>
    </w:p>
    <w:p w14:paraId="397EA39F" w14:textId="77777777" w:rsidR="00C50940" w:rsidRPr="005C2370" w:rsidRDefault="00C50940" w:rsidP="00C50940">
      <w:pPr>
        <w:pStyle w:val="BodyText"/>
        <w:ind w:firstLine="284"/>
        <w:rPr>
          <w:rFonts w:ascii="Garamond" w:hAnsi="Garamond"/>
          <w:color w:val="000000"/>
          <w:lang w:val="sq-AL"/>
        </w:rPr>
      </w:pPr>
      <w:r w:rsidRPr="005C2370">
        <w:rPr>
          <w:rFonts w:ascii="Garamond" w:hAnsi="Garamond"/>
          <w:color w:val="000000"/>
          <w:lang w:val="sq-AL"/>
        </w:rPr>
        <w:t xml:space="preserve">3. Në nenin 38, “Njoftimi i anulimit”, pikat 1 e 3, ndryshohen, si më poshtë vijon: </w:t>
      </w:r>
    </w:p>
    <w:p w14:paraId="397EA3A0" w14:textId="77777777" w:rsidR="00C50940" w:rsidRDefault="00C50940" w:rsidP="00C50940">
      <w:pPr>
        <w:pStyle w:val="BodyText"/>
        <w:ind w:firstLine="284"/>
        <w:rPr>
          <w:rFonts w:ascii="Garamond" w:hAnsi="Garamond"/>
          <w:color w:val="000000"/>
          <w:lang w:val="sq-AL"/>
        </w:rPr>
      </w:pPr>
      <w:r w:rsidRPr="005C2370">
        <w:rPr>
          <w:rFonts w:ascii="Garamond" w:hAnsi="Garamond"/>
          <w:color w:val="000000"/>
          <w:lang w:val="sq-AL"/>
        </w:rPr>
        <w:t xml:space="preserve">“1. Autoriteti/enti kontraktor u komunikon të gjithë kandidatëve ose ofertuesve vendimin dhe arsyet për të mos e vazhduar procedurën e prokurimit menjëherë, por jo më vonë se 3 (tri) ditë nga marrja e vendimit. </w:t>
      </w:r>
    </w:p>
    <w:p w14:paraId="25A71555" w14:textId="15EA22F7" w:rsidR="006823F7" w:rsidRPr="005C2370" w:rsidRDefault="006823F7" w:rsidP="00C50940">
      <w:pPr>
        <w:pStyle w:val="BodyText"/>
        <w:ind w:firstLine="284"/>
        <w:rPr>
          <w:rFonts w:ascii="Garamond" w:hAnsi="Garamond"/>
          <w:color w:val="000000"/>
          <w:lang w:val="sq-AL"/>
        </w:rPr>
      </w:pPr>
      <w:r>
        <w:rPr>
          <w:rFonts w:ascii="Garamond" w:hAnsi="Garamond"/>
          <w:color w:val="000000"/>
          <w:lang w:val="sq-AL"/>
        </w:rPr>
        <w:t>...</w:t>
      </w:r>
      <w:bookmarkStart w:id="0" w:name="_GoBack"/>
      <w:bookmarkEnd w:id="0"/>
    </w:p>
    <w:p w14:paraId="397EA3A1" w14:textId="77777777" w:rsidR="00C50940" w:rsidRPr="005C2370" w:rsidRDefault="00C50940" w:rsidP="00C50940">
      <w:pPr>
        <w:pStyle w:val="BodyText"/>
        <w:ind w:firstLine="284"/>
        <w:rPr>
          <w:rFonts w:ascii="Garamond" w:hAnsi="Garamond"/>
          <w:color w:val="000000"/>
          <w:lang w:val="sq-AL"/>
        </w:rPr>
      </w:pPr>
      <w:r w:rsidRPr="005C2370">
        <w:rPr>
          <w:rFonts w:ascii="Garamond" w:hAnsi="Garamond"/>
          <w:color w:val="000000"/>
          <w:lang w:val="sq-AL"/>
        </w:rPr>
        <w:t xml:space="preserve">3. Autoriteti/enti kontraktor vijon me publikimin e vendimit përfundimtar për anulimin e procedurës së prokurimit jo më vonë se 5 (pesë) ditë nga data e skadimit të afatit të fundit për paraqitjen e ankesave ose dhënien e vendimit përfundimtar për ankimin, duke e publikuar njoftimin në të njëjtën mënyrë siç publikon njoftimin e kontratës.”. </w:t>
      </w:r>
    </w:p>
    <w:p w14:paraId="397EA3A2" w14:textId="2FF8AF7A"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4. Në nenin 43, “Kërkesat për kapacitetet ekonomiko-financiare”</w:t>
      </w:r>
      <w:r w:rsidR="005C2370">
        <w:rPr>
          <w:rFonts w:ascii="Garamond" w:hAnsi="Garamond" w:cs="Times New Roman"/>
          <w:color w:val="000000"/>
          <w:sz w:val="24"/>
          <w:szCs w:val="24"/>
          <w:lang w:val="sq-AL"/>
        </w:rPr>
        <w:t>,</w:t>
      </w:r>
      <w:r w:rsidRPr="005C2370">
        <w:rPr>
          <w:rFonts w:ascii="Garamond" w:hAnsi="Garamond" w:cs="Times New Roman"/>
          <w:b/>
          <w:bCs/>
          <w:color w:val="000000"/>
          <w:sz w:val="24"/>
          <w:szCs w:val="24"/>
          <w:lang w:val="sq-AL"/>
        </w:rPr>
        <w:t xml:space="preserve"> </w:t>
      </w:r>
      <w:r w:rsidRPr="005C2370">
        <w:rPr>
          <w:rFonts w:ascii="Garamond" w:hAnsi="Garamond" w:cs="Times New Roman"/>
          <w:color w:val="000000"/>
          <w:sz w:val="24"/>
          <w:szCs w:val="24"/>
          <w:lang w:val="sq-AL"/>
        </w:rPr>
        <w:t>bëhen këto ndryshime:</w:t>
      </w:r>
    </w:p>
    <w:p w14:paraId="397EA3A3" w14:textId="7270A798" w:rsidR="00C50940" w:rsidRPr="005C2370" w:rsidRDefault="00C50940" w:rsidP="00C50940">
      <w:pPr>
        <w:pStyle w:val="BodyText"/>
        <w:ind w:firstLine="284"/>
        <w:rPr>
          <w:rFonts w:ascii="Garamond" w:hAnsi="Garamond"/>
          <w:color w:val="000000"/>
          <w:lang w:val="sq-AL"/>
        </w:rPr>
      </w:pPr>
      <w:r w:rsidRPr="005C2370">
        <w:rPr>
          <w:rFonts w:ascii="Garamond" w:hAnsi="Garamond"/>
          <w:color w:val="000000"/>
          <w:lang w:val="sq-AL"/>
        </w:rPr>
        <w:t>a) Në pikën 1 hiqen fjalët “</w:t>
      </w:r>
      <w:r w:rsidR="005C2370">
        <w:rPr>
          <w:rFonts w:ascii="Garamond" w:hAnsi="Garamond"/>
          <w:color w:val="000000"/>
          <w:lang w:val="sq-AL"/>
        </w:rPr>
        <w:t>...</w:t>
      </w:r>
      <w:r w:rsidRPr="005C2370">
        <w:rPr>
          <w:rFonts w:ascii="Garamond" w:hAnsi="Garamond"/>
          <w:color w:val="000000"/>
          <w:lang w:val="sq-AL"/>
        </w:rPr>
        <w:t xml:space="preserve"> dhe, sipas rastit, të xhiros që mbulon kontrata,”.</w:t>
      </w:r>
    </w:p>
    <w:p w14:paraId="397EA3A4" w14:textId="66DA6EF9" w:rsidR="00C50940" w:rsidRPr="005C2370" w:rsidRDefault="00C50940" w:rsidP="00C50940">
      <w:pPr>
        <w:pStyle w:val="BodyText"/>
        <w:ind w:firstLine="284"/>
        <w:rPr>
          <w:rFonts w:ascii="Garamond" w:hAnsi="Garamond"/>
          <w:color w:val="000000"/>
          <w:lang w:val="sq-AL"/>
        </w:rPr>
      </w:pPr>
      <w:r w:rsidRPr="005C2370">
        <w:rPr>
          <w:rFonts w:ascii="Garamond" w:hAnsi="Garamond"/>
          <w:color w:val="000000"/>
          <w:lang w:val="sq-AL"/>
        </w:rPr>
        <w:t>b) Kudo në përmbajtje të pikës 2, fjalët “</w:t>
      </w:r>
      <w:r w:rsidR="005C2370">
        <w:rPr>
          <w:rFonts w:ascii="Garamond" w:hAnsi="Garamond"/>
          <w:color w:val="000000"/>
          <w:lang w:val="sq-AL"/>
        </w:rPr>
        <w:t>...</w:t>
      </w:r>
      <w:r w:rsidRPr="005C2370">
        <w:rPr>
          <w:rFonts w:ascii="Garamond" w:hAnsi="Garamond"/>
          <w:color w:val="000000"/>
          <w:lang w:val="sq-AL"/>
        </w:rPr>
        <w:t xml:space="preserve"> vlerës së parashikuar të</w:t>
      </w:r>
      <w:r w:rsidR="00130B2C" w:rsidRPr="005C2370">
        <w:rPr>
          <w:rFonts w:ascii="Garamond" w:hAnsi="Garamond"/>
          <w:color w:val="000000"/>
          <w:lang w:val="sq-AL"/>
        </w:rPr>
        <w:t xml:space="preserve"> </w:t>
      </w:r>
      <w:r w:rsidRPr="005C2370">
        <w:rPr>
          <w:rFonts w:ascii="Garamond" w:hAnsi="Garamond"/>
          <w:color w:val="000000"/>
          <w:lang w:val="sq-AL"/>
        </w:rPr>
        <w:t xml:space="preserve">kontratës </w:t>
      </w:r>
      <w:r w:rsidR="005C2370">
        <w:rPr>
          <w:rFonts w:ascii="Garamond" w:hAnsi="Garamond"/>
          <w:color w:val="000000"/>
          <w:lang w:val="sq-AL"/>
        </w:rPr>
        <w:t>...</w:t>
      </w:r>
      <w:r w:rsidRPr="005C2370">
        <w:rPr>
          <w:rFonts w:ascii="Garamond" w:hAnsi="Garamond"/>
          <w:color w:val="000000"/>
          <w:lang w:val="sq-AL"/>
        </w:rPr>
        <w:t>” zëvendësohen me “</w:t>
      </w:r>
      <w:r w:rsidR="005C2370">
        <w:rPr>
          <w:rFonts w:ascii="Garamond" w:hAnsi="Garamond"/>
          <w:color w:val="000000"/>
          <w:lang w:val="sq-AL"/>
        </w:rPr>
        <w:t>...</w:t>
      </w:r>
      <w:r w:rsidRPr="005C2370">
        <w:rPr>
          <w:rFonts w:ascii="Garamond" w:hAnsi="Garamond"/>
          <w:color w:val="000000"/>
          <w:lang w:val="sq-AL"/>
        </w:rPr>
        <w:t xml:space="preserve"> vlerës së përllogaritur të kontratës ose lotit </w:t>
      </w:r>
      <w:r w:rsidR="005C2370">
        <w:rPr>
          <w:rFonts w:ascii="Garamond" w:hAnsi="Garamond"/>
          <w:color w:val="000000"/>
          <w:lang w:val="sq-AL"/>
        </w:rPr>
        <w:t>...</w:t>
      </w:r>
      <w:r w:rsidRPr="005C2370">
        <w:rPr>
          <w:rFonts w:ascii="Garamond" w:hAnsi="Garamond"/>
          <w:color w:val="000000"/>
          <w:lang w:val="sq-AL"/>
        </w:rPr>
        <w:t>”.</w:t>
      </w:r>
    </w:p>
    <w:p w14:paraId="397EA3A5" w14:textId="77777777" w:rsidR="00C50940" w:rsidRPr="005C2370" w:rsidRDefault="00C50940" w:rsidP="00C50940">
      <w:pPr>
        <w:pStyle w:val="BodyText"/>
        <w:ind w:firstLine="284"/>
        <w:rPr>
          <w:rFonts w:ascii="Garamond" w:hAnsi="Garamond"/>
          <w:color w:val="000000"/>
          <w:lang w:val="sq-AL"/>
        </w:rPr>
      </w:pPr>
      <w:r w:rsidRPr="005C2370">
        <w:rPr>
          <w:rFonts w:ascii="Garamond" w:hAnsi="Garamond"/>
          <w:color w:val="000000"/>
          <w:lang w:val="sq-AL"/>
        </w:rPr>
        <w:t xml:space="preserve">c) Në pikën 4 fjalia e dytë ndryshohet, si më poshtë vijon: </w:t>
      </w:r>
    </w:p>
    <w:p w14:paraId="397EA3A6" w14:textId="77777777" w:rsidR="00C50940" w:rsidRPr="005C2370" w:rsidRDefault="00C50940" w:rsidP="00C50940">
      <w:pPr>
        <w:spacing w:after="0" w:line="240" w:lineRule="auto"/>
        <w:ind w:firstLine="284"/>
        <w:jc w:val="both"/>
        <w:rPr>
          <w:rFonts w:ascii="Garamond" w:hAnsi="Garamond" w:cs="Times New Roman"/>
          <w:sz w:val="24"/>
          <w:szCs w:val="24"/>
          <w:lang w:val="sq-AL"/>
        </w:rPr>
      </w:pPr>
      <w:r w:rsidRPr="005C2370">
        <w:rPr>
          <w:rFonts w:ascii="Garamond" w:hAnsi="Garamond" w:cs="Times New Roman"/>
          <w:sz w:val="24"/>
          <w:szCs w:val="24"/>
          <w:lang w:val="sq-AL"/>
        </w:rPr>
        <w:lastRenderedPageBreak/>
        <w:t>“Nëse kërkohen një ose dy bilance, kërkesa konsiderohet e përmbushur nëse në bilancin/et e kërkuara nuk ka raport negativ ndërmjet aktivit dhe pasivit.”.</w:t>
      </w:r>
    </w:p>
    <w:p w14:paraId="397EA3A7" w14:textId="77777777" w:rsidR="00C50940" w:rsidRPr="005C2370" w:rsidRDefault="00C50940" w:rsidP="00C50940">
      <w:pPr>
        <w:pStyle w:val="BodyText"/>
        <w:ind w:firstLine="284"/>
        <w:rPr>
          <w:rFonts w:ascii="Garamond" w:hAnsi="Garamond"/>
          <w:color w:val="000000"/>
          <w:lang w:val="sq-AL"/>
        </w:rPr>
      </w:pPr>
      <w:r w:rsidRPr="005C2370">
        <w:rPr>
          <w:rFonts w:ascii="Garamond" w:hAnsi="Garamond"/>
          <w:color w:val="000000"/>
          <w:lang w:val="sq-AL"/>
        </w:rPr>
        <w:t xml:space="preserve">5. Në nenin 45, “Kriteret për shpalljen e ofertës fituese”, pas pikës 2 shtohet pika 2.1, me këtë përmbajtje: </w:t>
      </w:r>
    </w:p>
    <w:p w14:paraId="397EA3A8" w14:textId="729ACA19" w:rsidR="00C50940" w:rsidRPr="005C2370" w:rsidRDefault="005C2370" w:rsidP="00C50940">
      <w:pPr>
        <w:pStyle w:val="BodyText"/>
        <w:ind w:firstLine="284"/>
        <w:rPr>
          <w:rFonts w:ascii="Garamond" w:hAnsi="Garamond"/>
          <w:color w:val="000000"/>
          <w:lang w:val="sq-AL"/>
        </w:rPr>
      </w:pPr>
      <w:r>
        <w:rPr>
          <w:rFonts w:ascii="Garamond" w:hAnsi="Garamond"/>
          <w:color w:val="000000"/>
          <w:lang w:val="sq-AL"/>
        </w:rPr>
        <w:t>“2.1</w:t>
      </w:r>
      <w:r w:rsidR="00C50940" w:rsidRPr="005C2370">
        <w:rPr>
          <w:rFonts w:ascii="Garamond" w:hAnsi="Garamond"/>
          <w:color w:val="000000"/>
          <w:lang w:val="sq-AL"/>
        </w:rPr>
        <w:t xml:space="preserve"> Për furnizimin me karburant, gazoil, benzol dhe karburant për ngrohje, në rastet kur oferta ekonomikisht më e favorshme bazohet në çmimin më të ulët, ky i fundit përllogaritet</w:t>
      </w:r>
      <w:r>
        <w:rPr>
          <w:rFonts w:ascii="Garamond" w:hAnsi="Garamond"/>
          <w:color w:val="000000"/>
          <w:lang w:val="sq-AL"/>
        </w:rPr>
        <w:t>,</w:t>
      </w:r>
      <w:r w:rsidR="00C50940" w:rsidRPr="005C2370">
        <w:rPr>
          <w:rFonts w:ascii="Garamond" w:hAnsi="Garamond"/>
          <w:color w:val="000000"/>
          <w:lang w:val="sq-AL"/>
        </w:rPr>
        <w:t xml:space="preserve"> bazuar në:</w:t>
      </w:r>
    </w:p>
    <w:p w14:paraId="397EA3A9" w14:textId="374804AA" w:rsidR="00C50940" w:rsidRPr="005C2370" w:rsidRDefault="00C50940" w:rsidP="00C50940">
      <w:pPr>
        <w:pStyle w:val="BodyText"/>
        <w:ind w:firstLine="284"/>
        <w:rPr>
          <w:rFonts w:ascii="Garamond" w:hAnsi="Garamond"/>
          <w:color w:val="000000"/>
          <w:lang w:val="sq-AL"/>
        </w:rPr>
      </w:pPr>
      <w:r w:rsidRPr="005C2370">
        <w:rPr>
          <w:rFonts w:ascii="Garamond" w:hAnsi="Garamond"/>
          <w:color w:val="000000"/>
          <w:lang w:val="sq-AL"/>
        </w:rPr>
        <w:t>a) çmimin e bursës, l</w:t>
      </w:r>
      <w:r w:rsidR="005C2370">
        <w:rPr>
          <w:rFonts w:ascii="Garamond" w:hAnsi="Garamond"/>
          <w:color w:val="000000"/>
          <w:lang w:val="sq-AL"/>
        </w:rPr>
        <w:t>i</w:t>
      </w:r>
      <w:r w:rsidRPr="005C2370">
        <w:rPr>
          <w:rFonts w:ascii="Garamond" w:hAnsi="Garamond"/>
          <w:color w:val="000000"/>
          <w:lang w:val="sq-AL"/>
        </w:rPr>
        <w:t>vruar sipas kushtit CIF-Shqipëri, i cili dërgohet për publikim çdo javë nga Drejtoria e Përgjithshme e Doganave në Buletinin e Njoftime Publike;</w:t>
      </w:r>
    </w:p>
    <w:p w14:paraId="397EA3AA" w14:textId="77777777" w:rsidR="00C50940" w:rsidRPr="005C2370" w:rsidRDefault="00C50940" w:rsidP="00C50940">
      <w:pPr>
        <w:pStyle w:val="BodyText"/>
        <w:ind w:firstLine="284"/>
        <w:rPr>
          <w:rFonts w:ascii="Garamond" w:hAnsi="Garamond"/>
          <w:color w:val="000000"/>
          <w:lang w:val="sq-AL"/>
        </w:rPr>
      </w:pPr>
      <w:r w:rsidRPr="005C2370">
        <w:rPr>
          <w:rFonts w:ascii="Garamond" w:hAnsi="Garamond"/>
          <w:color w:val="000000"/>
          <w:lang w:val="sq-AL"/>
        </w:rPr>
        <w:t>b) elementet fiskale;</w:t>
      </w:r>
    </w:p>
    <w:p w14:paraId="397EA3AB" w14:textId="77777777" w:rsidR="00C50940" w:rsidRPr="005C2370" w:rsidRDefault="00C50940" w:rsidP="00C50940">
      <w:pPr>
        <w:pStyle w:val="BodyText"/>
        <w:ind w:firstLine="284"/>
        <w:rPr>
          <w:rFonts w:ascii="Garamond" w:hAnsi="Garamond"/>
          <w:color w:val="000000"/>
          <w:lang w:val="sq-AL"/>
        </w:rPr>
      </w:pPr>
      <w:r w:rsidRPr="005C2370">
        <w:rPr>
          <w:rFonts w:ascii="Garamond" w:hAnsi="Garamond"/>
          <w:color w:val="000000"/>
          <w:lang w:val="sq-AL"/>
        </w:rPr>
        <w:t xml:space="preserve">c) normën e fitimit të shprehur në vlerë absolute, e cila duhet të jetë e pandryshuar gjatë gjithë kohës së zbatimit të kontratës.”. </w:t>
      </w:r>
    </w:p>
    <w:p w14:paraId="397EA3AC" w14:textId="77777777"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6. Në nenin 48, “Procedura e kufizuar”, pika 2, shfuqizohet.</w:t>
      </w:r>
    </w:p>
    <w:p w14:paraId="397EA3AD" w14:textId="77777777"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7. Në nenin 54, “Shërbim konsulence”, bëhen këto ndryshime:</w:t>
      </w:r>
    </w:p>
    <w:p w14:paraId="397EA3AE" w14:textId="77777777"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 xml:space="preserve">a) Pika 7 ndryshohet, si më poshtë vijon: </w:t>
      </w:r>
    </w:p>
    <w:p w14:paraId="397EA3AF" w14:textId="77777777"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 xml:space="preserve">“7. Pas mbylljes së fazës së kualifikimit dhe në përfundim të afateve të ankimit, autoriteti/enti kontraktor fton kandidatët e përzgjedhur për paraqitjen e propozimeve.”. </w:t>
      </w:r>
    </w:p>
    <w:p w14:paraId="397EA3B0" w14:textId="77777777"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b) Shkronja “e”, e pikës 11, ndryshohet, si më poshtë vijon:</w:t>
      </w:r>
    </w:p>
    <w:p w14:paraId="397EA3B1" w14:textId="77777777" w:rsidR="00C50940" w:rsidRPr="005C2370" w:rsidRDefault="00C50940" w:rsidP="00C50940">
      <w:pPr>
        <w:spacing w:after="0" w:line="240" w:lineRule="auto"/>
        <w:ind w:firstLine="284"/>
        <w:jc w:val="both"/>
        <w:rPr>
          <w:rFonts w:ascii="Garamond" w:hAnsi="Garamond" w:cs="Times New Roman"/>
          <w:sz w:val="24"/>
          <w:szCs w:val="24"/>
          <w:lang w:val="sq-AL"/>
        </w:rPr>
      </w:pPr>
      <w:r w:rsidRPr="005C2370">
        <w:rPr>
          <w:rFonts w:ascii="Garamond" w:hAnsi="Garamond" w:cs="Times New Roman"/>
          <w:sz w:val="24"/>
          <w:szCs w:val="24"/>
          <w:lang w:val="sq-AL"/>
        </w:rPr>
        <w:t>“e) Në vijim, autoriteti/enti kontraktor identifikon ofertën më të mirë dhe shpall ofertuesin fitues. Në përfundim të afateve të ankimit, autoriteti/enti kontraktor fton ofertuesin fitues për të nënshkruar kontratën.”.</w:t>
      </w:r>
    </w:p>
    <w:p w14:paraId="397EA3B2" w14:textId="3C5EB5A9"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8. Në nenin 55, “Procedurë e hapur e thjeshtuar”, në shkronjën “a”, të paragrafit të tretë, të pikës 4, fjalët “</w:t>
      </w:r>
      <w:r w:rsidR="005C2370">
        <w:rPr>
          <w:rFonts w:ascii="Garamond" w:hAnsi="Garamond" w:cs="Times New Roman"/>
          <w:color w:val="000000"/>
          <w:sz w:val="24"/>
          <w:szCs w:val="24"/>
          <w:lang w:val="sq-AL"/>
        </w:rPr>
        <w:t>...</w:t>
      </w:r>
      <w:r w:rsidRPr="005C2370">
        <w:rPr>
          <w:rFonts w:ascii="Garamond" w:hAnsi="Garamond" w:cs="Times New Roman"/>
          <w:color w:val="000000"/>
          <w:sz w:val="24"/>
          <w:szCs w:val="24"/>
          <w:lang w:val="sq-AL"/>
        </w:rPr>
        <w:t xml:space="preserve"> vlerës së përllogaritur të kontratës </w:t>
      </w:r>
      <w:r w:rsidR="005C2370">
        <w:rPr>
          <w:rFonts w:ascii="Garamond" w:hAnsi="Garamond" w:cs="Times New Roman"/>
          <w:color w:val="000000"/>
          <w:sz w:val="24"/>
          <w:szCs w:val="24"/>
          <w:lang w:val="sq-AL"/>
        </w:rPr>
        <w:t>...</w:t>
      </w:r>
      <w:r w:rsidRPr="005C2370">
        <w:rPr>
          <w:rFonts w:ascii="Garamond" w:hAnsi="Garamond" w:cs="Times New Roman"/>
          <w:color w:val="000000"/>
          <w:sz w:val="24"/>
          <w:szCs w:val="24"/>
          <w:lang w:val="sq-AL"/>
        </w:rPr>
        <w:t>” dhe</w:t>
      </w:r>
      <w:r w:rsidR="005C2370" w:rsidRPr="005C2370">
        <w:rPr>
          <w:rFonts w:ascii="Garamond" w:hAnsi="Garamond" w:cs="Times New Roman"/>
          <w:color w:val="000000"/>
          <w:sz w:val="24"/>
          <w:szCs w:val="24"/>
          <w:lang w:val="sq-AL"/>
        </w:rPr>
        <w:t xml:space="preserve"> </w:t>
      </w:r>
      <w:r w:rsidRPr="005C2370">
        <w:rPr>
          <w:rFonts w:ascii="Garamond" w:hAnsi="Garamond" w:cs="Times New Roman"/>
          <w:color w:val="000000"/>
          <w:sz w:val="24"/>
          <w:szCs w:val="24"/>
          <w:lang w:val="sq-AL"/>
        </w:rPr>
        <w:t>“</w:t>
      </w:r>
      <w:r w:rsidR="005C2370">
        <w:rPr>
          <w:rFonts w:ascii="Garamond" w:hAnsi="Garamond" w:cs="Times New Roman"/>
          <w:color w:val="000000"/>
          <w:sz w:val="24"/>
          <w:szCs w:val="24"/>
          <w:lang w:val="sq-AL"/>
        </w:rPr>
        <w:t>...</w:t>
      </w:r>
      <w:r w:rsidRPr="005C2370">
        <w:rPr>
          <w:rFonts w:ascii="Garamond" w:hAnsi="Garamond" w:cs="Times New Roman"/>
          <w:color w:val="000000"/>
          <w:sz w:val="24"/>
          <w:szCs w:val="24"/>
          <w:lang w:val="sq-AL"/>
        </w:rPr>
        <w:t xml:space="preserve"> vlera limit e kontratës </w:t>
      </w:r>
      <w:r w:rsidR="005C2370">
        <w:rPr>
          <w:rFonts w:ascii="Garamond" w:hAnsi="Garamond" w:cs="Times New Roman"/>
          <w:color w:val="000000"/>
          <w:sz w:val="24"/>
          <w:szCs w:val="24"/>
          <w:lang w:val="sq-AL"/>
        </w:rPr>
        <w:t>...</w:t>
      </w:r>
      <w:r w:rsidRPr="005C2370">
        <w:rPr>
          <w:rFonts w:ascii="Garamond" w:hAnsi="Garamond" w:cs="Times New Roman"/>
          <w:color w:val="000000"/>
          <w:sz w:val="24"/>
          <w:szCs w:val="24"/>
          <w:lang w:val="sq-AL"/>
        </w:rPr>
        <w:t>” zëvendësohen, përkatësisht, me “</w:t>
      </w:r>
      <w:r w:rsidR="005C2370">
        <w:rPr>
          <w:rFonts w:ascii="Garamond" w:hAnsi="Garamond" w:cs="Times New Roman"/>
          <w:color w:val="000000"/>
          <w:sz w:val="24"/>
          <w:szCs w:val="24"/>
          <w:lang w:val="sq-AL"/>
        </w:rPr>
        <w:t>...</w:t>
      </w:r>
      <w:r w:rsidRPr="005C2370">
        <w:rPr>
          <w:rFonts w:ascii="Garamond" w:hAnsi="Garamond" w:cs="Times New Roman"/>
          <w:color w:val="000000"/>
          <w:sz w:val="24"/>
          <w:szCs w:val="24"/>
          <w:lang w:val="sq-AL"/>
        </w:rPr>
        <w:t xml:space="preserve"> vlerës së përllogaritur të kontratës ose lotit </w:t>
      </w:r>
      <w:r w:rsidR="005C2370">
        <w:rPr>
          <w:rFonts w:ascii="Garamond" w:hAnsi="Garamond" w:cs="Times New Roman"/>
          <w:color w:val="000000"/>
          <w:sz w:val="24"/>
          <w:szCs w:val="24"/>
          <w:lang w:val="sq-AL"/>
        </w:rPr>
        <w:t>...</w:t>
      </w:r>
      <w:r w:rsidRPr="005C2370">
        <w:rPr>
          <w:rFonts w:ascii="Garamond" w:hAnsi="Garamond" w:cs="Times New Roman"/>
          <w:color w:val="000000"/>
          <w:sz w:val="24"/>
          <w:szCs w:val="24"/>
          <w:lang w:val="sq-AL"/>
        </w:rPr>
        <w:t>” dhe “</w:t>
      </w:r>
      <w:r w:rsidR="005C2370">
        <w:rPr>
          <w:rFonts w:ascii="Garamond" w:hAnsi="Garamond" w:cs="Times New Roman"/>
          <w:color w:val="000000"/>
          <w:sz w:val="24"/>
          <w:szCs w:val="24"/>
          <w:lang w:val="sq-AL"/>
        </w:rPr>
        <w:t>...</w:t>
      </w:r>
      <w:r w:rsidRPr="005C2370">
        <w:rPr>
          <w:rFonts w:ascii="Garamond" w:hAnsi="Garamond" w:cs="Times New Roman"/>
          <w:color w:val="000000"/>
          <w:sz w:val="24"/>
          <w:szCs w:val="24"/>
          <w:lang w:val="sq-AL"/>
        </w:rPr>
        <w:t xml:space="preserve"> vlera limit e kontratës ose lotit </w:t>
      </w:r>
      <w:r w:rsidR="005C2370">
        <w:rPr>
          <w:rFonts w:ascii="Garamond" w:hAnsi="Garamond" w:cs="Times New Roman"/>
          <w:color w:val="000000"/>
          <w:sz w:val="24"/>
          <w:szCs w:val="24"/>
          <w:lang w:val="sq-AL"/>
        </w:rPr>
        <w:t>...</w:t>
      </w:r>
      <w:r w:rsidRPr="005C2370">
        <w:rPr>
          <w:rFonts w:ascii="Garamond" w:hAnsi="Garamond" w:cs="Times New Roman"/>
          <w:color w:val="000000"/>
          <w:sz w:val="24"/>
          <w:szCs w:val="24"/>
          <w:lang w:val="sq-AL"/>
        </w:rPr>
        <w:t>”.</w:t>
      </w:r>
    </w:p>
    <w:p w14:paraId="397EA3B3" w14:textId="186BF8A7"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9.</w:t>
      </w:r>
      <w:r w:rsidR="005C2370" w:rsidRPr="005C2370">
        <w:rPr>
          <w:rFonts w:ascii="Garamond" w:hAnsi="Garamond" w:cs="Times New Roman"/>
          <w:color w:val="000000"/>
          <w:sz w:val="24"/>
          <w:szCs w:val="24"/>
          <w:lang w:val="sq-AL"/>
        </w:rPr>
        <w:t xml:space="preserve"> </w:t>
      </w:r>
      <w:r w:rsidRPr="005C2370">
        <w:rPr>
          <w:rFonts w:ascii="Garamond" w:hAnsi="Garamond" w:cs="Times New Roman"/>
          <w:color w:val="000000"/>
          <w:sz w:val="24"/>
          <w:szCs w:val="24"/>
          <w:lang w:val="sq-AL"/>
        </w:rPr>
        <w:t>Në nenin 62, “Rregulla për prokurimin e marrëveshjes kuadër”, në pikën 5, pas paragrafit të parë shtohet paragrafi, me këtë përmbajtje:</w:t>
      </w:r>
    </w:p>
    <w:p w14:paraId="397EA3B4" w14:textId="77777777" w:rsidR="00C50940" w:rsidRPr="005C2370" w:rsidRDefault="00C50940" w:rsidP="00C50940">
      <w:pPr>
        <w:spacing w:after="0" w:line="240" w:lineRule="auto"/>
        <w:ind w:firstLine="284"/>
        <w:jc w:val="both"/>
        <w:rPr>
          <w:rFonts w:ascii="Garamond" w:hAnsi="Garamond" w:cs="Times New Roman"/>
          <w:sz w:val="24"/>
          <w:szCs w:val="24"/>
          <w:lang w:val="sq-AL"/>
        </w:rPr>
      </w:pPr>
      <w:r w:rsidRPr="005C2370">
        <w:rPr>
          <w:rFonts w:ascii="Garamond" w:hAnsi="Garamond" w:cs="Times New Roman"/>
          <w:sz w:val="24"/>
          <w:szCs w:val="24"/>
          <w:lang w:val="sq-AL"/>
        </w:rPr>
        <w:t>“Kur, autoriteti/enti kontraktor vendos vlerësimin e ofertave mbi bazën e “çmim për njësi”, përveç vlerës së pritshme të kontratave përllogarit edhe shumatoren e çmimeve për njësi për çdo artikull apo shërbim, e cila publikohet bashkë me vlerën e pritshme të kontratave në njoftimin e kontratës. Në këtë rast, ofertimi nga operatorët ekonomikë do të bëhet me shumatoren e çmimeve për njësi. Për efekt krahasimi, vlerësimi i ofertave të paraqitura do të bëhet mbi bazën e shumatores së çmimeve për njësi, të përllogaritur për çdo artikull apo shërbim nga autoriteti/enti kontraktor.”.</w:t>
      </w:r>
    </w:p>
    <w:p w14:paraId="397EA3B5" w14:textId="7B7297AD"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10. Në nenin 67, “Prokurimi i përqendruar dhe delegimi i prokurimit”, në pikën</w:t>
      </w:r>
      <w:r w:rsidR="005C2370" w:rsidRPr="005C2370">
        <w:rPr>
          <w:rFonts w:ascii="Garamond" w:hAnsi="Garamond" w:cs="Times New Roman"/>
          <w:color w:val="000000"/>
          <w:sz w:val="24"/>
          <w:szCs w:val="24"/>
          <w:lang w:val="sq-AL"/>
        </w:rPr>
        <w:t xml:space="preserve"> </w:t>
      </w:r>
      <w:r w:rsidRPr="005C2370">
        <w:rPr>
          <w:rFonts w:ascii="Garamond" w:hAnsi="Garamond" w:cs="Times New Roman"/>
          <w:color w:val="000000"/>
          <w:sz w:val="24"/>
          <w:szCs w:val="24"/>
          <w:lang w:val="sq-AL"/>
        </w:rPr>
        <w:t>2</w:t>
      </w:r>
      <w:r w:rsidR="003E6B8B">
        <w:rPr>
          <w:rFonts w:ascii="Garamond" w:hAnsi="Garamond" w:cs="Times New Roman"/>
          <w:color w:val="000000"/>
          <w:sz w:val="24"/>
          <w:szCs w:val="24"/>
          <w:lang w:val="sq-AL"/>
        </w:rPr>
        <w:t>,</w:t>
      </w:r>
      <w:r w:rsidRPr="005C2370">
        <w:rPr>
          <w:rFonts w:ascii="Garamond" w:hAnsi="Garamond" w:cs="Times New Roman"/>
          <w:color w:val="000000"/>
          <w:sz w:val="24"/>
          <w:szCs w:val="24"/>
          <w:lang w:val="sq-AL"/>
        </w:rPr>
        <w:t xml:space="preserve"> shtohet pika 2.1, me këtë përmbajtje:</w:t>
      </w:r>
    </w:p>
    <w:p w14:paraId="397EA3B6" w14:textId="77777777"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“2.1 Me kërkesë të një autoriteti ose enti kontraktor ose me nismën e vet, Këshilli i Ministrave, sipas pikës 2, të nenit 53, të LPP-së, mund të ngarkojë për procedura të veçanta prokurimi një autoritet ose ent tjetër kontraktor si organ qendror blerës.”.</w:t>
      </w:r>
    </w:p>
    <w:p w14:paraId="397EA3B7" w14:textId="1C20ED97"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11. Në fund të pikës 9, të nenit 68, “Sistemi dinamik i blerjes”, shtohen fjalët “</w:t>
      </w:r>
      <w:r w:rsidR="005C2370">
        <w:rPr>
          <w:rFonts w:ascii="Garamond" w:hAnsi="Garamond" w:cs="Times New Roman"/>
          <w:color w:val="000000"/>
          <w:sz w:val="24"/>
          <w:szCs w:val="24"/>
          <w:lang w:val="sq-AL"/>
        </w:rPr>
        <w:t>...</w:t>
      </w:r>
      <w:r w:rsidRPr="005C2370">
        <w:rPr>
          <w:rFonts w:ascii="Garamond" w:hAnsi="Garamond" w:cs="Times New Roman"/>
          <w:color w:val="000000"/>
          <w:sz w:val="24"/>
          <w:szCs w:val="24"/>
          <w:lang w:val="sq-AL"/>
        </w:rPr>
        <w:t xml:space="preserve">, për të cilin nuk zbatohen parashikimet e nenit 116, të LPP-së, për ankimin administrativ.”. </w:t>
      </w:r>
    </w:p>
    <w:p w14:paraId="397EA3B8" w14:textId="77777777"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12. Në nenin 107, “Zbatimi dhe mbikëqyrja e kontratës”, pas pikës 8 shtohen pikat 9 dhe 10, me këtë përmbajtje:</w:t>
      </w:r>
    </w:p>
    <w:p w14:paraId="397EA3B9" w14:textId="1C0D926C" w:rsidR="00C50940" w:rsidRPr="005C2370" w:rsidRDefault="00C50940" w:rsidP="00C50940">
      <w:pPr>
        <w:pStyle w:val="ListParagraph"/>
        <w:spacing w:after="0" w:line="240" w:lineRule="auto"/>
        <w:ind w:left="0" w:firstLine="284"/>
        <w:jc w:val="both"/>
        <w:rPr>
          <w:rFonts w:ascii="Garamond" w:hAnsi="Garamond" w:cs="Times New Roman"/>
          <w:color w:val="000000"/>
          <w:sz w:val="24"/>
          <w:szCs w:val="24"/>
          <w:lang w:val="sq-AL"/>
        </w:rPr>
      </w:pPr>
      <w:r w:rsidRPr="005C2370">
        <w:rPr>
          <w:rFonts w:ascii="Garamond" w:hAnsi="Garamond" w:cs="Times New Roman"/>
          <w:color w:val="000000"/>
          <w:sz w:val="24"/>
          <w:szCs w:val="24"/>
          <w:lang w:val="sq-AL"/>
        </w:rPr>
        <w:t xml:space="preserve"> “9. Gjatë kohës së zbatimit të kontratës për furnizimin me karburant, gazoil, benzol dhe karburant për ngrohje, vlera absolute e normës së fitimit nuk do të ndryshojë gjatë ekzekutimit të kontratës, në rast të luhatjes së çmimeve. Nëse çmimi gjatë kohës së zbatimit të kontratës për furnizimin me karburant, gazoil, benzol dhe karburant për ngrohje ndryshon në raport me çmimin e kontratës, atëherë autoritetet/entet kontraktore duhet të bëjnë likuidimin e mallit sipas faturave periodike të shitjes, mbështetur në çmimin e bursës të publikuar në Buletinin e Njoftimeve Publike, i dërguar nga Drejtoria e Përgjithshme e Doganave, l</w:t>
      </w:r>
      <w:r w:rsidR="002918D7">
        <w:rPr>
          <w:rFonts w:ascii="Garamond" w:hAnsi="Garamond" w:cs="Times New Roman"/>
          <w:color w:val="000000"/>
          <w:sz w:val="24"/>
          <w:szCs w:val="24"/>
          <w:lang w:val="sq-AL"/>
        </w:rPr>
        <w:t>i</w:t>
      </w:r>
      <w:r w:rsidRPr="005C2370">
        <w:rPr>
          <w:rFonts w:ascii="Garamond" w:hAnsi="Garamond" w:cs="Times New Roman"/>
          <w:color w:val="000000"/>
          <w:sz w:val="24"/>
          <w:szCs w:val="24"/>
          <w:lang w:val="sq-AL"/>
        </w:rPr>
        <w:t>vruar sipas kushtit CIF-Shqipëri në këtë moment.</w:t>
      </w:r>
    </w:p>
    <w:p w14:paraId="397EA3BA" w14:textId="545BD289" w:rsidR="00C50940" w:rsidRPr="005C2370" w:rsidRDefault="00C50940" w:rsidP="00C50940">
      <w:pPr>
        <w:pStyle w:val="BodyText"/>
        <w:ind w:firstLine="284"/>
        <w:rPr>
          <w:rFonts w:ascii="Garamond" w:hAnsi="Garamond"/>
          <w:color w:val="000000"/>
          <w:lang w:val="sq-AL"/>
        </w:rPr>
      </w:pPr>
      <w:r w:rsidRPr="005C2370">
        <w:rPr>
          <w:rFonts w:ascii="Garamond" w:hAnsi="Garamond"/>
          <w:color w:val="000000"/>
          <w:lang w:val="sq-AL"/>
        </w:rPr>
        <w:t xml:space="preserve">10. Autoriteti kontraktor, para pagimit të faturës së mallit duhet të kontrollojë përqindjen e pranuar të rritjes apo të uljes të çmimit të bursës, të publikuar në Buletinin e Njoftimeve Publike, </w:t>
      </w:r>
      <w:r w:rsidRPr="005C2370">
        <w:rPr>
          <w:rFonts w:ascii="Garamond" w:hAnsi="Garamond"/>
          <w:color w:val="000000"/>
          <w:lang w:val="sq-AL"/>
        </w:rPr>
        <w:lastRenderedPageBreak/>
        <w:t>dërguar nga Drejtoria e Përgjithshme e Doganave l</w:t>
      </w:r>
      <w:r w:rsidR="002918D7">
        <w:rPr>
          <w:rFonts w:ascii="Garamond" w:hAnsi="Garamond"/>
          <w:color w:val="000000"/>
          <w:lang w:val="sq-AL"/>
        </w:rPr>
        <w:t>i</w:t>
      </w:r>
      <w:r w:rsidRPr="005C2370">
        <w:rPr>
          <w:rFonts w:ascii="Garamond" w:hAnsi="Garamond"/>
          <w:color w:val="000000"/>
          <w:lang w:val="sq-AL"/>
        </w:rPr>
        <w:t>vruar</w:t>
      </w:r>
      <w:r w:rsidR="002918D7">
        <w:rPr>
          <w:rFonts w:ascii="Garamond" w:hAnsi="Garamond"/>
          <w:color w:val="000000"/>
          <w:lang w:val="sq-AL"/>
        </w:rPr>
        <w:t>,</w:t>
      </w:r>
      <w:r w:rsidRPr="005C2370">
        <w:rPr>
          <w:rFonts w:ascii="Garamond" w:hAnsi="Garamond"/>
          <w:color w:val="000000"/>
          <w:lang w:val="sq-AL"/>
        </w:rPr>
        <w:t xml:space="preserve"> sipas kushtit CIF-Shqipëri, në momentin e shitjes së mallit, objekt kontrate, autoriteteve kontraktore, si dhe cilësinë e mallit të l</w:t>
      </w:r>
      <w:r w:rsidR="00801C57">
        <w:rPr>
          <w:rFonts w:ascii="Garamond" w:hAnsi="Garamond"/>
          <w:color w:val="000000"/>
          <w:lang w:val="sq-AL"/>
        </w:rPr>
        <w:t>i</w:t>
      </w:r>
      <w:r w:rsidRPr="005C2370">
        <w:rPr>
          <w:rFonts w:ascii="Garamond" w:hAnsi="Garamond"/>
          <w:color w:val="000000"/>
          <w:lang w:val="sq-AL"/>
        </w:rPr>
        <w:t>vruar, nëse është e njëjtë me atë për të cilën është shpallur fitues kontraktori.”.</w:t>
      </w:r>
    </w:p>
    <w:p w14:paraId="397EA3BB" w14:textId="77777777" w:rsidR="00C50940" w:rsidRPr="005C2370" w:rsidRDefault="00C50940" w:rsidP="00C50940">
      <w:pPr>
        <w:pStyle w:val="Header"/>
        <w:ind w:firstLine="284"/>
        <w:jc w:val="both"/>
        <w:rPr>
          <w:rFonts w:ascii="Garamond" w:hAnsi="Garamond"/>
          <w:color w:val="000000"/>
        </w:rPr>
      </w:pPr>
      <w:r w:rsidRPr="005C2370">
        <w:rPr>
          <w:rFonts w:ascii="Garamond" w:hAnsi="Garamond"/>
          <w:color w:val="000000"/>
        </w:rPr>
        <w:t>Ky vendim hyn në fuqi pas botimit në Fletoren Zyrtare.</w:t>
      </w:r>
    </w:p>
    <w:p w14:paraId="397EA3BC" w14:textId="77777777" w:rsidR="00C50940" w:rsidRPr="005C2370" w:rsidRDefault="00C50940" w:rsidP="00C50940">
      <w:pPr>
        <w:spacing w:after="0" w:line="240" w:lineRule="auto"/>
        <w:ind w:firstLine="284"/>
        <w:jc w:val="both"/>
        <w:rPr>
          <w:rFonts w:ascii="Garamond" w:hAnsi="Garamond" w:cs="Garamond"/>
          <w:sz w:val="24"/>
          <w:szCs w:val="24"/>
          <w:lang w:val="sq-AL"/>
        </w:rPr>
      </w:pPr>
    </w:p>
    <w:p w14:paraId="397EA3BD" w14:textId="77777777" w:rsidR="00C50940" w:rsidRPr="005C2370" w:rsidRDefault="00C50940" w:rsidP="00C50940">
      <w:pPr>
        <w:spacing w:after="0" w:line="240" w:lineRule="auto"/>
        <w:ind w:firstLine="284"/>
        <w:jc w:val="right"/>
        <w:rPr>
          <w:rFonts w:ascii="Garamond" w:hAnsi="Garamond" w:cs="Garamond"/>
          <w:sz w:val="24"/>
          <w:szCs w:val="24"/>
          <w:lang w:val="sq-AL"/>
        </w:rPr>
      </w:pPr>
      <w:r w:rsidRPr="005C2370">
        <w:rPr>
          <w:rFonts w:ascii="Garamond" w:hAnsi="Garamond" w:cs="Garamond"/>
          <w:sz w:val="24"/>
          <w:szCs w:val="24"/>
          <w:lang w:val="sq-AL"/>
        </w:rPr>
        <w:t>ZËVENDËSKRYEMINISTËR</w:t>
      </w:r>
    </w:p>
    <w:p w14:paraId="397EA3BE" w14:textId="77777777" w:rsidR="00C50940" w:rsidRPr="005C2370" w:rsidRDefault="00C50940" w:rsidP="00C50940">
      <w:pPr>
        <w:spacing w:after="0" w:line="240" w:lineRule="auto"/>
        <w:ind w:firstLine="284"/>
        <w:jc w:val="right"/>
        <w:rPr>
          <w:rFonts w:ascii="Garamond" w:hAnsi="Garamond" w:cs="Garamond"/>
          <w:b/>
          <w:bCs/>
          <w:sz w:val="24"/>
          <w:szCs w:val="24"/>
          <w:lang w:val="sq-AL"/>
        </w:rPr>
      </w:pPr>
      <w:r w:rsidRPr="005C2370">
        <w:rPr>
          <w:rFonts w:ascii="Garamond" w:hAnsi="Garamond" w:cs="Garamond"/>
          <w:b/>
          <w:bCs/>
          <w:sz w:val="24"/>
          <w:szCs w:val="24"/>
          <w:lang w:val="sq-AL"/>
        </w:rPr>
        <w:t>Arben Ahmetaj</w:t>
      </w:r>
    </w:p>
    <w:sectPr w:rsidR="00C50940" w:rsidRPr="005C2370" w:rsidSect="00E82D09">
      <w:footerReference w:type="default" r:id="rId14"/>
      <w:pgSz w:w="11907" w:h="16839" w:code="9"/>
      <w:pgMar w:top="1440" w:right="1440" w:bottom="9" w:left="1440" w:header="720" w:footer="46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624F4" w14:textId="77777777" w:rsidR="006823F7" w:rsidRDefault="006823F7" w:rsidP="00C5137E">
      <w:pPr>
        <w:spacing w:after="0" w:line="240" w:lineRule="auto"/>
      </w:pPr>
      <w:r>
        <w:separator/>
      </w:r>
    </w:p>
  </w:endnote>
  <w:endnote w:type="continuationSeparator" w:id="0">
    <w:p w14:paraId="1F401A04" w14:textId="77777777" w:rsidR="006823F7" w:rsidRDefault="006823F7" w:rsidP="00C5137E">
      <w:pPr>
        <w:spacing w:after="0" w:line="240" w:lineRule="auto"/>
      </w:pPr>
      <w:r>
        <w:continuationSeparator/>
      </w:r>
    </w:p>
  </w:endnote>
  <w:endnote w:type="continuationNotice" w:id="1">
    <w:p w14:paraId="2CA52D2F" w14:textId="77777777" w:rsidR="006823F7" w:rsidRDefault="006823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EA3C3" w14:textId="77777777" w:rsidR="006823F7" w:rsidRPr="008D1BB4" w:rsidRDefault="006823F7">
    <w:pPr>
      <w:pStyle w:val="Footer"/>
      <w:jc w:val="right"/>
      <w:rPr>
        <w:rFonts w:ascii="Times New Roman" w:hAnsi="Times New Roman" w:cs="Times New Roman"/>
        <w:sz w:val="24"/>
      </w:rPr>
    </w:pPr>
  </w:p>
  <w:p w14:paraId="397EA3C4" w14:textId="77777777" w:rsidR="006823F7" w:rsidRDefault="006823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B9F5A" w14:textId="77777777" w:rsidR="006823F7" w:rsidRDefault="006823F7" w:rsidP="00C5137E">
      <w:pPr>
        <w:spacing w:after="0" w:line="240" w:lineRule="auto"/>
      </w:pPr>
      <w:r>
        <w:separator/>
      </w:r>
    </w:p>
  </w:footnote>
  <w:footnote w:type="continuationSeparator" w:id="0">
    <w:p w14:paraId="21E84A2D" w14:textId="77777777" w:rsidR="006823F7" w:rsidRDefault="006823F7" w:rsidP="00C5137E">
      <w:pPr>
        <w:spacing w:after="0" w:line="240" w:lineRule="auto"/>
      </w:pPr>
      <w:r>
        <w:continuationSeparator/>
      </w:r>
    </w:p>
  </w:footnote>
  <w:footnote w:type="continuationNotice" w:id="1">
    <w:p w14:paraId="2A95F9D7" w14:textId="77777777" w:rsidR="006823F7" w:rsidRDefault="006823F7">
      <w:pPr>
        <w:spacing w:after="0" w:line="240" w:lineRule="auto"/>
      </w:pPr>
    </w:p>
  </w:footnote>
  <w:footnote w:id="2">
    <w:p w14:paraId="397EA3C5" w14:textId="77777777" w:rsidR="006823F7" w:rsidRPr="005C2370" w:rsidRDefault="006823F7" w:rsidP="005F41D5">
      <w:pPr>
        <w:spacing w:after="0" w:line="240" w:lineRule="auto"/>
        <w:rPr>
          <w:rFonts w:ascii="Garamond" w:eastAsiaTheme="minorHAnsi" w:hAnsi="Garamond" w:cs="Times New Roman"/>
          <w:sz w:val="20"/>
          <w:szCs w:val="20"/>
          <w:lang w:val="sq-AL" w:eastAsia="en-US"/>
        </w:rPr>
      </w:pPr>
      <w:r w:rsidRPr="005C2370">
        <w:rPr>
          <w:rStyle w:val="FootnoteReference"/>
          <w:rFonts w:ascii="Garamond" w:hAnsi="Garamond"/>
          <w:sz w:val="20"/>
          <w:szCs w:val="20"/>
          <w:lang w:val="sq-AL"/>
        </w:rPr>
        <w:footnoteRef/>
      </w:r>
      <w:r w:rsidRPr="005C2370">
        <w:rPr>
          <w:rFonts w:ascii="Garamond" w:hAnsi="Garamond"/>
          <w:sz w:val="20"/>
          <w:szCs w:val="20"/>
          <w:lang w:val="sq-AL"/>
        </w:rPr>
        <w:t xml:space="preserve"> </w:t>
      </w:r>
      <w:r w:rsidRPr="005C2370">
        <w:rPr>
          <w:rFonts w:ascii="Garamond" w:eastAsiaTheme="minorHAnsi" w:hAnsi="Garamond" w:cs="Times New Roman"/>
          <w:sz w:val="20"/>
          <w:szCs w:val="20"/>
          <w:lang w:val="sq-AL" w:eastAsia="en-US"/>
        </w:rPr>
        <w:t>Ky vendim është përafruar pjesërisht me:</w:t>
      </w:r>
    </w:p>
    <w:p w14:paraId="397EA3C6" w14:textId="4499B4BF" w:rsidR="006823F7" w:rsidRPr="005C2370" w:rsidRDefault="006823F7" w:rsidP="005F41D5">
      <w:pPr>
        <w:autoSpaceDE w:val="0"/>
        <w:autoSpaceDN w:val="0"/>
        <w:adjustRightInd w:val="0"/>
        <w:spacing w:after="0" w:line="240" w:lineRule="auto"/>
        <w:jc w:val="both"/>
        <w:rPr>
          <w:rFonts w:ascii="Garamond" w:eastAsiaTheme="minorHAnsi" w:hAnsi="Garamond" w:cs="Times New Roman"/>
          <w:sz w:val="20"/>
          <w:szCs w:val="20"/>
          <w:lang w:val="sq-AL" w:eastAsia="en-US"/>
        </w:rPr>
      </w:pPr>
      <w:r w:rsidRPr="005C2370">
        <w:rPr>
          <w:rFonts w:ascii="Garamond" w:eastAsiaTheme="minorHAnsi" w:hAnsi="Garamond"/>
          <w:sz w:val="20"/>
          <w:szCs w:val="20"/>
          <w:lang w:val="sq-AL" w:eastAsia="en-US"/>
        </w:rPr>
        <w:t xml:space="preserve">- </w:t>
      </w:r>
      <w:r w:rsidRPr="005C2370">
        <w:rPr>
          <w:rFonts w:ascii="Garamond" w:eastAsiaTheme="minorHAnsi" w:hAnsi="Garamond" w:cs="Times New Roman"/>
          <w:sz w:val="20"/>
          <w:szCs w:val="20"/>
          <w:lang w:val="sq-AL" w:eastAsia="en-US"/>
        </w:rPr>
        <w:t xml:space="preserve">Direktivën 2014/24/BE të Parlamentit Evropian dhe </w:t>
      </w:r>
      <w:r>
        <w:rPr>
          <w:rFonts w:ascii="Garamond" w:eastAsiaTheme="minorHAnsi" w:hAnsi="Garamond" w:cs="Times New Roman"/>
          <w:sz w:val="20"/>
          <w:szCs w:val="20"/>
          <w:lang w:val="sq-AL" w:eastAsia="en-US"/>
        </w:rPr>
        <w:t xml:space="preserve">të </w:t>
      </w:r>
      <w:r w:rsidRPr="005C2370">
        <w:rPr>
          <w:rFonts w:ascii="Garamond" w:eastAsiaTheme="minorHAnsi" w:hAnsi="Garamond" w:cs="Times New Roman"/>
          <w:sz w:val="20"/>
          <w:szCs w:val="20"/>
          <w:lang w:val="sq-AL" w:eastAsia="en-US"/>
        </w:rPr>
        <w:t xml:space="preserve">Këshillit, datë 26 shkurt 2014, “Mbi prokurimin publik dhe që shfuqizon direktivën 2014/18/KE”, </w:t>
      </w:r>
      <w:r>
        <w:rPr>
          <w:rFonts w:ascii="Garamond" w:eastAsiaTheme="minorHAnsi" w:hAnsi="Garamond" w:cs="Times New Roman"/>
          <w:sz w:val="20"/>
          <w:szCs w:val="20"/>
          <w:lang w:val="sq-AL" w:eastAsia="en-US"/>
        </w:rPr>
        <w:t>të</w:t>
      </w:r>
      <w:r w:rsidRPr="005C2370">
        <w:rPr>
          <w:rFonts w:ascii="Garamond" w:eastAsiaTheme="minorHAnsi" w:hAnsi="Garamond" w:cs="Times New Roman"/>
          <w:sz w:val="20"/>
          <w:szCs w:val="20"/>
          <w:lang w:val="sq-AL" w:eastAsia="en-US"/>
        </w:rPr>
        <w:t xml:space="preserve"> ndryshua</w:t>
      </w:r>
      <w:r>
        <w:rPr>
          <w:rFonts w:ascii="Garamond" w:eastAsiaTheme="minorHAnsi" w:hAnsi="Garamond" w:cs="Times New Roman"/>
          <w:sz w:val="20"/>
          <w:szCs w:val="20"/>
          <w:lang w:val="sq-AL" w:eastAsia="en-US"/>
        </w:rPr>
        <w:t>r”, me numër CELEX 32014L0024, Fletorja Zyrtare</w:t>
      </w:r>
      <w:r w:rsidRPr="005C2370">
        <w:rPr>
          <w:rFonts w:ascii="Garamond" w:eastAsiaTheme="minorHAnsi" w:hAnsi="Garamond" w:cs="Times New Roman"/>
          <w:sz w:val="20"/>
          <w:szCs w:val="20"/>
          <w:lang w:val="sq-AL" w:eastAsia="en-US"/>
        </w:rPr>
        <w:t xml:space="preserve"> e Bashkimit Evropian</w:t>
      </w:r>
      <w:r>
        <w:rPr>
          <w:rFonts w:ascii="Garamond" w:eastAsiaTheme="minorHAnsi" w:hAnsi="Garamond" w:cs="Times New Roman"/>
          <w:sz w:val="20"/>
          <w:szCs w:val="20"/>
          <w:lang w:val="sq-AL" w:eastAsia="en-US"/>
        </w:rPr>
        <w:t>,</w:t>
      </w:r>
      <w:r w:rsidRPr="005C2370">
        <w:rPr>
          <w:rFonts w:ascii="Garamond" w:eastAsiaTheme="minorHAnsi" w:hAnsi="Garamond" w:cs="Times New Roman"/>
          <w:sz w:val="20"/>
          <w:szCs w:val="20"/>
          <w:lang w:val="sq-AL" w:eastAsia="en-US"/>
        </w:rPr>
        <w:t xml:space="preserve"> seria L, nr.</w:t>
      </w:r>
      <w:r>
        <w:rPr>
          <w:rFonts w:ascii="Garamond" w:eastAsiaTheme="minorHAnsi" w:hAnsi="Garamond" w:cs="Times New Roman"/>
          <w:sz w:val="20"/>
          <w:szCs w:val="20"/>
          <w:lang w:val="sq-AL" w:eastAsia="en-US"/>
        </w:rPr>
        <w:t xml:space="preserve"> </w:t>
      </w:r>
      <w:r w:rsidRPr="005C2370">
        <w:rPr>
          <w:rFonts w:ascii="Garamond" w:eastAsiaTheme="minorHAnsi" w:hAnsi="Garamond" w:cs="Times New Roman"/>
          <w:sz w:val="20"/>
          <w:szCs w:val="20"/>
          <w:lang w:val="sq-AL" w:eastAsia="en-US"/>
        </w:rPr>
        <w:t>94, datë 28.3.2014, faqe 65</w:t>
      </w:r>
      <w:r>
        <w:rPr>
          <w:rFonts w:ascii="Garamond" w:eastAsiaTheme="minorHAnsi" w:hAnsi="Garamond" w:cs="Times New Roman"/>
          <w:sz w:val="20"/>
          <w:szCs w:val="20"/>
          <w:lang w:val="sq-AL" w:eastAsia="en-US"/>
        </w:rPr>
        <w:t>–</w:t>
      </w:r>
      <w:r w:rsidRPr="005C2370">
        <w:rPr>
          <w:rFonts w:ascii="Garamond" w:eastAsiaTheme="minorHAnsi" w:hAnsi="Garamond" w:cs="Times New Roman"/>
          <w:sz w:val="20"/>
          <w:szCs w:val="20"/>
          <w:lang w:val="sq-AL" w:eastAsia="en-US"/>
        </w:rPr>
        <w:t>242;</w:t>
      </w:r>
    </w:p>
    <w:p w14:paraId="397EA3C7" w14:textId="57B7CC4A" w:rsidR="006823F7" w:rsidRPr="005C2370" w:rsidRDefault="006823F7" w:rsidP="005F41D5">
      <w:pPr>
        <w:autoSpaceDE w:val="0"/>
        <w:autoSpaceDN w:val="0"/>
        <w:adjustRightInd w:val="0"/>
        <w:spacing w:after="0" w:line="240" w:lineRule="auto"/>
        <w:jc w:val="both"/>
        <w:rPr>
          <w:rFonts w:ascii="Garamond" w:eastAsiaTheme="minorHAnsi" w:hAnsi="Garamond" w:cs="Times New Roman"/>
          <w:sz w:val="20"/>
          <w:szCs w:val="20"/>
          <w:lang w:val="sq-AL" w:eastAsia="en-US"/>
        </w:rPr>
      </w:pPr>
      <w:r w:rsidRPr="005C2370">
        <w:rPr>
          <w:rFonts w:ascii="Garamond" w:eastAsiaTheme="minorHAnsi" w:hAnsi="Garamond"/>
          <w:sz w:val="20"/>
          <w:szCs w:val="20"/>
          <w:lang w:val="sq-AL" w:eastAsia="en-US"/>
        </w:rPr>
        <w:t xml:space="preserve">- </w:t>
      </w:r>
      <w:r w:rsidRPr="005C2370">
        <w:rPr>
          <w:rFonts w:ascii="Garamond" w:eastAsiaTheme="minorHAnsi" w:hAnsi="Garamond" w:cs="Times New Roman"/>
          <w:sz w:val="20"/>
          <w:szCs w:val="20"/>
          <w:lang w:val="sq-AL" w:eastAsia="en-US"/>
        </w:rPr>
        <w:t xml:space="preserve">Direktivën 2014/25/BE </w:t>
      </w:r>
      <w:r>
        <w:rPr>
          <w:rFonts w:ascii="Garamond" w:eastAsiaTheme="minorHAnsi" w:hAnsi="Garamond" w:cs="Times New Roman"/>
          <w:sz w:val="20"/>
          <w:szCs w:val="20"/>
          <w:lang w:val="sq-AL" w:eastAsia="en-US"/>
        </w:rPr>
        <w:t>të</w:t>
      </w:r>
      <w:r w:rsidRPr="005C2370">
        <w:rPr>
          <w:rFonts w:ascii="Garamond" w:eastAsiaTheme="minorHAnsi" w:hAnsi="Garamond" w:cs="Times New Roman"/>
          <w:sz w:val="20"/>
          <w:szCs w:val="20"/>
          <w:lang w:val="sq-AL" w:eastAsia="en-US"/>
        </w:rPr>
        <w:t xml:space="preserve"> Parlamentit Evropian dhe </w:t>
      </w:r>
      <w:r>
        <w:rPr>
          <w:rFonts w:ascii="Garamond" w:eastAsiaTheme="minorHAnsi" w:hAnsi="Garamond" w:cs="Times New Roman"/>
          <w:sz w:val="20"/>
          <w:szCs w:val="20"/>
          <w:lang w:val="sq-AL" w:eastAsia="en-US"/>
        </w:rPr>
        <w:t>të</w:t>
      </w:r>
      <w:r w:rsidRPr="005C2370">
        <w:rPr>
          <w:rFonts w:ascii="Garamond" w:eastAsiaTheme="minorHAnsi" w:hAnsi="Garamond" w:cs="Times New Roman"/>
          <w:sz w:val="20"/>
          <w:szCs w:val="20"/>
          <w:lang w:val="sq-AL" w:eastAsia="en-US"/>
        </w:rPr>
        <w:t xml:space="preserve"> Këshillit, datë 26 shkurt 2014, “Për prokurimin nga entitete që operojnë në sektorët e ujit, energjisë, transportit dhe shërbimeve postare dhe që shfuqizon direktivën 2004/17/KE”, </w:t>
      </w:r>
      <w:r>
        <w:rPr>
          <w:rFonts w:ascii="Garamond" w:eastAsiaTheme="minorHAnsi" w:hAnsi="Garamond" w:cs="Times New Roman"/>
          <w:sz w:val="20"/>
          <w:szCs w:val="20"/>
          <w:lang w:val="sq-AL" w:eastAsia="en-US"/>
        </w:rPr>
        <w:t>të</w:t>
      </w:r>
      <w:r w:rsidRPr="005C2370">
        <w:rPr>
          <w:rFonts w:ascii="Garamond" w:eastAsiaTheme="minorHAnsi" w:hAnsi="Garamond" w:cs="Times New Roman"/>
          <w:sz w:val="20"/>
          <w:szCs w:val="20"/>
          <w:lang w:val="sq-AL" w:eastAsia="en-US"/>
        </w:rPr>
        <w:t xml:space="preserve"> ndryshua</w:t>
      </w:r>
      <w:r>
        <w:rPr>
          <w:rFonts w:ascii="Garamond" w:eastAsiaTheme="minorHAnsi" w:hAnsi="Garamond" w:cs="Times New Roman"/>
          <w:sz w:val="20"/>
          <w:szCs w:val="20"/>
          <w:lang w:val="sq-AL" w:eastAsia="en-US"/>
        </w:rPr>
        <w:t>r”, me numër CELEX 32014L0025, Fletorja Zyrtare</w:t>
      </w:r>
      <w:r w:rsidRPr="005C2370">
        <w:rPr>
          <w:rFonts w:ascii="Garamond" w:eastAsiaTheme="minorHAnsi" w:hAnsi="Garamond" w:cs="Times New Roman"/>
          <w:sz w:val="20"/>
          <w:szCs w:val="20"/>
          <w:lang w:val="sq-AL" w:eastAsia="en-US"/>
        </w:rPr>
        <w:t xml:space="preserve"> e Bashkimit Evropian, seria L, numër 94, datë 28.3.2014, faqe 243–374.</w:t>
      </w:r>
    </w:p>
    <w:p w14:paraId="397EA3C8" w14:textId="77777777" w:rsidR="006823F7" w:rsidRPr="005C2370" w:rsidRDefault="006823F7" w:rsidP="005F41D5">
      <w:pPr>
        <w:pStyle w:val="FootnoteText"/>
        <w:rPr>
          <w:rFonts w:ascii="Garamond" w:hAnsi="Garamond"/>
          <w:lang w:val="sq-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23186"/>
    <w:multiLevelType w:val="hybridMultilevel"/>
    <w:tmpl w:val="B68A4F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34B1EF0"/>
    <w:multiLevelType w:val="hybridMultilevel"/>
    <w:tmpl w:val="A5F09BCE"/>
    <w:lvl w:ilvl="0" w:tplc="06E6F7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8C6F52"/>
    <w:multiLevelType w:val="hybridMultilevel"/>
    <w:tmpl w:val="D2A0D152"/>
    <w:lvl w:ilvl="0" w:tplc="C36EEA82">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3571AC0"/>
    <w:multiLevelType w:val="hybridMultilevel"/>
    <w:tmpl w:val="72906B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DA03AC"/>
    <w:multiLevelType w:val="hybridMultilevel"/>
    <w:tmpl w:val="3724DFDE"/>
    <w:lvl w:ilvl="0" w:tplc="04090017">
      <w:start w:val="1"/>
      <w:numFmt w:val="lowerLetter"/>
      <w:lvlText w:val="%1)"/>
      <w:lvlJc w:val="left"/>
      <w:pPr>
        <w:ind w:left="13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DAE4D9E"/>
    <w:multiLevelType w:val="hybridMultilevel"/>
    <w:tmpl w:val="D750C8DA"/>
    <w:lvl w:ilvl="0" w:tplc="E0AA6592">
      <w:start w:val="1"/>
      <w:numFmt w:val="decimal"/>
      <w:lvlText w:val="%1."/>
      <w:lvlJc w:val="left"/>
      <w:pPr>
        <w:ind w:left="1080" w:hanging="360"/>
      </w:pPr>
      <w:rPr>
        <w:rFonts w:ascii="Times New Roman" w:hAnsi="Times New Roman" w:cs="Times New Roman" w:hint="default"/>
        <w:b w:val="0"/>
        <w:sz w:val="28"/>
        <w:szCs w:val="28"/>
      </w:rPr>
    </w:lvl>
    <w:lvl w:ilvl="1" w:tplc="08090019">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6">
    <w:nsid w:val="4F483B2E"/>
    <w:multiLevelType w:val="hybridMultilevel"/>
    <w:tmpl w:val="4468DCE2"/>
    <w:lvl w:ilvl="0" w:tplc="AB263A9A">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1C70AD1"/>
    <w:multiLevelType w:val="hybridMultilevel"/>
    <w:tmpl w:val="3E7C9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C3B09C9"/>
    <w:multiLevelType w:val="hybridMultilevel"/>
    <w:tmpl w:val="1200D17A"/>
    <w:lvl w:ilvl="0" w:tplc="80DC04A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62662EE0"/>
    <w:multiLevelType w:val="hybridMultilevel"/>
    <w:tmpl w:val="144892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74808C1"/>
    <w:multiLevelType w:val="hybridMultilevel"/>
    <w:tmpl w:val="58F28F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F445DF3"/>
    <w:multiLevelType w:val="hybridMultilevel"/>
    <w:tmpl w:val="1AFA58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3030AF3"/>
    <w:multiLevelType w:val="hybridMultilevel"/>
    <w:tmpl w:val="AEB2888A"/>
    <w:lvl w:ilvl="0" w:tplc="3D2AD2D4">
      <w:start w:val="1"/>
      <w:numFmt w:val="lowerLetter"/>
      <w:lvlText w:val="%1)"/>
      <w:lvlJc w:val="left"/>
      <w:pPr>
        <w:ind w:left="780" w:hanging="360"/>
      </w:pPr>
      <w:rPr>
        <w:rFonts w:hint="default"/>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13">
    <w:nsid w:val="75923F49"/>
    <w:multiLevelType w:val="hybridMultilevel"/>
    <w:tmpl w:val="39F4B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E415401"/>
    <w:multiLevelType w:val="hybridMultilevel"/>
    <w:tmpl w:val="BDFE506A"/>
    <w:lvl w:ilvl="0" w:tplc="CDA014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EA3639"/>
    <w:multiLevelType w:val="hybridMultilevel"/>
    <w:tmpl w:val="D80CFB9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3"/>
  </w:num>
  <w:num w:numId="5">
    <w:abstractNumId w:val="1"/>
  </w:num>
  <w:num w:numId="6">
    <w:abstractNumId w:val="0"/>
  </w:num>
  <w:num w:numId="7">
    <w:abstractNumId w:val="14"/>
  </w:num>
  <w:num w:numId="8">
    <w:abstractNumId w:val="5"/>
  </w:num>
  <w:num w:numId="9">
    <w:abstractNumId w:val="10"/>
  </w:num>
  <w:num w:numId="10">
    <w:abstractNumId w:val="2"/>
  </w:num>
  <w:num w:numId="11">
    <w:abstractNumId w:val="11"/>
  </w:num>
  <w:num w:numId="12">
    <w:abstractNumId w:val="15"/>
  </w:num>
  <w:num w:numId="13">
    <w:abstractNumId w:val="7"/>
  </w:num>
  <w:num w:numId="14">
    <w:abstractNumId w:val="9"/>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B0"/>
    <w:rsid w:val="00000E70"/>
    <w:rsid w:val="000031E5"/>
    <w:rsid w:val="00006AE6"/>
    <w:rsid w:val="00040567"/>
    <w:rsid w:val="000529C7"/>
    <w:rsid w:val="00052A3F"/>
    <w:rsid w:val="00056C18"/>
    <w:rsid w:val="000769DB"/>
    <w:rsid w:val="000779B2"/>
    <w:rsid w:val="000B4BDB"/>
    <w:rsid w:val="000B6014"/>
    <w:rsid w:val="000C64DF"/>
    <w:rsid w:val="000D1F6A"/>
    <w:rsid w:val="000D6246"/>
    <w:rsid w:val="00110B0F"/>
    <w:rsid w:val="00114D19"/>
    <w:rsid w:val="00120E91"/>
    <w:rsid w:val="00130439"/>
    <w:rsid w:val="00130B2C"/>
    <w:rsid w:val="00150C31"/>
    <w:rsid w:val="00150E09"/>
    <w:rsid w:val="001638AE"/>
    <w:rsid w:val="00183072"/>
    <w:rsid w:val="001D0C9C"/>
    <w:rsid w:val="001F2C0B"/>
    <w:rsid w:val="002072E4"/>
    <w:rsid w:val="00207F7F"/>
    <w:rsid w:val="002133E3"/>
    <w:rsid w:val="00215855"/>
    <w:rsid w:val="002918D7"/>
    <w:rsid w:val="00295A67"/>
    <w:rsid w:val="002C12D6"/>
    <w:rsid w:val="00300185"/>
    <w:rsid w:val="00306B76"/>
    <w:rsid w:val="00313531"/>
    <w:rsid w:val="00333C0B"/>
    <w:rsid w:val="00341412"/>
    <w:rsid w:val="00341E55"/>
    <w:rsid w:val="003511E8"/>
    <w:rsid w:val="00373EDB"/>
    <w:rsid w:val="00382494"/>
    <w:rsid w:val="00384D00"/>
    <w:rsid w:val="00385527"/>
    <w:rsid w:val="003A0975"/>
    <w:rsid w:val="003B3A84"/>
    <w:rsid w:val="003B6E95"/>
    <w:rsid w:val="003E25E2"/>
    <w:rsid w:val="003E6B8B"/>
    <w:rsid w:val="00425DFB"/>
    <w:rsid w:val="00435B18"/>
    <w:rsid w:val="00450D85"/>
    <w:rsid w:val="00480793"/>
    <w:rsid w:val="004C257A"/>
    <w:rsid w:val="004C6B1D"/>
    <w:rsid w:val="004E1F6F"/>
    <w:rsid w:val="004E4B3B"/>
    <w:rsid w:val="004F2503"/>
    <w:rsid w:val="005044B2"/>
    <w:rsid w:val="0052432C"/>
    <w:rsid w:val="00560399"/>
    <w:rsid w:val="00571188"/>
    <w:rsid w:val="005735A7"/>
    <w:rsid w:val="005B60E4"/>
    <w:rsid w:val="005C2370"/>
    <w:rsid w:val="005E42E5"/>
    <w:rsid w:val="005E71C8"/>
    <w:rsid w:val="005F41D5"/>
    <w:rsid w:val="00612C9B"/>
    <w:rsid w:val="0062155C"/>
    <w:rsid w:val="0062278D"/>
    <w:rsid w:val="0062452F"/>
    <w:rsid w:val="006371F8"/>
    <w:rsid w:val="00654840"/>
    <w:rsid w:val="00657D20"/>
    <w:rsid w:val="006733F1"/>
    <w:rsid w:val="00677657"/>
    <w:rsid w:val="006823F7"/>
    <w:rsid w:val="006A7A02"/>
    <w:rsid w:val="006B587C"/>
    <w:rsid w:val="00707568"/>
    <w:rsid w:val="00742491"/>
    <w:rsid w:val="00745035"/>
    <w:rsid w:val="00747069"/>
    <w:rsid w:val="00747F15"/>
    <w:rsid w:val="00751F8C"/>
    <w:rsid w:val="00797357"/>
    <w:rsid w:val="007B393B"/>
    <w:rsid w:val="007D3693"/>
    <w:rsid w:val="00801C57"/>
    <w:rsid w:val="00805BA2"/>
    <w:rsid w:val="0083038E"/>
    <w:rsid w:val="00857672"/>
    <w:rsid w:val="00857DB9"/>
    <w:rsid w:val="00860984"/>
    <w:rsid w:val="008753F6"/>
    <w:rsid w:val="00892805"/>
    <w:rsid w:val="0089711E"/>
    <w:rsid w:val="008D1BB4"/>
    <w:rsid w:val="008E67F0"/>
    <w:rsid w:val="008E755E"/>
    <w:rsid w:val="008F0500"/>
    <w:rsid w:val="00925C83"/>
    <w:rsid w:val="009309E9"/>
    <w:rsid w:val="0096529D"/>
    <w:rsid w:val="009738B8"/>
    <w:rsid w:val="009848C8"/>
    <w:rsid w:val="009C47B4"/>
    <w:rsid w:val="009E561E"/>
    <w:rsid w:val="009E6B2C"/>
    <w:rsid w:val="00A13909"/>
    <w:rsid w:val="00A14A1E"/>
    <w:rsid w:val="00A22987"/>
    <w:rsid w:val="00A549AB"/>
    <w:rsid w:val="00A63B75"/>
    <w:rsid w:val="00AA2A6D"/>
    <w:rsid w:val="00AC27BD"/>
    <w:rsid w:val="00AD5B29"/>
    <w:rsid w:val="00AF14BD"/>
    <w:rsid w:val="00B27BBA"/>
    <w:rsid w:val="00B43528"/>
    <w:rsid w:val="00B45E0E"/>
    <w:rsid w:val="00B61CE7"/>
    <w:rsid w:val="00B96E9B"/>
    <w:rsid w:val="00BC5172"/>
    <w:rsid w:val="00BF576E"/>
    <w:rsid w:val="00C05145"/>
    <w:rsid w:val="00C341ED"/>
    <w:rsid w:val="00C35B49"/>
    <w:rsid w:val="00C4593C"/>
    <w:rsid w:val="00C47E5F"/>
    <w:rsid w:val="00C50940"/>
    <w:rsid w:val="00C5137E"/>
    <w:rsid w:val="00C80580"/>
    <w:rsid w:val="00C95310"/>
    <w:rsid w:val="00CB613A"/>
    <w:rsid w:val="00CC6C37"/>
    <w:rsid w:val="00CE5086"/>
    <w:rsid w:val="00CF45A3"/>
    <w:rsid w:val="00CF4ABD"/>
    <w:rsid w:val="00CF7F9C"/>
    <w:rsid w:val="00D055AC"/>
    <w:rsid w:val="00D2659F"/>
    <w:rsid w:val="00D27CA3"/>
    <w:rsid w:val="00D431FC"/>
    <w:rsid w:val="00D52424"/>
    <w:rsid w:val="00D60FD4"/>
    <w:rsid w:val="00D64E18"/>
    <w:rsid w:val="00D67BED"/>
    <w:rsid w:val="00D7303D"/>
    <w:rsid w:val="00D8010D"/>
    <w:rsid w:val="00D80C83"/>
    <w:rsid w:val="00D937D4"/>
    <w:rsid w:val="00DA25C5"/>
    <w:rsid w:val="00DA3DE3"/>
    <w:rsid w:val="00DB1416"/>
    <w:rsid w:val="00DD044B"/>
    <w:rsid w:val="00E055B0"/>
    <w:rsid w:val="00E2468D"/>
    <w:rsid w:val="00E349B2"/>
    <w:rsid w:val="00E40D5D"/>
    <w:rsid w:val="00E41EC8"/>
    <w:rsid w:val="00E82D09"/>
    <w:rsid w:val="00EB1E1D"/>
    <w:rsid w:val="00EC2FA7"/>
    <w:rsid w:val="00EC38C1"/>
    <w:rsid w:val="00F01964"/>
    <w:rsid w:val="00F33992"/>
    <w:rsid w:val="00F90ACC"/>
    <w:rsid w:val="00F934D3"/>
    <w:rsid w:val="00FA5994"/>
    <w:rsid w:val="00FB5DE7"/>
    <w:rsid w:val="00FC4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7E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B0"/>
    <w:pPr>
      <w:spacing w:after="160" w:line="259" w:lineRule="auto"/>
    </w:pPr>
    <w:rPr>
      <w:rFonts w:ascii="Calibri" w:eastAsia="Calibri" w:hAnsi="Calibri" w:cs="Calibri"/>
      <w:color w:val="000000"/>
      <w:lang w:val="es-ES" w:eastAsia="es-ES"/>
    </w:rPr>
  </w:style>
  <w:style w:type="paragraph" w:styleId="Heading2">
    <w:name w:val="heading 2"/>
    <w:basedOn w:val="Normal"/>
    <w:next w:val="Normal"/>
    <w:link w:val="Heading2Char"/>
    <w:unhideWhenUsed/>
    <w:qFormat/>
    <w:rsid w:val="00E055B0"/>
    <w:pPr>
      <w:keepNext/>
      <w:spacing w:after="0" w:line="240" w:lineRule="auto"/>
      <w:jc w:val="right"/>
      <w:outlineLvl w:val="1"/>
    </w:pPr>
    <w:rPr>
      <w:rFonts w:ascii="Arial" w:eastAsia="Arial Unicode MS" w:hAnsi="Arial" w:cs="Arial"/>
      <w:b/>
      <w:bCs/>
      <w:color w:val="auto"/>
      <w:sz w:val="24"/>
      <w:szCs w:val="24"/>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055B0"/>
    <w:rPr>
      <w:rFonts w:ascii="Arial" w:eastAsia="Arial Unicode MS" w:hAnsi="Arial" w:cs="Arial"/>
      <w:b/>
      <w:bCs/>
      <w:sz w:val="24"/>
      <w:szCs w:val="24"/>
      <w:u w:val="single"/>
    </w:rPr>
  </w:style>
  <w:style w:type="paragraph" w:styleId="NoSpacing">
    <w:name w:val="No Spacing"/>
    <w:uiPriority w:val="1"/>
    <w:qFormat/>
    <w:rsid w:val="00E055B0"/>
    <w:pPr>
      <w:spacing w:after="0" w:line="240" w:lineRule="auto"/>
    </w:pPr>
    <w:rPr>
      <w:rFonts w:ascii="Calibri" w:eastAsia="Calibri" w:hAnsi="Calibri" w:cs="Times New Roman"/>
    </w:rPr>
  </w:style>
  <w:style w:type="paragraph" w:styleId="Header">
    <w:name w:val="header"/>
    <w:basedOn w:val="Normal"/>
    <w:link w:val="HeaderChar"/>
    <w:uiPriority w:val="99"/>
    <w:rsid w:val="00E055B0"/>
    <w:pPr>
      <w:tabs>
        <w:tab w:val="center" w:pos="4320"/>
        <w:tab w:val="right" w:pos="8640"/>
      </w:tabs>
      <w:spacing w:after="0" w:line="240" w:lineRule="auto"/>
    </w:pPr>
    <w:rPr>
      <w:rFonts w:ascii="Times New Roman" w:eastAsia="Times New Roman" w:hAnsi="Times New Roman" w:cs="Times New Roman"/>
      <w:color w:val="auto"/>
      <w:sz w:val="24"/>
      <w:szCs w:val="24"/>
      <w:lang w:val="sq-AL" w:eastAsia="en-US"/>
    </w:rPr>
  </w:style>
  <w:style w:type="character" w:customStyle="1" w:styleId="HeaderChar">
    <w:name w:val="Header Char"/>
    <w:basedOn w:val="DefaultParagraphFont"/>
    <w:link w:val="Header"/>
    <w:uiPriority w:val="99"/>
    <w:rsid w:val="00E055B0"/>
    <w:rPr>
      <w:rFonts w:ascii="Times New Roman" w:eastAsia="Times New Roman" w:hAnsi="Times New Roman" w:cs="Times New Roman"/>
      <w:sz w:val="24"/>
      <w:szCs w:val="24"/>
      <w:lang w:val="sq-AL"/>
    </w:rPr>
  </w:style>
  <w:style w:type="paragraph" w:customStyle="1" w:styleId="Normal0">
    <w:name w:val="[Normal]"/>
    <w:rsid w:val="00E055B0"/>
    <w:pPr>
      <w:autoSpaceDE w:val="0"/>
      <w:autoSpaceDN w:val="0"/>
      <w:adjustRightInd w:val="0"/>
      <w:spacing w:after="0" w:line="240" w:lineRule="auto"/>
    </w:pPr>
    <w:rPr>
      <w:rFonts w:ascii="Arial" w:eastAsia="Times New Roman" w:hAnsi="Arial" w:cs="Arial"/>
      <w:sz w:val="24"/>
      <w:szCs w:val="24"/>
    </w:rPr>
  </w:style>
  <w:style w:type="paragraph" w:styleId="ListParagraph">
    <w:name w:val="List Paragraph"/>
    <w:basedOn w:val="Normal"/>
    <w:link w:val="ListParagraphChar"/>
    <w:uiPriority w:val="99"/>
    <w:qFormat/>
    <w:rsid w:val="00E055B0"/>
    <w:pPr>
      <w:spacing w:after="200" w:line="276" w:lineRule="auto"/>
      <w:ind w:left="720"/>
      <w:contextualSpacing/>
    </w:pPr>
    <w:rPr>
      <w:rFonts w:asciiTheme="minorHAnsi" w:eastAsiaTheme="minorHAnsi" w:hAnsiTheme="minorHAnsi" w:cstheme="minorBidi"/>
      <w:color w:val="auto"/>
      <w:lang w:val="en-US" w:eastAsia="en-US"/>
    </w:rPr>
  </w:style>
  <w:style w:type="character" w:customStyle="1" w:styleId="ListParagraphChar">
    <w:name w:val="List Paragraph Char"/>
    <w:basedOn w:val="DefaultParagraphFont"/>
    <w:link w:val="ListParagraph"/>
    <w:uiPriority w:val="34"/>
    <w:locked/>
    <w:rsid w:val="00E055B0"/>
  </w:style>
  <w:style w:type="paragraph" w:styleId="BodyText">
    <w:name w:val="Body Text"/>
    <w:basedOn w:val="Normal"/>
    <w:link w:val="BodyTextChar"/>
    <w:rsid w:val="00E055B0"/>
    <w:pPr>
      <w:spacing w:after="0" w:line="240" w:lineRule="auto"/>
      <w:jc w:val="both"/>
    </w:pPr>
    <w:rPr>
      <w:rFonts w:ascii="Times New Roman" w:hAnsi="Times New Roman" w:cs="Times New Roman"/>
      <w:color w:val="auto"/>
      <w:sz w:val="24"/>
      <w:szCs w:val="24"/>
      <w:lang w:val="en-US" w:eastAsia="en-US"/>
    </w:rPr>
  </w:style>
  <w:style w:type="character" w:customStyle="1" w:styleId="BodyTextChar">
    <w:name w:val="Body Text Char"/>
    <w:basedOn w:val="DefaultParagraphFont"/>
    <w:link w:val="BodyText"/>
    <w:rsid w:val="00E055B0"/>
    <w:rPr>
      <w:rFonts w:ascii="Times New Roman" w:eastAsia="Calibri" w:hAnsi="Times New Roman" w:cs="Times New Roman"/>
      <w:sz w:val="24"/>
      <w:szCs w:val="24"/>
    </w:rPr>
  </w:style>
  <w:style w:type="paragraph" w:styleId="FootnoteText">
    <w:name w:val="footnote text"/>
    <w:basedOn w:val="Normal"/>
    <w:link w:val="FootnoteTextChar"/>
    <w:uiPriority w:val="99"/>
    <w:unhideWhenUsed/>
    <w:rsid w:val="00C5137E"/>
    <w:pPr>
      <w:spacing w:after="0" w:line="240" w:lineRule="auto"/>
    </w:pPr>
    <w:rPr>
      <w:rFonts w:asciiTheme="minorHAnsi" w:eastAsiaTheme="minorHAnsi" w:hAnsiTheme="minorHAnsi" w:cstheme="minorBidi"/>
      <w:color w:val="auto"/>
      <w:sz w:val="20"/>
      <w:szCs w:val="20"/>
      <w:lang w:val="en-GB" w:eastAsia="en-US"/>
    </w:rPr>
  </w:style>
  <w:style w:type="character" w:customStyle="1" w:styleId="FootnoteTextChar">
    <w:name w:val="Footnote Text Char"/>
    <w:basedOn w:val="DefaultParagraphFont"/>
    <w:link w:val="FootnoteText"/>
    <w:uiPriority w:val="99"/>
    <w:rsid w:val="00C5137E"/>
    <w:rPr>
      <w:sz w:val="20"/>
      <w:szCs w:val="20"/>
      <w:lang w:val="en-GB"/>
    </w:rPr>
  </w:style>
  <w:style w:type="character" w:styleId="FootnoteReference">
    <w:name w:val="footnote reference"/>
    <w:basedOn w:val="DefaultParagraphFont"/>
    <w:uiPriority w:val="99"/>
    <w:semiHidden/>
    <w:unhideWhenUsed/>
    <w:rsid w:val="00C5137E"/>
    <w:rPr>
      <w:vertAlign w:val="superscript"/>
    </w:rPr>
  </w:style>
  <w:style w:type="character" w:styleId="CommentReference">
    <w:name w:val="annotation reference"/>
    <w:basedOn w:val="DefaultParagraphFont"/>
    <w:uiPriority w:val="99"/>
    <w:semiHidden/>
    <w:unhideWhenUsed/>
    <w:rsid w:val="00571188"/>
    <w:rPr>
      <w:sz w:val="16"/>
      <w:szCs w:val="16"/>
    </w:rPr>
  </w:style>
  <w:style w:type="paragraph" w:styleId="CommentText">
    <w:name w:val="annotation text"/>
    <w:basedOn w:val="Normal"/>
    <w:link w:val="CommentTextChar"/>
    <w:uiPriority w:val="99"/>
    <w:semiHidden/>
    <w:unhideWhenUsed/>
    <w:rsid w:val="00571188"/>
    <w:pPr>
      <w:spacing w:line="240" w:lineRule="auto"/>
    </w:pPr>
    <w:rPr>
      <w:sz w:val="20"/>
      <w:szCs w:val="20"/>
    </w:rPr>
  </w:style>
  <w:style w:type="character" w:customStyle="1" w:styleId="CommentTextChar">
    <w:name w:val="Comment Text Char"/>
    <w:basedOn w:val="DefaultParagraphFont"/>
    <w:link w:val="CommentText"/>
    <w:uiPriority w:val="99"/>
    <w:semiHidden/>
    <w:rsid w:val="00571188"/>
    <w:rPr>
      <w:rFonts w:ascii="Calibri" w:eastAsia="Calibri" w:hAnsi="Calibri" w:cs="Calibri"/>
      <w:color w:val="000000"/>
      <w:sz w:val="20"/>
      <w:szCs w:val="20"/>
      <w:lang w:val="es-ES" w:eastAsia="es-ES"/>
    </w:rPr>
  </w:style>
  <w:style w:type="paragraph" w:styleId="CommentSubject">
    <w:name w:val="annotation subject"/>
    <w:basedOn w:val="CommentText"/>
    <w:next w:val="CommentText"/>
    <w:link w:val="CommentSubjectChar"/>
    <w:uiPriority w:val="99"/>
    <w:semiHidden/>
    <w:unhideWhenUsed/>
    <w:rsid w:val="00571188"/>
    <w:rPr>
      <w:b/>
      <w:bCs/>
    </w:rPr>
  </w:style>
  <w:style w:type="character" w:customStyle="1" w:styleId="CommentSubjectChar">
    <w:name w:val="Comment Subject Char"/>
    <w:basedOn w:val="CommentTextChar"/>
    <w:link w:val="CommentSubject"/>
    <w:uiPriority w:val="99"/>
    <w:semiHidden/>
    <w:rsid w:val="00571188"/>
    <w:rPr>
      <w:rFonts w:ascii="Calibri" w:eastAsia="Calibri" w:hAnsi="Calibri" w:cs="Calibri"/>
      <w:b/>
      <w:bCs/>
      <w:color w:val="000000"/>
      <w:sz w:val="20"/>
      <w:szCs w:val="20"/>
      <w:lang w:val="es-ES" w:eastAsia="es-ES"/>
    </w:rPr>
  </w:style>
  <w:style w:type="paragraph" w:styleId="BalloonText">
    <w:name w:val="Balloon Text"/>
    <w:basedOn w:val="Normal"/>
    <w:link w:val="BalloonTextChar"/>
    <w:uiPriority w:val="99"/>
    <w:semiHidden/>
    <w:unhideWhenUsed/>
    <w:rsid w:val="005711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188"/>
    <w:rPr>
      <w:rFonts w:ascii="Segoe UI" w:eastAsia="Calibri" w:hAnsi="Segoe UI" w:cs="Segoe UI"/>
      <w:color w:val="000000"/>
      <w:sz w:val="18"/>
      <w:szCs w:val="18"/>
      <w:lang w:val="es-ES" w:eastAsia="es-ES"/>
    </w:rPr>
  </w:style>
  <w:style w:type="paragraph" w:styleId="Footer">
    <w:name w:val="footer"/>
    <w:basedOn w:val="Normal"/>
    <w:link w:val="FooterChar"/>
    <w:uiPriority w:val="99"/>
    <w:unhideWhenUsed/>
    <w:rsid w:val="008576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7672"/>
    <w:rPr>
      <w:rFonts w:ascii="Calibri" w:eastAsia="Calibri" w:hAnsi="Calibri" w:cs="Calibri"/>
      <w:color w:val="00000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B0"/>
    <w:pPr>
      <w:spacing w:after="160" w:line="259" w:lineRule="auto"/>
    </w:pPr>
    <w:rPr>
      <w:rFonts w:ascii="Calibri" w:eastAsia="Calibri" w:hAnsi="Calibri" w:cs="Calibri"/>
      <w:color w:val="000000"/>
      <w:lang w:val="es-ES" w:eastAsia="es-ES"/>
    </w:rPr>
  </w:style>
  <w:style w:type="paragraph" w:styleId="Heading2">
    <w:name w:val="heading 2"/>
    <w:basedOn w:val="Normal"/>
    <w:next w:val="Normal"/>
    <w:link w:val="Heading2Char"/>
    <w:unhideWhenUsed/>
    <w:qFormat/>
    <w:rsid w:val="00E055B0"/>
    <w:pPr>
      <w:keepNext/>
      <w:spacing w:after="0" w:line="240" w:lineRule="auto"/>
      <w:jc w:val="right"/>
      <w:outlineLvl w:val="1"/>
    </w:pPr>
    <w:rPr>
      <w:rFonts w:ascii="Arial" w:eastAsia="Arial Unicode MS" w:hAnsi="Arial" w:cs="Arial"/>
      <w:b/>
      <w:bCs/>
      <w:color w:val="auto"/>
      <w:sz w:val="24"/>
      <w:szCs w:val="24"/>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055B0"/>
    <w:rPr>
      <w:rFonts w:ascii="Arial" w:eastAsia="Arial Unicode MS" w:hAnsi="Arial" w:cs="Arial"/>
      <w:b/>
      <w:bCs/>
      <w:sz w:val="24"/>
      <w:szCs w:val="24"/>
      <w:u w:val="single"/>
    </w:rPr>
  </w:style>
  <w:style w:type="paragraph" w:styleId="NoSpacing">
    <w:name w:val="No Spacing"/>
    <w:uiPriority w:val="1"/>
    <w:qFormat/>
    <w:rsid w:val="00E055B0"/>
    <w:pPr>
      <w:spacing w:after="0" w:line="240" w:lineRule="auto"/>
    </w:pPr>
    <w:rPr>
      <w:rFonts w:ascii="Calibri" w:eastAsia="Calibri" w:hAnsi="Calibri" w:cs="Times New Roman"/>
    </w:rPr>
  </w:style>
  <w:style w:type="paragraph" w:styleId="Header">
    <w:name w:val="header"/>
    <w:basedOn w:val="Normal"/>
    <w:link w:val="HeaderChar"/>
    <w:uiPriority w:val="99"/>
    <w:rsid w:val="00E055B0"/>
    <w:pPr>
      <w:tabs>
        <w:tab w:val="center" w:pos="4320"/>
        <w:tab w:val="right" w:pos="8640"/>
      </w:tabs>
      <w:spacing w:after="0" w:line="240" w:lineRule="auto"/>
    </w:pPr>
    <w:rPr>
      <w:rFonts w:ascii="Times New Roman" w:eastAsia="Times New Roman" w:hAnsi="Times New Roman" w:cs="Times New Roman"/>
      <w:color w:val="auto"/>
      <w:sz w:val="24"/>
      <w:szCs w:val="24"/>
      <w:lang w:val="sq-AL" w:eastAsia="en-US"/>
    </w:rPr>
  </w:style>
  <w:style w:type="character" w:customStyle="1" w:styleId="HeaderChar">
    <w:name w:val="Header Char"/>
    <w:basedOn w:val="DefaultParagraphFont"/>
    <w:link w:val="Header"/>
    <w:uiPriority w:val="99"/>
    <w:rsid w:val="00E055B0"/>
    <w:rPr>
      <w:rFonts w:ascii="Times New Roman" w:eastAsia="Times New Roman" w:hAnsi="Times New Roman" w:cs="Times New Roman"/>
      <w:sz w:val="24"/>
      <w:szCs w:val="24"/>
      <w:lang w:val="sq-AL"/>
    </w:rPr>
  </w:style>
  <w:style w:type="paragraph" w:customStyle="1" w:styleId="Normal0">
    <w:name w:val="[Normal]"/>
    <w:rsid w:val="00E055B0"/>
    <w:pPr>
      <w:autoSpaceDE w:val="0"/>
      <w:autoSpaceDN w:val="0"/>
      <w:adjustRightInd w:val="0"/>
      <w:spacing w:after="0" w:line="240" w:lineRule="auto"/>
    </w:pPr>
    <w:rPr>
      <w:rFonts w:ascii="Arial" w:eastAsia="Times New Roman" w:hAnsi="Arial" w:cs="Arial"/>
      <w:sz w:val="24"/>
      <w:szCs w:val="24"/>
    </w:rPr>
  </w:style>
  <w:style w:type="paragraph" w:styleId="ListParagraph">
    <w:name w:val="List Paragraph"/>
    <w:basedOn w:val="Normal"/>
    <w:link w:val="ListParagraphChar"/>
    <w:uiPriority w:val="99"/>
    <w:qFormat/>
    <w:rsid w:val="00E055B0"/>
    <w:pPr>
      <w:spacing w:after="200" w:line="276" w:lineRule="auto"/>
      <w:ind w:left="720"/>
      <w:contextualSpacing/>
    </w:pPr>
    <w:rPr>
      <w:rFonts w:asciiTheme="minorHAnsi" w:eastAsiaTheme="minorHAnsi" w:hAnsiTheme="minorHAnsi" w:cstheme="minorBidi"/>
      <w:color w:val="auto"/>
      <w:lang w:val="en-US" w:eastAsia="en-US"/>
    </w:rPr>
  </w:style>
  <w:style w:type="character" w:customStyle="1" w:styleId="ListParagraphChar">
    <w:name w:val="List Paragraph Char"/>
    <w:basedOn w:val="DefaultParagraphFont"/>
    <w:link w:val="ListParagraph"/>
    <w:uiPriority w:val="34"/>
    <w:locked/>
    <w:rsid w:val="00E055B0"/>
  </w:style>
  <w:style w:type="paragraph" w:styleId="BodyText">
    <w:name w:val="Body Text"/>
    <w:basedOn w:val="Normal"/>
    <w:link w:val="BodyTextChar"/>
    <w:rsid w:val="00E055B0"/>
    <w:pPr>
      <w:spacing w:after="0" w:line="240" w:lineRule="auto"/>
      <w:jc w:val="both"/>
    </w:pPr>
    <w:rPr>
      <w:rFonts w:ascii="Times New Roman" w:hAnsi="Times New Roman" w:cs="Times New Roman"/>
      <w:color w:val="auto"/>
      <w:sz w:val="24"/>
      <w:szCs w:val="24"/>
      <w:lang w:val="en-US" w:eastAsia="en-US"/>
    </w:rPr>
  </w:style>
  <w:style w:type="character" w:customStyle="1" w:styleId="BodyTextChar">
    <w:name w:val="Body Text Char"/>
    <w:basedOn w:val="DefaultParagraphFont"/>
    <w:link w:val="BodyText"/>
    <w:rsid w:val="00E055B0"/>
    <w:rPr>
      <w:rFonts w:ascii="Times New Roman" w:eastAsia="Calibri" w:hAnsi="Times New Roman" w:cs="Times New Roman"/>
      <w:sz w:val="24"/>
      <w:szCs w:val="24"/>
    </w:rPr>
  </w:style>
  <w:style w:type="paragraph" w:styleId="FootnoteText">
    <w:name w:val="footnote text"/>
    <w:basedOn w:val="Normal"/>
    <w:link w:val="FootnoteTextChar"/>
    <w:uiPriority w:val="99"/>
    <w:unhideWhenUsed/>
    <w:rsid w:val="00C5137E"/>
    <w:pPr>
      <w:spacing w:after="0" w:line="240" w:lineRule="auto"/>
    </w:pPr>
    <w:rPr>
      <w:rFonts w:asciiTheme="minorHAnsi" w:eastAsiaTheme="minorHAnsi" w:hAnsiTheme="minorHAnsi" w:cstheme="minorBidi"/>
      <w:color w:val="auto"/>
      <w:sz w:val="20"/>
      <w:szCs w:val="20"/>
      <w:lang w:val="en-GB" w:eastAsia="en-US"/>
    </w:rPr>
  </w:style>
  <w:style w:type="character" w:customStyle="1" w:styleId="FootnoteTextChar">
    <w:name w:val="Footnote Text Char"/>
    <w:basedOn w:val="DefaultParagraphFont"/>
    <w:link w:val="FootnoteText"/>
    <w:uiPriority w:val="99"/>
    <w:rsid w:val="00C5137E"/>
    <w:rPr>
      <w:sz w:val="20"/>
      <w:szCs w:val="20"/>
      <w:lang w:val="en-GB"/>
    </w:rPr>
  </w:style>
  <w:style w:type="character" w:styleId="FootnoteReference">
    <w:name w:val="footnote reference"/>
    <w:basedOn w:val="DefaultParagraphFont"/>
    <w:uiPriority w:val="99"/>
    <w:semiHidden/>
    <w:unhideWhenUsed/>
    <w:rsid w:val="00C5137E"/>
    <w:rPr>
      <w:vertAlign w:val="superscript"/>
    </w:rPr>
  </w:style>
  <w:style w:type="character" w:styleId="CommentReference">
    <w:name w:val="annotation reference"/>
    <w:basedOn w:val="DefaultParagraphFont"/>
    <w:uiPriority w:val="99"/>
    <w:semiHidden/>
    <w:unhideWhenUsed/>
    <w:rsid w:val="00571188"/>
    <w:rPr>
      <w:sz w:val="16"/>
      <w:szCs w:val="16"/>
    </w:rPr>
  </w:style>
  <w:style w:type="paragraph" w:styleId="CommentText">
    <w:name w:val="annotation text"/>
    <w:basedOn w:val="Normal"/>
    <w:link w:val="CommentTextChar"/>
    <w:uiPriority w:val="99"/>
    <w:semiHidden/>
    <w:unhideWhenUsed/>
    <w:rsid w:val="00571188"/>
    <w:pPr>
      <w:spacing w:line="240" w:lineRule="auto"/>
    </w:pPr>
    <w:rPr>
      <w:sz w:val="20"/>
      <w:szCs w:val="20"/>
    </w:rPr>
  </w:style>
  <w:style w:type="character" w:customStyle="1" w:styleId="CommentTextChar">
    <w:name w:val="Comment Text Char"/>
    <w:basedOn w:val="DefaultParagraphFont"/>
    <w:link w:val="CommentText"/>
    <w:uiPriority w:val="99"/>
    <w:semiHidden/>
    <w:rsid w:val="00571188"/>
    <w:rPr>
      <w:rFonts w:ascii="Calibri" w:eastAsia="Calibri" w:hAnsi="Calibri" w:cs="Calibri"/>
      <w:color w:val="000000"/>
      <w:sz w:val="20"/>
      <w:szCs w:val="20"/>
      <w:lang w:val="es-ES" w:eastAsia="es-ES"/>
    </w:rPr>
  </w:style>
  <w:style w:type="paragraph" w:styleId="CommentSubject">
    <w:name w:val="annotation subject"/>
    <w:basedOn w:val="CommentText"/>
    <w:next w:val="CommentText"/>
    <w:link w:val="CommentSubjectChar"/>
    <w:uiPriority w:val="99"/>
    <w:semiHidden/>
    <w:unhideWhenUsed/>
    <w:rsid w:val="00571188"/>
    <w:rPr>
      <w:b/>
      <w:bCs/>
    </w:rPr>
  </w:style>
  <w:style w:type="character" w:customStyle="1" w:styleId="CommentSubjectChar">
    <w:name w:val="Comment Subject Char"/>
    <w:basedOn w:val="CommentTextChar"/>
    <w:link w:val="CommentSubject"/>
    <w:uiPriority w:val="99"/>
    <w:semiHidden/>
    <w:rsid w:val="00571188"/>
    <w:rPr>
      <w:rFonts w:ascii="Calibri" w:eastAsia="Calibri" w:hAnsi="Calibri" w:cs="Calibri"/>
      <w:b/>
      <w:bCs/>
      <w:color w:val="000000"/>
      <w:sz w:val="20"/>
      <w:szCs w:val="20"/>
      <w:lang w:val="es-ES" w:eastAsia="es-ES"/>
    </w:rPr>
  </w:style>
  <w:style w:type="paragraph" w:styleId="BalloonText">
    <w:name w:val="Balloon Text"/>
    <w:basedOn w:val="Normal"/>
    <w:link w:val="BalloonTextChar"/>
    <w:uiPriority w:val="99"/>
    <w:semiHidden/>
    <w:unhideWhenUsed/>
    <w:rsid w:val="005711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188"/>
    <w:rPr>
      <w:rFonts w:ascii="Segoe UI" w:eastAsia="Calibri" w:hAnsi="Segoe UI" w:cs="Segoe UI"/>
      <w:color w:val="000000"/>
      <w:sz w:val="18"/>
      <w:szCs w:val="18"/>
      <w:lang w:val="es-ES" w:eastAsia="es-ES"/>
    </w:rPr>
  </w:style>
  <w:style w:type="paragraph" w:styleId="Footer">
    <w:name w:val="footer"/>
    <w:basedOn w:val="Normal"/>
    <w:link w:val="FooterChar"/>
    <w:uiPriority w:val="99"/>
    <w:unhideWhenUsed/>
    <w:rsid w:val="008576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7672"/>
    <w:rPr>
      <w:rFonts w:ascii="Calibri" w:eastAsia="Calibri" w:hAnsi="Calibri" w:cs="Calibri"/>
      <w:color w:val="00000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27946">
      <w:bodyDiv w:val="1"/>
      <w:marLeft w:val="0"/>
      <w:marRight w:val="0"/>
      <w:marTop w:val="0"/>
      <w:marBottom w:val="0"/>
      <w:divBdr>
        <w:top w:val="none" w:sz="0" w:space="0" w:color="auto"/>
        <w:left w:val="none" w:sz="0" w:space="0" w:color="auto"/>
        <w:bottom w:val="none" w:sz="0" w:space="0" w:color="auto"/>
        <w:right w:val="none" w:sz="0" w:space="0" w:color="auto"/>
      </w:divBdr>
      <w:divsChild>
        <w:div w:id="1863519212">
          <w:marLeft w:val="0"/>
          <w:marRight w:val="0"/>
          <w:marTop w:val="0"/>
          <w:marBottom w:val="0"/>
          <w:divBdr>
            <w:top w:val="none" w:sz="0" w:space="0" w:color="auto"/>
            <w:left w:val="none" w:sz="0" w:space="0" w:color="auto"/>
            <w:bottom w:val="none" w:sz="0" w:space="0" w:color="auto"/>
            <w:right w:val="none" w:sz="0" w:space="0" w:color="auto"/>
          </w:divBdr>
        </w:div>
        <w:div w:id="1701201333">
          <w:marLeft w:val="0"/>
          <w:marRight w:val="0"/>
          <w:marTop w:val="0"/>
          <w:marBottom w:val="0"/>
          <w:divBdr>
            <w:top w:val="none" w:sz="0" w:space="0" w:color="auto"/>
            <w:left w:val="none" w:sz="0" w:space="0" w:color="auto"/>
            <w:bottom w:val="none" w:sz="0" w:space="0" w:color="auto"/>
            <w:right w:val="none" w:sz="0" w:space="0" w:color="auto"/>
          </w:divBdr>
        </w:div>
        <w:div w:id="1391542099">
          <w:marLeft w:val="0"/>
          <w:marRight w:val="0"/>
          <w:marTop w:val="0"/>
          <w:marBottom w:val="0"/>
          <w:divBdr>
            <w:top w:val="none" w:sz="0" w:space="0" w:color="auto"/>
            <w:left w:val="none" w:sz="0" w:space="0" w:color="auto"/>
            <w:bottom w:val="none" w:sz="0" w:space="0" w:color="auto"/>
            <w:right w:val="none" w:sz="0" w:space="0" w:color="auto"/>
          </w:divBdr>
        </w:div>
        <w:div w:id="1679889559">
          <w:marLeft w:val="0"/>
          <w:marRight w:val="0"/>
          <w:marTop w:val="0"/>
          <w:marBottom w:val="0"/>
          <w:divBdr>
            <w:top w:val="none" w:sz="0" w:space="0" w:color="auto"/>
            <w:left w:val="none" w:sz="0" w:space="0" w:color="auto"/>
            <w:bottom w:val="none" w:sz="0" w:space="0" w:color="auto"/>
            <w:right w:val="none" w:sz="0" w:space="0" w:color="auto"/>
          </w:divBdr>
        </w:div>
        <w:div w:id="1911302290">
          <w:marLeft w:val="0"/>
          <w:marRight w:val="0"/>
          <w:marTop w:val="0"/>
          <w:marBottom w:val="0"/>
          <w:divBdr>
            <w:top w:val="none" w:sz="0" w:space="0" w:color="auto"/>
            <w:left w:val="none" w:sz="0" w:space="0" w:color="auto"/>
            <w:bottom w:val="none" w:sz="0" w:space="0" w:color="auto"/>
            <w:right w:val="none" w:sz="0" w:space="0" w:color="auto"/>
          </w:divBdr>
        </w:div>
        <w:div w:id="2126652178">
          <w:marLeft w:val="0"/>
          <w:marRight w:val="0"/>
          <w:marTop w:val="0"/>
          <w:marBottom w:val="0"/>
          <w:divBdr>
            <w:top w:val="none" w:sz="0" w:space="0" w:color="auto"/>
            <w:left w:val="none" w:sz="0" w:space="0" w:color="auto"/>
            <w:bottom w:val="none" w:sz="0" w:space="0" w:color="auto"/>
            <w:right w:val="none" w:sz="0" w:space="0" w:color="auto"/>
          </w:divBdr>
        </w:div>
        <w:div w:id="49620937">
          <w:marLeft w:val="0"/>
          <w:marRight w:val="0"/>
          <w:marTop w:val="0"/>
          <w:marBottom w:val="0"/>
          <w:divBdr>
            <w:top w:val="none" w:sz="0" w:space="0" w:color="auto"/>
            <w:left w:val="none" w:sz="0" w:space="0" w:color="auto"/>
            <w:bottom w:val="none" w:sz="0" w:space="0" w:color="auto"/>
            <w:right w:val="none" w:sz="0" w:space="0" w:color="auto"/>
          </w:divBdr>
        </w:div>
        <w:div w:id="1587038473">
          <w:marLeft w:val="0"/>
          <w:marRight w:val="0"/>
          <w:marTop w:val="0"/>
          <w:marBottom w:val="0"/>
          <w:divBdr>
            <w:top w:val="none" w:sz="0" w:space="0" w:color="auto"/>
            <w:left w:val="none" w:sz="0" w:space="0" w:color="auto"/>
            <w:bottom w:val="none" w:sz="0" w:space="0" w:color="auto"/>
            <w:right w:val="none" w:sz="0" w:space="0" w:color="auto"/>
          </w:divBdr>
        </w:div>
      </w:divsChild>
    </w:div>
    <w:div w:id="137003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710</Nr_x002e__x0020_akti>
    <Data_x0020_e_x0020_Krijimit xmlns="0e656187-b300-4fb0-8bf4-3a50f872073c">2021-11-25T14:42:10Z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2021-11-24T23:00:00Z</Date_x0020_protokolli>
    <Titulli xmlns="0e656187-b300-4fb0-8bf4-3a50f872073c">Për disa ndryshime dhe shtesa në vendimin nr.285, datë 19.5.2021, të Këshillit të Ministrave, “Për miratimin e rregullave të prokurimit publik”</Titulli>
    <Modifikuesi xmlns="0e656187-b300-4fb0-8bf4-3a50f872073c">alma.lisaku</Modifikuesi>
    <Nr_x002e__x0020_prot_x0020_QBZ xmlns="0e656187-b300-4fb0-8bf4-3a50f872073c">1604</Nr_x002e__x0020_prot_x0020_QBZ>
    <Data_x0020_e_x0020_Modifikimit xmlns="0e656187-b300-4fb0-8bf4-3a50f872073c">2021-11-26T08:34:04Z</Data_x0020_e_x0020_Modifikimit>
    <Dekretuar xmlns="0e656187-b300-4fb0-8bf4-3a50f872073c">false</Dekretuar>
    <Data xmlns="0e656187-b300-4fb0-8bf4-3a50f872073c">2021-11-23T23:00:00Z</Data>
    <Nr_x002e__x0020_protokolli_x0020_i_x0020_aktit xmlns="0e656187-b300-4fb0-8bf4-3a50f872073c">5662/1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9E85092FDB5D43CFAB33D70D34B9EBD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E85092FDB5D43CFAB33D70D34B9EBD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9E554-E349-4DC9-A000-286166D989D5}">
  <ds:schemaRefs>
    <ds:schemaRef ds:uri="0e656187-b300-4fb0-8bf4-3a50f872073c"/>
    <ds:schemaRef ds:uri="http://schemas.microsoft.com/office/2006/documentManagement/types"/>
    <ds:schemaRef ds:uri="http://schemas.microsoft.com/office/2006/metadata/properties"/>
    <ds:schemaRef ds:uri="http://purl.org/dc/terms/"/>
    <ds:schemaRef ds:uri="http://purl.org/dc/elements/1.1/"/>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423CFCDF-BF90-43AD-8BA5-DCF3A7469496}">
  <ds:schemaRefs>
    <ds:schemaRef ds:uri="http://schemas.microsoft.com/sharepoint/v3/contenttype/forms"/>
  </ds:schemaRefs>
</ds:datastoreItem>
</file>

<file path=customXml/itemProps3.xml><?xml version="1.0" encoding="utf-8"?>
<ds:datastoreItem xmlns:ds="http://schemas.openxmlformats.org/officeDocument/2006/customXml" ds:itemID="{4073C74B-0C66-4728-9635-C0D230997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06A0DD6-A326-4B7F-A0F9-151AA43B6817}">
  <ds:schemaRefs>
    <ds:schemaRef ds:uri="http://schemas.microsoft.com/sharepoint/v3/contenttype/forms"/>
  </ds:schemaRefs>
</ds:datastoreItem>
</file>

<file path=customXml/itemProps5.xml><?xml version="1.0" encoding="utf-8"?>
<ds:datastoreItem xmlns:ds="http://schemas.openxmlformats.org/officeDocument/2006/customXml" ds:itemID="{E101D944-6100-4ADF-ADC7-2CB022358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4EEA54D2-2C2B-461D-B5B8-FC09A8341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Për disa ndryshime dhe shtesa në vendimin nr.285, datë 19.5.2021, të Këshillit të Ministrave, “Për miratimin e rregullave të prokurimit publik”</vt:lpstr>
    </vt:vector>
  </TitlesOfParts>
  <Company/>
  <LinksUpToDate>false</LinksUpToDate>
  <CharactersWithSpaces>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dhe shtesa në vendimin nr.285, datë 19.5.2021, të Këshillit të Ministrave, “Për miratimin e rregullave të prokurimit publik”</dc:title>
  <dc:creator>gpagria</dc:creator>
  <cp:lastModifiedBy>Amarilda Muja</cp:lastModifiedBy>
  <cp:revision>16</cp:revision>
  <cp:lastPrinted>2021-11-24T10:31:00Z</cp:lastPrinted>
  <dcterms:created xsi:type="dcterms:W3CDTF">2021-11-24T08:54:00Z</dcterms:created>
  <dcterms:modified xsi:type="dcterms:W3CDTF">2021-11-26T08:36:00Z</dcterms:modified>
</cp:coreProperties>
</file>