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342ABF" w14:textId="77777777" w:rsidR="000D0BD9" w:rsidRPr="004E0EE6" w:rsidRDefault="000D0BD9" w:rsidP="000D0BD9">
      <w:pPr>
        <w:spacing w:after="0" w:line="240" w:lineRule="auto"/>
        <w:jc w:val="center"/>
        <w:rPr>
          <w:rFonts w:ascii="Garamond" w:hAnsi="Garamond"/>
          <w:b/>
          <w:sz w:val="24"/>
          <w:szCs w:val="24"/>
          <w:lang w:val="sq-AL"/>
        </w:rPr>
      </w:pPr>
      <w:r w:rsidRPr="004E0EE6">
        <w:rPr>
          <w:rFonts w:ascii="Garamond" w:hAnsi="Garamond"/>
          <w:b/>
          <w:sz w:val="24"/>
          <w:szCs w:val="24"/>
          <w:lang w:val="sq-AL"/>
        </w:rPr>
        <w:t>VENDIM</w:t>
      </w:r>
    </w:p>
    <w:p w14:paraId="21342AC0" w14:textId="740489B9" w:rsidR="000D0BD9" w:rsidRPr="004E0EE6" w:rsidRDefault="000D0BD9" w:rsidP="000D0BD9">
      <w:pPr>
        <w:autoSpaceDE w:val="0"/>
        <w:autoSpaceDN w:val="0"/>
        <w:adjustRightInd w:val="0"/>
        <w:spacing w:after="0" w:line="240" w:lineRule="auto"/>
        <w:jc w:val="center"/>
        <w:rPr>
          <w:rFonts w:ascii="Garamond" w:eastAsiaTheme="minorHAnsi" w:hAnsi="Garamond"/>
          <w:b/>
          <w:bCs/>
          <w:color w:val="000000"/>
          <w:sz w:val="24"/>
          <w:szCs w:val="24"/>
          <w:lang w:val="sq-AL"/>
        </w:rPr>
      </w:pPr>
      <w:r w:rsidRPr="004E0EE6">
        <w:rPr>
          <w:rFonts w:ascii="Garamond" w:eastAsiaTheme="minorHAnsi" w:hAnsi="Garamond"/>
          <w:b/>
          <w:bCs/>
          <w:color w:val="000000"/>
          <w:sz w:val="24"/>
          <w:szCs w:val="24"/>
          <w:lang w:val="sq-AL"/>
        </w:rPr>
        <w:t>Nr.</w:t>
      </w:r>
      <w:r w:rsidR="004E0EE6">
        <w:rPr>
          <w:rFonts w:ascii="Garamond" w:eastAsiaTheme="minorHAnsi" w:hAnsi="Garamond"/>
          <w:b/>
          <w:bCs/>
          <w:color w:val="000000"/>
          <w:sz w:val="24"/>
          <w:szCs w:val="24"/>
          <w:lang w:val="sq-AL"/>
        </w:rPr>
        <w:t xml:space="preserve"> </w:t>
      </w:r>
      <w:r w:rsidR="00CC38D2" w:rsidRPr="004E0EE6">
        <w:rPr>
          <w:rFonts w:ascii="Garamond" w:eastAsiaTheme="minorHAnsi" w:hAnsi="Garamond"/>
          <w:b/>
          <w:bCs/>
          <w:color w:val="000000"/>
          <w:sz w:val="24"/>
          <w:szCs w:val="24"/>
          <w:lang w:val="sq-AL"/>
        </w:rPr>
        <w:t>757</w:t>
      </w:r>
      <w:r w:rsidRPr="004E0EE6">
        <w:rPr>
          <w:rFonts w:ascii="Garamond" w:eastAsiaTheme="minorHAnsi" w:hAnsi="Garamond"/>
          <w:b/>
          <w:bCs/>
          <w:color w:val="000000"/>
          <w:sz w:val="24"/>
          <w:szCs w:val="24"/>
          <w:lang w:val="sq-AL"/>
        </w:rPr>
        <w:t xml:space="preserve">, datë </w:t>
      </w:r>
      <w:r w:rsidR="00CC38D2" w:rsidRPr="004E0EE6">
        <w:rPr>
          <w:rFonts w:ascii="Garamond" w:eastAsiaTheme="minorHAnsi" w:hAnsi="Garamond"/>
          <w:b/>
          <w:bCs/>
          <w:color w:val="000000"/>
          <w:sz w:val="24"/>
          <w:szCs w:val="24"/>
          <w:lang w:val="sq-AL"/>
        </w:rPr>
        <w:t>9.12.2021</w:t>
      </w:r>
    </w:p>
    <w:p w14:paraId="21342AC1" w14:textId="77777777" w:rsidR="000D0BD9" w:rsidRPr="004E0EE6" w:rsidRDefault="000D0BD9" w:rsidP="000D0BD9">
      <w:pPr>
        <w:autoSpaceDE w:val="0"/>
        <w:autoSpaceDN w:val="0"/>
        <w:adjustRightInd w:val="0"/>
        <w:spacing w:after="0" w:line="240" w:lineRule="auto"/>
        <w:jc w:val="center"/>
        <w:rPr>
          <w:rFonts w:ascii="Garamond" w:eastAsiaTheme="minorHAnsi" w:hAnsi="Garamond"/>
          <w:b/>
          <w:bCs/>
          <w:color w:val="000000"/>
          <w:sz w:val="24"/>
          <w:szCs w:val="24"/>
          <w:lang w:val="sq-AL"/>
        </w:rPr>
      </w:pPr>
    </w:p>
    <w:p w14:paraId="21342AC2" w14:textId="2BD8D67B" w:rsidR="000D0BD9" w:rsidRPr="004E0EE6" w:rsidRDefault="000D0BD9" w:rsidP="000D0BD9">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4E0EE6">
        <w:rPr>
          <w:rFonts w:ascii="Garamond" w:eastAsiaTheme="minorHAnsi" w:hAnsi="Garamond"/>
          <w:b/>
          <w:bCs/>
          <w:color w:val="000000"/>
          <w:sz w:val="24"/>
          <w:szCs w:val="24"/>
          <w:lang w:val="sq-AL"/>
        </w:rPr>
        <w:t>PËR DISA NDRYSHIME DHE SHTESA NË VENDIMIN NR.</w:t>
      </w:r>
      <w:r w:rsidR="004E0EE6">
        <w:rPr>
          <w:rFonts w:ascii="Garamond" w:eastAsiaTheme="minorHAnsi" w:hAnsi="Garamond"/>
          <w:b/>
          <w:bCs/>
          <w:color w:val="000000"/>
          <w:sz w:val="24"/>
          <w:szCs w:val="24"/>
          <w:lang w:val="sq-AL"/>
        </w:rPr>
        <w:t xml:space="preserve"> </w:t>
      </w:r>
      <w:r w:rsidRPr="004E0EE6">
        <w:rPr>
          <w:rFonts w:ascii="Garamond" w:eastAsiaTheme="minorHAnsi" w:hAnsi="Garamond"/>
          <w:b/>
          <w:bCs/>
          <w:color w:val="000000"/>
          <w:sz w:val="24"/>
          <w:szCs w:val="24"/>
          <w:lang w:val="sq-AL"/>
        </w:rPr>
        <w:t>620, DATË 22.10.2021, TË KËSHILLIT TË MINISTRAVE, “PËR MIRATIMIN E KUSHTEVE, PËR VENDOSJEN E DETYRIMIT TË SHËRBIMIT PUBLIK NDAJ TË LICENCUARVE NË SEKTORIN E ENERGJISË ELEKTRIKE, GJATË GJENDJES SË EMERGJENCËS NË FURNIZIMIN ME ENERGJI ELEKTRIKE DHE PËR PËRBALLIMIN E PARANDALIMIN E SAJ”</w:t>
      </w:r>
    </w:p>
    <w:p w14:paraId="21342AC3" w14:textId="77777777" w:rsidR="000D0BD9" w:rsidRPr="004E0EE6" w:rsidRDefault="000D0BD9" w:rsidP="000D0BD9">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bookmarkStart w:id="0" w:name="_GoBack"/>
      <w:bookmarkEnd w:id="0"/>
    </w:p>
    <w:p w14:paraId="21342AC4" w14:textId="4383C15B"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Në mbështetje të nenit 100 të Kushtetutës dhe të pikës 5, të nenit 90, të ligjit nr.</w:t>
      </w:r>
      <w:r w:rsidR="004E0EE6">
        <w:rPr>
          <w:rFonts w:ascii="Garamond" w:eastAsiaTheme="minorHAnsi" w:hAnsi="Garamond"/>
          <w:color w:val="000000"/>
          <w:sz w:val="24"/>
          <w:szCs w:val="24"/>
          <w:lang w:val="sq-AL"/>
        </w:rPr>
        <w:t xml:space="preserve"> </w:t>
      </w:r>
      <w:r w:rsidRPr="004E0EE6">
        <w:rPr>
          <w:rFonts w:ascii="Garamond" w:eastAsiaTheme="minorHAnsi" w:hAnsi="Garamond"/>
          <w:color w:val="000000"/>
          <w:sz w:val="24"/>
          <w:szCs w:val="24"/>
          <w:lang w:val="sq-AL"/>
        </w:rPr>
        <w:t xml:space="preserve">43/2015, “Për sektorin e energjisë elektrike”, të ndryshuar, me propozimin e ministrit të Infrastrukturës dhe Energjisë, Këshilli i Ministrave </w:t>
      </w:r>
    </w:p>
    <w:p w14:paraId="21342AC5"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21342AC6" w14:textId="77777777" w:rsidR="000D0BD9" w:rsidRPr="004E0EE6" w:rsidRDefault="000D0BD9" w:rsidP="000D0BD9">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4E0EE6">
        <w:rPr>
          <w:rFonts w:ascii="Garamond" w:eastAsiaTheme="minorHAnsi" w:hAnsi="Garamond"/>
          <w:bCs/>
          <w:color w:val="000000"/>
          <w:sz w:val="24"/>
          <w:szCs w:val="24"/>
          <w:lang w:val="sq-AL"/>
        </w:rPr>
        <w:t>VENDOSI:</w:t>
      </w:r>
    </w:p>
    <w:p w14:paraId="21342AC7" w14:textId="77777777" w:rsidR="000D0BD9" w:rsidRPr="004E0EE6" w:rsidRDefault="000D0BD9" w:rsidP="000D0BD9">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21342AC8" w14:textId="7CB2739D"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I. Në vendimin nr.</w:t>
      </w:r>
      <w:r w:rsidR="004E0EE6">
        <w:rPr>
          <w:rFonts w:ascii="Garamond" w:eastAsiaTheme="minorHAnsi" w:hAnsi="Garamond"/>
          <w:color w:val="000000"/>
          <w:sz w:val="24"/>
          <w:szCs w:val="24"/>
          <w:lang w:val="sq-AL"/>
        </w:rPr>
        <w:t xml:space="preserve"> </w:t>
      </w:r>
      <w:r w:rsidRPr="004E0EE6">
        <w:rPr>
          <w:rFonts w:ascii="Garamond" w:eastAsiaTheme="minorHAnsi" w:hAnsi="Garamond"/>
          <w:color w:val="000000"/>
          <w:sz w:val="24"/>
          <w:szCs w:val="24"/>
          <w:lang w:val="sq-AL"/>
        </w:rPr>
        <w:t>620, datë 22.10.2021, të Këshillit të Ministrave, bëhen këto ndryshime dhe shtesa:</w:t>
      </w:r>
    </w:p>
    <w:p w14:paraId="21342AC9"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1. Në kreun IV bëhen ndryshimet e mëposhtme:</w:t>
      </w:r>
    </w:p>
    <w:p w14:paraId="21342ACA" w14:textId="4F2D75FA"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a) Pika 1 ndryshohet si më poshtë vijon:</w:t>
      </w:r>
    </w:p>
    <w:p w14:paraId="21342ACB" w14:textId="0E296CED"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“1. Furnizuesit të Shërbimit Universal, për të përmbushur kërkesat e klientëve që përfitojnë nga Shërbimi Universal i Furnizimit, në përputhje me parashikimet e pikës 1, të nenit 109, të ligjit nr.</w:t>
      </w:r>
      <w:r w:rsidR="004E0EE6">
        <w:rPr>
          <w:rFonts w:ascii="Garamond" w:eastAsiaTheme="minorHAnsi" w:hAnsi="Garamond"/>
          <w:color w:val="000000"/>
          <w:sz w:val="24"/>
          <w:szCs w:val="24"/>
          <w:lang w:val="sq-AL"/>
        </w:rPr>
        <w:t xml:space="preserve"> </w:t>
      </w:r>
      <w:r w:rsidRPr="004E0EE6">
        <w:rPr>
          <w:rFonts w:ascii="Garamond" w:eastAsiaTheme="minorHAnsi" w:hAnsi="Garamond"/>
          <w:color w:val="000000"/>
          <w:sz w:val="24"/>
          <w:szCs w:val="24"/>
          <w:lang w:val="sq-AL"/>
        </w:rPr>
        <w:t xml:space="preserve">43/2015, “Për sektorin e energjisë elektrike”, të ndryshuar, i vendoset detyrimi i shërbimit publik për të blerë sasinë e nevojshme të energjisë elektrike, të prodhuar nga shoqëria e prodhimit të energjisë elektrike, aksionet e së cilës kontrollohen plotësisht ose pjesërisht nga shteti. Shoqëria e prodhimit, e ngarkuar me detyrimin e shërbimit publik, furnizon Furnizuesin e Shërbimit Universal me të gjithë sasinë e nevojshme, për qëllime të plotësimit të kërkesës së plotë të Furnizuesit të Shërbimit Universal, sipas çmimit për njësi të energjisë elektrike, të miratuar nga Asambleja e Përgjithshme e Shoqërisë. </w:t>
      </w:r>
    </w:p>
    <w:p w14:paraId="21342ACC"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 xml:space="preserve">Për qëllime të furnizimit me të gjitha sasitë e nevojshme për nevojat e Furnizuesit të Shërbimit Universal, shoqëria e prodhimit e ngarkuar me detyrimin e shërbimit publik ka të drejtë të marrë me qira asete gjeneruese termike të energjisë, të shkëmbejë/të depozitojë apo të kryejë transaksione shitblerjeje energjie në tregun e lirë. </w:t>
      </w:r>
    </w:p>
    <w:p w14:paraId="21342ACD"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Shoqëria publike e prodhimit të energjisë organizon një procedurë të posaçme konkurruese, me afat të përshpejtuar për marrjen me qira të aseteve gjeneruese termike të energjisë me afat deri në tri vite, sipas procedurave të përcaktuara në kreun VIII, të këtij vendimi.</w:t>
      </w:r>
    </w:p>
    <w:p w14:paraId="21342ACE"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 xml:space="preserve">Ndërmjet Furnizuesit të Shërbimit Universal dhe shoqërisë së prodhimit të ngarkuar me detyrimin e shërbimit publik nënshkruhet kontrata, e miratuar nga Enti Rregullator i Energjisë, në lidhje me sasinë e energjisë së nevojshme për furnizimin e të gjithë klientëve universalë dhe çmimin për njësi, sipas burimit të energjisë. Shoqëria publike e prodhimit, në bazë të kontratës, lëshon ndaj furnizuesit të shërbimit publik çdo muaj faturën për koston përkatëse të prodhimit të energjisë nga burimet e veta, nga asetet e marra me qira dhe/ose blerja e energjisë. </w:t>
      </w:r>
    </w:p>
    <w:p w14:paraId="21342ACF"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Për efekt të këtij vendimi, Furnizuesi i Shërbimit Universal dërgon te prodhuesi publik i energjisë programe mujore, javore dhe ditore për mbulimin e kërkesës me energji elektrike për klientët fundorë. Shoqëria publike e prodhimit kryen veprime shitjeje energjie dhe depozitimi/shkëmbimi vetëm pasi plotëson të gjitha nevojat e furnizimit të Furnizuesit të Shërbimit Universal.”.</w:t>
      </w:r>
    </w:p>
    <w:p w14:paraId="21342AD0"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b) Pika 2 shfuqizohet.</w:t>
      </w:r>
    </w:p>
    <w:p w14:paraId="21342AD1"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2. Në kreun VIII bëhen ndryshimet e mëposhtme:</w:t>
      </w:r>
    </w:p>
    <w:p w14:paraId="21342AD2"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lastRenderedPageBreak/>
        <w:t>a) Titulli i kreut ndryshohet dhe zëvendësohet me “PROCEDURA E MARRJES ME QIRA TË ASETEVE GJENERUESE DHE SHKËMBIMIT/DEPOZITIMIT TË ENERGJISË NGA PRODHUESI PUBLIK I ENERGJISË”.</w:t>
      </w:r>
    </w:p>
    <w:p w14:paraId="21342AD3"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b) Pas pikës 11 shtohen pikat 11, 12, 13, 14, 15 dhe 16, me këtë përmbajtje:</w:t>
      </w:r>
    </w:p>
    <w:p w14:paraId="21342AD4"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“12. Shoqëria publike e prodhimit të energjisë për nevoja të sigurimit të gjithë energjisë së nevojshme për furnizimin e klientëve universalë, kryen procedurë të posaçme konkurruese për marrjen me qira të aseteve gjeneruese termike të energjisë për një periudhë deri në 3 (tre) vjet.</w:t>
      </w:r>
    </w:p>
    <w:p w14:paraId="21342AD5"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 xml:space="preserve">13. Shoqëria publike e prodhimit të energjisë hap procedurën konkurruese duke bërë njoftim në Buletinin e Njoftimeve Zyrtare, në </w:t>
      </w:r>
      <w:r w:rsidRPr="004E0EE6">
        <w:rPr>
          <w:rFonts w:ascii="Garamond" w:eastAsiaTheme="minorHAnsi" w:hAnsi="Garamond"/>
          <w:i/>
          <w:iCs/>
          <w:color w:val="000000"/>
          <w:sz w:val="24"/>
          <w:szCs w:val="24"/>
          <w:lang w:val="sq-AL"/>
        </w:rPr>
        <w:t>website-in</w:t>
      </w:r>
      <w:r w:rsidRPr="004E0EE6">
        <w:rPr>
          <w:rFonts w:ascii="Garamond" w:eastAsiaTheme="minorHAnsi" w:hAnsi="Garamond"/>
          <w:color w:val="000000"/>
          <w:sz w:val="24"/>
          <w:szCs w:val="24"/>
          <w:lang w:val="sq-AL"/>
        </w:rPr>
        <w:t xml:space="preserve"> e saj dhe në një gazetë ndërkombëtare. Afati i hapjes së aplikimeve është jo më pak se 7 (shtatë) ditë nga botimi në gazetën ndërkombëtare. </w:t>
      </w:r>
    </w:p>
    <w:p w14:paraId="21342AD6"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14. Kriteret e kualifikimit të ofruesve në procedurën e posaçme konkurruese të zhvilluar nga shoqëria, ndër të tjera, janë, si më poshtë vijon:</w:t>
      </w:r>
    </w:p>
    <w:p w14:paraId="21342AD7"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a) Dokumentacioni ligjor mbi të drejtat e përdorimit apo të pronësisë së asetit gjenerues që ofrohet për dhënien me qira;</w:t>
      </w:r>
    </w:p>
    <w:p w14:paraId="21342AD8"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b) Kapaciteti prodhues i asetit;</w:t>
      </w:r>
    </w:p>
    <w:p w14:paraId="21342AD9"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c) Dokumentacioni për gjendjen teknike të asetit, rendimentin e prodhimit, specifikimet e lëndës djegëse, konsumin nominal dhe treguesit e ndotjes mjedisore;</w:t>
      </w:r>
    </w:p>
    <w:p w14:paraId="21342ADA"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 xml:space="preserve"> ç) Garancia për aftësinë gjeneruese të sigurt dhe pa ndërprerje të asetit;</w:t>
      </w:r>
    </w:p>
    <w:p w14:paraId="21342ADB"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d) Deklarata për rendimentin në prodhim të asetit gjenerues të ofruar;</w:t>
      </w:r>
    </w:p>
    <w:p w14:paraId="21342ADC"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dh) Deklarata për dhënien e garancisë së lidhjes së asetit në sistemin e     transmetimit 220 KV të Republikës së Shqipërisë.</w:t>
      </w:r>
    </w:p>
    <w:p w14:paraId="21342ADD"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15. Shoqëria e prodhimit përcakton në procedurën e qiramarrjes një sistem vlerësimi për ofertën fituese, i cili bazohet kryesisht mbi çmimin më të ulët të qirasë së ofruar si dhe, ndër të tjera, por pa u kufizuar në:</w:t>
      </w:r>
    </w:p>
    <w:p w14:paraId="21342ADE" w14:textId="0CAC75BC"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a) efi</w:t>
      </w:r>
      <w:r w:rsidR="00701890">
        <w:rPr>
          <w:rFonts w:ascii="Garamond" w:eastAsiaTheme="minorHAnsi" w:hAnsi="Garamond"/>
          <w:color w:val="000000"/>
          <w:sz w:val="24"/>
          <w:szCs w:val="24"/>
          <w:lang w:val="sq-AL"/>
        </w:rPr>
        <w:t>ci</w:t>
      </w:r>
      <w:r w:rsidRPr="004E0EE6">
        <w:rPr>
          <w:rFonts w:ascii="Garamond" w:eastAsiaTheme="minorHAnsi" w:hAnsi="Garamond"/>
          <w:color w:val="000000"/>
          <w:sz w:val="24"/>
          <w:szCs w:val="24"/>
          <w:lang w:val="sq-AL"/>
        </w:rPr>
        <w:t>encën në gjenerim të asetit;</w:t>
      </w:r>
    </w:p>
    <w:p w14:paraId="21342ADF"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b) emetimet e gazrave serë;</w:t>
      </w:r>
    </w:p>
    <w:p w14:paraId="21342AE0"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c) kostot e operimit dhe mirëmbajtjes.</w:t>
      </w:r>
    </w:p>
    <w:p w14:paraId="21342AE1"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16. Shoqëria publike e prodhimit të energjisë bën publike gjithë dokumentacionin dhe ofertat fituese në faqen zyrtare të internetit.”.</w:t>
      </w:r>
    </w:p>
    <w:p w14:paraId="21342AE2" w14:textId="6D5A9D66"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 xml:space="preserve">II. Ngarkohen Ministria e Infrastrukturës dhe Energjisë, Enti Rregullator i Energjisë dhe shoqëritë KESH sh.a., OSHEE Group sh.a. dhe OST sh.a., për zbatimin e këtij vendimi. </w:t>
      </w:r>
    </w:p>
    <w:p w14:paraId="21342AE3" w14:textId="77777777" w:rsidR="000D0BD9" w:rsidRPr="004E0EE6" w:rsidRDefault="000D0BD9" w:rsidP="000D0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E0EE6">
        <w:rPr>
          <w:rFonts w:ascii="Garamond" w:eastAsiaTheme="minorHAnsi" w:hAnsi="Garamond"/>
          <w:color w:val="000000"/>
          <w:sz w:val="24"/>
          <w:szCs w:val="24"/>
          <w:lang w:val="sq-AL"/>
        </w:rPr>
        <w:t xml:space="preserve">Ky vendim hyn në fuqi pas botimit në Fletoren Zyrtare”. </w:t>
      </w:r>
    </w:p>
    <w:p w14:paraId="21342AE4" w14:textId="77777777" w:rsidR="000D0BD9" w:rsidRPr="004E0EE6" w:rsidRDefault="000D0BD9" w:rsidP="000D0BD9">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21342AE5" w14:textId="77777777" w:rsidR="000D0BD9" w:rsidRPr="004E0EE6" w:rsidRDefault="000D0BD9" w:rsidP="000D0BD9">
      <w:pPr>
        <w:autoSpaceDE w:val="0"/>
        <w:autoSpaceDN w:val="0"/>
        <w:adjustRightInd w:val="0"/>
        <w:spacing w:after="0" w:line="240" w:lineRule="auto"/>
        <w:ind w:firstLine="284"/>
        <w:jc w:val="right"/>
        <w:rPr>
          <w:rFonts w:ascii="Garamond" w:eastAsiaTheme="minorHAnsi" w:hAnsi="Garamond"/>
          <w:bCs/>
          <w:color w:val="000000"/>
          <w:sz w:val="24"/>
          <w:szCs w:val="24"/>
          <w:lang w:val="sq-AL"/>
        </w:rPr>
      </w:pPr>
      <w:r w:rsidRPr="004E0EE6">
        <w:rPr>
          <w:rFonts w:ascii="Garamond" w:eastAsiaTheme="minorHAnsi" w:hAnsi="Garamond"/>
          <w:bCs/>
          <w:color w:val="000000"/>
          <w:sz w:val="24"/>
          <w:szCs w:val="24"/>
          <w:lang w:val="sq-AL"/>
        </w:rPr>
        <w:t>ZËVENDËSKRYEMINISTËR</w:t>
      </w:r>
    </w:p>
    <w:p w14:paraId="21342AE6" w14:textId="77777777" w:rsidR="007A5879" w:rsidRPr="004E0EE6" w:rsidRDefault="000D0BD9" w:rsidP="000D0BD9">
      <w:pPr>
        <w:autoSpaceDE w:val="0"/>
        <w:autoSpaceDN w:val="0"/>
        <w:adjustRightInd w:val="0"/>
        <w:spacing w:after="0" w:line="240" w:lineRule="auto"/>
        <w:ind w:firstLine="284"/>
        <w:jc w:val="right"/>
        <w:rPr>
          <w:rFonts w:ascii="Garamond" w:hAnsi="Garamond"/>
          <w:b/>
          <w:sz w:val="24"/>
          <w:szCs w:val="24"/>
          <w:lang w:val="sq-AL"/>
        </w:rPr>
      </w:pPr>
      <w:r w:rsidRPr="004E0EE6">
        <w:rPr>
          <w:rFonts w:ascii="Garamond" w:eastAsiaTheme="minorHAnsi" w:hAnsi="Garamond"/>
          <w:b/>
          <w:bCs/>
          <w:color w:val="000000"/>
          <w:sz w:val="24"/>
          <w:szCs w:val="24"/>
          <w:lang w:val="sq-AL"/>
        </w:rPr>
        <w:t>Arben Ahmetaj</w:t>
      </w:r>
    </w:p>
    <w:sectPr w:rsidR="007A5879" w:rsidRPr="004E0EE6" w:rsidSect="00DA4107">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83D40A" w14:textId="77777777" w:rsidR="004E0EE6" w:rsidRDefault="004E0EE6">
      <w:pPr>
        <w:spacing w:after="0" w:line="240" w:lineRule="auto"/>
      </w:pPr>
      <w:r>
        <w:separator/>
      </w:r>
    </w:p>
  </w:endnote>
  <w:endnote w:type="continuationSeparator" w:id="0">
    <w:p w14:paraId="5CBA56E6" w14:textId="77777777" w:rsidR="004E0EE6" w:rsidRDefault="004E0EE6">
      <w:pPr>
        <w:spacing w:after="0" w:line="240" w:lineRule="auto"/>
      </w:pPr>
      <w:r>
        <w:continuationSeparator/>
      </w:r>
    </w:p>
  </w:endnote>
  <w:endnote w:type="continuationNotice" w:id="1">
    <w:p w14:paraId="61DD5369" w14:textId="77777777" w:rsidR="00A302CC" w:rsidRDefault="00A302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7E4B37" w14:textId="77777777" w:rsidR="004E0EE6" w:rsidRDefault="004E0EE6">
      <w:pPr>
        <w:spacing w:after="0" w:line="240" w:lineRule="auto"/>
      </w:pPr>
      <w:r>
        <w:separator/>
      </w:r>
    </w:p>
  </w:footnote>
  <w:footnote w:type="continuationSeparator" w:id="0">
    <w:p w14:paraId="448E4D0F" w14:textId="77777777" w:rsidR="004E0EE6" w:rsidRDefault="004E0EE6">
      <w:pPr>
        <w:spacing w:after="0" w:line="240" w:lineRule="auto"/>
      </w:pPr>
      <w:r>
        <w:continuationSeparator/>
      </w:r>
    </w:p>
  </w:footnote>
  <w:footnote w:type="continuationNotice" w:id="1">
    <w:p w14:paraId="0AEFE970" w14:textId="77777777" w:rsidR="00A302CC" w:rsidRDefault="00A302C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7D0EE8"/>
    <w:multiLevelType w:val="hybridMultilevel"/>
    <w:tmpl w:val="C31A49B6"/>
    <w:lvl w:ilvl="0" w:tplc="60D8D6E8">
      <w:start w:val="1"/>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3F51B7"/>
    <w:multiLevelType w:val="hybridMultilevel"/>
    <w:tmpl w:val="837C9CB4"/>
    <w:lvl w:ilvl="0" w:tplc="113C97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E3223C1"/>
    <w:multiLevelType w:val="hybridMultilevel"/>
    <w:tmpl w:val="94F88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DF0D00"/>
    <w:multiLevelType w:val="hybridMultilevel"/>
    <w:tmpl w:val="FCCCC9D6"/>
    <w:lvl w:ilvl="0" w:tplc="07EE8252">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nsid w:val="2D640FC4"/>
    <w:multiLevelType w:val="hybridMultilevel"/>
    <w:tmpl w:val="6232A4F6"/>
    <w:lvl w:ilvl="0" w:tplc="577CB19C">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nsid w:val="509E7AD8"/>
    <w:multiLevelType w:val="hybridMultilevel"/>
    <w:tmpl w:val="ACF0E390"/>
    <w:lvl w:ilvl="0" w:tplc="5B6CA266">
      <w:start w:val="1"/>
      <w:numFmt w:val="lowerLetter"/>
      <w:lvlText w:val="%1)"/>
      <w:lvlJc w:val="left"/>
      <w:pPr>
        <w:ind w:left="900" w:hanging="360"/>
      </w:pPr>
      <w:rPr>
        <w:rFonts w:hint="default"/>
      </w:r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6">
    <w:nsid w:val="53595552"/>
    <w:multiLevelType w:val="hybridMultilevel"/>
    <w:tmpl w:val="DFCAC1FA"/>
    <w:lvl w:ilvl="0" w:tplc="94F28E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A7B6AF9"/>
    <w:multiLevelType w:val="hybridMultilevel"/>
    <w:tmpl w:val="635E9078"/>
    <w:lvl w:ilvl="0" w:tplc="5EC294A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nsid w:val="682F116C"/>
    <w:multiLevelType w:val="hybridMultilevel"/>
    <w:tmpl w:val="CF243634"/>
    <w:lvl w:ilvl="0" w:tplc="C4EAD35A">
      <w:start w:val="2"/>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69936FBE"/>
    <w:multiLevelType w:val="hybridMultilevel"/>
    <w:tmpl w:val="DE0C34FC"/>
    <w:lvl w:ilvl="0" w:tplc="BF8A8E2E">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2"/>
  </w:num>
  <w:num w:numId="2">
    <w:abstractNumId w:val="9"/>
  </w:num>
  <w:num w:numId="3">
    <w:abstractNumId w:val="5"/>
  </w:num>
  <w:num w:numId="4">
    <w:abstractNumId w:val="0"/>
  </w:num>
  <w:num w:numId="5">
    <w:abstractNumId w:val="1"/>
  </w:num>
  <w:num w:numId="6">
    <w:abstractNumId w:val="6"/>
  </w:num>
  <w:num w:numId="7">
    <w:abstractNumId w:val="3"/>
  </w:num>
  <w:num w:numId="8">
    <w:abstractNumId w:val="4"/>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ED9"/>
    <w:rsid w:val="00045FB3"/>
    <w:rsid w:val="00062EB9"/>
    <w:rsid w:val="00087239"/>
    <w:rsid w:val="000D0BD9"/>
    <w:rsid w:val="000D1CFB"/>
    <w:rsid w:val="00291F26"/>
    <w:rsid w:val="003965DD"/>
    <w:rsid w:val="004479E2"/>
    <w:rsid w:val="00447ED9"/>
    <w:rsid w:val="004E0EE6"/>
    <w:rsid w:val="005C3428"/>
    <w:rsid w:val="005D3983"/>
    <w:rsid w:val="006363D6"/>
    <w:rsid w:val="006C02D1"/>
    <w:rsid w:val="00701890"/>
    <w:rsid w:val="007A5879"/>
    <w:rsid w:val="007B31C7"/>
    <w:rsid w:val="007D1F4C"/>
    <w:rsid w:val="00825892"/>
    <w:rsid w:val="008F1ACB"/>
    <w:rsid w:val="00962186"/>
    <w:rsid w:val="00A00B2C"/>
    <w:rsid w:val="00A20A44"/>
    <w:rsid w:val="00A24CA8"/>
    <w:rsid w:val="00A302CC"/>
    <w:rsid w:val="00A700CE"/>
    <w:rsid w:val="00BA27CC"/>
    <w:rsid w:val="00BF59F3"/>
    <w:rsid w:val="00C526C9"/>
    <w:rsid w:val="00CC38D2"/>
    <w:rsid w:val="00D0441D"/>
    <w:rsid w:val="00D93476"/>
    <w:rsid w:val="00DA4107"/>
    <w:rsid w:val="00DB4957"/>
    <w:rsid w:val="00ED2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42ABF"/>
  <w15:docId w15:val="{204C8BF2-D323-4E08-95FB-32B052B8D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7ED9"/>
    <w:rPr>
      <w:rFonts w:ascii="Calibri" w:eastAsia="Calibri" w:hAnsi="Calibri" w:cs="Times New Roman"/>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47ED9"/>
    <w:pPr>
      <w:ind w:left="720"/>
      <w:contextualSpacing/>
    </w:pPr>
  </w:style>
  <w:style w:type="paragraph" w:styleId="Footer">
    <w:name w:val="footer"/>
    <w:basedOn w:val="Normal"/>
    <w:link w:val="FooterChar"/>
    <w:uiPriority w:val="99"/>
    <w:unhideWhenUsed/>
    <w:rsid w:val="00447E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7ED9"/>
    <w:rPr>
      <w:rFonts w:ascii="Calibri" w:eastAsia="Calibri" w:hAnsi="Calibri" w:cs="Times New Roman"/>
      <w:lang w:val="it-IT"/>
    </w:rPr>
  </w:style>
  <w:style w:type="paragraph" w:styleId="BalloonText">
    <w:name w:val="Balloon Text"/>
    <w:basedOn w:val="Normal"/>
    <w:link w:val="BalloonTextChar"/>
    <w:uiPriority w:val="99"/>
    <w:semiHidden/>
    <w:unhideWhenUsed/>
    <w:rsid w:val="007B31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1C7"/>
    <w:rPr>
      <w:rFonts w:ascii="Segoe UI" w:eastAsia="Calibri" w:hAnsi="Segoe UI" w:cs="Segoe UI"/>
      <w:sz w:val="18"/>
      <w:szCs w:val="18"/>
      <w:lang w:val="it-IT"/>
    </w:rPr>
  </w:style>
  <w:style w:type="paragraph" w:styleId="Header">
    <w:name w:val="header"/>
    <w:basedOn w:val="Normal"/>
    <w:link w:val="HeaderChar"/>
    <w:uiPriority w:val="99"/>
    <w:unhideWhenUsed/>
    <w:rsid w:val="007A5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879"/>
    <w:rPr>
      <w:rFonts w:ascii="Calibri" w:eastAsia="Calibri" w:hAnsi="Calibri"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F80FE13A0A8401C8AFB4CC29AD698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757</Nr_x002e__x0020_akti>
    <Data_x0020_e_x0020_Krijimit xmlns="0e656187-b300-4fb0-8bf4-3a50f872073c">2021-12-13T09:34:06Z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2021-12-12T23:00:00Z</Date_x0020_protokolli>
    <Titulli xmlns="0e656187-b300-4fb0-8bf4-3a50f872073c">Për disa ndryshime dhe shtesa në vendimin nr. 620, datë 22.10.2021, të Këshillit të Ministrave, "Për miratimin e kushteve, për vendosjen e detyrimit të shërbimit publik ndaj të licencuarve në sektorin e energjisë elektrike, gjatë gjendjes së emergjencës në furnizimin me energji elektrike dhe për përballimin e parandalimin e saj"</Titulli>
    <Modifikuesi xmlns="0e656187-b300-4fb0-8bf4-3a50f872073c">nevila.samarxhi</Modifikuesi>
    <Nr_x002e__x0020_prot_x0020_QBZ xmlns="0e656187-b300-4fb0-8bf4-3a50f872073c">1680</Nr_x002e__x0020_prot_x0020_QBZ>
    <Data_x0020_e_x0020_Modifikimit xmlns="0e656187-b300-4fb0-8bf4-3a50f872073c">2021-12-13T11:16:10Z</Data_x0020_e_x0020_Modifikimit>
    <Dekretuar xmlns="0e656187-b300-4fb0-8bf4-3a50f872073c">false</Dekretuar>
    <Data xmlns="0e656187-b300-4fb0-8bf4-3a50f872073c">2021-12-08T23:00:00Z</Data>
    <Nr_x002e__x0020_protokolli_x0020_i_x0020_aktit xmlns="0e656187-b300-4fb0-8bf4-3a50f872073c">6104/1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EF80FE13A0A8401C8AFB4CC29AD698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ECDCC-B756-4C7B-8905-1AE60633C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E51042B-C5E7-4229-9F97-0E2CFE703528}">
  <ds:schemaRefs>
    <ds:schemaRef ds:uri="http://purl.org/dc/dcmitype/"/>
    <ds:schemaRef ds:uri="http://purl.org/dc/elements/1.1/"/>
    <ds:schemaRef ds:uri="http://www.w3.org/XML/1998/namespace"/>
    <ds:schemaRef ds:uri="http://schemas.microsoft.com/office/2006/documentManagement/types"/>
    <ds:schemaRef ds:uri="0e656187-b300-4fb0-8bf4-3a50f872073c"/>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040884E6-E338-46DC-A499-B2B7FF53A70F}">
  <ds:schemaRefs>
    <ds:schemaRef ds:uri="http://schemas.microsoft.com/sharepoint/v3/contenttype/forms"/>
  </ds:schemaRefs>
</ds:datastoreItem>
</file>

<file path=customXml/itemProps4.xml><?xml version="1.0" encoding="utf-8"?>
<ds:datastoreItem xmlns:ds="http://schemas.openxmlformats.org/officeDocument/2006/customXml" ds:itemID="{BB4A27FF-4BF4-4A28-A15A-C5105C5E28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D67CF63-76C5-4A8F-B1B1-3EC4A979657D}">
  <ds:schemaRefs>
    <ds:schemaRef ds:uri="http://schemas.microsoft.com/sharepoint/v3/contenttype/forms"/>
  </ds:schemaRefs>
</ds:datastoreItem>
</file>

<file path=customXml/itemProps6.xml><?xml version="1.0" encoding="utf-8"?>
<ds:datastoreItem xmlns:ds="http://schemas.openxmlformats.org/officeDocument/2006/customXml" ds:itemID="{30B4E8E0-7977-4AAB-B748-E535ADD1E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820</Words>
  <Characters>4677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5487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Enea Karakaci</dc:creator>
  <cp:lastModifiedBy>Jorina Kryeziu</cp:lastModifiedBy>
  <cp:revision>12</cp:revision>
  <cp:lastPrinted>2021-12-08T20:26:00Z</cp:lastPrinted>
  <dcterms:created xsi:type="dcterms:W3CDTF">2021-12-08T19:01:00Z</dcterms:created>
  <dcterms:modified xsi:type="dcterms:W3CDTF">2021-12-13T11:58:00Z</dcterms:modified>
</cp:coreProperties>
</file>