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A81F45" w14:textId="6B351E51" w:rsidR="00D04CA9" w:rsidRDefault="00D04CA9" w:rsidP="009F247E">
      <w:pPr>
        <w:spacing w:after="0" w:line="240" w:lineRule="auto"/>
        <w:ind w:firstLine="284"/>
        <w:jc w:val="both"/>
        <w:rPr>
          <w:rFonts w:ascii="Garamond" w:hAnsi="Garamond"/>
          <w:sz w:val="24"/>
          <w:szCs w:val="24"/>
        </w:rPr>
      </w:pPr>
    </w:p>
    <w:p w14:paraId="6FD8FE3D" w14:textId="729E4AE4" w:rsidR="001D4F31" w:rsidRDefault="001D4F31" w:rsidP="009F247E">
      <w:pPr>
        <w:spacing w:after="0" w:line="240" w:lineRule="auto"/>
        <w:ind w:firstLine="284"/>
        <w:jc w:val="both"/>
        <w:rPr>
          <w:rFonts w:ascii="Garamond" w:hAnsi="Garamond"/>
          <w:sz w:val="24"/>
          <w:szCs w:val="24"/>
        </w:rPr>
      </w:pPr>
    </w:p>
    <w:p w14:paraId="740D28A5" w14:textId="77777777" w:rsidR="001D4F31" w:rsidRPr="006D6937" w:rsidRDefault="001D4F31" w:rsidP="001D4F31">
      <w:pPr>
        <w:spacing w:after="0" w:line="240" w:lineRule="auto"/>
        <w:ind w:firstLine="284"/>
        <w:jc w:val="center"/>
        <w:rPr>
          <w:rFonts w:ascii="Garamond" w:hAnsi="Garamond" w:cs="Times New Roman"/>
          <w:b/>
          <w:sz w:val="24"/>
          <w:szCs w:val="24"/>
          <w:lang w:val="sq-AL"/>
        </w:rPr>
      </w:pPr>
      <w:r w:rsidRPr="006D6937">
        <w:rPr>
          <w:rFonts w:ascii="Garamond" w:hAnsi="Garamond" w:cs="Times New Roman"/>
          <w:b/>
          <w:sz w:val="24"/>
          <w:szCs w:val="24"/>
          <w:lang w:val="sq-AL"/>
        </w:rPr>
        <w:t>VENDIM</w:t>
      </w:r>
    </w:p>
    <w:p w14:paraId="37DD47D7" w14:textId="77777777" w:rsidR="001D4F31" w:rsidRPr="006D6937" w:rsidRDefault="001D4F31" w:rsidP="001D4F31">
      <w:pPr>
        <w:spacing w:after="0" w:line="240" w:lineRule="auto"/>
        <w:ind w:firstLine="284"/>
        <w:jc w:val="center"/>
        <w:rPr>
          <w:rFonts w:ascii="Garamond" w:hAnsi="Garamond" w:cs="Times New Roman"/>
          <w:b/>
          <w:sz w:val="24"/>
          <w:szCs w:val="24"/>
          <w:lang w:val="sq-AL"/>
        </w:rPr>
      </w:pPr>
      <w:r w:rsidRPr="006D6937">
        <w:rPr>
          <w:rFonts w:ascii="Garamond" w:hAnsi="Garamond" w:cs="Times New Roman"/>
          <w:b/>
          <w:sz w:val="24"/>
          <w:szCs w:val="24"/>
          <w:lang w:val="sq-AL"/>
        </w:rPr>
        <w:t xml:space="preserve"> Nr. 832, datë 24.12.2021</w:t>
      </w:r>
    </w:p>
    <w:p w14:paraId="3F19CD5C" w14:textId="77777777" w:rsidR="001D4F31" w:rsidRPr="006D6937" w:rsidRDefault="001D4F31" w:rsidP="001D4F31">
      <w:pPr>
        <w:spacing w:after="0" w:line="240" w:lineRule="auto"/>
        <w:ind w:firstLine="284"/>
        <w:jc w:val="center"/>
        <w:rPr>
          <w:rFonts w:ascii="Garamond" w:hAnsi="Garamond" w:cs="Times New Roman"/>
          <w:b/>
          <w:sz w:val="24"/>
          <w:szCs w:val="24"/>
          <w:lang w:val="sq-AL"/>
        </w:rPr>
      </w:pPr>
    </w:p>
    <w:p w14:paraId="5BE81C7C" w14:textId="77777777" w:rsidR="001D4F31" w:rsidRDefault="001D4F31" w:rsidP="001D4F31">
      <w:pPr>
        <w:widowControl w:val="0"/>
        <w:spacing w:after="0" w:line="240" w:lineRule="auto"/>
        <w:ind w:firstLine="284"/>
        <w:jc w:val="center"/>
        <w:rPr>
          <w:rFonts w:ascii="Garamond" w:eastAsia="Times New Roman" w:hAnsi="Garamond" w:cs="Times New Roman"/>
          <w:b/>
          <w:bCs/>
          <w:sz w:val="24"/>
          <w:szCs w:val="24"/>
          <w:lang w:val="sq-AL"/>
        </w:rPr>
      </w:pPr>
      <w:r w:rsidRPr="006D6937">
        <w:rPr>
          <w:rFonts w:ascii="Garamond" w:eastAsia="Times New Roman" w:hAnsi="Garamond" w:cs="Times New Roman"/>
          <w:b/>
          <w:bCs/>
          <w:sz w:val="24"/>
          <w:szCs w:val="24"/>
          <w:lang w:val="sq-AL"/>
        </w:rPr>
        <w:t>PËR D</w:t>
      </w:r>
      <w:r w:rsidRPr="006D6937">
        <w:rPr>
          <w:rFonts w:ascii="Garamond" w:eastAsia="Times New Roman" w:hAnsi="Garamond" w:cs="Times New Roman"/>
          <w:b/>
          <w:sz w:val="24"/>
          <w:szCs w:val="24"/>
          <w:lang w:val="sq-AL"/>
        </w:rPr>
        <w:t>EKLARIMIN PASURI KULTURORE “QENDËR HISTORIKE” TË FSHATIT BËNJË, PËRCAKTIMIN E ZONËS MBROJTËSE TË SAJ</w:t>
      </w:r>
      <w:r w:rsidRPr="006D6937">
        <w:rPr>
          <w:rFonts w:ascii="Garamond" w:eastAsia="Times New Roman" w:hAnsi="Garamond" w:cs="Times New Roman"/>
          <w:b/>
          <w:bCs/>
          <w:sz w:val="24"/>
          <w:szCs w:val="24"/>
          <w:lang w:val="sq-AL"/>
        </w:rPr>
        <w:t xml:space="preserve"> DHE MIRATIMIN E PLANIT PËR RUAJTJEN, M</w:t>
      </w:r>
      <w:r>
        <w:rPr>
          <w:rFonts w:ascii="Garamond" w:eastAsia="Times New Roman" w:hAnsi="Garamond" w:cs="Times New Roman"/>
          <w:b/>
          <w:bCs/>
          <w:sz w:val="24"/>
          <w:szCs w:val="24"/>
          <w:lang w:val="sq-AL"/>
        </w:rPr>
        <w:t>BROJTJEN E ADMINISTRIMIN E TYRE</w:t>
      </w:r>
    </w:p>
    <w:p w14:paraId="7299A79F" w14:textId="77777777" w:rsidR="001D4F31" w:rsidRPr="006D6937" w:rsidRDefault="001D4F31" w:rsidP="001D4F31">
      <w:pPr>
        <w:widowControl w:val="0"/>
        <w:spacing w:after="0" w:line="240" w:lineRule="auto"/>
        <w:ind w:firstLine="284"/>
        <w:jc w:val="center"/>
        <w:rPr>
          <w:rFonts w:ascii="Garamond" w:eastAsia="Times New Roman" w:hAnsi="Garamond" w:cs="Times New Roman"/>
          <w:b/>
          <w:bCs/>
          <w:sz w:val="24"/>
          <w:szCs w:val="24"/>
          <w:lang w:val="sq-AL"/>
        </w:rPr>
      </w:pPr>
    </w:p>
    <w:p w14:paraId="0BC07228" w14:textId="77777777" w:rsidR="001D4F31" w:rsidRPr="006D6937" w:rsidRDefault="001D4F31" w:rsidP="001D4F31">
      <w:pPr>
        <w:widowControl w:val="0"/>
        <w:spacing w:after="0" w:line="240" w:lineRule="auto"/>
        <w:ind w:firstLine="284"/>
        <w:contextualSpacing/>
        <w:rPr>
          <w:rFonts w:ascii="Garamond" w:eastAsia="Times New Roman" w:hAnsi="Garamond" w:cs="Times New Roman"/>
          <w:bCs/>
          <w:sz w:val="24"/>
          <w:szCs w:val="24"/>
          <w:lang w:val="sq-AL"/>
        </w:rPr>
      </w:pPr>
      <w:r w:rsidRPr="006D6937">
        <w:rPr>
          <w:rFonts w:ascii="Garamond" w:eastAsia="Times New Roman" w:hAnsi="Garamond" w:cs="Times New Roman"/>
          <w:bCs/>
          <w:sz w:val="24"/>
          <w:szCs w:val="24"/>
          <w:lang w:val="sq-AL"/>
        </w:rPr>
        <w:t>Në mbështetje të nenit 100 të Kushtetutës dhe të neneve 9, pika 3, shkronjat “a” e “ç”, dhe</w:t>
      </w:r>
      <w:r w:rsidRPr="006D6937">
        <w:rPr>
          <w:rFonts w:ascii="Garamond" w:eastAsia="Times New Roman" w:hAnsi="Garamond" w:cs="Times New Roman"/>
          <w:sz w:val="24"/>
          <w:szCs w:val="24"/>
          <w:lang w:val="sq-AL"/>
        </w:rPr>
        <w:t xml:space="preserve"> 96, pika 1, të ligjit nr.</w:t>
      </w:r>
      <w:r>
        <w:rPr>
          <w:rFonts w:ascii="Garamond" w:eastAsia="Times New Roman" w:hAnsi="Garamond" w:cs="Times New Roman"/>
          <w:sz w:val="24"/>
          <w:szCs w:val="24"/>
          <w:lang w:val="sq-AL"/>
        </w:rPr>
        <w:t xml:space="preserve"> </w:t>
      </w:r>
      <w:r w:rsidRPr="006D6937">
        <w:rPr>
          <w:rFonts w:ascii="Garamond" w:eastAsia="Times New Roman" w:hAnsi="Garamond" w:cs="Times New Roman"/>
          <w:sz w:val="24"/>
          <w:szCs w:val="24"/>
          <w:lang w:val="sq-AL"/>
        </w:rPr>
        <w:t xml:space="preserve">27/2018, “Për trashëgiminë kulturore dhe muzetë”, </w:t>
      </w:r>
      <w:r w:rsidRPr="006D6937">
        <w:rPr>
          <w:rFonts w:ascii="Garamond" w:eastAsia="Times New Roman" w:hAnsi="Garamond" w:cs="Times New Roman"/>
          <w:bCs/>
          <w:sz w:val="24"/>
          <w:szCs w:val="24"/>
          <w:lang w:val="sq-AL"/>
        </w:rPr>
        <w:t>me propozimin e ministrit të Kulturës, Këshilli i Ministrave</w:t>
      </w:r>
    </w:p>
    <w:p w14:paraId="70E81184" w14:textId="77777777" w:rsidR="001D4F31" w:rsidRPr="006D6937" w:rsidRDefault="001D4F31" w:rsidP="001D4F31">
      <w:pPr>
        <w:spacing w:after="0" w:line="240" w:lineRule="auto"/>
        <w:ind w:firstLine="284"/>
        <w:contextualSpacing/>
        <w:jc w:val="center"/>
        <w:rPr>
          <w:rFonts w:ascii="Garamond" w:eastAsia="Times New Roman" w:hAnsi="Garamond" w:cs="Times New Roman"/>
          <w:b/>
          <w:bCs/>
          <w:sz w:val="24"/>
          <w:szCs w:val="24"/>
          <w:lang w:val="sq-AL"/>
        </w:rPr>
      </w:pPr>
    </w:p>
    <w:p w14:paraId="11F4DC82" w14:textId="77777777" w:rsidR="001D4F31" w:rsidRPr="006D6937" w:rsidRDefault="001D4F31" w:rsidP="001D4F31">
      <w:pPr>
        <w:spacing w:after="0" w:line="240" w:lineRule="auto"/>
        <w:ind w:firstLine="284"/>
        <w:contextualSpacing/>
        <w:jc w:val="center"/>
        <w:rPr>
          <w:rFonts w:ascii="Garamond" w:eastAsia="Times New Roman" w:hAnsi="Garamond" w:cs="Times New Roman"/>
          <w:bCs/>
          <w:sz w:val="24"/>
          <w:szCs w:val="24"/>
          <w:lang w:val="sq-AL"/>
        </w:rPr>
      </w:pPr>
      <w:r w:rsidRPr="006D6937">
        <w:rPr>
          <w:rFonts w:ascii="Garamond" w:eastAsia="Times New Roman" w:hAnsi="Garamond" w:cs="Times New Roman"/>
          <w:bCs/>
          <w:sz w:val="24"/>
          <w:szCs w:val="24"/>
          <w:lang w:val="sq-AL"/>
        </w:rPr>
        <w:t>VENDOSI:</w:t>
      </w:r>
    </w:p>
    <w:p w14:paraId="79BC1BE6" w14:textId="77777777" w:rsidR="001D4F31" w:rsidRPr="006D6937" w:rsidRDefault="001D4F31" w:rsidP="001D4F31">
      <w:pPr>
        <w:spacing w:after="0" w:line="240" w:lineRule="auto"/>
        <w:ind w:firstLine="284"/>
        <w:contextualSpacing/>
        <w:rPr>
          <w:rFonts w:ascii="Garamond" w:eastAsia="Times New Roman" w:hAnsi="Garamond" w:cs="Times New Roman"/>
          <w:b/>
          <w:bCs/>
          <w:sz w:val="24"/>
          <w:szCs w:val="24"/>
          <w:lang w:val="sq-AL"/>
        </w:rPr>
      </w:pPr>
    </w:p>
    <w:p w14:paraId="40873AFE" w14:textId="77777777" w:rsidR="001D4F31" w:rsidRPr="006D6937" w:rsidRDefault="001D4F31" w:rsidP="001D4F31">
      <w:pPr>
        <w:pStyle w:val="ListParagraph"/>
        <w:spacing w:after="0" w:line="240" w:lineRule="auto"/>
        <w:ind w:left="0" w:firstLine="284"/>
        <w:jc w:val="both"/>
        <w:rPr>
          <w:rFonts w:ascii="Garamond" w:eastAsia="Times New Roman" w:hAnsi="Garamond" w:cs="Times New Roman"/>
          <w:bCs/>
          <w:sz w:val="24"/>
          <w:szCs w:val="24"/>
        </w:rPr>
      </w:pPr>
      <w:r w:rsidRPr="006D6937">
        <w:rPr>
          <w:rFonts w:ascii="Garamond" w:eastAsia="Times New Roman" w:hAnsi="Garamond" w:cs="Times New Roman"/>
          <w:bCs/>
          <w:sz w:val="24"/>
          <w:szCs w:val="24"/>
        </w:rPr>
        <w:t xml:space="preserve">1. </w:t>
      </w:r>
      <w:proofErr w:type="spellStart"/>
      <w:r w:rsidRPr="006D6937">
        <w:rPr>
          <w:rFonts w:ascii="Garamond" w:eastAsia="Times New Roman" w:hAnsi="Garamond" w:cs="Times New Roman"/>
          <w:bCs/>
          <w:sz w:val="24"/>
          <w:szCs w:val="24"/>
        </w:rPr>
        <w:t>Deklarimin</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pasuri</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kulturore</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Qendër</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historike</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të</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fshatit</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Bënjë</w:t>
      </w:r>
      <w:proofErr w:type="spellEnd"/>
      <w:r w:rsidRPr="006D6937">
        <w:rPr>
          <w:rFonts w:ascii="Garamond" w:eastAsia="Times New Roman" w:hAnsi="Garamond" w:cs="Times New Roman"/>
          <w:bCs/>
          <w:sz w:val="24"/>
          <w:szCs w:val="24"/>
        </w:rPr>
        <w:t>,</w:t>
      </w:r>
      <w:r w:rsidRPr="006D6937">
        <w:rPr>
          <w:rFonts w:ascii="Garamond" w:eastAsia="Times New Roman" w:hAnsi="Garamond" w:cs="Times New Roman"/>
          <w:sz w:val="24"/>
          <w:szCs w:val="24"/>
        </w:rPr>
        <w:t xml:space="preserve"> </w:t>
      </w:r>
      <w:proofErr w:type="spellStart"/>
      <w:r w:rsidRPr="006D6937">
        <w:rPr>
          <w:rFonts w:ascii="Garamond" w:eastAsia="Times New Roman" w:hAnsi="Garamond" w:cs="Times New Roman"/>
          <w:bCs/>
          <w:sz w:val="24"/>
          <w:szCs w:val="24"/>
        </w:rPr>
        <w:t>sipas</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koordinatave</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dhe</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hartës</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së</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zonifikimit</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që</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i</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bashkëlidhet</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këtij</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vendimi</w:t>
      </w:r>
      <w:proofErr w:type="spellEnd"/>
      <w:r w:rsidRPr="006D6937">
        <w:rPr>
          <w:rFonts w:ascii="Garamond" w:eastAsia="Times New Roman" w:hAnsi="Garamond" w:cs="Times New Roman"/>
          <w:bCs/>
          <w:sz w:val="24"/>
          <w:szCs w:val="24"/>
        </w:rPr>
        <w:t>.</w:t>
      </w:r>
    </w:p>
    <w:p w14:paraId="1EEF069B" w14:textId="77777777" w:rsidR="001D4F31" w:rsidRPr="006D6937" w:rsidRDefault="001D4F31" w:rsidP="001D4F31">
      <w:pPr>
        <w:pStyle w:val="ListParagraph"/>
        <w:spacing w:after="0" w:line="240" w:lineRule="auto"/>
        <w:ind w:left="0" w:firstLine="284"/>
        <w:jc w:val="both"/>
        <w:rPr>
          <w:rFonts w:ascii="Garamond" w:eastAsia="Times New Roman" w:hAnsi="Garamond" w:cs="Times New Roman"/>
          <w:bCs/>
          <w:sz w:val="24"/>
          <w:szCs w:val="24"/>
        </w:rPr>
      </w:pPr>
      <w:r w:rsidRPr="006D6937">
        <w:rPr>
          <w:rFonts w:ascii="Garamond" w:eastAsia="Times New Roman" w:hAnsi="Garamond" w:cs="Times New Roman"/>
          <w:bCs/>
          <w:sz w:val="24"/>
          <w:szCs w:val="24"/>
        </w:rPr>
        <w:t xml:space="preserve">2. </w:t>
      </w:r>
      <w:proofErr w:type="spellStart"/>
      <w:r w:rsidRPr="006D6937">
        <w:rPr>
          <w:rFonts w:ascii="Garamond" w:eastAsia="Times New Roman" w:hAnsi="Garamond" w:cs="Times New Roman"/>
          <w:bCs/>
          <w:sz w:val="24"/>
          <w:szCs w:val="24"/>
        </w:rPr>
        <w:t>Përcaktimin</w:t>
      </w:r>
      <w:proofErr w:type="spellEnd"/>
      <w:r w:rsidRPr="006D6937">
        <w:rPr>
          <w:rFonts w:ascii="Garamond" w:eastAsia="Times New Roman" w:hAnsi="Garamond" w:cs="Times New Roman"/>
          <w:bCs/>
          <w:sz w:val="24"/>
          <w:szCs w:val="24"/>
        </w:rPr>
        <w:t xml:space="preserve"> e </w:t>
      </w:r>
      <w:proofErr w:type="spellStart"/>
      <w:r w:rsidRPr="006D6937">
        <w:rPr>
          <w:rFonts w:ascii="Garamond" w:eastAsia="Times New Roman" w:hAnsi="Garamond" w:cs="Times New Roman"/>
          <w:bCs/>
          <w:sz w:val="24"/>
          <w:szCs w:val="24"/>
        </w:rPr>
        <w:t>zonës</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mbrojtëse</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të</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Qendrës</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historike</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të</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fshatit</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Bënjë</w:t>
      </w:r>
      <w:proofErr w:type="spellEnd"/>
      <w:r w:rsidRPr="006D6937">
        <w:rPr>
          <w:rFonts w:ascii="Garamond" w:eastAsia="Times New Roman" w:hAnsi="Garamond" w:cs="Times New Roman"/>
          <w:bCs/>
          <w:sz w:val="24"/>
          <w:szCs w:val="24"/>
        </w:rPr>
        <w:t>,</w:t>
      </w:r>
      <w:r w:rsidRPr="006D6937">
        <w:rPr>
          <w:rFonts w:ascii="Garamond" w:eastAsia="Times New Roman" w:hAnsi="Garamond" w:cs="Times New Roman"/>
          <w:sz w:val="24"/>
          <w:szCs w:val="24"/>
        </w:rPr>
        <w:t xml:space="preserve"> </w:t>
      </w:r>
      <w:proofErr w:type="spellStart"/>
      <w:r w:rsidRPr="006D6937">
        <w:rPr>
          <w:rFonts w:ascii="Garamond" w:eastAsia="Times New Roman" w:hAnsi="Garamond" w:cs="Times New Roman"/>
          <w:bCs/>
          <w:sz w:val="24"/>
          <w:szCs w:val="24"/>
        </w:rPr>
        <w:t>sipas</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koordinatave</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dhe</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hartës</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së</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zonimit</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që</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i</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bashkëlidhet</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këtij</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vendimi</w:t>
      </w:r>
      <w:proofErr w:type="spellEnd"/>
      <w:r w:rsidRPr="006D6937">
        <w:rPr>
          <w:rFonts w:ascii="Garamond" w:eastAsia="Times New Roman" w:hAnsi="Garamond" w:cs="Times New Roman"/>
          <w:bCs/>
          <w:sz w:val="24"/>
          <w:szCs w:val="24"/>
        </w:rPr>
        <w:t>.</w:t>
      </w:r>
    </w:p>
    <w:p w14:paraId="52DD241A" w14:textId="77777777" w:rsidR="001D4F31" w:rsidRPr="006D6937" w:rsidRDefault="001D4F31" w:rsidP="001D4F31">
      <w:pPr>
        <w:pStyle w:val="ListParagraph"/>
        <w:spacing w:after="0" w:line="240" w:lineRule="auto"/>
        <w:ind w:left="0" w:firstLine="284"/>
        <w:jc w:val="both"/>
        <w:rPr>
          <w:rFonts w:ascii="Garamond" w:eastAsia="Times New Roman" w:hAnsi="Garamond" w:cs="Times New Roman"/>
          <w:bCs/>
          <w:sz w:val="24"/>
          <w:szCs w:val="24"/>
        </w:rPr>
      </w:pPr>
      <w:r w:rsidRPr="006D6937">
        <w:rPr>
          <w:rFonts w:ascii="Garamond" w:eastAsia="Times New Roman" w:hAnsi="Garamond" w:cs="Times New Roman"/>
          <w:bCs/>
          <w:sz w:val="24"/>
          <w:szCs w:val="24"/>
        </w:rPr>
        <w:t xml:space="preserve">3. </w:t>
      </w:r>
      <w:proofErr w:type="spellStart"/>
      <w:r w:rsidRPr="006D6937">
        <w:rPr>
          <w:rFonts w:ascii="Garamond" w:eastAsia="Times New Roman" w:hAnsi="Garamond" w:cs="Times New Roman"/>
          <w:bCs/>
          <w:sz w:val="24"/>
          <w:szCs w:val="24"/>
        </w:rPr>
        <w:t>Miratimin</w:t>
      </w:r>
      <w:proofErr w:type="spellEnd"/>
      <w:r w:rsidRPr="006D6937">
        <w:rPr>
          <w:rFonts w:ascii="Garamond" w:eastAsia="Times New Roman" w:hAnsi="Garamond" w:cs="Times New Roman"/>
          <w:bCs/>
          <w:sz w:val="24"/>
          <w:szCs w:val="24"/>
        </w:rPr>
        <w:t xml:space="preserve"> e </w:t>
      </w:r>
      <w:proofErr w:type="spellStart"/>
      <w:r w:rsidRPr="006D6937">
        <w:rPr>
          <w:rFonts w:ascii="Garamond" w:eastAsia="Times New Roman" w:hAnsi="Garamond" w:cs="Times New Roman"/>
          <w:bCs/>
          <w:sz w:val="24"/>
          <w:szCs w:val="24"/>
        </w:rPr>
        <w:t>planit</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për</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ruajtjen</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mbrojtjen</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dhe</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administrimin</w:t>
      </w:r>
      <w:proofErr w:type="spellEnd"/>
      <w:r w:rsidRPr="006D6937">
        <w:rPr>
          <w:rFonts w:ascii="Garamond" w:eastAsia="Times New Roman" w:hAnsi="Garamond" w:cs="Times New Roman"/>
          <w:bCs/>
          <w:sz w:val="24"/>
          <w:szCs w:val="24"/>
        </w:rPr>
        <w:t xml:space="preserve"> e </w:t>
      </w:r>
      <w:proofErr w:type="spellStart"/>
      <w:r w:rsidRPr="006D6937">
        <w:rPr>
          <w:rFonts w:ascii="Garamond" w:eastAsia="Times New Roman" w:hAnsi="Garamond" w:cs="Times New Roman"/>
          <w:bCs/>
          <w:sz w:val="24"/>
          <w:szCs w:val="24"/>
        </w:rPr>
        <w:t>këtyre</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zonave</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sipas</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tekstit</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që</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i</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bashkëlidhet</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këtij</w:t>
      </w:r>
      <w:proofErr w:type="spellEnd"/>
      <w:r w:rsidRPr="006D6937">
        <w:rPr>
          <w:rFonts w:ascii="Garamond" w:eastAsia="Times New Roman" w:hAnsi="Garamond" w:cs="Times New Roman"/>
          <w:bCs/>
          <w:sz w:val="24"/>
          <w:szCs w:val="24"/>
        </w:rPr>
        <w:t xml:space="preserve"> </w:t>
      </w:r>
      <w:proofErr w:type="spellStart"/>
      <w:r w:rsidRPr="006D6937">
        <w:rPr>
          <w:rFonts w:ascii="Garamond" w:eastAsia="Times New Roman" w:hAnsi="Garamond" w:cs="Times New Roman"/>
          <w:bCs/>
          <w:sz w:val="24"/>
          <w:szCs w:val="24"/>
        </w:rPr>
        <w:t>vendimi</w:t>
      </w:r>
      <w:proofErr w:type="spellEnd"/>
      <w:r w:rsidRPr="006D6937">
        <w:rPr>
          <w:rFonts w:ascii="Garamond" w:eastAsia="Times New Roman" w:hAnsi="Garamond" w:cs="Times New Roman"/>
          <w:bCs/>
          <w:sz w:val="24"/>
          <w:szCs w:val="24"/>
        </w:rPr>
        <w:t>.</w:t>
      </w:r>
    </w:p>
    <w:p w14:paraId="08BED157" w14:textId="77777777" w:rsidR="001D4F31" w:rsidRPr="006D6937" w:rsidRDefault="001D4F31" w:rsidP="001D4F31">
      <w:pPr>
        <w:spacing w:after="0" w:line="240" w:lineRule="auto"/>
        <w:ind w:firstLine="284"/>
        <w:contextualSpacing/>
        <w:jc w:val="both"/>
        <w:rPr>
          <w:rFonts w:ascii="Garamond" w:eastAsia="Times New Roman" w:hAnsi="Garamond" w:cs="Times New Roman"/>
          <w:bCs/>
          <w:sz w:val="24"/>
          <w:szCs w:val="24"/>
          <w:lang w:val="sq-AL"/>
        </w:rPr>
      </w:pPr>
      <w:r w:rsidRPr="006D6937">
        <w:rPr>
          <w:rFonts w:ascii="Garamond" w:eastAsia="Times New Roman" w:hAnsi="Garamond" w:cs="Times New Roman"/>
          <w:bCs/>
          <w:sz w:val="24"/>
          <w:szCs w:val="24"/>
          <w:lang w:val="sq-AL"/>
        </w:rPr>
        <w:t xml:space="preserve"> 4. Vendimi nr.</w:t>
      </w:r>
      <w:r>
        <w:rPr>
          <w:rFonts w:ascii="Garamond" w:eastAsia="Times New Roman" w:hAnsi="Garamond" w:cs="Times New Roman"/>
          <w:bCs/>
          <w:sz w:val="24"/>
          <w:szCs w:val="24"/>
          <w:lang w:val="sq-AL"/>
        </w:rPr>
        <w:t xml:space="preserve"> </w:t>
      </w:r>
      <w:r w:rsidRPr="006D6937">
        <w:rPr>
          <w:rFonts w:ascii="Garamond" w:eastAsia="Times New Roman" w:hAnsi="Garamond" w:cs="Times New Roman"/>
          <w:bCs/>
          <w:sz w:val="24"/>
          <w:szCs w:val="24"/>
          <w:lang w:val="sq-AL"/>
        </w:rPr>
        <w:t>776, datë 2.11.2016, i Këshillit të Ministrave, “Për shpalljen e qendrës historike të fshatit Bënjë dhe miratimin e rregullores për administrimin e saj e të zonës së mbrojtur përreth”, shfuqizohet.</w:t>
      </w:r>
    </w:p>
    <w:p w14:paraId="1B71AC8E" w14:textId="77777777" w:rsidR="001D4F31" w:rsidRPr="006D6937" w:rsidRDefault="001D4F31" w:rsidP="001D4F31">
      <w:pPr>
        <w:spacing w:after="0" w:line="240" w:lineRule="auto"/>
        <w:ind w:firstLine="284"/>
        <w:contextualSpacing/>
        <w:jc w:val="both"/>
        <w:rPr>
          <w:rFonts w:ascii="Garamond" w:eastAsia="Times New Roman" w:hAnsi="Garamond" w:cs="Times New Roman"/>
          <w:bCs/>
          <w:sz w:val="24"/>
          <w:szCs w:val="24"/>
          <w:lang w:val="sq-AL"/>
        </w:rPr>
      </w:pPr>
      <w:r w:rsidRPr="006D6937">
        <w:rPr>
          <w:rFonts w:ascii="Garamond" w:eastAsia="Times New Roman" w:hAnsi="Garamond" w:cs="Times New Roman"/>
          <w:bCs/>
          <w:sz w:val="24"/>
          <w:szCs w:val="24"/>
          <w:lang w:val="sq-AL"/>
        </w:rPr>
        <w:t>5. Ngarkohet Autoriteti Shtetëror për Informacionin Gjeohapësinor të publikojë hartën e “Qendrës historike” të fshatit Bënjë dhe të zonës mbrojtëse të saj në Gjeoportalin Kombëtar.</w:t>
      </w:r>
    </w:p>
    <w:p w14:paraId="72F59508" w14:textId="77777777" w:rsidR="001D4F31" w:rsidRPr="006D6937" w:rsidRDefault="001D4F31" w:rsidP="001D4F31">
      <w:pPr>
        <w:spacing w:after="0" w:line="240" w:lineRule="auto"/>
        <w:ind w:firstLine="284"/>
        <w:contextualSpacing/>
        <w:jc w:val="both"/>
        <w:rPr>
          <w:rFonts w:ascii="Garamond" w:eastAsia="Times New Roman" w:hAnsi="Garamond" w:cs="Times New Roman"/>
          <w:bCs/>
          <w:sz w:val="24"/>
          <w:szCs w:val="24"/>
          <w:lang w:val="sq-AL"/>
        </w:rPr>
      </w:pPr>
      <w:r w:rsidRPr="006D6937">
        <w:rPr>
          <w:rFonts w:ascii="Garamond" w:eastAsia="Times New Roman" w:hAnsi="Garamond" w:cs="Times New Roman"/>
          <w:bCs/>
          <w:sz w:val="24"/>
          <w:szCs w:val="24"/>
          <w:lang w:val="sq-AL"/>
        </w:rPr>
        <w:t>6. Ngarkohen Ministria e Kulturës, Ministria e Infrastrukturës dhe Energjisë dhe Bashkia Përmet për zbatimin e këtij vendimi.</w:t>
      </w:r>
    </w:p>
    <w:p w14:paraId="52633EC1" w14:textId="77777777" w:rsidR="001D4F31" w:rsidRPr="006D6937" w:rsidRDefault="001D4F31" w:rsidP="001D4F31">
      <w:pPr>
        <w:spacing w:after="0" w:line="240" w:lineRule="auto"/>
        <w:ind w:firstLine="284"/>
        <w:contextualSpacing/>
        <w:jc w:val="both"/>
        <w:rPr>
          <w:rFonts w:ascii="Garamond" w:eastAsia="Times New Roman" w:hAnsi="Garamond" w:cs="Times New Roman"/>
          <w:bCs/>
          <w:sz w:val="24"/>
          <w:szCs w:val="24"/>
          <w:lang w:val="sq-AL"/>
        </w:rPr>
      </w:pPr>
      <w:r w:rsidRPr="006D6937">
        <w:rPr>
          <w:rFonts w:ascii="Garamond" w:eastAsia="Times New Roman" w:hAnsi="Garamond" w:cs="Times New Roman"/>
          <w:bCs/>
          <w:sz w:val="24"/>
          <w:szCs w:val="24"/>
          <w:lang w:val="sq-AL"/>
        </w:rPr>
        <w:t>Ky vendim hyn në fuqi pas botimit në Fletoren Zyrtare.</w:t>
      </w:r>
    </w:p>
    <w:p w14:paraId="446B4CDA" w14:textId="77777777" w:rsidR="001D4F31" w:rsidRPr="006D6937" w:rsidRDefault="001D4F31" w:rsidP="001D4F31">
      <w:pPr>
        <w:spacing w:after="0" w:line="240" w:lineRule="auto"/>
        <w:ind w:firstLine="284"/>
        <w:contextualSpacing/>
        <w:jc w:val="center"/>
        <w:rPr>
          <w:rFonts w:ascii="Garamond" w:eastAsia="Times New Roman" w:hAnsi="Garamond" w:cs="Times New Roman"/>
          <w:b/>
          <w:bCs/>
          <w:sz w:val="24"/>
          <w:szCs w:val="24"/>
          <w:lang w:val="sq-AL"/>
        </w:rPr>
      </w:pPr>
    </w:p>
    <w:p w14:paraId="63701FC2" w14:textId="77777777" w:rsidR="001D4F31" w:rsidRPr="006D6937" w:rsidRDefault="001D4F31" w:rsidP="001D4F31">
      <w:pPr>
        <w:spacing w:after="0" w:line="240" w:lineRule="auto"/>
        <w:ind w:firstLine="284"/>
        <w:contextualSpacing/>
        <w:jc w:val="right"/>
        <w:rPr>
          <w:rFonts w:ascii="Garamond" w:eastAsia="Times New Roman" w:hAnsi="Garamond" w:cs="Times New Roman"/>
          <w:bCs/>
          <w:sz w:val="24"/>
          <w:szCs w:val="24"/>
          <w:lang w:val="sq-AL"/>
        </w:rPr>
      </w:pPr>
      <w:r w:rsidRPr="006D6937">
        <w:rPr>
          <w:rFonts w:ascii="Garamond" w:eastAsia="Times New Roman" w:hAnsi="Garamond" w:cs="Times New Roman"/>
          <w:bCs/>
          <w:sz w:val="24"/>
          <w:szCs w:val="24"/>
          <w:lang w:val="sq-AL"/>
        </w:rPr>
        <w:t>KRYEMINISTËR</w:t>
      </w:r>
    </w:p>
    <w:p w14:paraId="5F7F4A23" w14:textId="77777777" w:rsidR="001D4F31" w:rsidRPr="006D6937" w:rsidRDefault="001D4F31" w:rsidP="001D4F31">
      <w:pPr>
        <w:spacing w:after="0" w:line="240" w:lineRule="auto"/>
        <w:ind w:firstLine="284"/>
        <w:contextualSpacing/>
        <w:jc w:val="right"/>
        <w:rPr>
          <w:rFonts w:ascii="Garamond" w:eastAsia="Times New Roman" w:hAnsi="Garamond" w:cs="Times New Roman"/>
          <w:b/>
          <w:bCs/>
          <w:sz w:val="24"/>
          <w:szCs w:val="24"/>
          <w:lang w:val="sq-AL"/>
        </w:rPr>
      </w:pPr>
      <w:r w:rsidRPr="006D6937">
        <w:rPr>
          <w:rFonts w:ascii="Garamond" w:eastAsia="Times New Roman" w:hAnsi="Garamond" w:cs="Times New Roman"/>
          <w:b/>
          <w:bCs/>
          <w:sz w:val="24"/>
          <w:szCs w:val="24"/>
          <w:lang w:val="sq-AL"/>
        </w:rPr>
        <w:t>Edi Rama</w:t>
      </w:r>
    </w:p>
    <w:p w14:paraId="314C19CD" w14:textId="77777777" w:rsidR="001D4F31" w:rsidRPr="006D6937" w:rsidRDefault="001D4F31" w:rsidP="001D4F31">
      <w:pPr>
        <w:spacing w:after="0" w:line="240" w:lineRule="auto"/>
        <w:ind w:firstLine="284"/>
        <w:jc w:val="right"/>
        <w:rPr>
          <w:rFonts w:ascii="Garamond" w:hAnsi="Garamond" w:cs="Times New Roman"/>
          <w:b/>
          <w:sz w:val="24"/>
          <w:szCs w:val="24"/>
          <w:lang w:val="sq-AL"/>
        </w:rPr>
      </w:pPr>
    </w:p>
    <w:p w14:paraId="621AAC04" w14:textId="77777777" w:rsidR="001D4F31" w:rsidRPr="009F247E" w:rsidRDefault="001D4F31" w:rsidP="009F247E">
      <w:pPr>
        <w:spacing w:after="0" w:line="240" w:lineRule="auto"/>
        <w:ind w:firstLine="284"/>
        <w:jc w:val="both"/>
        <w:rPr>
          <w:rFonts w:ascii="Garamond" w:hAnsi="Garamond"/>
          <w:sz w:val="24"/>
          <w:szCs w:val="24"/>
        </w:rPr>
      </w:pPr>
      <w:bookmarkStart w:id="0" w:name="_GoBack"/>
      <w:bookmarkEnd w:id="0"/>
    </w:p>
    <w:p w14:paraId="455A86AC" w14:textId="1DA1078E" w:rsidR="009F247E" w:rsidRPr="00EC63E0" w:rsidRDefault="009F247E" w:rsidP="009F247E">
      <w:pPr>
        <w:autoSpaceDE w:val="0"/>
        <w:autoSpaceDN w:val="0"/>
        <w:adjustRightInd w:val="0"/>
        <w:spacing w:after="0" w:line="240" w:lineRule="auto"/>
        <w:ind w:firstLine="284"/>
        <w:jc w:val="center"/>
        <w:rPr>
          <w:rFonts w:ascii="Garamond" w:eastAsiaTheme="minorHAnsi" w:hAnsi="Garamond" w:cs="Calibri"/>
          <w:bCs/>
          <w:color w:val="000000"/>
          <w:sz w:val="24"/>
          <w:szCs w:val="24"/>
          <w:lang w:val="sq-AL"/>
        </w:rPr>
      </w:pPr>
      <w:r w:rsidRPr="00EC63E0">
        <w:rPr>
          <w:rFonts w:ascii="Garamond" w:eastAsiaTheme="minorHAnsi" w:hAnsi="Garamond" w:cs="Calibri"/>
          <w:bCs/>
          <w:color w:val="000000"/>
          <w:sz w:val="24"/>
          <w:szCs w:val="24"/>
          <w:lang w:val="sq-AL"/>
        </w:rPr>
        <w:t>PLANI PËR  RUAJTJEN, MBROJTJEN DHE ADMINISTRIMIN E “QENDRËS HISTORIKE” TË FSHATIT BËNJË DHE TË ZONËS MBROJTËSE TË SAJ</w:t>
      </w:r>
    </w:p>
    <w:p w14:paraId="3CED3C58"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7430CDDD"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Cs/>
          <w:color w:val="000000"/>
          <w:sz w:val="24"/>
          <w:szCs w:val="24"/>
          <w:lang w:val="sq-AL"/>
        </w:rPr>
      </w:pPr>
      <w:r w:rsidRPr="009F247E">
        <w:rPr>
          <w:rFonts w:ascii="Garamond" w:eastAsiaTheme="minorHAnsi" w:hAnsi="Garamond" w:cs="Calibri"/>
          <w:bCs/>
          <w:color w:val="000000"/>
          <w:sz w:val="24"/>
          <w:szCs w:val="24"/>
          <w:lang w:val="sq-AL"/>
        </w:rPr>
        <w:t>Neni 1</w:t>
      </w:r>
    </w:p>
    <w:p w14:paraId="0F568595"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r w:rsidRPr="009F247E">
        <w:rPr>
          <w:rFonts w:ascii="Garamond" w:eastAsiaTheme="minorHAnsi" w:hAnsi="Garamond" w:cs="Calibri"/>
          <w:b/>
          <w:bCs/>
          <w:color w:val="000000"/>
          <w:sz w:val="24"/>
          <w:szCs w:val="24"/>
          <w:lang w:val="sq-AL"/>
        </w:rPr>
        <w:t>Qëllimi dhe objektivat</w:t>
      </w:r>
    </w:p>
    <w:p w14:paraId="054F66FF"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p>
    <w:p w14:paraId="522EEB26"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Ky plan ka për qëllim miratimin e rregullave, të procedurave, të autoriteteve shtetërore përgjegjëse për ruajtjen, mbrojtjen dhe administrimin e “qendrës historike” të fshatit Bënjë dhe zonës mbrojtëse përreth saj.</w:t>
      </w:r>
    </w:p>
    <w:p w14:paraId="6CFFF894"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color w:val="000000"/>
          <w:sz w:val="24"/>
          <w:szCs w:val="24"/>
          <w:lang w:val="sq-AL"/>
        </w:rPr>
      </w:pPr>
    </w:p>
    <w:p w14:paraId="32F0358F"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color w:val="000000"/>
          <w:sz w:val="24"/>
          <w:szCs w:val="24"/>
          <w:lang w:val="sq-AL"/>
        </w:rPr>
      </w:pPr>
      <w:r w:rsidRPr="009F247E">
        <w:rPr>
          <w:rFonts w:ascii="Garamond" w:eastAsiaTheme="minorHAnsi" w:hAnsi="Garamond" w:cs="Calibri"/>
          <w:bCs/>
          <w:color w:val="000000"/>
          <w:sz w:val="24"/>
          <w:szCs w:val="24"/>
          <w:lang w:val="sq-AL"/>
        </w:rPr>
        <w:t>Neni 2</w:t>
      </w:r>
    </w:p>
    <w:p w14:paraId="44438917"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r w:rsidRPr="009F247E">
        <w:rPr>
          <w:rFonts w:ascii="Garamond" w:eastAsiaTheme="minorHAnsi" w:hAnsi="Garamond" w:cs="Calibri"/>
          <w:b/>
          <w:bCs/>
          <w:color w:val="000000"/>
          <w:sz w:val="24"/>
          <w:szCs w:val="24"/>
          <w:lang w:val="sq-AL"/>
        </w:rPr>
        <w:t>Objekti</w:t>
      </w:r>
    </w:p>
    <w:p w14:paraId="6DEEFE89"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b/>
          <w:bCs/>
          <w:color w:val="000000"/>
          <w:sz w:val="24"/>
          <w:szCs w:val="24"/>
          <w:lang w:val="sq-AL"/>
        </w:rPr>
      </w:pPr>
    </w:p>
    <w:p w14:paraId="04A7BD0B"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Objekti kryesor të këtij plani janë:</w:t>
      </w:r>
    </w:p>
    <w:p w14:paraId="10467EF6" w14:textId="4DA400BE"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lastRenderedPageBreak/>
        <w:t>a) ruajtja dhe mbrojtja e vlerave të trashëgimisë kulturore, historike, urbanistike, arkitektonike dhe të peizazhit të “qendrës historike” të fshatit Bënjë dhe zonës mbrojtëse të saj, sipas hartës së zonifikimit bashkëlidhur;</w:t>
      </w:r>
    </w:p>
    <w:p w14:paraId="7B816587" w14:textId="26150EF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b) administrimi i “qendrës historike” të fshatit Bënjë dhe zonës mbrojtëse të saj;</w:t>
      </w:r>
    </w:p>
    <w:p w14:paraId="2E20D4CB" w14:textId="461A232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c) mënyrat e bashkëpunimit të institucioneve të ngarkuara për ruajtjen dhe miradministrimin e vlerave të trashëgimisë kulturore të fshatit Bënjë, me njësitë e vetëqeverisjes vendore.</w:t>
      </w:r>
    </w:p>
    <w:p w14:paraId="3C904730"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0607D54E"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color w:val="000000"/>
          <w:sz w:val="24"/>
          <w:szCs w:val="24"/>
          <w:lang w:val="sq-AL"/>
        </w:rPr>
      </w:pPr>
      <w:r w:rsidRPr="009F247E">
        <w:rPr>
          <w:rFonts w:ascii="Garamond" w:eastAsiaTheme="minorHAnsi" w:hAnsi="Garamond" w:cs="Calibri"/>
          <w:bCs/>
          <w:color w:val="000000"/>
          <w:sz w:val="24"/>
          <w:szCs w:val="24"/>
          <w:lang w:val="sq-AL"/>
        </w:rPr>
        <w:t>Neni 3</w:t>
      </w:r>
    </w:p>
    <w:p w14:paraId="758ED525"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r w:rsidRPr="009F247E">
        <w:rPr>
          <w:rFonts w:ascii="Garamond" w:eastAsiaTheme="minorHAnsi" w:hAnsi="Garamond" w:cs="Calibri"/>
          <w:b/>
          <w:bCs/>
          <w:color w:val="000000"/>
          <w:sz w:val="24"/>
          <w:szCs w:val="24"/>
          <w:lang w:val="sq-AL"/>
        </w:rPr>
        <w:t>Hapësira urbane në mbrojtje</w:t>
      </w:r>
    </w:p>
    <w:p w14:paraId="0393D50C"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p>
    <w:p w14:paraId="5960D05A" w14:textId="29A62EA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1. Hapësira në mbrojtje e fshatit Bënjë përbëhet nga:</w:t>
      </w:r>
    </w:p>
    <w:p w14:paraId="320A12F4" w14:textId="48C176DE"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a) “qendra historike”;</w:t>
      </w:r>
    </w:p>
    <w:p w14:paraId="4785E33F" w14:textId="54493733"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b) zona mbrojtëse.</w:t>
      </w:r>
    </w:p>
    <w:p w14:paraId="1F022D99" w14:textId="02DA727C"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2. Brenda zonave të përcaktuara në pikën 1, të këtij neni, përfshihen zona e banuar e fshatit, pasuri kulturore të paluajtshme, zona të gjelbra, sheshe dhe objekte pa status, sipas përcaktimeve në ligjin nr.</w:t>
      </w:r>
      <w:r w:rsidR="00D85A17">
        <w:rPr>
          <w:rFonts w:ascii="Garamond" w:eastAsiaTheme="minorHAnsi" w:hAnsi="Garamond" w:cs="Calibri"/>
          <w:color w:val="000000"/>
          <w:sz w:val="24"/>
          <w:szCs w:val="24"/>
          <w:lang w:val="sq-AL"/>
        </w:rPr>
        <w:t xml:space="preserve"> </w:t>
      </w:r>
      <w:r w:rsidRPr="009F247E">
        <w:rPr>
          <w:rFonts w:ascii="Garamond" w:eastAsiaTheme="minorHAnsi" w:hAnsi="Garamond" w:cs="Calibri"/>
          <w:color w:val="000000"/>
          <w:sz w:val="24"/>
          <w:szCs w:val="24"/>
          <w:lang w:val="sq-AL"/>
        </w:rPr>
        <w:t xml:space="preserve">27/2018, “Për trashëgiminë kulturore dhe muzetë”. </w:t>
      </w:r>
    </w:p>
    <w:p w14:paraId="4A6FC51E" w14:textId="0CD4FA38"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3. Plani i përgjithshëm vendor i Bashkisë Përmet merr parasysh kufijtë e zonifikimit të “qendrës historike”, të zonës mbrojtëse të saj, si dhe rregullat për ruajtjen, mbrojtjen e administrimin e tyre.</w:t>
      </w:r>
    </w:p>
    <w:p w14:paraId="751A84EF" w14:textId="68E77083"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4. Organet e njësive të vetëqeverisjes vendore, në bashkëpunim me institucionet shtetërore të specializuara, sigurojnë ruajtjen dhe mbrojtjen e “qendrës historike”, të zonës mbrojtëse të saj dhe të monumenteve të kulturës, të ngritura në hapësirat e juridiksionit të tyre.</w:t>
      </w:r>
    </w:p>
    <w:p w14:paraId="156AAB8E"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b/>
          <w:bCs/>
          <w:color w:val="000000"/>
          <w:sz w:val="24"/>
          <w:szCs w:val="24"/>
          <w:lang w:val="sq-AL"/>
        </w:rPr>
      </w:pPr>
    </w:p>
    <w:p w14:paraId="38441B43"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Cs/>
          <w:color w:val="000000"/>
          <w:sz w:val="24"/>
          <w:szCs w:val="24"/>
          <w:lang w:val="sq-AL"/>
        </w:rPr>
      </w:pPr>
      <w:r w:rsidRPr="009F247E">
        <w:rPr>
          <w:rFonts w:ascii="Garamond" w:eastAsiaTheme="minorHAnsi" w:hAnsi="Garamond" w:cs="Calibri"/>
          <w:bCs/>
          <w:color w:val="000000"/>
          <w:sz w:val="24"/>
          <w:szCs w:val="24"/>
          <w:lang w:val="sq-AL"/>
        </w:rPr>
        <w:t>Neni 4</w:t>
      </w:r>
    </w:p>
    <w:p w14:paraId="27D6A76B"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r w:rsidRPr="009F247E">
        <w:rPr>
          <w:rFonts w:ascii="Garamond" w:eastAsiaTheme="minorHAnsi" w:hAnsi="Garamond" w:cs="Calibri"/>
          <w:b/>
          <w:bCs/>
          <w:color w:val="000000"/>
          <w:sz w:val="24"/>
          <w:szCs w:val="24"/>
          <w:lang w:val="sq-AL"/>
        </w:rPr>
        <w:t>“Qendra historike” dhe kufijtë e saj</w:t>
      </w:r>
    </w:p>
    <w:p w14:paraId="70E171AF"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p>
    <w:p w14:paraId="13D34129" w14:textId="152B1A45"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 xml:space="preserve">1. “Qendra historike” e fshatit Bënjë është hapësira me vlera të rëndësishme të trashëgimisë kulturore, historike, urbanistike, arkitektonike dhe të peizazhit, në të cilat  dokumentohen rruga e zhvillimit historik të fshatit drejt krijimit të një qendre të banuar dhe tiparet urbanistiko-arkitekturore, që u formuan gjatë historisë së tij. Pjesa dërrmuese e fshatit ruan rrjetin rrugor karakteristik dhe ndërtime të vjetra, me vlera arkitektonike e konstruktive. Këto ndërtime janë të lidhura me mjedisin tradicional, i cili është pjesë e “qendrës historike”. </w:t>
      </w:r>
    </w:p>
    <w:p w14:paraId="44D00452" w14:textId="393E818B"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2. Në “qendrën historike” ndodhen pasuri kulturore të paluajtshme si monumente kulture të kategorisë I, si kisha e Shën Mërisë, të kategorisë II dhe objekte pa status.</w:t>
      </w:r>
    </w:p>
    <w:p w14:paraId="448C0F7D" w14:textId="4A2A0E8E"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3. Kufijtë e “qendrës historike” paraqiten në hartën e zonifimit, e cila është pjesë përbërëse e këtij plani.</w:t>
      </w:r>
    </w:p>
    <w:p w14:paraId="0F455619" w14:textId="5599A84D"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 xml:space="preserve">4. Koordinatat në sistemin referues gjeodezik zyrtar </w:t>
      </w:r>
      <w:r w:rsidR="00D85A17">
        <w:rPr>
          <w:rFonts w:ascii="Garamond" w:eastAsiaTheme="minorHAnsi" w:hAnsi="Garamond" w:cs="Calibri"/>
          <w:color w:val="000000"/>
          <w:sz w:val="24"/>
          <w:szCs w:val="24"/>
          <w:lang w:val="sq-AL"/>
        </w:rPr>
        <w:t>–</w:t>
      </w:r>
      <w:r w:rsidRPr="009F247E">
        <w:rPr>
          <w:rFonts w:ascii="Garamond" w:eastAsiaTheme="minorHAnsi" w:hAnsi="Garamond" w:cs="Calibri"/>
          <w:color w:val="000000"/>
          <w:sz w:val="24"/>
          <w:szCs w:val="24"/>
          <w:lang w:val="sq-AL"/>
        </w:rPr>
        <w:t xml:space="preserve"> KRGJSH, të “qendrës historike” paraqiten në aneksin 1, që është pjesë përbërëse e këtij plani.</w:t>
      </w:r>
    </w:p>
    <w:p w14:paraId="7204BB7F"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p>
    <w:p w14:paraId="3A99DCBD"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Cs/>
          <w:color w:val="000000"/>
          <w:sz w:val="24"/>
          <w:szCs w:val="24"/>
          <w:lang w:val="sq-AL"/>
        </w:rPr>
      </w:pPr>
      <w:r w:rsidRPr="009F247E">
        <w:rPr>
          <w:rFonts w:ascii="Garamond" w:eastAsiaTheme="minorHAnsi" w:hAnsi="Garamond" w:cs="Calibri"/>
          <w:bCs/>
          <w:color w:val="000000"/>
          <w:sz w:val="24"/>
          <w:szCs w:val="24"/>
          <w:lang w:val="sq-AL"/>
        </w:rPr>
        <w:t>Neni 5</w:t>
      </w:r>
    </w:p>
    <w:p w14:paraId="3BB62430"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r w:rsidRPr="009F247E">
        <w:rPr>
          <w:rFonts w:ascii="Garamond" w:eastAsiaTheme="minorHAnsi" w:hAnsi="Garamond" w:cs="Calibri"/>
          <w:b/>
          <w:bCs/>
          <w:color w:val="000000"/>
          <w:sz w:val="24"/>
          <w:szCs w:val="24"/>
          <w:lang w:val="sq-AL"/>
        </w:rPr>
        <w:t>Zona mbrojtëse dhe kufijtë e saj</w:t>
      </w:r>
    </w:p>
    <w:p w14:paraId="559723FF"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color w:val="000000"/>
          <w:sz w:val="24"/>
          <w:szCs w:val="24"/>
          <w:lang w:val="sq-AL"/>
        </w:rPr>
      </w:pPr>
    </w:p>
    <w:p w14:paraId="224CD052" w14:textId="2EA644E5"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1. Zona mbrojtëse përreth “qendrës historike” mbron e plotëson vlerat e trashëgimisë kulturore, historike, urbanistike, arkitektonike dhe të peizazhit.</w:t>
      </w:r>
    </w:p>
    <w:p w14:paraId="7DDD0CC2" w14:textId="1909FF4E"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2. Ajo shtrihet përreth “qendrës historike” dhe krijon një kalim të butë drejt pjesës tjetër të fshatit. Në pjesën juglindore, ajo shtrihet duke përfshirë edhe një pjesë të rrugës hyrëse për në fshat, e cila, nisur edhe nga konfiguracioni i terrenit, shërben për të mbrojtur më mirë peizazhin arkitektonik e kulturor të qendrës historike të fshatit Bënjë.</w:t>
      </w:r>
    </w:p>
    <w:p w14:paraId="2FAB64CA" w14:textId="5D7CE3BB"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 xml:space="preserve">3. Kufijtë e zonës mbrojtëse paraqiten në hartën e zonifikimit, e cila është pjesë përbërëse e këtij plani. </w:t>
      </w:r>
    </w:p>
    <w:p w14:paraId="6EEAEF7A" w14:textId="6BF8A6EC"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lastRenderedPageBreak/>
        <w:t xml:space="preserve">4. Koordinatat në sistemin referues gjeodezik zyrtar </w:t>
      </w:r>
      <w:r w:rsidR="00D85A17">
        <w:rPr>
          <w:rFonts w:ascii="Garamond" w:eastAsiaTheme="minorHAnsi" w:hAnsi="Garamond" w:cs="Calibri"/>
          <w:color w:val="000000"/>
          <w:sz w:val="24"/>
          <w:szCs w:val="24"/>
          <w:lang w:val="sq-AL"/>
        </w:rPr>
        <w:t>–</w:t>
      </w:r>
      <w:r w:rsidRPr="009F247E">
        <w:rPr>
          <w:rFonts w:ascii="Garamond" w:eastAsiaTheme="minorHAnsi" w:hAnsi="Garamond" w:cs="Calibri"/>
          <w:color w:val="000000"/>
          <w:sz w:val="24"/>
          <w:szCs w:val="24"/>
          <w:lang w:val="sq-AL"/>
        </w:rPr>
        <w:t xml:space="preserve"> KRGJSH, të zonës mbrojtëse paraqiten në aneksin 2, pjesë përbërëse e këtij plani. </w:t>
      </w:r>
    </w:p>
    <w:p w14:paraId="45F20CE9"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p>
    <w:p w14:paraId="71E62E91"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color w:val="000000"/>
          <w:sz w:val="24"/>
          <w:szCs w:val="24"/>
          <w:lang w:val="sq-AL"/>
        </w:rPr>
      </w:pPr>
      <w:r w:rsidRPr="009F247E">
        <w:rPr>
          <w:rFonts w:ascii="Garamond" w:eastAsiaTheme="minorHAnsi" w:hAnsi="Garamond" w:cs="Calibri"/>
          <w:bCs/>
          <w:color w:val="000000"/>
          <w:sz w:val="24"/>
          <w:szCs w:val="24"/>
          <w:lang w:val="sq-AL"/>
        </w:rPr>
        <w:t>Neni 6</w:t>
      </w:r>
    </w:p>
    <w:p w14:paraId="26956E68"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sz w:val="24"/>
          <w:szCs w:val="24"/>
          <w:lang w:val="sq-AL"/>
        </w:rPr>
      </w:pPr>
      <w:r w:rsidRPr="009F247E">
        <w:rPr>
          <w:rFonts w:ascii="Garamond" w:eastAsiaTheme="minorHAnsi" w:hAnsi="Garamond" w:cs="Calibri"/>
          <w:b/>
          <w:bCs/>
          <w:color w:val="000000"/>
          <w:sz w:val="24"/>
          <w:szCs w:val="24"/>
          <w:lang w:val="sq-AL"/>
        </w:rPr>
        <w:t xml:space="preserve">Ndërhyrjet e lejuara në qendrën </w:t>
      </w:r>
      <w:r w:rsidRPr="009F247E">
        <w:rPr>
          <w:rFonts w:ascii="Garamond" w:eastAsiaTheme="minorHAnsi" w:hAnsi="Garamond" w:cs="Calibri"/>
          <w:b/>
          <w:bCs/>
          <w:sz w:val="24"/>
          <w:szCs w:val="24"/>
          <w:lang w:val="sq-AL"/>
        </w:rPr>
        <w:t>historike</w:t>
      </w:r>
    </w:p>
    <w:p w14:paraId="4DB95DD4"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sz w:val="24"/>
          <w:szCs w:val="24"/>
          <w:lang w:val="sq-AL"/>
        </w:rPr>
      </w:pPr>
    </w:p>
    <w:p w14:paraId="5B5163E2" w14:textId="76F22C23"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sz w:val="24"/>
          <w:szCs w:val="24"/>
          <w:lang w:val="sq-AL"/>
        </w:rPr>
      </w:pPr>
      <w:r w:rsidRPr="009F247E">
        <w:rPr>
          <w:rFonts w:ascii="Garamond" w:eastAsiaTheme="minorHAnsi" w:hAnsi="Garamond" w:cs="Calibri"/>
          <w:sz w:val="24"/>
          <w:szCs w:val="24"/>
          <w:lang w:val="sq-AL"/>
        </w:rPr>
        <w:t>1. Ndërhyrjet në “qendrën historike”</w:t>
      </w:r>
      <w:r w:rsidRPr="009F247E">
        <w:rPr>
          <w:rFonts w:ascii="Garamond" w:eastAsiaTheme="minorHAnsi" w:hAnsi="Garamond" w:cs="Calibri"/>
          <w:b/>
          <w:bCs/>
          <w:sz w:val="24"/>
          <w:szCs w:val="24"/>
          <w:lang w:val="sq-AL"/>
        </w:rPr>
        <w:t xml:space="preserve"> </w:t>
      </w:r>
      <w:r w:rsidRPr="009F247E">
        <w:rPr>
          <w:rFonts w:ascii="Garamond" w:eastAsiaTheme="minorHAnsi" w:hAnsi="Garamond" w:cs="Calibri"/>
          <w:sz w:val="24"/>
          <w:szCs w:val="24"/>
          <w:lang w:val="sq-AL"/>
        </w:rPr>
        <w:t>kanë si qëllim ruajtjen e mbrojtjen e vlerave të trashëgimisë kulturore, historike, urbanistike, arkitektonike dhe të peizazhit të fshatit Bënjë.</w:t>
      </w:r>
    </w:p>
    <w:p w14:paraId="113CDA9F" w14:textId="28BC1A16"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sz w:val="24"/>
          <w:szCs w:val="24"/>
          <w:lang w:val="sq-AL"/>
        </w:rPr>
      </w:pPr>
      <w:r w:rsidRPr="009F247E">
        <w:rPr>
          <w:rFonts w:ascii="Garamond" w:eastAsiaTheme="minorHAnsi" w:hAnsi="Garamond" w:cs="Calibri"/>
          <w:sz w:val="24"/>
          <w:szCs w:val="24"/>
          <w:lang w:val="sq-AL"/>
        </w:rPr>
        <w:t>2. Brenda kësaj zone lejohen këto ndërhyrje:</w:t>
      </w:r>
    </w:p>
    <w:p w14:paraId="00269EF0" w14:textId="1273E5B5"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a) Ndërhyrje sistematike restauruese, konservuese dhe të mirëmbajtjes;</w:t>
      </w:r>
    </w:p>
    <w:p w14:paraId="64AC14B5" w14:textId="2F97E9DE"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b) Ndërhyrje restauruese, që</w:t>
      </w:r>
      <w:r w:rsidR="000E0546">
        <w:rPr>
          <w:rFonts w:ascii="Garamond" w:eastAsiaTheme="minorHAnsi" w:hAnsi="Garamond" w:cs="Calibri"/>
          <w:color w:val="000000"/>
          <w:sz w:val="24"/>
          <w:szCs w:val="24"/>
          <w:lang w:val="sq-AL"/>
        </w:rPr>
        <w:t xml:space="preserve"> synojnë ruajtjen e hapësirave</w:t>
      </w:r>
      <w:r w:rsidRPr="009F247E">
        <w:rPr>
          <w:rFonts w:ascii="Garamond" w:eastAsiaTheme="minorHAnsi" w:hAnsi="Garamond" w:cs="Calibri"/>
          <w:color w:val="000000"/>
          <w:sz w:val="24"/>
          <w:szCs w:val="24"/>
          <w:lang w:val="sq-AL"/>
        </w:rPr>
        <w:t xml:space="preserve">  urbanistike-arkitekturore, të rrjetit rrugor tradicional në kompozim dhe teknikë, duke përfshirë të gjitha kanalizimet e vjetra të zbuluara ose që do të zbulohen, si dhe duke ruajtur të pandryshuar konfiguracionin e truallit të hapësirave dhe të shesheve publike;</w:t>
      </w:r>
    </w:p>
    <w:p w14:paraId="38A35473" w14:textId="0F59C63B"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c) Rikonstruksione dhe rindërtime të ndërtesave ekzistuese mbi strukturat ekzistuese, sipas formulimit kompozicional dhe arkitektonik origjinal, duke u bazuar në materiale arkivore e fotografike;</w:t>
      </w:r>
    </w:p>
    <w:p w14:paraId="6CEB88D4" w14:textId="317FE775"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ç) Rehabilitimi i hapësirave, të cilat ndikojnë në vlerat e unitetin kompozicional të ansamblit, duke u bazuar në format dhe në teknikat tradicionale;</w:t>
      </w:r>
    </w:p>
    <w:p w14:paraId="22ED310B" w14:textId="446D783B"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d) vendosja e strukturave të përkohshme, fiksimi i flamujve, vendosja e materialeve informuese dhe reklamuese, sipas nenit 101, të  ligjit nr.</w:t>
      </w:r>
      <w:r w:rsidR="00D85A17">
        <w:rPr>
          <w:rFonts w:ascii="Garamond" w:eastAsiaTheme="minorHAnsi" w:hAnsi="Garamond" w:cs="Calibri"/>
          <w:color w:val="000000"/>
          <w:sz w:val="24"/>
          <w:szCs w:val="24"/>
          <w:lang w:val="sq-AL"/>
        </w:rPr>
        <w:t xml:space="preserve"> </w:t>
      </w:r>
      <w:r w:rsidRPr="009F247E">
        <w:rPr>
          <w:rFonts w:ascii="Garamond" w:eastAsiaTheme="minorHAnsi" w:hAnsi="Garamond" w:cs="Calibri"/>
          <w:color w:val="000000"/>
          <w:sz w:val="24"/>
          <w:szCs w:val="24"/>
          <w:lang w:val="sq-AL"/>
        </w:rPr>
        <w:t>27/2018, “Për trashëgiminë kulturore dhe muzetë”.</w:t>
      </w:r>
    </w:p>
    <w:p w14:paraId="007F2893"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sz w:val="24"/>
          <w:szCs w:val="24"/>
          <w:lang w:val="sq-AL"/>
        </w:rPr>
      </w:pPr>
    </w:p>
    <w:p w14:paraId="29443E02"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Cs/>
          <w:sz w:val="24"/>
          <w:szCs w:val="24"/>
          <w:lang w:val="sq-AL"/>
        </w:rPr>
      </w:pPr>
      <w:r w:rsidRPr="009F247E">
        <w:rPr>
          <w:rFonts w:ascii="Garamond" w:eastAsiaTheme="minorHAnsi" w:hAnsi="Garamond" w:cs="Calibri"/>
          <w:bCs/>
          <w:sz w:val="24"/>
          <w:szCs w:val="24"/>
          <w:lang w:val="sq-AL"/>
        </w:rPr>
        <w:t>Neni 7</w:t>
      </w:r>
    </w:p>
    <w:p w14:paraId="3A0BABD1"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sz w:val="24"/>
          <w:szCs w:val="24"/>
          <w:lang w:val="sq-AL"/>
        </w:rPr>
      </w:pPr>
      <w:r w:rsidRPr="009F247E">
        <w:rPr>
          <w:rFonts w:ascii="Garamond" w:eastAsiaTheme="minorHAnsi" w:hAnsi="Garamond" w:cs="Calibri"/>
          <w:b/>
          <w:bCs/>
          <w:sz w:val="24"/>
          <w:szCs w:val="24"/>
          <w:lang w:val="sq-AL"/>
        </w:rPr>
        <w:t>Ndërhyrjet e lejuara në monumentet e kulturës</w:t>
      </w:r>
    </w:p>
    <w:p w14:paraId="6CCB5524"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sz w:val="24"/>
          <w:szCs w:val="24"/>
          <w:lang w:val="sq-AL"/>
        </w:rPr>
      </w:pPr>
    </w:p>
    <w:p w14:paraId="4F8E30ED" w14:textId="07A54EFF"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sz w:val="24"/>
          <w:szCs w:val="24"/>
          <w:lang w:val="sq-AL"/>
        </w:rPr>
      </w:pPr>
      <w:r w:rsidRPr="009F247E">
        <w:rPr>
          <w:rFonts w:ascii="Garamond" w:eastAsiaTheme="minorHAnsi" w:hAnsi="Garamond" w:cs="Calibri"/>
          <w:sz w:val="24"/>
          <w:szCs w:val="24"/>
          <w:lang w:val="sq-AL"/>
        </w:rPr>
        <w:t xml:space="preserve">1. Ndërhyrjet në monumentet e kulturës dhe në zonën mbrojtëse të tyre, të cilat ndodhen në “qendrën historike” dhe zonën mbrojtëse, kanë për qëllim ruajtjen e mbrojtjen e vlerave për të cilën janë shpallur pasuri kulturore. </w:t>
      </w:r>
    </w:p>
    <w:p w14:paraId="69C6C04E" w14:textId="486D2D0D"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sz w:val="24"/>
          <w:szCs w:val="24"/>
          <w:lang w:val="sq-AL"/>
        </w:rPr>
      </w:pPr>
      <w:r w:rsidRPr="009F247E">
        <w:rPr>
          <w:rFonts w:ascii="Garamond" w:eastAsiaTheme="minorHAnsi" w:hAnsi="Garamond" w:cs="Calibri"/>
          <w:sz w:val="24"/>
          <w:szCs w:val="24"/>
          <w:lang w:val="sq-AL"/>
        </w:rPr>
        <w:t>2. Brenda kësaj zone lejohen:</w:t>
      </w:r>
    </w:p>
    <w:p w14:paraId="244B83B9" w14:textId="2EC13FB5"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a) ndërhyrje sistematike restauruese, konservuese dhe të mirëmbajtjes;</w:t>
      </w:r>
    </w:p>
    <w:p w14:paraId="00091811" w14:textId="47DCDBE9"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b) rijetëzime, me kusht që projekti i rijetëzimit të mos dëmtojë vlerën e pasurisë kulturore, sipas ligjit nr. 27/2018, “Për trashëgiminë kulturore dhe muzetë”;</w:t>
      </w:r>
    </w:p>
    <w:p w14:paraId="77ECFF11" w14:textId="0D7E6175"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c) vendosja e strukturave të përkohshme, fiksimi i flamujve, vendosja e materialeve informuese dhe reklamuese, sipas nenit 101, të  ligjit nr.</w:t>
      </w:r>
      <w:r w:rsidR="00D85A17">
        <w:rPr>
          <w:rFonts w:ascii="Garamond" w:eastAsiaTheme="minorHAnsi" w:hAnsi="Garamond" w:cs="Calibri"/>
          <w:color w:val="000000"/>
          <w:sz w:val="24"/>
          <w:szCs w:val="24"/>
          <w:lang w:val="sq-AL"/>
        </w:rPr>
        <w:t xml:space="preserve"> </w:t>
      </w:r>
      <w:r w:rsidRPr="009F247E">
        <w:rPr>
          <w:rFonts w:ascii="Garamond" w:eastAsiaTheme="minorHAnsi" w:hAnsi="Garamond" w:cs="Calibri"/>
          <w:color w:val="000000"/>
          <w:sz w:val="24"/>
          <w:szCs w:val="24"/>
          <w:lang w:val="sq-AL"/>
        </w:rPr>
        <w:t>27/2018, “Për trashëgiminë kulturore dhe muzetë”.</w:t>
      </w:r>
    </w:p>
    <w:p w14:paraId="5A022689" w14:textId="77777777" w:rsidR="009F247E" w:rsidRPr="009F247E" w:rsidRDefault="009F247E" w:rsidP="009F247E">
      <w:pPr>
        <w:autoSpaceDE w:val="0"/>
        <w:autoSpaceDN w:val="0"/>
        <w:adjustRightInd w:val="0"/>
        <w:spacing w:after="0" w:line="240" w:lineRule="auto"/>
        <w:ind w:firstLine="284"/>
        <w:rPr>
          <w:rFonts w:ascii="Garamond" w:eastAsiaTheme="minorHAnsi" w:hAnsi="Garamond" w:cs="Calibri"/>
          <w:b/>
          <w:bCs/>
          <w:sz w:val="24"/>
          <w:szCs w:val="24"/>
          <w:lang w:val="sq-AL"/>
        </w:rPr>
      </w:pPr>
    </w:p>
    <w:p w14:paraId="1F8D4AE2"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Cs/>
          <w:color w:val="000000"/>
          <w:sz w:val="24"/>
          <w:szCs w:val="24"/>
          <w:lang w:val="sq-AL"/>
        </w:rPr>
      </w:pPr>
      <w:r w:rsidRPr="009F247E">
        <w:rPr>
          <w:rFonts w:ascii="Garamond" w:eastAsiaTheme="minorHAnsi" w:hAnsi="Garamond" w:cs="Calibri"/>
          <w:bCs/>
          <w:sz w:val="24"/>
          <w:szCs w:val="24"/>
          <w:lang w:val="sq-AL"/>
        </w:rPr>
        <w:t>Neni 8</w:t>
      </w:r>
    </w:p>
    <w:p w14:paraId="0A7E9646"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sz w:val="24"/>
          <w:szCs w:val="24"/>
          <w:lang w:val="sq-AL"/>
        </w:rPr>
      </w:pPr>
      <w:r w:rsidRPr="009F247E">
        <w:rPr>
          <w:rFonts w:ascii="Garamond" w:eastAsiaTheme="minorHAnsi" w:hAnsi="Garamond" w:cs="Calibri"/>
          <w:b/>
          <w:bCs/>
          <w:color w:val="000000"/>
          <w:sz w:val="24"/>
          <w:szCs w:val="24"/>
          <w:lang w:val="sq-AL"/>
        </w:rPr>
        <w:t>Ndë</w:t>
      </w:r>
      <w:r w:rsidRPr="009F247E">
        <w:rPr>
          <w:rFonts w:ascii="Garamond" w:eastAsiaTheme="minorHAnsi" w:hAnsi="Garamond" w:cs="Calibri"/>
          <w:b/>
          <w:bCs/>
          <w:sz w:val="24"/>
          <w:szCs w:val="24"/>
          <w:lang w:val="sq-AL"/>
        </w:rPr>
        <w:t>rhyrjet e lejuara në zonën mbrojtëse të “qendrës historike”</w:t>
      </w:r>
    </w:p>
    <w:p w14:paraId="3557AA90"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b/>
          <w:bCs/>
          <w:sz w:val="24"/>
          <w:szCs w:val="24"/>
          <w:lang w:val="sq-AL"/>
        </w:rPr>
      </w:pPr>
    </w:p>
    <w:p w14:paraId="7F371373"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sz w:val="24"/>
          <w:szCs w:val="24"/>
          <w:lang w:val="sq-AL"/>
        </w:rPr>
      </w:pPr>
      <w:r w:rsidRPr="009F247E">
        <w:rPr>
          <w:rFonts w:ascii="Garamond" w:eastAsiaTheme="minorHAnsi" w:hAnsi="Garamond" w:cs="Calibri"/>
          <w:sz w:val="24"/>
          <w:szCs w:val="24"/>
          <w:lang w:val="sq-AL"/>
        </w:rPr>
        <w:t>Ndërhyrjet e lejuara brenda zonës mbrojtëse janë:</w:t>
      </w:r>
    </w:p>
    <w:p w14:paraId="2B76BA73" w14:textId="11F40832"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a) restaurime, rikonstruksione dhe rindërtime të ndërtesave ekzistuese;</w:t>
      </w:r>
    </w:p>
    <w:p w14:paraId="04DB86A7" w14:textId="2DE6FBDC"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b) rikonstruksione dhe ndërtime të reja të rrjetit rrugor, të shesheve dhe të linjave të infrastrukturës mbi- dhe nëntokësore;</w:t>
      </w:r>
    </w:p>
    <w:p w14:paraId="74C962F9" w14:textId="1D067B75"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c) ndërtime të reja, shtesa dhe përshtatje në sheshe të lira, në harmoni me karakteristikat e “qendrës historike”.</w:t>
      </w:r>
    </w:p>
    <w:p w14:paraId="6CE6CE09"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6D7B188B"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Times New Roman"/>
          <w:bCs/>
          <w:sz w:val="24"/>
          <w:szCs w:val="24"/>
          <w:lang w:val="sq-AL"/>
        </w:rPr>
      </w:pPr>
      <w:r w:rsidRPr="009F247E">
        <w:rPr>
          <w:rFonts w:ascii="Garamond" w:eastAsiaTheme="minorHAnsi" w:hAnsi="Garamond" w:cs="Times New Roman"/>
          <w:bCs/>
          <w:color w:val="000000"/>
          <w:sz w:val="24"/>
          <w:szCs w:val="24"/>
          <w:lang w:val="sq-AL"/>
        </w:rPr>
        <w:t>Neni 9</w:t>
      </w:r>
    </w:p>
    <w:p w14:paraId="26696E48"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Times New Roman"/>
          <w:b/>
          <w:bCs/>
          <w:sz w:val="24"/>
          <w:szCs w:val="24"/>
          <w:lang w:val="sq-AL"/>
        </w:rPr>
      </w:pPr>
      <w:r w:rsidRPr="009F247E">
        <w:rPr>
          <w:rFonts w:ascii="Garamond" w:eastAsiaTheme="minorHAnsi" w:hAnsi="Garamond" w:cs="Times New Roman"/>
          <w:b/>
          <w:bCs/>
          <w:sz w:val="24"/>
          <w:szCs w:val="24"/>
          <w:lang w:val="sq-AL"/>
        </w:rPr>
        <w:t>Ndërhyrjet e ndaluara në tërësinë e “qendrës historike” dhe zonës mbrojtëse të saj</w:t>
      </w:r>
    </w:p>
    <w:p w14:paraId="35B87548"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Times New Roman"/>
          <w:b/>
          <w:color w:val="000000"/>
          <w:sz w:val="24"/>
          <w:szCs w:val="24"/>
          <w:lang w:val="sq-AL"/>
        </w:rPr>
      </w:pPr>
    </w:p>
    <w:p w14:paraId="00781CAF" w14:textId="4A2E8CD9" w:rsidR="009F247E" w:rsidRPr="009F247E" w:rsidRDefault="009F247E" w:rsidP="009F247E">
      <w:pPr>
        <w:autoSpaceDE w:val="0"/>
        <w:autoSpaceDN w:val="0"/>
        <w:adjustRightInd w:val="0"/>
        <w:spacing w:after="0" w:line="240" w:lineRule="auto"/>
        <w:ind w:firstLine="284"/>
        <w:jc w:val="both"/>
        <w:rPr>
          <w:rFonts w:ascii="Garamond" w:eastAsiaTheme="minorHAnsi" w:hAnsi="Garamond" w:cs="Times New Roman"/>
          <w:sz w:val="24"/>
          <w:szCs w:val="24"/>
          <w:lang w:val="sq-AL"/>
        </w:rPr>
      </w:pPr>
      <w:r w:rsidRPr="009F247E">
        <w:rPr>
          <w:rFonts w:ascii="Garamond" w:eastAsiaTheme="minorHAnsi" w:hAnsi="Garamond" w:cs="Times New Roman"/>
          <w:color w:val="000000"/>
          <w:sz w:val="24"/>
          <w:szCs w:val="24"/>
          <w:lang w:val="sq-AL"/>
        </w:rPr>
        <w:lastRenderedPageBreak/>
        <w:t>1.  Në hapësirën e “qendrës historike” dhe zonës mbrojtëse të saj nuk lejohen ndërtimet e reja që prekin monumentet e kulturës dhe zonat mbrojtëse të tyre.</w:t>
      </w:r>
    </w:p>
    <w:p w14:paraId="2C32F23A"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Times New Roman"/>
          <w:sz w:val="24"/>
          <w:szCs w:val="24"/>
          <w:lang w:val="sq-AL"/>
        </w:rPr>
      </w:pPr>
      <w:r w:rsidRPr="009F247E">
        <w:rPr>
          <w:rFonts w:ascii="Garamond" w:eastAsiaTheme="minorHAnsi" w:hAnsi="Garamond" w:cs="Times New Roman"/>
          <w:sz w:val="24"/>
          <w:szCs w:val="24"/>
          <w:lang w:val="sq-AL"/>
        </w:rPr>
        <w:t>2. Në zonën mbrojtëse të “qendrës historike” nuk lejohen ndërtimet me karakter industrial, me përjashtim të punishteve të artizanatit.</w:t>
      </w:r>
    </w:p>
    <w:p w14:paraId="39837193"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02A8F613"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Cs/>
          <w:color w:val="000000"/>
          <w:sz w:val="24"/>
          <w:szCs w:val="24"/>
          <w:lang w:val="sq-AL"/>
        </w:rPr>
      </w:pPr>
      <w:r w:rsidRPr="009F247E">
        <w:rPr>
          <w:rFonts w:ascii="Garamond" w:eastAsiaTheme="minorHAnsi" w:hAnsi="Garamond" w:cs="Calibri"/>
          <w:bCs/>
          <w:color w:val="000000"/>
          <w:sz w:val="24"/>
          <w:szCs w:val="24"/>
          <w:lang w:val="sq-AL"/>
        </w:rPr>
        <w:t>Neni 10</w:t>
      </w:r>
    </w:p>
    <w:p w14:paraId="26F4F4A5"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r w:rsidRPr="009F247E">
        <w:rPr>
          <w:rFonts w:ascii="Garamond" w:eastAsiaTheme="minorHAnsi" w:hAnsi="Garamond" w:cs="Calibri"/>
          <w:b/>
          <w:bCs/>
          <w:color w:val="000000"/>
          <w:sz w:val="24"/>
          <w:szCs w:val="24"/>
          <w:lang w:val="sq-AL"/>
        </w:rPr>
        <w:t>Kriteret e projektimit për rikonstruksione, ndërhyrjet e lejuara në “qendrën historike”, monumentet e kulturës dhe zonës mbrojtëse të tyre</w:t>
      </w:r>
    </w:p>
    <w:p w14:paraId="1E5A2B32"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0437F210" w14:textId="4486A0CA"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sz w:val="24"/>
          <w:szCs w:val="24"/>
          <w:lang w:val="sq-AL"/>
        </w:rPr>
      </w:pPr>
      <w:r w:rsidRPr="009F247E">
        <w:rPr>
          <w:rFonts w:ascii="Garamond" w:eastAsiaTheme="minorHAnsi" w:hAnsi="Garamond" w:cs="Calibri"/>
          <w:color w:val="000000"/>
          <w:sz w:val="24"/>
          <w:szCs w:val="24"/>
          <w:lang w:val="sq-AL"/>
        </w:rPr>
        <w:t>1. Projektet për konservimin, restaurimim e mirëmbajtjen në “qendrën historike” dhe monumentet e kulturës hartohen në varësi të vlerave historike-kulturore të objektit apo monumentit për të cilët janë shpallur pasuri kulturore, si dhe në kriteret për konservim e restaurim, bazuar në kartat ndërkombëtare për restaurim.</w:t>
      </w:r>
    </w:p>
    <w:p w14:paraId="714DFB91"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sz w:val="24"/>
          <w:szCs w:val="24"/>
          <w:lang w:val="sq-AL"/>
        </w:rPr>
      </w:pPr>
    </w:p>
    <w:p w14:paraId="57B8ECE0" w14:textId="70F6CD58"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2. Projektet për rikonstruksionin/rindërtimin e objekteve ekzistuese brenda “qendrës historike” hartohen bazuar në studimet urbanistike dhe arkitektonike:</w:t>
      </w:r>
    </w:p>
    <w:p w14:paraId="5991B708" w14:textId="2E80E9A2"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a) duke ruajtur karakteristikat tradicionale të banesave të zonës;</w:t>
      </w:r>
    </w:p>
    <w:p w14:paraId="46278725" w14:textId="7DD4292C"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b) duke respektuar raportet urbanistike e vëllimore, trajtimin arkitekturor dhe elementet arkitkektonike;</w:t>
      </w:r>
    </w:p>
    <w:p w14:paraId="75787D17" w14:textId="5D175D91"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c) duke ruajtur sa më shumë trajtimin origjinal të pamjeve të jashtme, duke respektuar volumin ekzistues, ndërsa brendësia e tyre mund të ndryshojë duke respektuar elemente të veçanta me vlerë për trashëgiminë kulturore;</w:t>
      </w:r>
    </w:p>
    <w:p w14:paraId="2A63D5B7" w14:textId="557AE22A"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ç) duke ruajtur, sa të jetë e mundur, karakteristikat origjinale të dukshme, të jashtme dhe të brendshme, tipologjinë, trajtimin arkitektonik dhe teknikën tradicionale;</w:t>
      </w:r>
    </w:p>
    <w:p w14:paraId="530A98C8" w14:textId="3CFDD213"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d) bazuar në dokumentacionin e qartë fotografik dhe grafik, nëse disponohet.</w:t>
      </w:r>
    </w:p>
    <w:p w14:paraId="458B3778" w14:textId="374411BA"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3. Projektet për rikonstruksionin/rindërtimin e objekteve ekzistuese brenda zonës mbrojtëse hartohen bazuar në planin e detajuar vendor të Bashkisë Përmet apo të studimeve urbanistike e arkitektonike:</w:t>
      </w:r>
    </w:p>
    <w:p w14:paraId="72B5B10E" w14:textId="552600CD"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a) duke ruajtur karakteristikat tradicionale të banesave në këtë zonë;</w:t>
      </w:r>
    </w:p>
    <w:p w14:paraId="3F566012" w14:textId="5E8529A8"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b) duke ruajtur sa më shumë trajtimin origjinal të pamjeve të jashtme, duke respektuar volumin ekzistues, ndërsa brendësia e tyre mund të ndryshojë duke respektuar elemente të veçanta me vlerë për trashëgiminë kulturore.</w:t>
      </w:r>
    </w:p>
    <w:p w14:paraId="5C912A0D" w14:textId="39EE7EAC"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4. Projektet për ndërtimet të reja, shtesat dhe përshtatjet në sheshe të lira brenda zonës mbrojtëse hartohen vetëm në ato territore, në të cilat leja e ndërtimit nuk bie ndesh me ligjin nr.</w:t>
      </w:r>
      <w:r w:rsidR="00D85A17">
        <w:rPr>
          <w:rFonts w:ascii="Garamond" w:eastAsiaTheme="minorHAnsi" w:hAnsi="Garamond" w:cs="Calibri"/>
          <w:color w:val="000000"/>
          <w:sz w:val="24"/>
          <w:szCs w:val="24"/>
          <w:lang w:val="sq-AL"/>
        </w:rPr>
        <w:t xml:space="preserve"> </w:t>
      </w:r>
      <w:r w:rsidRPr="009F247E">
        <w:rPr>
          <w:rFonts w:ascii="Garamond" w:eastAsiaTheme="minorHAnsi" w:hAnsi="Garamond" w:cs="Calibri"/>
          <w:color w:val="000000"/>
          <w:sz w:val="24"/>
          <w:szCs w:val="24"/>
          <w:lang w:val="sq-AL"/>
        </w:rPr>
        <w:t>27/2018, “Për trashëgiminë kulturore dhe muzetë”, këtë plan, ligjin “Për planifikimin dhe zhvillimin e territorit” dhe rregulla të tjera në fuqi:</w:t>
      </w:r>
    </w:p>
    <w:p w14:paraId="5125833A" w14:textId="68A24B02"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a) duke ruajtur karakteristikat tradicionale të banesave në zonën e mbrojtur të “qendrës historike”;</w:t>
      </w:r>
    </w:p>
    <w:p w14:paraId="27282210" w14:textId="55DF7DB8"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b) duke respektuar përpjesëtimet urbanistike e vëllimore të treguesve zhvillimorë, parashikuar në planin e përgjithshëm vendor të Bashkisë Përmet;</w:t>
      </w:r>
    </w:p>
    <w:p w14:paraId="49AF790F" w14:textId="2869A332"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c) duke respektuar tipologjinë e ndërtimeve në atë zonë lidhur me kompozimin planimetrik dhe planvendosjen në sheshin e ndërtimit;</w:t>
      </w:r>
    </w:p>
    <w:p w14:paraId="6BC40598" w14:textId="3D3031C3"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ç) duke ruajtur kufizimin që lartësia e ndërtimeve të reja apo rikonstruksioneve dhe përshtatjeve nu</w:t>
      </w:r>
      <w:r w:rsidR="000E0546">
        <w:rPr>
          <w:rFonts w:ascii="Garamond" w:eastAsiaTheme="minorHAnsi" w:hAnsi="Garamond" w:cs="Calibri"/>
          <w:color w:val="000000"/>
          <w:sz w:val="24"/>
          <w:szCs w:val="24"/>
          <w:lang w:val="sq-AL"/>
        </w:rPr>
        <w:t>k duhet të kalojë lartësinë e</w:t>
      </w:r>
      <w:r w:rsidRPr="009F247E">
        <w:rPr>
          <w:rFonts w:ascii="Garamond" w:eastAsiaTheme="minorHAnsi" w:hAnsi="Garamond" w:cs="Calibri"/>
          <w:color w:val="000000"/>
          <w:sz w:val="24"/>
          <w:szCs w:val="24"/>
          <w:lang w:val="sq-AL"/>
        </w:rPr>
        <w:t xml:space="preserve"> 3 (tre) kateve; </w:t>
      </w:r>
    </w:p>
    <w:p w14:paraId="5A178D8E" w14:textId="34EA5736"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d) duke ruajtur origjinalitetin e ndërtimit të çative të ndërtimeve të reja, në rastet e mbulesave me çati, në harmoni me peizazhin kulturor të zonës mbrojtëse;</w:t>
      </w:r>
    </w:p>
    <w:p w14:paraId="549E6BCF" w14:textId="01329ECA"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 xml:space="preserve">dh) duke përcaktuar materialin, madhësinë, ngjyrën e dyerve dhe të dritareve, si dhe ngjyrën e fasadës së banesës/objektit, në harmoni me peizazhin kulturor të zonës mbrojtëse. </w:t>
      </w:r>
    </w:p>
    <w:p w14:paraId="370EFC17" w14:textId="0A600239"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5. Projektet për rikonstruksionin dhe ndërtimet e reja të rrjetit rrugor, të shesheve dhe linjave të infrastrukturës mbi- dhe nëntokësore hartohen:</w:t>
      </w:r>
    </w:p>
    <w:p w14:paraId="29E12A4B" w14:textId="1C7514DA"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a) bazuar në parashikimet e planit të përgjithshëm vendor të Bashkisë Përmet;</w:t>
      </w:r>
    </w:p>
    <w:p w14:paraId="3E205A36" w14:textId="697BCB45"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lastRenderedPageBreak/>
        <w:t>b) duke mos cenuar vlerat e objekteve ekzistuese;</w:t>
      </w:r>
    </w:p>
    <w:p w14:paraId="7A3190B9" w14:textId="15E642BB"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c) duke mos krijuar kontrast me kompozimin urban dhe arkitektonik.</w:t>
      </w:r>
    </w:p>
    <w:p w14:paraId="5A89F182"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sz w:val="24"/>
          <w:szCs w:val="24"/>
          <w:lang w:val="sq-AL"/>
        </w:rPr>
      </w:pPr>
    </w:p>
    <w:p w14:paraId="7902DC11"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Cs/>
          <w:color w:val="000000"/>
          <w:sz w:val="24"/>
          <w:szCs w:val="24"/>
          <w:lang w:val="sq-AL"/>
        </w:rPr>
      </w:pPr>
      <w:r w:rsidRPr="009F247E">
        <w:rPr>
          <w:rFonts w:ascii="Garamond" w:eastAsiaTheme="minorHAnsi" w:hAnsi="Garamond" w:cs="Calibri"/>
          <w:bCs/>
          <w:color w:val="000000"/>
          <w:sz w:val="24"/>
          <w:szCs w:val="24"/>
          <w:lang w:val="sq-AL"/>
        </w:rPr>
        <w:t>Neni 11</w:t>
      </w:r>
    </w:p>
    <w:p w14:paraId="7DC18231"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r w:rsidRPr="009F247E">
        <w:rPr>
          <w:rFonts w:ascii="Garamond" w:eastAsiaTheme="minorHAnsi" w:hAnsi="Garamond" w:cs="Calibri"/>
          <w:b/>
          <w:bCs/>
          <w:color w:val="000000"/>
          <w:sz w:val="24"/>
          <w:szCs w:val="24"/>
          <w:lang w:val="sq-AL"/>
        </w:rPr>
        <w:t>Studimi, projektimi dhe zbatimi i punimeve në “qendrën historike”, monumentet e kulturës të veçanta dhe zonës mbrojtëse të saj</w:t>
      </w:r>
    </w:p>
    <w:p w14:paraId="03AC821F" w14:textId="7777777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b/>
          <w:bCs/>
          <w:color w:val="000000"/>
          <w:sz w:val="24"/>
          <w:szCs w:val="24"/>
          <w:lang w:val="sq-AL"/>
        </w:rPr>
      </w:pPr>
    </w:p>
    <w:p w14:paraId="0C089D88" w14:textId="76AA493B"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1. Studimet për vlerësimin e ndërhyrjeve konservuese dhe restauruese në “qendrën historike” dhe zonën mbrojtëse të saj, duke përfshirë banesat, fasadat e tyre, muret rrethuese, kalldrëmet tradicionale dhe elemente të tjera urbanistike-arkitektonike dhe monumenteve të kulturës hartohen nga Instituti Kombëtar i Trashëgimisë Kulturore (IKTK), Drejtoria Rajonale e Trashëgimisë Kulturore (DRTK) Gjirokastër ose/dhe nga persona fizikë apo juridikë të licencuar në fushën e restaurimit dhe miratohen në Këshillin Kombëtar të Trashëgimisë Kulturore Materiale (KKTKM). Mbikëqyrja e punimeve dhe kolaudimi kryhen sipas legjislacionit në fuqi për trashëgiminë kulturore.</w:t>
      </w:r>
    </w:p>
    <w:p w14:paraId="5083DC86" w14:textId="095D5923"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2. Projektet për konservimin, restaurimim dhe mirëmbajtjen në “qendrën historike” dhe monumentet e kulturës hartohen nga IKTK-ja, DRTK Gjirokastër ose/dhe nga persona fizikë apo juridikë të licencuar për projektim në fushën e restaurimit. Projektet shqyrtohen dhe miratohen në KKTKM. Zbatimi i punimeve kryhet nga DRTK Gjirokastër ose subjekte të licencuara për zbatim në fushën e restaurimit. Mbikëqyrja e punimeve dhe kolaudimi kryhen sipas legjislacionit në fuqi për trashëgiminë  kulturore.</w:t>
      </w:r>
    </w:p>
    <w:p w14:paraId="0EF74B23" w14:textId="46E0F056"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3. Projektet për rikonstruksionin/rindërtimin e objekteve ekzistuese, rehabilitimin e hapësirave në “qendrën historike” hartohen nga IKTK-ja, DRTK Gjirokastër ose nga subjekte të licencuara, sipas legjislacionit në fuqi për trashëgiminë kulturore. Projektet shqyrtohen dhe miratohen në KKTKM. Procedura e miratimit vijon sipas ligjit për planifikimin e territorit. Zbatimi i punimeve të rikonstruksionit kryhet nga subjekte të licencuara për zbatim në fushën e restaurimit. Mbikëqyrja e punimeve dhe kolaudimi kryhen sipas legjislacionit në fuqi për trashëgiminë  kulturore.</w:t>
      </w:r>
    </w:p>
    <w:p w14:paraId="63C2E2D0" w14:textId="0AAEEE0D" w:rsidR="009F247E" w:rsidRPr="009F247E" w:rsidRDefault="009F247E" w:rsidP="009F247E">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9F247E">
        <w:rPr>
          <w:rFonts w:ascii="Garamond" w:eastAsiaTheme="minorHAnsi" w:hAnsi="Garamond" w:cs="Times New Roman"/>
          <w:color w:val="000000"/>
          <w:sz w:val="24"/>
          <w:szCs w:val="24"/>
          <w:lang w:val="sq-AL"/>
        </w:rPr>
        <w:t>4. Projektet për rikonstruksionin/rindërtimin e objekteve ekzistuese dhe ndërtimet të reja në zonën mbrojtëse hartohen nga IKTK-ja, DRTK Gjirokastër ose nga persona të licencuar për këtë kategori projektesh. Projektet shqyrtohen dhe miratohen në KKTKM. Procedura e miratimit vijon sipas ligjit për planifikimin dhe zhvillimin e territorit. Zbatimi i punimeve të rikonstruksionit kryhet nga subjekte të licencuara në këtë kategori. Mbikëqyrja dhe kolaudimi kryhen nga subjekte të licencuara në këtë kategori dhe monitorohet nga DRTK Gjirokastër.</w:t>
      </w:r>
    </w:p>
    <w:p w14:paraId="59811860" w14:textId="35593660"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5. Projektet për rikonstruksionin e rrjetit rrugor dhe të shesheve në “qendrën historike” hartohen nga IKTK-ja, DRTK Gjirokastër ose/dhe nga persona fizikë apo juridikë të licencuar për projektim në fushën e restaurimit dhe projektet për realizimin e linjave të infrastrukturës mbi- dhe nëntokësore hartohen nga persona të licencuar sipas ligjit të planifikimit dhe zhvillimit të territorit. Projektet shqyrtohen dhe miratohen në KKTKM. Procedura e miratimit vijon sipas ligjit për planifikimin dhe zhvillimin e territorit. Zbatimi i punimeve kryhet nga DRTK Gjirokastër ose subjekte të licencuara për zbatim në fushën e restaurimit dhe sipas legjislacionit për planifikimin dhe zhvillimin e territorit. Mbikëqyrja dhe kolaudimi i punimeve kryhet sipas legjislacionit në fuqi për trashëgiminë kulturore dhe ligjit për planifikimin dhe zhvillimin e territorit.</w:t>
      </w:r>
    </w:p>
    <w:p w14:paraId="7FF13525" w14:textId="076E80B6"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6. Projektet për rikonstruksionin dhe ndërtimet e reja të rrjetit rrugor, shesheve dhe linjave të infrastrukturës mbi- dhe nëntokësore në zonën mbrojtëse hartohen nga persona të licencuar sipas legjislacionit në fuqi për planifikimin dhe zhvillimin e territorit. Projektet shqyrtohen dhe miratohen në KKTKM. Procedura e miratimit vijon sipas ligjit për planifikimin dhe zhvillimin e territorit. Zbatimi i punimeve të rikonstruksionit, mbikëqyrja dhe kolaudimi kryhen sipas ligjit për planifikimin dhe zhvillimin e territorit. DRTK Gjirokastër monitoron procesin e zbatimit të punimeve.</w:t>
      </w:r>
    </w:p>
    <w:p w14:paraId="42C301D0" w14:textId="50605F38"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lastRenderedPageBreak/>
        <w:t>7. Projektet për vendosjen e strukturave të përkohshme, fiksimin e flamujve, vendosjen e materialeve informuese dhe reklamuese në “qendrën historike” dhe monumentet e kulturës shqyrtohen nga IKTK-ja, DRTK Gjirokastër e miratohen me urdhrin e ministrit përgjegjës për trashëgiminë kulturore. Në rastet kur projekti parashikon ndërhyrje në pasuritë kulturore, hartimi bëhet nga persona fizikë apo juridikë të licencuar për projektim në fushën e restaurimit. Projektet shqyrtohen e miratohen edhe në KKTKM. Procedura më pas vijon me urdhër ministri. Mbikëqyrja e punimeve kryhet nga DRTK Gjirokastër.</w:t>
      </w:r>
    </w:p>
    <w:p w14:paraId="4E295D61" w14:textId="77777777" w:rsidR="009F247E" w:rsidRPr="009F247E" w:rsidRDefault="009F247E" w:rsidP="009F247E">
      <w:pPr>
        <w:autoSpaceDE w:val="0"/>
        <w:autoSpaceDN w:val="0"/>
        <w:adjustRightInd w:val="0"/>
        <w:spacing w:after="0" w:line="240" w:lineRule="auto"/>
        <w:ind w:firstLine="284"/>
        <w:rPr>
          <w:rFonts w:ascii="Garamond" w:eastAsiaTheme="minorHAnsi" w:hAnsi="Garamond" w:cs="Calibri"/>
          <w:b/>
          <w:bCs/>
          <w:color w:val="000000"/>
          <w:sz w:val="24"/>
          <w:szCs w:val="24"/>
          <w:lang w:val="sq-AL"/>
        </w:rPr>
      </w:pPr>
    </w:p>
    <w:p w14:paraId="23F043C2"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Cs/>
          <w:color w:val="000000"/>
          <w:sz w:val="24"/>
          <w:szCs w:val="24"/>
          <w:lang w:val="sq-AL"/>
        </w:rPr>
      </w:pPr>
      <w:r w:rsidRPr="009F247E">
        <w:rPr>
          <w:rFonts w:ascii="Garamond" w:eastAsiaTheme="minorHAnsi" w:hAnsi="Garamond" w:cs="Calibri"/>
          <w:bCs/>
          <w:color w:val="000000"/>
          <w:sz w:val="24"/>
          <w:szCs w:val="24"/>
          <w:lang w:val="sq-AL"/>
        </w:rPr>
        <w:t>Neni 12</w:t>
      </w:r>
    </w:p>
    <w:p w14:paraId="53642412"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sz w:val="24"/>
          <w:szCs w:val="24"/>
          <w:lang w:val="sq-AL"/>
        </w:rPr>
      </w:pPr>
      <w:r w:rsidRPr="009F247E">
        <w:rPr>
          <w:rFonts w:ascii="Garamond" w:eastAsiaTheme="minorHAnsi" w:hAnsi="Garamond" w:cs="Calibri"/>
          <w:b/>
          <w:bCs/>
          <w:color w:val="000000"/>
          <w:sz w:val="24"/>
          <w:szCs w:val="24"/>
          <w:lang w:val="sq-AL"/>
        </w:rPr>
        <w:t>Dispozita të fundit</w:t>
      </w:r>
    </w:p>
    <w:p w14:paraId="43C8A207" w14:textId="77777777" w:rsidR="009F247E" w:rsidRPr="009F247E" w:rsidRDefault="009F247E" w:rsidP="009F247E">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02FCB812" w14:textId="74404EEB"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1. Shtesat dhe ndryshimet në këtë plan bëhen me propozim të ministrit përgjegjës për trashëgiminë kulturore dhe miratohen nga Këshilli i Ministrave.</w:t>
      </w:r>
    </w:p>
    <w:p w14:paraId="6AE609F5" w14:textId="13BF0AC7" w:rsidR="009F247E" w:rsidRPr="009F247E" w:rsidRDefault="009F247E" w:rsidP="009F247E">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9F247E">
        <w:rPr>
          <w:rFonts w:ascii="Garamond" w:eastAsiaTheme="minorHAnsi" w:hAnsi="Garamond" w:cs="Calibri"/>
          <w:color w:val="000000"/>
          <w:sz w:val="24"/>
          <w:szCs w:val="24"/>
          <w:lang w:val="sq-AL"/>
        </w:rPr>
        <w:t>2. Këtij plani i bashkëngjitet zonifikimi i “qendrës historike”, i zonës mbrojtëse të saj dhe tabelat përkatëse të koordinatave gjeografike.</w:t>
      </w:r>
    </w:p>
    <w:p w14:paraId="1618DE03" w14:textId="77777777" w:rsidR="009F247E" w:rsidRPr="009F247E" w:rsidRDefault="009F247E" w:rsidP="009F247E">
      <w:pPr>
        <w:autoSpaceDE w:val="0"/>
        <w:autoSpaceDN w:val="0"/>
        <w:adjustRightInd w:val="0"/>
        <w:spacing w:after="0" w:line="386" w:lineRule="atLeast"/>
        <w:jc w:val="both"/>
        <w:rPr>
          <w:rFonts w:ascii="Calibri" w:eastAsiaTheme="minorHAnsi" w:hAnsi="Calibri" w:cs="Calibri"/>
          <w:color w:val="000000"/>
          <w:sz w:val="28"/>
          <w:szCs w:val="28"/>
          <w:lang w:val="sq-AL"/>
        </w:rPr>
      </w:pPr>
    </w:p>
    <w:p w14:paraId="02EA7314" w14:textId="1CED2FFB" w:rsidR="009F247E" w:rsidRDefault="003E7823" w:rsidP="00125931">
      <w:pPr>
        <w:spacing w:after="0" w:line="240" w:lineRule="auto"/>
        <w:ind w:firstLine="284"/>
        <w:jc w:val="both"/>
        <w:rPr>
          <w:rFonts w:ascii="Garamond" w:hAnsi="Garamond"/>
          <w:sz w:val="24"/>
        </w:rPr>
      </w:pPr>
      <w:r>
        <w:rPr>
          <w:rFonts w:ascii="Garamond" w:hAnsi="Garamond"/>
          <w:noProof/>
          <w:sz w:val="24"/>
        </w:rPr>
        <w:lastRenderedPageBreak/>
        <w:drawing>
          <wp:inline distT="0" distB="0" distL="0" distR="0" wp14:anchorId="52567AA9" wp14:editId="58BCA8B5">
            <wp:extent cx="5421875" cy="766762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 e Zonifikimit Benje 2021.jpg"/>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5422300" cy="7668226"/>
                    </a:xfrm>
                    <a:prstGeom prst="rect">
                      <a:avLst/>
                    </a:prstGeom>
                  </pic:spPr>
                </pic:pic>
              </a:graphicData>
            </a:graphic>
          </wp:inline>
        </w:drawing>
      </w:r>
    </w:p>
    <w:p w14:paraId="29722E39" w14:textId="77777777" w:rsidR="008F5B2A" w:rsidRDefault="008F5B2A" w:rsidP="00125931">
      <w:pPr>
        <w:spacing w:after="0" w:line="240" w:lineRule="auto"/>
        <w:ind w:firstLine="284"/>
        <w:jc w:val="both"/>
        <w:rPr>
          <w:rFonts w:ascii="Garamond" w:hAnsi="Garamond"/>
          <w:sz w:val="24"/>
        </w:rPr>
      </w:pPr>
    </w:p>
    <w:p w14:paraId="1C64111C" w14:textId="77777777" w:rsidR="008F5B2A" w:rsidRDefault="008F5B2A" w:rsidP="00125931">
      <w:pPr>
        <w:spacing w:after="0" w:line="240" w:lineRule="auto"/>
        <w:ind w:firstLine="284"/>
        <w:jc w:val="both"/>
        <w:rPr>
          <w:rFonts w:ascii="Garamond" w:hAnsi="Garamond"/>
          <w:sz w:val="24"/>
        </w:rPr>
      </w:pPr>
    </w:p>
    <w:tbl>
      <w:tblPr>
        <w:tblW w:w="5000" w:type="dxa"/>
        <w:tblInd w:w="93" w:type="dxa"/>
        <w:tblLook w:val="04A0" w:firstRow="1" w:lastRow="0" w:firstColumn="1" w:lastColumn="0" w:noHBand="0" w:noVBand="1"/>
      </w:tblPr>
      <w:tblGrid>
        <w:gridCol w:w="700"/>
        <w:gridCol w:w="2080"/>
        <w:gridCol w:w="2220"/>
      </w:tblGrid>
      <w:tr w:rsidR="00212D19" w:rsidRPr="00212D19" w14:paraId="3D4B4E84" w14:textId="77777777" w:rsidTr="00212D19">
        <w:trPr>
          <w:trHeight w:val="255"/>
        </w:trPr>
        <w:tc>
          <w:tcPr>
            <w:tcW w:w="700" w:type="dxa"/>
            <w:tcBorders>
              <w:top w:val="nil"/>
              <w:left w:val="nil"/>
              <w:bottom w:val="nil"/>
              <w:right w:val="nil"/>
            </w:tcBorders>
            <w:shd w:val="clear" w:color="auto" w:fill="auto"/>
            <w:noWrap/>
            <w:vAlign w:val="bottom"/>
            <w:hideMark/>
          </w:tcPr>
          <w:p w14:paraId="41363115"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B1</w:t>
            </w:r>
          </w:p>
        </w:tc>
        <w:tc>
          <w:tcPr>
            <w:tcW w:w="2080" w:type="dxa"/>
            <w:tcBorders>
              <w:top w:val="nil"/>
              <w:left w:val="nil"/>
              <w:bottom w:val="nil"/>
              <w:right w:val="nil"/>
            </w:tcBorders>
            <w:shd w:val="clear" w:color="auto" w:fill="auto"/>
            <w:noWrap/>
            <w:vAlign w:val="bottom"/>
            <w:hideMark/>
          </w:tcPr>
          <w:p w14:paraId="5705CB7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535486.367548362</w:t>
            </w:r>
          </w:p>
        </w:tc>
        <w:tc>
          <w:tcPr>
            <w:tcW w:w="2220" w:type="dxa"/>
            <w:tcBorders>
              <w:top w:val="nil"/>
              <w:left w:val="nil"/>
              <w:bottom w:val="nil"/>
              <w:right w:val="nil"/>
            </w:tcBorders>
            <w:shd w:val="clear" w:color="auto" w:fill="auto"/>
            <w:noWrap/>
            <w:vAlign w:val="bottom"/>
            <w:hideMark/>
          </w:tcPr>
          <w:p w14:paraId="145C8AF3"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4457583.03359841</w:t>
            </w:r>
          </w:p>
        </w:tc>
      </w:tr>
      <w:tr w:rsidR="00212D19" w:rsidRPr="00212D19" w14:paraId="7BCFBDF4" w14:textId="77777777" w:rsidTr="00212D19">
        <w:trPr>
          <w:trHeight w:val="255"/>
        </w:trPr>
        <w:tc>
          <w:tcPr>
            <w:tcW w:w="700" w:type="dxa"/>
            <w:tcBorders>
              <w:top w:val="nil"/>
              <w:left w:val="nil"/>
              <w:bottom w:val="nil"/>
              <w:right w:val="nil"/>
            </w:tcBorders>
            <w:shd w:val="clear" w:color="auto" w:fill="auto"/>
            <w:noWrap/>
            <w:vAlign w:val="bottom"/>
            <w:hideMark/>
          </w:tcPr>
          <w:p w14:paraId="0D0FE75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B2</w:t>
            </w:r>
          </w:p>
        </w:tc>
        <w:tc>
          <w:tcPr>
            <w:tcW w:w="2080" w:type="dxa"/>
            <w:tcBorders>
              <w:top w:val="nil"/>
              <w:left w:val="nil"/>
              <w:bottom w:val="nil"/>
              <w:right w:val="nil"/>
            </w:tcBorders>
            <w:shd w:val="clear" w:color="auto" w:fill="auto"/>
            <w:noWrap/>
            <w:vAlign w:val="bottom"/>
            <w:hideMark/>
          </w:tcPr>
          <w:p w14:paraId="362994DF"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535528.175119342</w:t>
            </w:r>
          </w:p>
        </w:tc>
        <w:tc>
          <w:tcPr>
            <w:tcW w:w="2220" w:type="dxa"/>
            <w:tcBorders>
              <w:top w:val="nil"/>
              <w:left w:val="nil"/>
              <w:bottom w:val="nil"/>
              <w:right w:val="nil"/>
            </w:tcBorders>
            <w:shd w:val="clear" w:color="auto" w:fill="auto"/>
            <w:noWrap/>
            <w:vAlign w:val="bottom"/>
            <w:hideMark/>
          </w:tcPr>
          <w:p w14:paraId="7440FA5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4457588.16559091</w:t>
            </w:r>
          </w:p>
        </w:tc>
      </w:tr>
      <w:tr w:rsidR="00212D19" w:rsidRPr="00212D19" w14:paraId="2F07D4D0" w14:textId="77777777" w:rsidTr="00212D19">
        <w:trPr>
          <w:trHeight w:val="255"/>
        </w:trPr>
        <w:tc>
          <w:tcPr>
            <w:tcW w:w="700" w:type="dxa"/>
            <w:tcBorders>
              <w:top w:val="nil"/>
              <w:left w:val="nil"/>
              <w:bottom w:val="nil"/>
              <w:right w:val="nil"/>
            </w:tcBorders>
            <w:shd w:val="clear" w:color="auto" w:fill="auto"/>
            <w:noWrap/>
            <w:vAlign w:val="bottom"/>
            <w:hideMark/>
          </w:tcPr>
          <w:p w14:paraId="6BB7333F"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B3</w:t>
            </w:r>
          </w:p>
        </w:tc>
        <w:tc>
          <w:tcPr>
            <w:tcW w:w="2080" w:type="dxa"/>
            <w:tcBorders>
              <w:top w:val="nil"/>
              <w:left w:val="nil"/>
              <w:bottom w:val="nil"/>
              <w:right w:val="nil"/>
            </w:tcBorders>
            <w:shd w:val="clear" w:color="auto" w:fill="auto"/>
            <w:noWrap/>
            <w:vAlign w:val="bottom"/>
            <w:hideMark/>
          </w:tcPr>
          <w:p w14:paraId="6E35F098"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535550.16999502</w:t>
            </w:r>
          </w:p>
        </w:tc>
        <w:tc>
          <w:tcPr>
            <w:tcW w:w="2220" w:type="dxa"/>
            <w:tcBorders>
              <w:top w:val="nil"/>
              <w:left w:val="nil"/>
              <w:bottom w:val="nil"/>
              <w:right w:val="nil"/>
            </w:tcBorders>
            <w:shd w:val="clear" w:color="auto" w:fill="auto"/>
            <w:noWrap/>
            <w:vAlign w:val="bottom"/>
            <w:hideMark/>
          </w:tcPr>
          <w:p w14:paraId="265BE909"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4457584.87624269</w:t>
            </w:r>
          </w:p>
        </w:tc>
      </w:tr>
      <w:tr w:rsidR="00212D19" w:rsidRPr="00212D19" w14:paraId="3B89FD52" w14:textId="77777777" w:rsidTr="00212D19">
        <w:trPr>
          <w:trHeight w:val="255"/>
        </w:trPr>
        <w:tc>
          <w:tcPr>
            <w:tcW w:w="700" w:type="dxa"/>
            <w:tcBorders>
              <w:top w:val="nil"/>
              <w:left w:val="nil"/>
              <w:bottom w:val="nil"/>
              <w:right w:val="nil"/>
            </w:tcBorders>
            <w:shd w:val="clear" w:color="auto" w:fill="auto"/>
            <w:noWrap/>
            <w:vAlign w:val="bottom"/>
            <w:hideMark/>
          </w:tcPr>
          <w:p w14:paraId="5A7C0188"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B4</w:t>
            </w:r>
          </w:p>
        </w:tc>
        <w:tc>
          <w:tcPr>
            <w:tcW w:w="2080" w:type="dxa"/>
            <w:tcBorders>
              <w:top w:val="nil"/>
              <w:left w:val="nil"/>
              <w:bottom w:val="nil"/>
              <w:right w:val="nil"/>
            </w:tcBorders>
            <w:shd w:val="clear" w:color="auto" w:fill="auto"/>
            <w:noWrap/>
            <w:vAlign w:val="bottom"/>
            <w:hideMark/>
          </w:tcPr>
          <w:p w14:paraId="6253B3A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535554.093767586</w:t>
            </w:r>
          </w:p>
        </w:tc>
        <w:tc>
          <w:tcPr>
            <w:tcW w:w="2220" w:type="dxa"/>
            <w:tcBorders>
              <w:top w:val="nil"/>
              <w:left w:val="nil"/>
              <w:bottom w:val="nil"/>
              <w:right w:val="nil"/>
            </w:tcBorders>
            <w:shd w:val="clear" w:color="auto" w:fill="auto"/>
            <w:noWrap/>
            <w:vAlign w:val="bottom"/>
            <w:hideMark/>
          </w:tcPr>
          <w:p w14:paraId="40208B3A"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4457554.66651533</w:t>
            </w:r>
          </w:p>
        </w:tc>
      </w:tr>
      <w:tr w:rsidR="00212D19" w:rsidRPr="00212D19" w14:paraId="7615CEED" w14:textId="77777777" w:rsidTr="00212D19">
        <w:trPr>
          <w:trHeight w:val="255"/>
        </w:trPr>
        <w:tc>
          <w:tcPr>
            <w:tcW w:w="700" w:type="dxa"/>
            <w:tcBorders>
              <w:top w:val="nil"/>
              <w:left w:val="nil"/>
              <w:bottom w:val="nil"/>
              <w:right w:val="nil"/>
            </w:tcBorders>
            <w:shd w:val="clear" w:color="auto" w:fill="auto"/>
            <w:noWrap/>
            <w:vAlign w:val="bottom"/>
            <w:hideMark/>
          </w:tcPr>
          <w:p w14:paraId="37C8170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lastRenderedPageBreak/>
              <w:t>B5</w:t>
            </w:r>
          </w:p>
        </w:tc>
        <w:tc>
          <w:tcPr>
            <w:tcW w:w="2080" w:type="dxa"/>
            <w:tcBorders>
              <w:top w:val="nil"/>
              <w:left w:val="nil"/>
              <w:bottom w:val="nil"/>
              <w:right w:val="nil"/>
            </w:tcBorders>
            <w:shd w:val="clear" w:color="auto" w:fill="auto"/>
            <w:noWrap/>
            <w:vAlign w:val="bottom"/>
            <w:hideMark/>
          </w:tcPr>
          <w:p w14:paraId="1228DC3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535543.818630668</w:t>
            </w:r>
          </w:p>
        </w:tc>
        <w:tc>
          <w:tcPr>
            <w:tcW w:w="2220" w:type="dxa"/>
            <w:tcBorders>
              <w:top w:val="nil"/>
              <w:left w:val="nil"/>
              <w:bottom w:val="nil"/>
              <w:right w:val="nil"/>
            </w:tcBorders>
            <w:shd w:val="clear" w:color="auto" w:fill="auto"/>
            <w:noWrap/>
            <w:vAlign w:val="bottom"/>
            <w:hideMark/>
          </w:tcPr>
          <w:p w14:paraId="4493D316"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4457528.39974641</w:t>
            </w:r>
          </w:p>
        </w:tc>
      </w:tr>
      <w:tr w:rsidR="00212D19" w:rsidRPr="00212D19" w14:paraId="60CE9DB4" w14:textId="77777777" w:rsidTr="00212D19">
        <w:trPr>
          <w:trHeight w:val="255"/>
        </w:trPr>
        <w:tc>
          <w:tcPr>
            <w:tcW w:w="700" w:type="dxa"/>
            <w:tcBorders>
              <w:top w:val="nil"/>
              <w:left w:val="nil"/>
              <w:bottom w:val="nil"/>
              <w:right w:val="nil"/>
            </w:tcBorders>
            <w:shd w:val="clear" w:color="auto" w:fill="auto"/>
            <w:noWrap/>
            <w:vAlign w:val="bottom"/>
            <w:hideMark/>
          </w:tcPr>
          <w:p w14:paraId="3DB0556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B6</w:t>
            </w:r>
          </w:p>
        </w:tc>
        <w:tc>
          <w:tcPr>
            <w:tcW w:w="2080" w:type="dxa"/>
            <w:tcBorders>
              <w:top w:val="nil"/>
              <w:left w:val="nil"/>
              <w:bottom w:val="nil"/>
              <w:right w:val="nil"/>
            </w:tcBorders>
            <w:shd w:val="clear" w:color="auto" w:fill="auto"/>
            <w:noWrap/>
            <w:vAlign w:val="bottom"/>
            <w:hideMark/>
          </w:tcPr>
          <w:p w14:paraId="30CA363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535555.223716531</w:t>
            </w:r>
          </w:p>
        </w:tc>
        <w:tc>
          <w:tcPr>
            <w:tcW w:w="2220" w:type="dxa"/>
            <w:tcBorders>
              <w:top w:val="nil"/>
              <w:left w:val="nil"/>
              <w:bottom w:val="nil"/>
              <w:right w:val="nil"/>
            </w:tcBorders>
            <w:shd w:val="clear" w:color="auto" w:fill="auto"/>
            <w:noWrap/>
            <w:vAlign w:val="bottom"/>
            <w:hideMark/>
          </w:tcPr>
          <w:p w14:paraId="588E292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4457515.49853916</w:t>
            </w:r>
          </w:p>
        </w:tc>
      </w:tr>
      <w:tr w:rsidR="00212D19" w:rsidRPr="00212D19" w14:paraId="37F6D0E7" w14:textId="77777777" w:rsidTr="00212D19">
        <w:trPr>
          <w:trHeight w:val="255"/>
        </w:trPr>
        <w:tc>
          <w:tcPr>
            <w:tcW w:w="700" w:type="dxa"/>
            <w:tcBorders>
              <w:top w:val="nil"/>
              <w:left w:val="nil"/>
              <w:bottom w:val="nil"/>
              <w:right w:val="nil"/>
            </w:tcBorders>
            <w:shd w:val="clear" w:color="auto" w:fill="auto"/>
            <w:noWrap/>
            <w:vAlign w:val="bottom"/>
            <w:hideMark/>
          </w:tcPr>
          <w:p w14:paraId="7184F3F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B7</w:t>
            </w:r>
          </w:p>
        </w:tc>
        <w:tc>
          <w:tcPr>
            <w:tcW w:w="2080" w:type="dxa"/>
            <w:tcBorders>
              <w:top w:val="nil"/>
              <w:left w:val="nil"/>
              <w:bottom w:val="nil"/>
              <w:right w:val="nil"/>
            </w:tcBorders>
            <w:shd w:val="clear" w:color="auto" w:fill="auto"/>
            <w:noWrap/>
            <w:vAlign w:val="bottom"/>
            <w:hideMark/>
          </w:tcPr>
          <w:p w14:paraId="1490CC1D"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535543.575565056</w:t>
            </w:r>
          </w:p>
        </w:tc>
        <w:tc>
          <w:tcPr>
            <w:tcW w:w="2220" w:type="dxa"/>
            <w:tcBorders>
              <w:top w:val="nil"/>
              <w:left w:val="nil"/>
              <w:bottom w:val="nil"/>
              <w:right w:val="nil"/>
            </w:tcBorders>
            <w:shd w:val="clear" w:color="auto" w:fill="auto"/>
            <w:noWrap/>
            <w:vAlign w:val="bottom"/>
            <w:hideMark/>
          </w:tcPr>
          <w:p w14:paraId="11F3259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4457479.663316</w:t>
            </w:r>
          </w:p>
        </w:tc>
      </w:tr>
      <w:tr w:rsidR="00212D19" w:rsidRPr="00212D19" w14:paraId="751BD6C6" w14:textId="77777777" w:rsidTr="00212D19">
        <w:trPr>
          <w:trHeight w:val="255"/>
        </w:trPr>
        <w:tc>
          <w:tcPr>
            <w:tcW w:w="700" w:type="dxa"/>
            <w:tcBorders>
              <w:top w:val="nil"/>
              <w:left w:val="nil"/>
              <w:bottom w:val="nil"/>
              <w:right w:val="nil"/>
            </w:tcBorders>
            <w:shd w:val="clear" w:color="auto" w:fill="auto"/>
            <w:noWrap/>
            <w:vAlign w:val="bottom"/>
            <w:hideMark/>
          </w:tcPr>
          <w:p w14:paraId="12B8F1B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B8</w:t>
            </w:r>
          </w:p>
        </w:tc>
        <w:tc>
          <w:tcPr>
            <w:tcW w:w="2080" w:type="dxa"/>
            <w:tcBorders>
              <w:top w:val="nil"/>
              <w:left w:val="nil"/>
              <w:bottom w:val="nil"/>
              <w:right w:val="nil"/>
            </w:tcBorders>
            <w:shd w:val="clear" w:color="auto" w:fill="auto"/>
            <w:noWrap/>
            <w:vAlign w:val="bottom"/>
            <w:hideMark/>
          </w:tcPr>
          <w:p w14:paraId="5C1E552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535454.085575434</w:t>
            </w:r>
          </w:p>
        </w:tc>
        <w:tc>
          <w:tcPr>
            <w:tcW w:w="2220" w:type="dxa"/>
            <w:tcBorders>
              <w:top w:val="nil"/>
              <w:left w:val="nil"/>
              <w:bottom w:val="nil"/>
              <w:right w:val="nil"/>
            </w:tcBorders>
            <w:shd w:val="clear" w:color="auto" w:fill="auto"/>
            <w:noWrap/>
            <w:vAlign w:val="bottom"/>
            <w:hideMark/>
          </w:tcPr>
          <w:p w14:paraId="12B64258"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4457461.96897035</w:t>
            </w:r>
          </w:p>
        </w:tc>
      </w:tr>
      <w:tr w:rsidR="00212D19" w:rsidRPr="00212D19" w14:paraId="29C880D2" w14:textId="77777777" w:rsidTr="00212D19">
        <w:trPr>
          <w:trHeight w:val="255"/>
        </w:trPr>
        <w:tc>
          <w:tcPr>
            <w:tcW w:w="700" w:type="dxa"/>
            <w:tcBorders>
              <w:top w:val="nil"/>
              <w:left w:val="nil"/>
              <w:bottom w:val="nil"/>
              <w:right w:val="nil"/>
            </w:tcBorders>
            <w:shd w:val="clear" w:color="auto" w:fill="auto"/>
            <w:noWrap/>
            <w:vAlign w:val="bottom"/>
            <w:hideMark/>
          </w:tcPr>
          <w:p w14:paraId="480B5B99"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B9</w:t>
            </w:r>
          </w:p>
        </w:tc>
        <w:tc>
          <w:tcPr>
            <w:tcW w:w="2080" w:type="dxa"/>
            <w:tcBorders>
              <w:top w:val="nil"/>
              <w:left w:val="nil"/>
              <w:bottom w:val="nil"/>
              <w:right w:val="nil"/>
            </w:tcBorders>
            <w:shd w:val="clear" w:color="auto" w:fill="auto"/>
            <w:noWrap/>
            <w:vAlign w:val="bottom"/>
            <w:hideMark/>
          </w:tcPr>
          <w:p w14:paraId="76C5C52F"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535441.079847362</w:t>
            </w:r>
          </w:p>
        </w:tc>
        <w:tc>
          <w:tcPr>
            <w:tcW w:w="2220" w:type="dxa"/>
            <w:tcBorders>
              <w:top w:val="nil"/>
              <w:left w:val="nil"/>
              <w:bottom w:val="nil"/>
              <w:right w:val="nil"/>
            </w:tcBorders>
            <w:shd w:val="clear" w:color="auto" w:fill="auto"/>
            <w:noWrap/>
            <w:vAlign w:val="bottom"/>
            <w:hideMark/>
          </w:tcPr>
          <w:p w14:paraId="1C2A9CA7"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4457463.45011784</w:t>
            </w:r>
          </w:p>
        </w:tc>
      </w:tr>
      <w:tr w:rsidR="00212D19" w:rsidRPr="00212D19" w14:paraId="64D41544" w14:textId="77777777" w:rsidTr="00212D19">
        <w:trPr>
          <w:trHeight w:val="255"/>
        </w:trPr>
        <w:tc>
          <w:tcPr>
            <w:tcW w:w="700" w:type="dxa"/>
            <w:tcBorders>
              <w:top w:val="nil"/>
              <w:left w:val="nil"/>
              <w:bottom w:val="nil"/>
              <w:right w:val="nil"/>
            </w:tcBorders>
            <w:shd w:val="clear" w:color="auto" w:fill="auto"/>
            <w:noWrap/>
            <w:vAlign w:val="bottom"/>
            <w:hideMark/>
          </w:tcPr>
          <w:p w14:paraId="0C02BD1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B10</w:t>
            </w:r>
          </w:p>
        </w:tc>
        <w:tc>
          <w:tcPr>
            <w:tcW w:w="2080" w:type="dxa"/>
            <w:tcBorders>
              <w:top w:val="nil"/>
              <w:left w:val="nil"/>
              <w:bottom w:val="nil"/>
              <w:right w:val="nil"/>
            </w:tcBorders>
            <w:shd w:val="clear" w:color="auto" w:fill="auto"/>
            <w:noWrap/>
            <w:vAlign w:val="bottom"/>
            <w:hideMark/>
          </w:tcPr>
          <w:p w14:paraId="601C520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535417.713297664</w:t>
            </w:r>
          </w:p>
        </w:tc>
        <w:tc>
          <w:tcPr>
            <w:tcW w:w="2220" w:type="dxa"/>
            <w:tcBorders>
              <w:top w:val="nil"/>
              <w:left w:val="nil"/>
              <w:bottom w:val="nil"/>
              <w:right w:val="nil"/>
            </w:tcBorders>
            <w:shd w:val="clear" w:color="auto" w:fill="auto"/>
            <w:noWrap/>
            <w:vAlign w:val="bottom"/>
            <w:hideMark/>
          </w:tcPr>
          <w:p w14:paraId="3982AA8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4457507.14044224</w:t>
            </w:r>
          </w:p>
        </w:tc>
      </w:tr>
      <w:tr w:rsidR="00212D19" w:rsidRPr="00212D19" w14:paraId="2A4EC9B9" w14:textId="77777777" w:rsidTr="00212D19">
        <w:trPr>
          <w:trHeight w:val="255"/>
        </w:trPr>
        <w:tc>
          <w:tcPr>
            <w:tcW w:w="700" w:type="dxa"/>
            <w:tcBorders>
              <w:top w:val="nil"/>
              <w:left w:val="nil"/>
              <w:bottom w:val="nil"/>
              <w:right w:val="nil"/>
            </w:tcBorders>
            <w:shd w:val="clear" w:color="auto" w:fill="auto"/>
            <w:noWrap/>
            <w:vAlign w:val="bottom"/>
            <w:hideMark/>
          </w:tcPr>
          <w:p w14:paraId="3740BBF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B11</w:t>
            </w:r>
          </w:p>
        </w:tc>
        <w:tc>
          <w:tcPr>
            <w:tcW w:w="2080" w:type="dxa"/>
            <w:tcBorders>
              <w:top w:val="nil"/>
              <w:left w:val="nil"/>
              <w:bottom w:val="nil"/>
              <w:right w:val="nil"/>
            </w:tcBorders>
            <w:shd w:val="clear" w:color="auto" w:fill="auto"/>
            <w:noWrap/>
            <w:vAlign w:val="bottom"/>
            <w:hideMark/>
          </w:tcPr>
          <w:p w14:paraId="497748D8"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535402.347204123</w:t>
            </w:r>
          </w:p>
        </w:tc>
        <w:tc>
          <w:tcPr>
            <w:tcW w:w="2220" w:type="dxa"/>
            <w:tcBorders>
              <w:top w:val="nil"/>
              <w:left w:val="nil"/>
              <w:bottom w:val="nil"/>
              <w:right w:val="nil"/>
            </w:tcBorders>
            <w:shd w:val="clear" w:color="auto" w:fill="auto"/>
            <w:noWrap/>
            <w:vAlign w:val="bottom"/>
            <w:hideMark/>
          </w:tcPr>
          <w:p w14:paraId="0032721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4457507.9936727</w:t>
            </w:r>
          </w:p>
        </w:tc>
      </w:tr>
      <w:tr w:rsidR="00212D19" w:rsidRPr="00212D19" w14:paraId="4AE67DFA" w14:textId="77777777" w:rsidTr="00212D19">
        <w:trPr>
          <w:trHeight w:val="255"/>
        </w:trPr>
        <w:tc>
          <w:tcPr>
            <w:tcW w:w="700" w:type="dxa"/>
            <w:tcBorders>
              <w:top w:val="nil"/>
              <w:left w:val="nil"/>
              <w:bottom w:val="nil"/>
              <w:right w:val="nil"/>
            </w:tcBorders>
            <w:shd w:val="clear" w:color="auto" w:fill="auto"/>
            <w:noWrap/>
            <w:vAlign w:val="bottom"/>
            <w:hideMark/>
          </w:tcPr>
          <w:p w14:paraId="2B9D85F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B12</w:t>
            </w:r>
          </w:p>
        </w:tc>
        <w:tc>
          <w:tcPr>
            <w:tcW w:w="2080" w:type="dxa"/>
            <w:tcBorders>
              <w:top w:val="nil"/>
              <w:left w:val="nil"/>
              <w:bottom w:val="nil"/>
              <w:right w:val="nil"/>
            </w:tcBorders>
            <w:shd w:val="clear" w:color="auto" w:fill="auto"/>
            <w:noWrap/>
            <w:vAlign w:val="bottom"/>
            <w:hideMark/>
          </w:tcPr>
          <w:p w14:paraId="552A2396"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535394.965840999</w:t>
            </w:r>
          </w:p>
        </w:tc>
        <w:tc>
          <w:tcPr>
            <w:tcW w:w="2220" w:type="dxa"/>
            <w:tcBorders>
              <w:top w:val="nil"/>
              <w:left w:val="nil"/>
              <w:bottom w:val="nil"/>
              <w:right w:val="nil"/>
            </w:tcBorders>
            <w:shd w:val="clear" w:color="auto" w:fill="auto"/>
            <w:noWrap/>
            <w:vAlign w:val="bottom"/>
            <w:hideMark/>
          </w:tcPr>
          <w:p w14:paraId="4CA401D1"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4457519.68018051</w:t>
            </w:r>
          </w:p>
        </w:tc>
      </w:tr>
      <w:tr w:rsidR="00212D19" w:rsidRPr="00212D19" w14:paraId="2797AD94" w14:textId="77777777" w:rsidTr="00212D19">
        <w:trPr>
          <w:trHeight w:val="255"/>
        </w:trPr>
        <w:tc>
          <w:tcPr>
            <w:tcW w:w="700" w:type="dxa"/>
            <w:tcBorders>
              <w:top w:val="nil"/>
              <w:left w:val="nil"/>
              <w:bottom w:val="nil"/>
              <w:right w:val="nil"/>
            </w:tcBorders>
            <w:shd w:val="clear" w:color="auto" w:fill="auto"/>
            <w:noWrap/>
            <w:vAlign w:val="bottom"/>
            <w:hideMark/>
          </w:tcPr>
          <w:p w14:paraId="077BAB8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B13</w:t>
            </w:r>
          </w:p>
        </w:tc>
        <w:tc>
          <w:tcPr>
            <w:tcW w:w="2080" w:type="dxa"/>
            <w:tcBorders>
              <w:top w:val="nil"/>
              <w:left w:val="nil"/>
              <w:bottom w:val="nil"/>
              <w:right w:val="nil"/>
            </w:tcBorders>
            <w:shd w:val="clear" w:color="auto" w:fill="auto"/>
            <w:noWrap/>
            <w:vAlign w:val="bottom"/>
            <w:hideMark/>
          </w:tcPr>
          <w:p w14:paraId="2E6F1283"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535366.378073927</w:t>
            </w:r>
          </w:p>
        </w:tc>
        <w:tc>
          <w:tcPr>
            <w:tcW w:w="2220" w:type="dxa"/>
            <w:tcBorders>
              <w:top w:val="nil"/>
              <w:left w:val="nil"/>
              <w:bottom w:val="nil"/>
              <w:right w:val="nil"/>
            </w:tcBorders>
            <w:shd w:val="clear" w:color="auto" w:fill="auto"/>
            <w:noWrap/>
            <w:vAlign w:val="bottom"/>
            <w:hideMark/>
          </w:tcPr>
          <w:p w14:paraId="7625EA3A"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4457517.69540401</w:t>
            </w:r>
          </w:p>
        </w:tc>
      </w:tr>
      <w:tr w:rsidR="00212D19" w:rsidRPr="00212D19" w14:paraId="239B4079" w14:textId="77777777" w:rsidTr="00212D19">
        <w:trPr>
          <w:trHeight w:val="255"/>
        </w:trPr>
        <w:tc>
          <w:tcPr>
            <w:tcW w:w="700" w:type="dxa"/>
            <w:tcBorders>
              <w:top w:val="nil"/>
              <w:left w:val="nil"/>
              <w:bottom w:val="nil"/>
              <w:right w:val="nil"/>
            </w:tcBorders>
            <w:shd w:val="clear" w:color="auto" w:fill="auto"/>
            <w:noWrap/>
            <w:vAlign w:val="bottom"/>
            <w:hideMark/>
          </w:tcPr>
          <w:p w14:paraId="00EAE00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B14</w:t>
            </w:r>
          </w:p>
        </w:tc>
        <w:tc>
          <w:tcPr>
            <w:tcW w:w="2080" w:type="dxa"/>
            <w:tcBorders>
              <w:top w:val="nil"/>
              <w:left w:val="nil"/>
              <w:bottom w:val="nil"/>
              <w:right w:val="nil"/>
            </w:tcBorders>
            <w:shd w:val="clear" w:color="auto" w:fill="auto"/>
            <w:noWrap/>
            <w:vAlign w:val="bottom"/>
            <w:hideMark/>
          </w:tcPr>
          <w:p w14:paraId="4DA06D0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535364.274199013</w:t>
            </w:r>
          </w:p>
        </w:tc>
        <w:tc>
          <w:tcPr>
            <w:tcW w:w="2220" w:type="dxa"/>
            <w:tcBorders>
              <w:top w:val="nil"/>
              <w:left w:val="nil"/>
              <w:bottom w:val="nil"/>
              <w:right w:val="nil"/>
            </w:tcBorders>
            <w:shd w:val="clear" w:color="auto" w:fill="auto"/>
            <w:noWrap/>
            <w:vAlign w:val="bottom"/>
            <w:hideMark/>
          </w:tcPr>
          <w:p w14:paraId="1E83067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4457512.75032409</w:t>
            </w:r>
          </w:p>
        </w:tc>
      </w:tr>
      <w:tr w:rsidR="00212D19" w:rsidRPr="00212D19" w14:paraId="26A7BF32" w14:textId="77777777" w:rsidTr="00212D19">
        <w:trPr>
          <w:trHeight w:val="255"/>
        </w:trPr>
        <w:tc>
          <w:tcPr>
            <w:tcW w:w="700" w:type="dxa"/>
            <w:tcBorders>
              <w:top w:val="nil"/>
              <w:left w:val="nil"/>
              <w:bottom w:val="nil"/>
              <w:right w:val="nil"/>
            </w:tcBorders>
            <w:shd w:val="clear" w:color="auto" w:fill="auto"/>
            <w:noWrap/>
            <w:vAlign w:val="bottom"/>
            <w:hideMark/>
          </w:tcPr>
          <w:p w14:paraId="16051B81"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B15</w:t>
            </w:r>
          </w:p>
        </w:tc>
        <w:tc>
          <w:tcPr>
            <w:tcW w:w="2080" w:type="dxa"/>
            <w:tcBorders>
              <w:top w:val="nil"/>
              <w:left w:val="nil"/>
              <w:bottom w:val="nil"/>
              <w:right w:val="nil"/>
            </w:tcBorders>
            <w:shd w:val="clear" w:color="auto" w:fill="auto"/>
            <w:noWrap/>
            <w:vAlign w:val="bottom"/>
            <w:hideMark/>
          </w:tcPr>
          <w:p w14:paraId="5CFCEA85"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535338.500740886</w:t>
            </w:r>
          </w:p>
        </w:tc>
        <w:tc>
          <w:tcPr>
            <w:tcW w:w="2220" w:type="dxa"/>
            <w:tcBorders>
              <w:top w:val="nil"/>
              <w:left w:val="nil"/>
              <w:bottom w:val="nil"/>
              <w:right w:val="nil"/>
            </w:tcBorders>
            <w:shd w:val="clear" w:color="auto" w:fill="auto"/>
            <w:noWrap/>
            <w:vAlign w:val="bottom"/>
            <w:hideMark/>
          </w:tcPr>
          <w:p w14:paraId="6DBDD52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4457515.40561268</w:t>
            </w:r>
          </w:p>
        </w:tc>
      </w:tr>
      <w:tr w:rsidR="00212D19" w:rsidRPr="00212D19" w14:paraId="7BBA377B" w14:textId="77777777" w:rsidTr="00212D19">
        <w:trPr>
          <w:trHeight w:val="255"/>
        </w:trPr>
        <w:tc>
          <w:tcPr>
            <w:tcW w:w="700" w:type="dxa"/>
            <w:tcBorders>
              <w:top w:val="nil"/>
              <w:left w:val="nil"/>
              <w:bottom w:val="nil"/>
              <w:right w:val="nil"/>
            </w:tcBorders>
            <w:shd w:val="clear" w:color="auto" w:fill="auto"/>
            <w:noWrap/>
            <w:vAlign w:val="bottom"/>
            <w:hideMark/>
          </w:tcPr>
          <w:p w14:paraId="0C5E9C49"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B16</w:t>
            </w:r>
          </w:p>
        </w:tc>
        <w:tc>
          <w:tcPr>
            <w:tcW w:w="2080" w:type="dxa"/>
            <w:tcBorders>
              <w:top w:val="nil"/>
              <w:left w:val="nil"/>
              <w:bottom w:val="nil"/>
              <w:right w:val="nil"/>
            </w:tcBorders>
            <w:shd w:val="clear" w:color="auto" w:fill="auto"/>
            <w:noWrap/>
            <w:vAlign w:val="bottom"/>
            <w:hideMark/>
          </w:tcPr>
          <w:p w14:paraId="249E5C1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535324.983079768</w:t>
            </w:r>
          </w:p>
        </w:tc>
        <w:tc>
          <w:tcPr>
            <w:tcW w:w="2220" w:type="dxa"/>
            <w:tcBorders>
              <w:top w:val="nil"/>
              <w:left w:val="nil"/>
              <w:bottom w:val="nil"/>
              <w:right w:val="nil"/>
            </w:tcBorders>
            <w:shd w:val="clear" w:color="auto" w:fill="auto"/>
            <w:noWrap/>
            <w:vAlign w:val="bottom"/>
            <w:hideMark/>
          </w:tcPr>
          <w:p w14:paraId="6A3E867C"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4457535.28404017</w:t>
            </w:r>
          </w:p>
        </w:tc>
      </w:tr>
      <w:tr w:rsidR="00212D19" w:rsidRPr="00212D19" w14:paraId="7A164AE7" w14:textId="77777777" w:rsidTr="00212D19">
        <w:trPr>
          <w:trHeight w:val="255"/>
        </w:trPr>
        <w:tc>
          <w:tcPr>
            <w:tcW w:w="700" w:type="dxa"/>
            <w:tcBorders>
              <w:top w:val="nil"/>
              <w:left w:val="nil"/>
              <w:bottom w:val="nil"/>
              <w:right w:val="nil"/>
            </w:tcBorders>
            <w:shd w:val="clear" w:color="auto" w:fill="auto"/>
            <w:noWrap/>
            <w:vAlign w:val="bottom"/>
            <w:hideMark/>
          </w:tcPr>
          <w:p w14:paraId="31EF743A"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B17</w:t>
            </w:r>
          </w:p>
        </w:tc>
        <w:tc>
          <w:tcPr>
            <w:tcW w:w="2080" w:type="dxa"/>
            <w:tcBorders>
              <w:top w:val="nil"/>
              <w:left w:val="nil"/>
              <w:bottom w:val="nil"/>
              <w:right w:val="nil"/>
            </w:tcBorders>
            <w:shd w:val="clear" w:color="auto" w:fill="auto"/>
            <w:noWrap/>
            <w:vAlign w:val="bottom"/>
            <w:hideMark/>
          </w:tcPr>
          <w:p w14:paraId="4A4AA95D"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535323.442704623</w:t>
            </w:r>
          </w:p>
        </w:tc>
        <w:tc>
          <w:tcPr>
            <w:tcW w:w="2220" w:type="dxa"/>
            <w:tcBorders>
              <w:top w:val="nil"/>
              <w:left w:val="nil"/>
              <w:bottom w:val="nil"/>
              <w:right w:val="nil"/>
            </w:tcBorders>
            <w:shd w:val="clear" w:color="auto" w:fill="auto"/>
            <w:noWrap/>
            <w:vAlign w:val="bottom"/>
            <w:hideMark/>
          </w:tcPr>
          <w:p w14:paraId="2D503BE3"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4457551.42387034</w:t>
            </w:r>
          </w:p>
        </w:tc>
      </w:tr>
      <w:tr w:rsidR="00212D19" w:rsidRPr="00212D19" w14:paraId="6ED5B559" w14:textId="77777777" w:rsidTr="00212D19">
        <w:trPr>
          <w:trHeight w:val="255"/>
        </w:trPr>
        <w:tc>
          <w:tcPr>
            <w:tcW w:w="700" w:type="dxa"/>
            <w:tcBorders>
              <w:top w:val="nil"/>
              <w:left w:val="nil"/>
              <w:bottom w:val="nil"/>
              <w:right w:val="nil"/>
            </w:tcBorders>
            <w:shd w:val="clear" w:color="auto" w:fill="auto"/>
            <w:noWrap/>
            <w:vAlign w:val="bottom"/>
            <w:hideMark/>
          </w:tcPr>
          <w:p w14:paraId="44447F25"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B18</w:t>
            </w:r>
          </w:p>
        </w:tc>
        <w:tc>
          <w:tcPr>
            <w:tcW w:w="2080" w:type="dxa"/>
            <w:tcBorders>
              <w:top w:val="nil"/>
              <w:left w:val="nil"/>
              <w:bottom w:val="nil"/>
              <w:right w:val="nil"/>
            </w:tcBorders>
            <w:shd w:val="clear" w:color="auto" w:fill="auto"/>
            <w:noWrap/>
            <w:vAlign w:val="bottom"/>
            <w:hideMark/>
          </w:tcPr>
          <w:p w14:paraId="12CE98C5"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535338.482786524</w:t>
            </w:r>
          </w:p>
        </w:tc>
        <w:tc>
          <w:tcPr>
            <w:tcW w:w="2220" w:type="dxa"/>
            <w:tcBorders>
              <w:top w:val="nil"/>
              <w:left w:val="nil"/>
              <w:bottom w:val="nil"/>
              <w:right w:val="nil"/>
            </w:tcBorders>
            <w:shd w:val="clear" w:color="auto" w:fill="auto"/>
            <w:noWrap/>
            <w:vAlign w:val="bottom"/>
            <w:hideMark/>
          </w:tcPr>
          <w:p w14:paraId="1AC76761"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4457569.69292164</w:t>
            </w:r>
          </w:p>
        </w:tc>
      </w:tr>
      <w:tr w:rsidR="00212D19" w:rsidRPr="00212D19" w14:paraId="43F5F942" w14:textId="77777777" w:rsidTr="00212D19">
        <w:trPr>
          <w:trHeight w:val="255"/>
        </w:trPr>
        <w:tc>
          <w:tcPr>
            <w:tcW w:w="700" w:type="dxa"/>
            <w:tcBorders>
              <w:top w:val="nil"/>
              <w:left w:val="nil"/>
              <w:bottom w:val="nil"/>
              <w:right w:val="nil"/>
            </w:tcBorders>
            <w:shd w:val="clear" w:color="auto" w:fill="auto"/>
            <w:noWrap/>
            <w:vAlign w:val="bottom"/>
            <w:hideMark/>
          </w:tcPr>
          <w:p w14:paraId="179B119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B19</w:t>
            </w:r>
          </w:p>
        </w:tc>
        <w:tc>
          <w:tcPr>
            <w:tcW w:w="2080" w:type="dxa"/>
            <w:tcBorders>
              <w:top w:val="nil"/>
              <w:left w:val="nil"/>
              <w:bottom w:val="nil"/>
              <w:right w:val="nil"/>
            </w:tcBorders>
            <w:shd w:val="clear" w:color="auto" w:fill="auto"/>
            <w:noWrap/>
            <w:vAlign w:val="bottom"/>
            <w:hideMark/>
          </w:tcPr>
          <w:p w14:paraId="32FF9EA9"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535349.728474076</w:t>
            </w:r>
          </w:p>
        </w:tc>
        <w:tc>
          <w:tcPr>
            <w:tcW w:w="2220" w:type="dxa"/>
            <w:tcBorders>
              <w:top w:val="nil"/>
              <w:left w:val="nil"/>
              <w:bottom w:val="nil"/>
              <w:right w:val="nil"/>
            </w:tcBorders>
            <w:shd w:val="clear" w:color="auto" w:fill="auto"/>
            <w:noWrap/>
            <w:vAlign w:val="bottom"/>
            <w:hideMark/>
          </w:tcPr>
          <w:p w14:paraId="13767F15"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4457590.72028379</w:t>
            </w:r>
          </w:p>
        </w:tc>
      </w:tr>
      <w:tr w:rsidR="00212D19" w:rsidRPr="00212D19" w14:paraId="319605B8" w14:textId="77777777" w:rsidTr="00212D19">
        <w:trPr>
          <w:trHeight w:val="255"/>
        </w:trPr>
        <w:tc>
          <w:tcPr>
            <w:tcW w:w="700" w:type="dxa"/>
            <w:tcBorders>
              <w:top w:val="nil"/>
              <w:left w:val="nil"/>
              <w:bottom w:val="nil"/>
              <w:right w:val="nil"/>
            </w:tcBorders>
            <w:shd w:val="clear" w:color="auto" w:fill="auto"/>
            <w:noWrap/>
            <w:vAlign w:val="bottom"/>
            <w:hideMark/>
          </w:tcPr>
          <w:p w14:paraId="4E682E65"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B20</w:t>
            </w:r>
          </w:p>
        </w:tc>
        <w:tc>
          <w:tcPr>
            <w:tcW w:w="2080" w:type="dxa"/>
            <w:tcBorders>
              <w:top w:val="nil"/>
              <w:left w:val="nil"/>
              <w:bottom w:val="nil"/>
              <w:right w:val="nil"/>
            </w:tcBorders>
            <w:shd w:val="clear" w:color="auto" w:fill="auto"/>
            <w:noWrap/>
            <w:vAlign w:val="bottom"/>
            <w:hideMark/>
          </w:tcPr>
          <w:p w14:paraId="0DC8B53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535348.735452419</w:t>
            </w:r>
          </w:p>
        </w:tc>
        <w:tc>
          <w:tcPr>
            <w:tcW w:w="2220" w:type="dxa"/>
            <w:tcBorders>
              <w:top w:val="nil"/>
              <w:left w:val="nil"/>
              <w:bottom w:val="nil"/>
              <w:right w:val="nil"/>
            </w:tcBorders>
            <w:shd w:val="clear" w:color="auto" w:fill="auto"/>
            <w:noWrap/>
            <w:vAlign w:val="bottom"/>
            <w:hideMark/>
          </w:tcPr>
          <w:p w14:paraId="67DD586C"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4457600.89451799</w:t>
            </w:r>
          </w:p>
        </w:tc>
      </w:tr>
      <w:tr w:rsidR="00212D19" w:rsidRPr="00212D19" w14:paraId="050DFD17" w14:textId="77777777" w:rsidTr="00212D19">
        <w:trPr>
          <w:trHeight w:val="255"/>
        </w:trPr>
        <w:tc>
          <w:tcPr>
            <w:tcW w:w="700" w:type="dxa"/>
            <w:tcBorders>
              <w:top w:val="nil"/>
              <w:left w:val="nil"/>
              <w:bottom w:val="nil"/>
              <w:right w:val="nil"/>
            </w:tcBorders>
            <w:shd w:val="clear" w:color="auto" w:fill="auto"/>
            <w:noWrap/>
            <w:vAlign w:val="bottom"/>
            <w:hideMark/>
          </w:tcPr>
          <w:p w14:paraId="63663F8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B21</w:t>
            </w:r>
          </w:p>
        </w:tc>
        <w:tc>
          <w:tcPr>
            <w:tcW w:w="2080" w:type="dxa"/>
            <w:tcBorders>
              <w:top w:val="nil"/>
              <w:left w:val="nil"/>
              <w:bottom w:val="nil"/>
              <w:right w:val="nil"/>
            </w:tcBorders>
            <w:shd w:val="clear" w:color="auto" w:fill="auto"/>
            <w:noWrap/>
            <w:vAlign w:val="bottom"/>
            <w:hideMark/>
          </w:tcPr>
          <w:p w14:paraId="64A11103"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535357.43924735</w:t>
            </w:r>
          </w:p>
        </w:tc>
        <w:tc>
          <w:tcPr>
            <w:tcW w:w="2220" w:type="dxa"/>
            <w:tcBorders>
              <w:top w:val="nil"/>
              <w:left w:val="nil"/>
              <w:bottom w:val="nil"/>
              <w:right w:val="nil"/>
            </w:tcBorders>
            <w:shd w:val="clear" w:color="auto" w:fill="auto"/>
            <w:noWrap/>
            <w:vAlign w:val="bottom"/>
            <w:hideMark/>
          </w:tcPr>
          <w:p w14:paraId="1216858C"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4457609.57193778</w:t>
            </w:r>
          </w:p>
        </w:tc>
      </w:tr>
      <w:tr w:rsidR="00212D19" w:rsidRPr="00212D19" w14:paraId="416420D7" w14:textId="77777777" w:rsidTr="00212D19">
        <w:trPr>
          <w:trHeight w:val="255"/>
        </w:trPr>
        <w:tc>
          <w:tcPr>
            <w:tcW w:w="700" w:type="dxa"/>
            <w:tcBorders>
              <w:top w:val="nil"/>
              <w:left w:val="nil"/>
              <w:bottom w:val="nil"/>
              <w:right w:val="nil"/>
            </w:tcBorders>
            <w:shd w:val="clear" w:color="auto" w:fill="auto"/>
            <w:noWrap/>
            <w:vAlign w:val="bottom"/>
            <w:hideMark/>
          </w:tcPr>
          <w:p w14:paraId="04B31BCC"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B22</w:t>
            </w:r>
          </w:p>
        </w:tc>
        <w:tc>
          <w:tcPr>
            <w:tcW w:w="2080" w:type="dxa"/>
            <w:tcBorders>
              <w:top w:val="nil"/>
              <w:left w:val="nil"/>
              <w:bottom w:val="nil"/>
              <w:right w:val="nil"/>
            </w:tcBorders>
            <w:shd w:val="clear" w:color="auto" w:fill="auto"/>
            <w:noWrap/>
            <w:vAlign w:val="bottom"/>
            <w:hideMark/>
          </w:tcPr>
          <w:p w14:paraId="663E1CAD"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535367.862412418</w:t>
            </w:r>
          </w:p>
        </w:tc>
        <w:tc>
          <w:tcPr>
            <w:tcW w:w="2220" w:type="dxa"/>
            <w:tcBorders>
              <w:top w:val="nil"/>
              <w:left w:val="nil"/>
              <w:bottom w:val="nil"/>
              <w:right w:val="nil"/>
            </w:tcBorders>
            <w:shd w:val="clear" w:color="auto" w:fill="auto"/>
            <w:noWrap/>
            <w:vAlign w:val="bottom"/>
            <w:hideMark/>
          </w:tcPr>
          <w:p w14:paraId="77DF023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4457604.37712706</w:t>
            </w:r>
          </w:p>
        </w:tc>
      </w:tr>
      <w:tr w:rsidR="00212D19" w:rsidRPr="00212D19" w14:paraId="42984BC7" w14:textId="77777777" w:rsidTr="00212D19">
        <w:trPr>
          <w:trHeight w:val="255"/>
        </w:trPr>
        <w:tc>
          <w:tcPr>
            <w:tcW w:w="700" w:type="dxa"/>
            <w:tcBorders>
              <w:top w:val="nil"/>
              <w:left w:val="nil"/>
              <w:bottom w:val="nil"/>
              <w:right w:val="nil"/>
            </w:tcBorders>
            <w:shd w:val="clear" w:color="auto" w:fill="auto"/>
            <w:noWrap/>
            <w:vAlign w:val="bottom"/>
            <w:hideMark/>
          </w:tcPr>
          <w:p w14:paraId="394CA881"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B23</w:t>
            </w:r>
          </w:p>
        </w:tc>
        <w:tc>
          <w:tcPr>
            <w:tcW w:w="2080" w:type="dxa"/>
            <w:tcBorders>
              <w:top w:val="nil"/>
              <w:left w:val="nil"/>
              <w:bottom w:val="nil"/>
              <w:right w:val="nil"/>
            </w:tcBorders>
            <w:shd w:val="clear" w:color="auto" w:fill="auto"/>
            <w:noWrap/>
            <w:vAlign w:val="bottom"/>
            <w:hideMark/>
          </w:tcPr>
          <w:p w14:paraId="4CE932E1"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535383.434256362</w:t>
            </w:r>
          </w:p>
        </w:tc>
        <w:tc>
          <w:tcPr>
            <w:tcW w:w="2220" w:type="dxa"/>
            <w:tcBorders>
              <w:top w:val="nil"/>
              <w:left w:val="nil"/>
              <w:bottom w:val="nil"/>
              <w:right w:val="nil"/>
            </w:tcBorders>
            <w:shd w:val="clear" w:color="auto" w:fill="auto"/>
            <w:noWrap/>
            <w:vAlign w:val="bottom"/>
            <w:hideMark/>
          </w:tcPr>
          <w:p w14:paraId="2951CFA9"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4457610.00226764</w:t>
            </w:r>
          </w:p>
        </w:tc>
      </w:tr>
      <w:tr w:rsidR="00212D19" w:rsidRPr="00212D19" w14:paraId="016D5807" w14:textId="77777777" w:rsidTr="00212D19">
        <w:trPr>
          <w:trHeight w:val="255"/>
        </w:trPr>
        <w:tc>
          <w:tcPr>
            <w:tcW w:w="700" w:type="dxa"/>
            <w:tcBorders>
              <w:top w:val="nil"/>
              <w:left w:val="nil"/>
              <w:bottom w:val="nil"/>
              <w:right w:val="nil"/>
            </w:tcBorders>
            <w:shd w:val="clear" w:color="auto" w:fill="auto"/>
            <w:noWrap/>
            <w:vAlign w:val="bottom"/>
            <w:hideMark/>
          </w:tcPr>
          <w:p w14:paraId="679FF2C6"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B24</w:t>
            </w:r>
          </w:p>
        </w:tc>
        <w:tc>
          <w:tcPr>
            <w:tcW w:w="2080" w:type="dxa"/>
            <w:tcBorders>
              <w:top w:val="nil"/>
              <w:left w:val="nil"/>
              <w:bottom w:val="nil"/>
              <w:right w:val="nil"/>
            </w:tcBorders>
            <w:shd w:val="clear" w:color="auto" w:fill="auto"/>
            <w:noWrap/>
            <w:vAlign w:val="bottom"/>
            <w:hideMark/>
          </w:tcPr>
          <w:p w14:paraId="7E317BD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535394.262087123</w:t>
            </w:r>
          </w:p>
        </w:tc>
        <w:tc>
          <w:tcPr>
            <w:tcW w:w="2220" w:type="dxa"/>
            <w:tcBorders>
              <w:top w:val="nil"/>
              <w:left w:val="nil"/>
              <w:bottom w:val="nil"/>
              <w:right w:val="nil"/>
            </w:tcBorders>
            <w:shd w:val="clear" w:color="auto" w:fill="auto"/>
            <w:noWrap/>
            <w:vAlign w:val="bottom"/>
            <w:hideMark/>
          </w:tcPr>
          <w:p w14:paraId="4B68756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4457619.30659553</w:t>
            </w:r>
          </w:p>
        </w:tc>
      </w:tr>
      <w:tr w:rsidR="00212D19" w:rsidRPr="00212D19" w14:paraId="27357F03" w14:textId="77777777" w:rsidTr="00212D19">
        <w:trPr>
          <w:trHeight w:val="255"/>
        </w:trPr>
        <w:tc>
          <w:tcPr>
            <w:tcW w:w="700" w:type="dxa"/>
            <w:tcBorders>
              <w:top w:val="nil"/>
              <w:left w:val="nil"/>
              <w:bottom w:val="nil"/>
              <w:right w:val="nil"/>
            </w:tcBorders>
            <w:shd w:val="clear" w:color="auto" w:fill="auto"/>
            <w:noWrap/>
            <w:vAlign w:val="bottom"/>
            <w:hideMark/>
          </w:tcPr>
          <w:p w14:paraId="5AD6A2F6"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B25</w:t>
            </w:r>
          </w:p>
        </w:tc>
        <w:tc>
          <w:tcPr>
            <w:tcW w:w="2080" w:type="dxa"/>
            <w:tcBorders>
              <w:top w:val="nil"/>
              <w:left w:val="nil"/>
              <w:bottom w:val="nil"/>
              <w:right w:val="nil"/>
            </w:tcBorders>
            <w:shd w:val="clear" w:color="auto" w:fill="auto"/>
            <w:noWrap/>
            <w:vAlign w:val="bottom"/>
            <w:hideMark/>
          </w:tcPr>
          <w:p w14:paraId="7736ADD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535403.257144589</w:t>
            </w:r>
          </w:p>
        </w:tc>
        <w:tc>
          <w:tcPr>
            <w:tcW w:w="2220" w:type="dxa"/>
            <w:tcBorders>
              <w:top w:val="nil"/>
              <w:left w:val="nil"/>
              <w:bottom w:val="nil"/>
              <w:right w:val="nil"/>
            </w:tcBorders>
            <w:shd w:val="clear" w:color="auto" w:fill="auto"/>
            <w:noWrap/>
            <w:vAlign w:val="bottom"/>
            <w:hideMark/>
          </w:tcPr>
          <w:p w14:paraId="07B789F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4457616.26429151</w:t>
            </w:r>
          </w:p>
        </w:tc>
      </w:tr>
      <w:tr w:rsidR="00212D19" w:rsidRPr="00212D19" w14:paraId="4760D5A1" w14:textId="77777777" w:rsidTr="00212D19">
        <w:trPr>
          <w:trHeight w:val="255"/>
        </w:trPr>
        <w:tc>
          <w:tcPr>
            <w:tcW w:w="700" w:type="dxa"/>
            <w:tcBorders>
              <w:top w:val="nil"/>
              <w:left w:val="nil"/>
              <w:bottom w:val="nil"/>
              <w:right w:val="nil"/>
            </w:tcBorders>
            <w:shd w:val="clear" w:color="auto" w:fill="auto"/>
            <w:noWrap/>
            <w:vAlign w:val="bottom"/>
            <w:hideMark/>
          </w:tcPr>
          <w:p w14:paraId="4A56503C"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B26</w:t>
            </w:r>
          </w:p>
        </w:tc>
        <w:tc>
          <w:tcPr>
            <w:tcW w:w="2080" w:type="dxa"/>
            <w:tcBorders>
              <w:top w:val="nil"/>
              <w:left w:val="nil"/>
              <w:bottom w:val="nil"/>
              <w:right w:val="nil"/>
            </w:tcBorders>
            <w:shd w:val="clear" w:color="auto" w:fill="auto"/>
            <w:noWrap/>
            <w:vAlign w:val="bottom"/>
            <w:hideMark/>
          </w:tcPr>
          <w:p w14:paraId="6C50E5D6"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535415.936492838</w:t>
            </w:r>
          </w:p>
        </w:tc>
        <w:tc>
          <w:tcPr>
            <w:tcW w:w="2220" w:type="dxa"/>
            <w:tcBorders>
              <w:top w:val="nil"/>
              <w:left w:val="nil"/>
              <w:bottom w:val="nil"/>
              <w:right w:val="nil"/>
            </w:tcBorders>
            <w:shd w:val="clear" w:color="auto" w:fill="auto"/>
            <w:noWrap/>
            <w:vAlign w:val="bottom"/>
            <w:hideMark/>
          </w:tcPr>
          <w:p w14:paraId="768E2CFD"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4457633.90552194</w:t>
            </w:r>
          </w:p>
        </w:tc>
      </w:tr>
      <w:tr w:rsidR="00212D19" w:rsidRPr="00212D19" w14:paraId="3E391266" w14:textId="77777777" w:rsidTr="00212D19">
        <w:trPr>
          <w:trHeight w:val="255"/>
        </w:trPr>
        <w:tc>
          <w:tcPr>
            <w:tcW w:w="700" w:type="dxa"/>
            <w:tcBorders>
              <w:top w:val="nil"/>
              <w:left w:val="nil"/>
              <w:bottom w:val="nil"/>
              <w:right w:val="nil"/>
            </w:tcBorders>
            <w:shd w:val="clear" w:color="auto" w:fill="auto"/>
            <w:noWrap/>
            <w:vAlign w:val="bottom"/>
            <w:hideMark/>
          </w:tcPr>
          <w:p w14:paraId="68F054B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B27</w:t>
            </w:r>
          </w:p>
        </w:tc>
        <w:tc>
          <w:tcPr>
            <w:tcW w:w="2080" w:type="dxa"/>
            <w:tcBorders>
              <w:top w:val="nil"/>
              <w:left w:val="nil"/>
              <w:bottom w:val="nil"/>
              <w:right w:val="nil"/>
            </w:tcBorders>
            <w:shd w:val="clear" w:color="auto" w:fill="auto"/>
            <w:noWrap/>
            <w:vAlign w:val="bottom"/>
            <w:hideMark/>
          </w:tcPr>
          <w:p w14:paraId="66EF8291"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535427.041137122</w:t>
            </w:r>
          </w:p>
        </w:tc>
        <w:tc>
          <w:tcPr>
            <w:tcW w:w="2220" w:type="dxa"/>
            <w:tcBorders>
              <w:top w:val="nil"/>
              <w:left w:val="nil"/>
              <w:bottom w:val="nil"/>
              <w:right w:val="nil"/>
            </w:tcBorders>
            <w:shd w:val="clear" w:color="auto" w:fill="auto"/>
            <w:noWrap/>
            <w:vAlign w:val="bottom"/>
            <w:hideMark/>
          </w:tcPr>
          <w:p w14:paraId="0D70DF7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4457634.57456446</w:t>
            </w:r>
          </w:p>
        </w:tc>
      </w:tr>
      <w:tr w:rsidR="00212D19" w:rsidRPr="00212D19" w14:paraId="72732610" w14:textId="77777777" w:rsidTr="00212D19">
        <w:trPr>
          <w:trHeight w:val="255"/>
        </w:trPr>
        <w:tc>
          <w:tcPr>
            <w:tcW w:w="700" w:type="dxa"/>
            <w:tcBorders>
              <w:top w:val="nil"/>
              <w:left w:val="nil"/>
              <w:bottom w:val="nil"/>
              <w:right w:val="nil"/>
            </w:tcBorders>
            <w:shd w:val="clear" w:color="auto" w:fill="auto"/>
            <w:noWrap/>
            <w:vAlign w:val="bottom"/>
            <w:hideMark/>
          </w:tcPr>
          <w:p w14:paraId="2E83A1C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B28</w:t>
            </w:r>
          </w:p>
        </w:tc>
        <w:tc>
          <w:tcPr>
            <w:tcW w:w="2080" w:type="dxa"/>
            <w:tcBorders>
              <w:top w:val="nil"/>
              <w:left w:val="nil"/>
              <w:bottom w:val="nil"/>
              <w:right w:val="nil"/>
            </w:tcBorders>
            <w:shd w:val="clear" w:color="auto" w:fill="auto"/>
            <w:noWrap/>
            <w:vAlign w:val="bottom"/>
            <w:hideMark/>
          </w:tcPr>
          <w:p w14:paraId="0AE3320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535435.991275851</w:t>
            </w:r>
          </w:p>
        </w:tc>
        <w:tc>
          <w:tcPr>
            <w:tcW w:w="2220" w:type="dxa"/>
            <w:tcBorders>
              <w:top w:val="nil"/>
              <w:left w:val="nil"/>
              <w:bottom w:val="nil"/>
              <w:right w:val="nil"/>
            </w:tcBorders>
            <w:shd w:val="clear" w:color="auto" w:fill="auto"/>
            <w:noWrap/>
            <w:vAlign w:val="bottom"/>
            <w:hideMark/>
          </w:tcPr>
          <w:p w14:paraId="490225D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4457641.0940753</w:t>
            </w:r>
          </w:p>
        </w:tc>
      </w:tr>
      <w:tr w:rsidR="00212D19" w:rsidRPr="00212D19" w14:paraId="75CE789C" w14:textId="77777777" w:rsidTr="00212D19">
        <w:trPr>
          <w:trHeight w:val="255"/>
        </w:trPr>
        <w:tc>
          <w:tcPr>
            <w:tcW w:w="700" w:type="dxa"/>
            <w:tcBorders>
              <w:top w:val="nil"/>
              <w:left w:val="nil"/>
              <w:bottom w:val="nil"/>
              <w:right w:val="nil"/>
            </w:tcBorders>
            <w:shd w:val="clear" w:color="auto" w:fill="auto"/>
            <w:noWrap/>
            <w:vAlign w:val="bottom"/>
            <w:hideMark/>
          </w:tcPr>
          <w:p w14:paraId="4688160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B29</w:t>
            </w:r>
          </w:p>
        </w:tc>
        <w:tc>
          <w:tcPr>
            <w:tcW w:w="2080" w:type="dxa"/>
            <w:tcBorders>
              <w:top w:val="nil"/>
              <w:left w:val="nil"/>
              <w:bottom w:val="nil"/>
              <w:right w:val="nil"/>
            </w:tcBorders>
            <w:shd w:val="clear" w:color="auto" w:fill="auto"/>
            <w:noWrap/>
            <w:vAlign w:val="bottom"/>
            <w:hideMark/>
          </w:tcPr>
          <w:p w14:paraId="6DC282E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535478.419174918</w:t>
            </w:r>
          </w:p>
        </w:tc>
        <w:tc>
          <w:tcPr>
            <w:tcW w:w="2220" w:type="dxa"/>
            <w:tcBorders>
              <w:top w:val="nil"/>
              <w:left w:val="nil"/>
              <w:bottom w:val="nil"/>
              <w:right w:val="nil"/>
            </w:tcBorders>
            <w:shd w:val="clear" w:color="auto" w:fill="auto"/>
            <w:noWrap/>
            <w:vAlign w:val="bottom"/>
            <w:hideMark/>
          </w:tcPr>
          <w:p w14:paraId="5A25C39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4457614.76668688</w:t>
            </w:r>
          </w:p>
        </w:tc>
      </w:tr>
      <w:tr w:rsidR="00212D19" w:rsidRPr="00212D19" w14:paraId="6D8EBF2A" w14:textId="77777777" w:rsidTr="00212D19">
        <w:trPr>
          <w:trHeight w:val="255"/>
        </w:trPr>
        <w:tc>
          <w:tcPr>
            <w:tcW w:w="700" w:type="dxa"/>
            <w:tcBorders>
              <w:top w:val="nil"/>
              <w:left w:val="nil"/>
              <w:bottom w:val="nil"/>
              <w:right w:val="nil"/>
            </w:tcBorders>
            <w:shd w:val="clear" w:color="auto" w:fill="auto"/>
            <w:noWrap/>
            <w:vAlign w:val="bottom"/>
            <w:hideMark/>
          </w:tcPr>
          <w:p w14:paraId="0CF5EE5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B30</w:t>
            </w:r>
          </w:p>
        </w:tc>
        <w:tc>
          <w:tcPr>
            <w:tcW w:w="2080" w:type="dxa"/>
            <w:tcBorders>
              <w:top w:val="nil"/>
              <w:left w:val="nil"/>
              <w:bottom w:val="nil"/>
              <w:right w:val="nil"/>
            </w:tcBorders>
            <w:shd w:val="clear" w:color="auto" w:fill="auto"/>
            <w:noWrap/>
            <w:vAlign w:val="bottom"/>
            <w:hideMark/>
          </w:tcPr>
          <w:p w14:paraId="51C42D6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535487.472310296</w:t>
            </w:r>
          </w:p>
        </w:tc>
        <w:tc>
          <w:tcPr>
            <w:tcW w:w="2220" w:type="dxa"/>
            <w:tcBorders>
              <w:top w:val="nil"/>
              <w:left w:val="nil"/>
              <w:bottom w:val="nil"/>
              <w:right w:val="nil"/>
            </w:tcBorders>
            <w:shd w:val="clear" w:color="auto" w:fill="auto"/>
            <w:noWrap/>
            <w:vAlign w:val="bottom"/>
            <w:hideMark/>
          </w:tcPr>
          <w:p w14:paraId="6E0FC1E7"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4457599.38670815</w:t>
            </w:r>
          </w:p>
        </w:tc>
      </w:tr>
    </w:tbl>
    <w:p w14:paraId="45F10ED4" w14:textId="77777777" w:rsidR="008F5B2A" w:rsidRDefault="008F5B2A" w:rsidP="00125931">
      <w:pPr>
        <w:spacing w:after="0" w:line="240" w:lineRule="auto"/>
        <w:ind w:firstLine="284"/>
        <w:jc w:val="both"/>
        <w:rPr>
          <w:rFonts w:ascii="Garamond" w:hAnsi="Garamond"/>
          <w:sz w:val="24"/>
        </w:rPr>
      </w:pPr>
    </w:p>
    <w:p w14:paraId="18489F07" w14:textId="77777777" w:rsidR="00212D19" w:rsidRDefault="00212D19" w:rsidP="00125931">
      <w:pPr>
        <w:spacing w:after="0" w:line="240" w:lineRule="auto"/>
        <w:ind w:firstLine="284"/>
        <w:jc w:val="both"/>
        <w:rPr>
          <w:rFonts w:ascii="Garamond" w:hAnsi="Garamond"/>
          <w:sz w:val="24"/>
        </w:rPr>
      </w:pPr>
    </w:p>
    <w:tbl>
      <w:tblPr>
        <w:tblW w:w="4420" w:type="dxa"/>
        <w:tblInd w:w="93" w:type="dxa"/>
        <w:tblLook w:val="04A0" w:firstRow="1" w:lastRow="0" w:firstColumn="1" w:lastColumn="0" w:noHBand="0" w:noVBand="1"/>
      </w:tblPr>
      <w:tblGrid>
        <w:gridCol w:w="640"/>
        <w:gridCol w:w="1860"/>
        <w:gridCol w:w="1920"/>
      </w:tblGrid>
      <w:tr w:rsidR="00212D19" w:rsidRPr="00212D19" w14:paraId="2BBA4AA6" w14:textId="77777777" w:rsidTr="00212D19">
        <w:trPr>
          <w:trHeight w:val="255"/>
        </w:trPr>
        <w:tc>
          <w:tcPr>
            <w:tcW w:w="640" w:type="dxa"/>
            <w:tcBorders>
              <w:top w:val="nil"/>
              <w:left w:val="nil"/>
              <w:bottom w:val="nil"/>
              <w:right w:val="nil"/>
            </w:tcBorders>
            <w:shd w:val="clear" w:color="auto" w:fill="auto"/>
            <w:noWrap/>
            <w:vAlign w:val="bottom"/>
            <w:hideMark/>
          </w:tcPr>
          <w:p w14:paraId="34693EB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Z1</w:t>
            </w:r>
          </w:p>
        </w:tc>
        <w:tc>
          <w:tcPr>
            <w:tcW w:w="1860" w:type="dxa"/>
            <w:tcBorders>
              <w:top w:val="nil"/>
              <w:left w:val="nil"/>
              <w:bottom w:val="nil"/>
              <w:right w:val="nil"/>
            </w:tcBorders>
            <w:shd w:val="clear" w:color="auto" w:fill="auto"/>
            <w:noWrap/>
            <w:vAlign w:val="bottom"/>
            <w:hideMark/>
          </w:tcPr>
          <w:p w14:paraId="44975003"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535492.765726996</w:t>
            </w:r>
          </w:p>
        </w:tc>
        <w:tc>
          <w:tcPr>
            <w:tcW w:w="1920" w:type="dxa"/>
            <w:tcBorders>
              <w:top w:val="nil"/>
              <w:left w:val="nil"/>
              <w:bottom w:val="nil"/>
              <w:right w:val="nil"/>
            </w:tcBorders>
            <w:shd w:val="clear" w:color="auto" w:fill="auto"/>
            <w:noWrap/>
            <w:vAlign w:val="bottom"/>
            <w:hideMark/>
          </w:tcPr>
          <w:p w14:paraId="7BE56E0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4457629.6398283</w:t>
            </w:r>
          </w:p>
        </w:tc>
      </w:tr>
      <w:tr w:rsidR="00212D19" w:rsidRPr="00212D19" w14:paraId="1A61FC6B" w14:textId="77777777" w:rsidTr="00212D19">
        <w:trPr>
          <w:trHeight w:val="255"/>
        </w:trPr>
        <w:tc>
          <w:tcPr>
            <w:tcW w:w="640" w:type="dxa"/>
            <w:tcBorders>
              <w:top w:val="nil"/>
              <w:left w:val="nil"/>
              <w:bottom w:val="nil"/>
              <w:right w:val="nil"/>
            </w:tcBorders>
            <w:shd w:val="clear" w:color="auto" w:fill="auto"/>
            <w:noWrap/>
            <w:vAlign w:val="bottom"/>
            <w:hideMark/>
          </w:tcPr>
          <w:p w14:paraId="24CE88F7"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Z2</w:t>
            </w:r>
          </w:p>
        </w:tc>
        <w:tc>
          <w:tcPr>
            <w:tcW w:w="1860" w:type="dxa"/>
            <w:tcBorders>
              <w:top w:val="nil"/>
              <w:left w:val="nil"/>
              <w:bottom w:val="nil"/>
              <w:right w:val="nil"/>
            </w:tcBorders>
            <w:shd w:val="clear" w:color="auto" w:fill="auto"/>
            <w:noWrap/>
            <w:vAlign w:val="bottom"/>
            <w:hideMark/>
          </w:tcPr>
          <w:p w14:paraId="22692A39"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535570.223330923</w:t>
            </w:r>
          </w:p>
        </w:tc>
        <w:tc>
          <w:tcPr>
            <w:tcW w:w="1920" w:type="dxa"/>
            <w:tcBorders>
              <w:top w:val="nil"/>
              <w:left w:val="nil"/>
              <w:bottom w:val="nil"/>
              <w:right w:val="nil"/>
            </w:tcBorders>
            <w:shd w:val="clear" w:color="auto" w:fill="auto"/>
            <w:noWrap/>
            <w:vAlign w:val="bottom"/>
            <w:hideMark/>
          </w:tcPr>
          <w:p w14:paraId="378592EA"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4457592.37359668</w:t>
            </w:r>
          </w:p>
        </w:tc>
      </w:tr>
      <w:tr w:rsidR="00212D19" w:rsidRPr="00212D19" w14:paraId="10E57B21" w14:textId="77777777" w:rsidTr="00212D19">
        <w:trPr>
          <w:trHeight w:val="255"/>
        </w:trPr>
        <w:tc>
          <w:tcPr>
            <w:tcW w:w="640" w:type="dxa"/>
            <w:tcBorders>
              <w:top w:val="nil"/>
              <w:left w:val="nil"/>
              <w:bottom w:val="nil"/>
              <w:right w:val="nil"/>
            </w:tcBorders>
            <w:shd w:val="clear" w:color="auto" w:fill="auto"/>
            <w:noWrap/>
            <w:vAlign w:val="bottom"/>
            <w:hideMark/>
          </w:tcPr>
          <w:p w14:paraId="3C1D4D71"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Z3</w:t>
            </w:r>
          </w:p>
        </w:tc>
        <w:tc>
          <w:tcPr>
            <w:tcW w:w="1860" w:type="dxa"/>
            <w:tcBorders>
              <w:top w:val="nil"/>
              <w:left w:val="nil"/>
              <w:bottom w:val="nil"/>
              <w:right w:val="nil"/>
            </w:tcBorders>
            <w:shd w:val="clear" w:color="auto" w:fill="auto"/>
            <w:noWrap/>
            <w:vAlign w:val="bottom"/>
            <w:hideMark/>
          </w:tcPr>
          <w:p w14:paraId="4B30C736"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535612.282689597</w:t>
            </w:r>
          </w:p>
        </w:tc>
        <w:tc>
          <w:tcPr>
            <w:tcW w:w="1920" w:type="dxa"/>
            <w:tcBorders>
              <w:top w:val="nil"/>
              <w:left w:val="nil"/>
              <w:bottom w:val="nil"/>
              <w:right w:val="nil"/>
            </w:tcBorders>
            <w:shd w:val="clear" w:color="auto" w:fill="auto"/>
            <w:noWrap/>
            <w:vAlign w:val="bottom"/>
            <w:hideMark/>
          </w:tcPr>
          <w:p w14:paraId="2957305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4457544.14517985</w:t>
            </w:r>
          </w:p>
        </w:tc>
      </w:tr>
      <w:tr w:rsidR="00212D19" w:rsidRPr="00212D19" w14:paraId="2F54827B" w14:textId="77777777" w:rsidTr="00212D19">
        <w:trPr>
          <w:trHeight w:val="255"/>
        </w:trPr>
        <w:tc>
          <w:tcPr>
            <w:tcW w:w="640" w:type="dxa"/>
            <w:tcBorders>
              <w:top w:val="nil"/>
              <w:left w:val="nil"/>
              <w:bottom w:val="nil"/>
              <w:right w:val="nil"/>
            </w:tcBorders>
            <w:shd w:val="clear" w:color="auto" w:fill="auto"/>
            <w:noWrap/>
            <w:vAlign w:val="bottom"/>
            <w:hideMark/>
          </w:tcPr>
          <w:p w14:paraId="4EB16373"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Z4</w:t>
            </w:r>
          </w:p>
        </w:tc>
        <w:tc>
          <w:tcPr>
            <w:tcW w:w="1860" w:type="dxa"/>
            <w:tcBorders>
              <w:top w:val="nil"/>
              <w:left w:val="nil"/>
              <w:bottom w:val="nil"/>
              <w:right w:val="nil"/>
            </w:tcBorders>
            <w:shd w:val="clear" w:color="auto" w:fill="auto"/>
            <w:noWrap/>
            <w:vAlign w:val="bottom"/>
            <w:hideMark/>
          </w:tcPr>
          <w:p w14:paraId="0641110A"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535654.145606501</w:t>
            </w:r>
          </w:p>
        </w:tc>
        <w:tc>
          <w:tcPr>
            <w:tcW w:w="1920" w:type="dxa"/>
            <w:tcBorders>
              <w:top w:val="nil"/>
              <w:left w:val="nil"/>
              <w:bottom w:val="nil"/>
              <w:right w:val="nil"/>
            </w:tcBorders>
            <w:shd w:val="clear" w:color="auto" w:fill="auto"/>
            <w:noWrap/>
            <w:vAlign w:val="bottom"/>
            <w:hideMark/>
          </w:tcPr>
          <w:p w14:paraId="0937737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4457487.58788381</w:t>
            </w:r>
          </w:p>
        </w:tc>
      </w:tr>
      <w:tr w:rsidR="00212D19" w:rsidRPr="00212D19" w14:paraId="764BECC9" w14:textId="77777777" w:rsidTr="00212D19">
        <w:trPr>
          <w:trHeight w:val="255"/>
        </w:trPr>
        <w:tc>
          <w:tcPr>
            <w:tcW w:w="640" w:type="dxa"/>
            <w:tcBorders>
              <w:top w:val="nil"/>
              <w:left w:val="nil"/>
              <w:bottom w:val="nil"/>
              <w:right w:val="nil"/>
            </w:tcBorders>
            <w:shd w:val="clear" w:color="auto" w:fill="auto"/>
            <w:noWrap/>
            <w:vAlign w:val="bottom"/>
            <w:hideMark/>
          </w:tcPr>
          <w:p w14:paraId="581E66A6"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Z5</w:t>
            </w:r>
          </w:p>
        </w:tc>
        <w:tc>
          <w:tcPr>
            <w:tcW w:w="1860" w:type="dxa"/>
            <w:tcBorders>
              <w:top w:val="nil"/>
              <w:left w:val="nil"/>
              <w:bottom w:val="nil"/>
              <w:right w:val="nil"/>
            </w:tcBorders>
            <w:shd w:val="clear" w:color="auto" w:fill="auto"/>
            <w:noWrap/>
            <w:vAlign w:val="bottom"/>
            <w:hideMark/>
          </w:tcPr>
          <w:p w14:paraId="2154D077"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535650.294064658</w:t>
            </w:r>
          </w:p>
        </w:tc>
        <w:tc>
          <w:tcPr>
            <w:tcW w:w="1920" w:type="dxa"/>
            <w:tcBorders>
              <w:top w:val="nil"/>
              <w:left w:val="nil"/>
              <w:bottom w:val="nil"/>
              <w:right w:val="nil"/>
            </w:tcBorders>
            <w:shd w:val="clear" w:color="auto" w:fill="auto"/>
            <w:noWrap/>
            <w:vAlign w:val="bottom"/>
            <w:hideMark/>
          </w:tcPr>
          <w:p w14:paraId="4DCE16C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4457452.40624515</w:t>
            </w:r>
          </w:p>
        </w:tc>
      </w:tr>
      <w:tr w:rsidR="00212D19" w:rsidRPr="00212D19" w14:paraId="13375EE6" w14:textId="77777777" w:rsidTr="00212D19">
        <w:trPr>
          <w:trHeight w:val="255"/>
        </w:trPr>
        <w:tc>
          <w:tcPr>
            <w:tcW w:w="640" w:type="dxa"/>
            <w:tcBorders>
              <w:top w:val="nil"/>
              <w:left w:val="nil"/>
              <w:bottom w:val="nil"/>
              <w:right w:val="nil"/>
            </w:tcBorders>
            <w:shd w:val="clear" w:color="auto" w:fill="auto"/>
            <w:noWrap/>
            <w:vAlign w:val="bottom"/>
            <w:hideMark/>
          </w:tcPr>
          <w:p w14:paraId="59C7D2D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Z6</w:t>
            </w:r>
          </w:p>
        </w:tc>
        <w:tc>
          <w:tcPr>
            <w:tcW w:w="1860" w:type="dxa"/>
            <w:tcBorders>
              <w:top w:val="nil"/>
              <w:left w:val="nil"/>
              <w:bottom w:val="nil"/>
              <w:right w:val="nil"/>
            </w:tcBorders>
            <w:shd w:val="clear" w:color="auto" w:fill="auto"/>
            <w:noWrap/>
            <w:vAlign w:val="bottom"/>
            <w:hideMark/>
          </w:tcPr>
          <w:p w14:paraId="61EFF9F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535650.95330223</w:t>
            </w:r>
          </w:p>
        </w:tc>
        <w:tc>
          <w:tcPr>
            <w:tcW w:w="1920" w:type="dxa"/>
            <w:tcBorders>
              <w:top w:val="nil"/>
              <w:left w:val="nil"/>
              <w:bottom w:val="nil"/>
              <w:right w:val="nil"/>
            </w:tcBorders>
            <w:shd w:val="clear" w:color="auto" w:fill="auto"/>
            <w:noWrap/>
            <w:vAlign w:val="bottom"/>
            <w:hideMark/>
          </w:tcPr>
          <w:p w14:paraId="4E544DB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4457412.92760836</w:t>
            </w:r>
          </w:p>
        </w:tc>
      </w:tr>
      <w:tr w:rsidR="00212D19" w:rsidRPr="00212D19" w14:paraId="45B4D8D9" w14:textId="77777777" w:rsidTr="00212D19">
        <w:trPr>
          <w:trHeight w:val="255"/>
        </w:trPr>
        <w:tc>
          <w:tcPr>
            <w:tcW w:w="640" w:type="dxa"/>
            <w:tcBorders>
              <w:top w:val="nil"/>
              <w:left w:val="nil"/>
              <w:bottom w:val="nil"/>
              <w:right w:val="nil"/>
            </w:tcBorders>
            <w:shd w:val="clear" w:color="auto" w:fill="auto"/>
            <w:noWrap/>
            <w:vAlign w:val="bottom"/>
            <w:hideMark/>
          </w:tcPr>
          <w:p w14:paraId="4E404E1C"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Z7</w:t>
            </w:r>
          </w:p>
        </w:tc>
        <w:tc>
          <w:tcPr>
            <w:tcW w:w="1860" w:type="dxa"/>
            <w:tcBorders>
              <w:top w:val="nil"/>
              <w:left w:val="nil"/>
              <w:bottom w:val="nil"/>
              <w:right w:val="nil"/>
            </w:tcBorders>
            <w:shd w:val="clear" w:color="auto" w:fill="auto"/>
            <w:noWrap/>
            <w:vAlign w:val="bottom"/>
            <w:hideMark/>
          </w:tcPr>
          <w:p w14:paraId="140156A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535630.241534428</w:t>
            </w:r>
          </w:p>
        </w:tc>
        <w:tc>
          <w:tcPr>
            <w:tcW w:w="1920" w:type="dxa"/>
            <w:tcBorders>
              <w:top w:val="nil"/>
              <w:left w:val="nil"/>
              <w:bottom w:val="nil"/>
              <w:right w:val="nil"/>
            </w:tcBorders>
            <w:shd w:val="clear" w:color="auto" w:fill="auto"/>
            <w:noWrap/>
            <w:vAlign w:val="bottom"/>
            <w:hideMark/>
          </w:tcPr>
          <w:p w14:paraId="1264F26C"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4457394.63114611</w:t>
            </w:r>
          </w:p>
        </w:tc>
      </w:tr>
      <w:tr w:rsidR="00212D19" w:rsidRPr="00212D19" w14:paraId="7AD4F30F" w14:textId="77777777" w:rsidTr="00212D19">
        <w:trPr>
          <w:trHeight w:val="255"/>
        </w:trPr>
        <w:tc>
          <w:tcPr>
            <w:tcW w:w="640" w:type="dxa"/>
            <w:tcBorders>
              <w:top w:val="nil"/>
              <w:left w:val="nil"/>
              <w:bottom w:val="nil"/>
              <w:right w:val="nil"/>
            </w:tcBorders>
            <w:shd w:val="clear" w:color="auto" w:fill="auto"/>
            <w:noWrap/>
            <w:vAlign w:val="bottom"/>
            <w:hideMark/>
          </w:tcPr>
          <w:p w14:paraId="45EFDED7"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Z8</w:t>
            </w:r>
          </w:p>
        </w:tc>
        <w:tc>
          <w:tcPr>
            <w:tcW w:w="1860" w:type="dxa"/>
            <w:tcBorders>
              <w:top w:val="nil"/>
              <w:left w:val="nil"/>
              <w:bottom w:val="nil"/>
              <w:right w:val="nil"/>
            </w:tcBorders>
            <w:shd w:val="clear" w:color="auto" w:fill="auto"/>
            <w:noWrap/>
            <w:vAlign w:val="bottom"/>
            <w:hideMark/>
          </w:tcPr>
          <w:p w14:paraId="1E44A81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535576.840736536</w:t>
            </w:r>
          </w:p>
        </w:tc>
        <w:tc>
          <w:tcPr>
            <w:tcW w:w="1920" w:type="dxa"/>
            <w:tcBorders>
              <w:top w:val="nil"/>
              <w:left w:val="nil"/>
              <w:bottom w:val="nil"/>
              <w:right w:val="nil"/>
            </w:tcBorders>
            <w:shd w:val="clear" w:color="auto" w:fill="auto"/>
            <w:noWrap/>
            <w:vAlign w:val="bottom"/>
            <w:hideMark/>
          </w:tcPr>
          <w:p w14:paraId="4AF02C01"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4457391.91153236</w:t>
            </w:r>
          </w:p>
        </w:tc>
      </w:tr>
      <w:tr w:rsidR="00212D19" w:rsidRPr="00212D19" w14:paraId="71887E21" w14:textId="77777777" w:rsidTr="00212D19">
        <w:trPr>
          <w:trHeight w:val="255"/>
        </w:trPr>
        <w:tc>
          <w:tcPr>
            <w:tcW w:w="640" w:type="dxa"/>
            <w:tcBorders>
              <w:top w:val="nil"/>
              <w:left w:val="nil"/>
              <w:bottom w:val="nil"/>
              <w:right w:val="nil"/>
            </w:tcBorders>
            <w:shd w:val="clear" w:color="auto" w:fill="auto"/>
            <w:noWrap/>
            <w:vAlign w:val="bottom"/>
            <w:hideMark/>
          </w:tcPr>
          <w:p w14:paraId="567D7857"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Z9</w:t>
            </w:r>
          </w:p>
        </w:tc>
        <w:tc>
          <w:tcPr>
            <w:tcW w:w="1860" w:type="dxa"/>
            <w:tcBorders>
              <w:top w:val="nil"/>
              <w:left w:val="nil"/>
              <w:bottom w:val="nil"/>
              <w:right w:val="nil"/>
            </w:tcBorders>
            <w:shd w:val="clear" w:color="auto" w:fill="auto"/>
            <w:noWrap/>
            <w:vAlign w:val="bottom"/>
            <w:hideMark/>
          </w:tcPr>
          <w:p w14:paraId="267E7F0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535490.913549428</w:t>
            </w:r>
          </w:p>
        </w:tc>
        <w:tc>
          <w:tcPr>
            <w:tcW w:w="1920" w:type="dxa"/>
            <w:tcBorders>
              <w:top w:val="nil"/>
              <w:left w:val="nil"/>
              <w:bottom w:val="nil"/>
              <w:right w:val="nil"/>
            </w:tcBorders>
            <w:shd w:val="clear" w:color="auto" w:fill="auto"/>
            <w:noWrap/>
            <w:vAlign w:val="bottom"/>
            <w:hideMark/>
          </w:tcPr>
          <w:p w14:paraId="5DDC8FE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4457420.50122906</w:t>
            </w:r>
          </w:p>
        </w:tc>
      </w:tr>
      <w:tr w:rsidR="00212D19" w:rsidRPr="00212D19" w14:paraId="4097BDCB" w14:textId="77777777" w:rsidTr="00212D19">
        <w:trPr>
          <w:trHeight w:val="255"/>
        </w:trPr>
        <w:tc>
          <w:tcPr>
            <w:tcW w:w="640" w:type="dxa"/>
            <w:tcBorders>
              <w:top w:val="nil"/>
              <w:left w:val="nil"/>
              <w:bottom w:val="nil"/>
              <w:right w:val="nil"/>
            </w:tcBorders>
            <w:shd w:val="clear" w:color="auto" w:fill="auto"/>
            <w:noWrap/>
            <w:vAlign w:val="bottom"/>
            <w:hideMark/>
          </w:tcPr>
          <w:p w14:paraId="1C5BBE9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Z10</w:t>
            </w:r>
          </w:p>
        </w:tc>
        <w:tc>
          <w:tcPr>
            <w:tcW w:w="1860" w:type="dxa"/>
            <w:tcBorders>
              <w:top w:val="nil"/>
              <w:left w:val="nil"/>
              <w:bottom w:val="nil"/>
              <w:right w:val="nil"/>
            </w:tcBorders>
            <w:shd w:val="clear" w:color="auto" w:fill="auto"/>
            <w:noWrap/>
            <w:vAlign w:val="bottom"/>
            <w:hideMark/>
          </w:tcPr>
          <w:p w14:paraId="06AA567C"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535426.031105573</w:t>
            </w:r>
          </w:p>
        </w:tc>
        <w:tc>
          <w:tcPr>
            <w:tcW w:w="1920" w:type="dxa"/>
            <w:tcBorders>
              <w:top w:val="nil"/>
              <w:left w:val="nil"/>
              <w:bottom w:val="nil"/>
              <w:right w:val="nil"/>
            </w:tcBorders>
            <w:shd w:val="clear" w:color="auto" w:fill="auto"/>
            <w:noWrap/>
            <w:vAlign w:val="bottom"/>
            <w:hideMark/>
          </w:tcPr>
          <w:p w14:paraId="4FC4810D"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4457447.03153053</w:t>
            </w:r>
          </w:p>
        </w:tc>
      </w:tr>
      <w:tr w:rsidR="00212D19" w:rsidRPr="00212D19" w14:paraId="5901D2E3" w14:textId="77777777" w:rsidTr="00212D19">
        <w:trPr>
          <w:trHeight w:val="255"/>
        </w:trPr>
        <w:tc>
          <w:tcPr>
            <w:tcW w:w="640" w:type="dxa"/>
            <w:tcBorders>
              <w:top w:val="nil"/>
              <w:left w:val="nil"/>
              <w:bottom w:val="nil"/>
              <w:right w:val="nil"/>
            </w:tcBorders>
            <w:shd w:val="clear" w:color="auto" w:fill="auto"/>
            <w:noWrap/>
            <w:vAlign w:val="bottom"/>
            <w:hideMark/>
          </w:tcPr>
          <w:p w14:paraId="1858E81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Z11</w:t>
            </w:r>
          </w:p>
        </w:tc>
        <w:tc>
          <w:tcPr>
            <w:tcW w:w="1860" w:type="dxa"/>
            <w:tcBorders>
              <w:top w:val="nil"/>
              <w:left w:val="nil"/>
              <w:bottom w:val="nil"/>
              <w:right w:val="nil"/>
            </w:tcBorders>
            <w:shd w:val="clear" w:color="auto" w:fill="auto"/>
            <w:noWrap/>
            <w:vAlign w:val="bottom"/>
            <w:hideMark/>
          </w:tcPr>
          <w:p w14:paraId="25CBAD6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535393.531451686</w:t>
            </w:r>
          </w:p>
        </w:tc>
        <w:tc>
          <w:tcPr>
            <w:tcW w:w="1920" w:type="dxa"/>
            <w:tcBorders>
              <w:top w:val="nil"/>
              <w:left w:val="nil"/>
              <w:bottom w:val="nil"/>
              <w:right w:val="nil"/>
            </w:tcBorders>
            <w:shd w:val="clear" w:color="auto" w:fill="auto"/>
            <w:noWrap/>
            <w:vAlign w:val="bottom"/>
            <w:hideMark/>
          </w:tcPr>
          <w:p w14:paraId="11C8A22A"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4457472.78888382</w:t>
            </w:r>
          </w:p>
        </w:tc>
      </w:tr>
      <w:tr w:rsidR="00212D19" w:rsidRPr="00212D19" w14:paraId="19884567" w14:textId="77777777" w:rsidTr="00212D19">
        <w:trPr>
          <w:trHeight w:val="255"/>
        </w:trPr>
        <w:tc>
          <w:tcPr>
            <w:tcW w:w="640" w:type="dxa"/>
            <w:tcBorders>
              <w:top w:val="nil"/>
              <w:left w:val="nil"/>
              <w:bottom w:val="nil"/>
              <w:right w:val="nil"/>
            </w:tcBorders>
            <w:shd w:val="clear" w:color="auto" w:fill="auto"/>
            <w:noWrap/>
            <w:vAlign w:val="bottom"/>
            <w:hideMark/>
          </w:tcPr>
          <w:p w14:paraId="3604400F"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Z12</w:t>
            </w:r>
          </w:p>
        </w:tc>
        <w:tc>
          <w:tcPr>
            <w:tcW w:w="1860" w:type="dxa"/>
            <w:tcBorders>
              <w:top w:val="nil"/>
              <w:left w:val="nil"/>
              <w:bottom w:val="nil"/>
              <w:right w:val="nil"/>
            </w:tcBorders>
            <w:shd w:val="clear" w:color="auto" w:fill="auto"/>
            <w:noWrap/>
            <w:vAlign w:val="bottom"/>
            <w:hideMark/>
          </w:tcPr>
          <w:p w14:paraId="5C1A4103"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535359.155797134</w:t>
            </w:r>
          </w:p>
        </w:tc>
        <w:tc>
          <w:tcPr>
            <w:tcW w:w="1920" w:type="dxa"/>
            <w:tcBorders>
              <w:top w:val="nil"/>
              <w:left w:val="nil"/>
              <w:bottom w:val="nil"/>
              <w:right w:val="nil"/>
            </w:tcBorders>
            <w:shd w:val="clear" w:color="auto" w:fill="auto"/>
            <w:noWrap/>
            <w:vAlign w:val="bottom"/>
            <w:hideMark/>
          </w:tcPr>
          <w:p w14:paraId="763CE77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4457495.45307198</w:t>
            </w:r>
          </w:p>
        </w:tc>
      </w:tr>
      <w:tr w:rsidR="00212D19" w:rsidRPr="00212D19" w14:paraId="2B6CFEA2" w14:textId="77777777" w:rsidTr="00212D19">
        <w:trPr>
          <w:trHeight w:val="255"/>
        </w:trPr>
        <w:tc>
          <w:tcPr>
            <w:tcW w:w="640" w:type="dxa"/>
            <w:tcBorders>
              <w:top w:val="nil"/>
              <w:left w:val="nil"/>
              <w:bottom w:val="nil"/>
              <w:right w:val="nil"/>
            </w:tcBorders>
            <w:shd w:val="clear" w:color="auto" w:fill="auto"/>
            <w:noWrap/>
            <w:vAlign w:val="bottom"/>
            <w:hideMark/>
          </w:tcPr>
          <w:p w14:paraId="1BDB486D"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Z13</w:t>
            </w:r>
          </w:p>
        </w:tc>
        <w:tc>
          <w:tcPr>
            <w:tcW w:w="1860" w:type="dxa"/>
            <w:tcBorders>
              <w:top w:val="nil"/>
              <w:left w:val="nil"/>
              <w:bottom w:val="nil"/>
              <w:right w:val="nil"/>
            </w:tcBorders>
            <w:shd w:val="clear" w:color="auto" w:fill="auto"/>
            <w:noWrap/>
            <w:vAlign w:val="bottom"/>
            <w:hideMark/>
          </w:tcPr>
          <w:p w14:paraId="4676466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535327.923469417</w:t>
            </w:r>
          </w:p>
        </w:tc>
        <w:tc>
          <w:tcPr>
            <w:tcW w:w="1920" w:type="dxa"/>
            <w:tcBorders>
              <w:top w:val="nil"/>
              <w:left w:val="nil"/>
              <w:bottom w:val="nil"/>
              <w:right w:val="nil"/>
            </w:tcBorders>
            <w:shd w:val="clear" w:color="auto" w:fill="auto"/>
            <w:noWrap/>
            <w:vAlign w:val="bottom"/>
            <w:hideMark/>
          </w:tcPr>
          <w:p w14:paraId="4278B2B7"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4457503.01803134</w:t>
            </w:r>
          </w:p>
        </w:tc>
      </w:tr>
      <w:tr w:rsidR="00212D19" w:rsidRPr="00212D19" w14:paraId="3E362F1F" w14:textId="77777777" w:rsidTr="00212D19">
        <w:trPr>
          <w:trHeight w:val="255"/>
        </w:trPr>
        <w:tc>
          <w:tcPr>
            <w:tcW w:w="640" w:type="dxa"/>
            <w:tcBorders>
              <w:top w:val="nil"/>
              <w:left w:val="nil"/>
              <w:bottom w:val="nil"/>
              <w:right w:val="nil"/>
            </w:tcBorders>
            <w:shd w:val="clear" w:color="auto" w:fill="auto"/>
            <w:noWrap/>
            <w:vAlign w:val="bottom"/>
            <w:hideMark/>
          </w:tcPr>
          <w:p w14:paraId="0F7152C3"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Z14</w:t>
            </w:r>
          </w:p>
        </w:tc>
        <w:tc>
          <w:tcPr>
            <w:tcW w:w="1860" w:type="dxa"/>
            <w:tcBorders>
              <w:top w:val="nil"/>
              <w:left w:val="nil"/>
              <w:bottom w:val="nil"/>
              <w:right w:val="nil"/>
            </w:tcBorders>
            <w:shd w:val="clear" w:color="auto" w:fill="auto"/>
            <w:noWrap/>
            <w:vAlign w:val="bottom"/>
            <w:hideMark/>
          </w:tcPr>
          <w:p w14:paraId="0980C86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535304.393535451</w:t>
            </w:r>
          </w:p>
        </w:tc>
        <w:tc>
          <w:tcPr>
            <w:tcW w:w="1920" w:type="dxa"/>
            <w:tcBorders>
              <w:top w:val="nil"/>
              <w:left w:val="nil"/>
              <w:bottom w:val="nil"/>
              <w:right w:val="nil"/>
            </w:tcBorders>
            <w:shd w:val="clear" w:color="auto" w:fill="auto"/>
            <w:noWrap/>
            <w:vAlign w:val="bottom"/>
            <w:hideMark/>
          </w:tcPr>
          <w:p w14:paraId="2C93D3E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4457531.28538162</w:t>
            </w:r>
          </w:p>
        </w:tc>
      </w:tr>
      <w:tr w:rsidR="00212D19" w:rsidRPr="00212D19" w14:paraId="50248B74" w14:textId="77777777" w:rsidTr="00212D19">
        <w:trPr>
          <w:trHeight w:val="255"/>
        </w:trPr>
        <w:tc>
          <w:tcPr>
            <w:tcW w:w="640" w:type="dxa"/>
            <w:tcBorders>
              <w:top w:val="nil"/>
              <w:left w:val="nil"/>
              <w:bottom w:val="nil"/>
              <w:right w:val="nil"/>
            </w:tcBorders>
            <w:shd w:val="clear" w:color="auto" w:fill="auto"/>
            <w:noWrap/>
            <w:vAlign w:val="bottom"/>
            <w:hideMark/>
          </w:tcPr>
          <w:p w14:paraId="3FBA940D"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Z15</w:t>
            </w:r>
          </w:p>
        </w:tc>
        <w:tc>
          <w:tcPr>
            <w:tcW w:w="1860" w:type="dxa"/>
            <w:tcBorders>
              <w:top w:val="nil"/>
              <w:left w:val="nil"/>
              <w:bottom w:val="nil"/>
              <w:right w:val="nil"/>
            </w:tcBorders>
            <w:shd w:val="clear" w:color="auto" w:fill="auto"/>
            <w:noWrap/>
            <w:vAlign w:val="bottom"/>
            <w:hideMark/>
          </w:tcPr>
          <w:p w14:paraId="73CE7DC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535310.121423745</w:t>
            </w:r>
          </w:p>
        </w:tc>
        <w:tc>
          <w:tcPr>
            <w:tcW w:w="1920" w:type="dxa"/>
            <w:tcBorders>
              <w:top w:val="nil"/>
              <w:left w:val="nil"/>
              <w:bottom w:val="nil"/>
              <w:right w:val="nil"/>
            </w:tcBorders>
            <w:shd w:val="clear" w:color="auto" w:fill="auto"/>
            <w:noWrap/>
            <w:vAlign w:val="bottom"/>
            <w:hideMark/>
          </w:tcPr>
          <w:p w14:paraId="53BB367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4457569.86857441</w:t>
            </w:r>
          </w:p>
        </w:tc>
      </w:tr>
      <w:tr w:rsidR="00212D19" w:rsidRPr="00212D19" w14:paraId="048C96EA" w14:textId="77777777" w:rsidTr="00212D19">
        <w:trPr>
          <w:trHeight w:val="255"/>
        </w:trPr>
        <w:tc>
          <w:tcPr>
            <w:tcW w:w="640" w:type="dxa"/>
            <w:tcBorders>
              <w:top w:val="nil"/>
              <w:left w:val="nil"/>
              <w:bottom w:val="nil"/>
              <w:right w:val="nil"/>
            </w:tcBorders>
            <w:shd w:val="clear" w:color="auto" w:fill="auto"/>
            <w:noWrap/>
            <w:vAlign w:val="bottom"/>
            <w:hideMark/>
          </w:tcPr>
          <w:p w14:paraId="2506CB64"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Z16</w:t>
            </w:r>
          </w:p>
        </w:tc>
        <w:tc>
          <w:tcPr>
            <w:tcW w:w="1860" w:type="dxa"/>
            <w:tcBorders>
              <w:top w:val="nil"/>
              <w:left w:val="nil"/>
              <w:bottom w:val="nil"/>
              <w:right w:val="nil"/>
            </w:tcBorders>
            <w:shd w:val="clear" w:color="auto" w:fill="auto"/>
            <w:noWrap/>
            <w:vAlign w:val="bottom"/>
            <w:hideMark/>
          </w:tcPr>
          <w:p w14:paraId="10B58489"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535304.279113885</w:t>
            </w:r>
          </w:p>
        </w:tc>
        <w:tc>
          <w:tcPr>
            <w:tcW w:w="1920" w:type="dxa"/>
            <w:tcBorders>
              <w:top w:val="nil"/>
              <w:left w:val="nil"/>
              <w:bottom w:val="nil"/>
              <w:right w:val="nil"/>
            </w:tcBorders>
            <w:shd w:val="clear" w:color="auto" w:fill="auto"/>
            <w:noWrap/>
            <w:vAlign w:val="bottom"/>
            <w:hideMark/>
          </w:tcPr>
          <w:p w14:paraId="1EAA4101"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4457606.238462</w:t>
            </w:r>
          </w:p>
        </w:tc>
      </w:tr>
      <w:tr w:rsidR="00212D19" w:rsidRPr="00212D19" w14:paraId="5E19E727" w14:textId="77777777" w:rsidTr="00212D19">
        <w:trPr>
          <w:trHeight w:val="255"/>
        </w:trPr>
        <w:tc>
          <w:tcPr>
            <w:tcW w:w="640" w:type="dxa"/>
            <w:tcBorders>
              <w:top w:val="nil"/>
              <w:left w:val="nil"/>
              <w:bottom w:val="nil"/>
              <w:right w:val="nil"/>
            </w:tcBorders>
            <w:shd w:val="clear" w:color="auto" w:fill="auto"/>
            <w:noWrap/>
            <w:vAlign w:val="bottom"/>
            <w:hideMark/>
          </w:tcPr>
          <w:p w14:paraId="2086306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Z17</w:t>
            </w:r>
          </w:p>
        </w:tc>
        <w:tc>
          <w:tcPr>
            <w:tcW w:w="1860" w:type="dxa"/>
            <w:tcBorders>
              <w:top w:val="nil"/>
              <w:left w:val="nil"/>
              <w:bottom w:val="nil"/>
              <w:right w:val="nil"/>
            </w:tcBorders>
            <w:shd w:val="clear" w:color="auto" w:fill="auto"/>
            <w:noWrap/>
            <w:vAlign w:val="bottom"/>
            <w:hideMark/>
          </w:tcPr>
          <w:p w14:paraId="56FC9FE3"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535315.233640678</w:t>
            </w:r>
          </w:p>
        </w:tc>
        <w:tc>
          <w:tcPr>
            <w:tcW w:w="1920" w:type="dxa"/>
            <w:tcBorders>
              <w:top w:val="nil"/>
              <w:left w:val="nil"/>
              <w:bottom w:val="nil"/>
              <w:right w:val="nil"/>
            </w:tcBorders>
            <w:shd w:val="clear" w:color="auto" w:fill="auto"/>
            <w:noWrap/>
            <w:vAlign w:val="bottom"/>
            <w:hideMark/>
          </w:tcPr>
          <w:p w14:paraId="348E9C96"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4457638.98555385</w:t>
            </w:r>
          </w:p>
        </w:tc>
      </w:tr>
      <w:tr w:rsidR="00212D19" w:rsidRPr="00212D19" w14:paraId="63B61B1C" w14:textId="77777777" w:rsidTr="00212D19">
        <w:trPr>
          <w:trHeight w:val="255"/>
        </w:trPr>
        <w:tc>
          <w:tcPr>
            <w:tcW w:w="640" w:type="dxa"/>
            <w:tcBorders>
              <w:top w:val="nil"/>
              <w:left w:val="nil"/>
              <w:bottom w:val="nil"/>
              <w:right w:val="nil"/>
            </w:tcBorders>
            <w:shd w:val="clear" w:color="auto" w:fill="auto"/>
            <w:noWrap/>
            <w:vAlign w:val="bottom"/>
            <w:hideMark/>
          </w:tcPr>
          <w:p w14:paraId="22C5BA02"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Z18</w:t>
            </w:r>
          </w:p>
        </w:tc>
        <w:tc>
          <w:tcPr>
            <w:tcW w:w="1860" w:type="dxa"/>
            <w:tcBorders>
              <w:top w:val="nil"/>
              <w:left w:val="nil"/>
              <w:bottom w:val="nil"/>
              <w:right w:val="nil"/>
            </w:tcBorders>
            <w:shd w:val="clear" w:color="auto" w:fill="auto"/>
            <w:noWrap/>
            <w:vAlign w:val="bottom"/>
            <w:hideMark/>
          </w:tcPr>
          <w:p w14:paraId="167D955A"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535378.081638759</w:t>
            </w:r>
          </w:p>
        </w:tc>
        <w:tc>
          <w:tcPr>
            <w:tcW w:w="1920" w:type="dxa"/>
            <w:tcBorders>
              <w:top w:val="nil"/>
              <w:left w:val="nil"/>
              <w:bottom w:val="nil"/>
              <w:right w:val="nil"/>
            </w:tcBorders>
            <w:shd w:val="clear" w:color="auto" w:fill="auto"/>
            <w:noWrap/>
            <w:vAlign w:val="bottom"/>
            <w:hideMark/>
          </w:tcPr>
          <w:p w14:paraId="6AD76121"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4457642.67298682</w:t>
            </w:r>
          </w:p>
        </w:tc>
      </w:tr>
      <w:tr w:rsidR="00212D19" w:rsidRPr="00212D19" w14:paraId="7E986603" w14:textId="77777777" w:rsidTr="00212D19">
        <w:trPr>
          <w:trHeight w:val="255"/>
        </w:trPr>
        <w:tc>
          <w:tcPr>
            <w:tcW w:w="640" w:type="dxa"/>
            <w:tcBorders>
              <w:top w:val="nil"/>
              <w:left w:val="nil"/>
              <w:bottom w:val="nil"/>
              <w:right w:val="nil"/>
            </w:tcBorders>
            <w:shd w:val="clear" w:color="auto" w:fill="auto"/>
            <w:noWrap/>
            <w:vAlign w:val="bottom"/>
            <w:hideMark/>
          </w:tcPr>
          <w:p w14:paraId="5C3ADF35"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Z19</w:t>
            </w:r>
          </w:p>
        </w:tc>
        <w:tc>
          <w:tcPr>
            <w:tcW w:w="1860" w:type="dxa"/>
            <w:tcBorders>
              <w:top w:val="nil"/>
              <w:left w:val="nil"/>
              <w:bottom w:val="nil"/>
              <w:right w:val="nil"/>
            </w:tcBorders>
            <w:shd w:val="clear" w:color="auto" w:fill="auto"/>
            <w:noWrap/>
            <w:vAlign w:val="bottom"/>
            <w:hideMark/>
          </w:tcPr>
          <w:p w14:paraId="5991CC85"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535418.923350383</w:t>
            </w:r>
          </w:p>
        </w:tc>
        <w:tc>
          <w:tcPr>
            <w:tcW w:w="1920" w:type="dxa"/>
            <w:tcBorders>
              <w:top w:val="nil"/>
              <w:left w:val="nil"/>
              <w:bottom w:val="nil"/>
              <w:right w:val="nil"/>
            </w:tcBorders>
            <w:shd w:val="clear" w:color="auto" w:fill="auto"/>
            <w:noWrap/>
            <w:vAlign w:val="bottom"/>
            <w:hideMark/>
          </w:tcPr>
          <w:p w14:paraId="495FE31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4457652.11816442</w:t>
            </w:r>
          </w:p>
        </w:tc>
      </w:tr>
      <w:tr w:rsidR="00212D19" w:rsidRPr="00212D19" w14:paraId="6A8E4F62" w14:textId="77777777" w:rsidTr="00212D19">
        <w:trPr>
          <w:trHeight w:val="255"/>
        </w:trPr>
        <w:tc>
          <w:tcPr>
            <w:tcW w:w="640" w:type="dxa"/>
            <w:tcBorders>
              <w:top w:val="nil"/>
              <w:left w:val="nil"/>
              <w:bottom w:val="nil"/>
              <w:right w:val="nil"/>
            </w:tcBorders>
            <w:shd w:val="clear" w:color="auto" w:fill="auto"/>
            <w:noWrap/>
            <w:vAlign w:val="bottom"/>
            <w:hideMark/>
          </w:tcPr>
          <w:p w14:paraId="378E6DD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Z20</w:t>
            </w:r>
          </w:p>
        </w:tc>
        <w:tc>
          <w:tcPr>
            <w:tcW w:w="1860" w:type="dxa"/>
            <w:tcBorders>
              <w:top w:val="nil"/>
              <w:left w:val="nil"/>
              <w:bottom w:val="nil"/>
              <w:right w:val="nil"/>
            </w:tcBorders>
            <w:shd w:val="clear" w:color="auto" w:fill="auto"/>
            <w:noWrap/>
            <w:vAlign w:val="bottom"/>
            <w:hideMark/>
          </w:tcPr>
          <w:p w14:paraId="6E178D9D"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535440.667168177</w:t>
            </w:r>
          </w:p>
        </w:tc>
        <w:tc>
          <w:tcPr>
            <w:tcW w:w="1920" w:type="dxa"/>
            <w:tcBorders>
              <w:top w:val="nil"/>
              <w:left w:val="nil"/>
              <w:bottom w:val="nil"/>
              <w:right w:val="nil"/>
            </w:tcBorders>
            <w:shd w:val="clear" w:color="auto" w:fill="auto"/>
            <w:noWrap/>
            <w:vAlign w:val="bottom"/>
            <w:hideMark/>
          </w:tcPr>
          <w:p w14:paraId="18A0C41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4457651.91183251</w:t>
            </w:r>
          </w:p>
        </w:tc>
      </w:tr>
      <w:tr w:rsidR="00212D19" w:rsidRPr="00212D19" w14:paraId="57749C50" w14:textId="77777777" w:rsidTr="00212D19">
        <w:trPr>
          <w:trHeight w:val="255"/>
        </w:trPr>
        <w:tc>
          <w:tcPr>
            <w:tcW w:w="640" w:type="dxa"/>
            <w:tcBorders>
              <w:top w:val="nil"/>
              <w:left w:val="nil"/>
              <w:bottom w:val="nil"/>
              <w:right w:val="nil"/>
            </w:tcBorders>
            <w:shd w:val="clear" w:color="auto" w:fill="auto"/>
            <w:noWrap/>
            <w:vAlign w:val="bottom"/>
            <w:hideMark/>
          </w:tcPr>
          <w:p w14:paraId="70885DEE"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Z21</w:t>
            </w:r>
          </w:p>
        </w:tc>
        <w:tc>
          <w:tcPr>
            <w:tcW w:w="1860" w:type="dxa"/>
            <w:tcBorders>
              <w:top w:val="nil"/>
              <w:left w:val="nil"/>
              <w:bottom w:val="nil"/>
              <w:right w:val="nil"/>
            </w:tcBorders>
            <w:shd w:val="clear" w:color="auto" w:fill="auto"/>
            <w:noWrap/>
            <w:vAlign w:val="bottom"/>
            <w:hideMark/>
          </w:tcPr>
          <w:p w14:paraId="3A8872EA"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535460.469601887</w:t>
            </w:r>
          </w:p>
        </w:tc>
        <w:tc>
          <w:tcPr>
            <w:tcW w:w="1920" w:type="dxa"/>
            <w:tcBorders>
              <w:top w:val="nil"/>
              <w:left w:val="nil"/>
              <w:bottom w:val="nil"/>
              <w:right w:val="nil"/>
            </w:tcBorders>
            <w:shd w:val="clear" w:color="auto" w:fill="auto"/>
            <w:noWrap/>
            <w:vAlign w:val="bottom"/>
            <w:hideMark/>
          </w:tcPr>
          <w:p w14:paraId="1FAD53CD"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4457662.49222973</w:t>
            </w:r>
          </w:p>
        </w:tc>
      </w:tr>
      <w:tr w:rsidR="00212D19" w:rsidRPr="00212D19" w14:paraId="4A093535" w14:textId="77777777" w:rsidTr="00212D19">
        <w:trPr>
          <w:trHeight w:val="255"/>
        </w:trPr>
        <w:tc>
          <w:tcPr>
            <w:tcW w:w="640" w:type="dxa"/>
            <w:tcBorders>
              <w:top w:val="nil"/>
              <w:left w:val="nil"/>
              <w:bottom w:val="nil"/>
              <w:right w:val="nil"/>
            </w:tcBorders>
            <w:shd w:val="clear" w:color="auto" w:fill="auto"/>
            <w:noWrap/>
            <w:vAlign w:val="bottom"/>
            <w:hideMark/>
          </w:tcPr>
          <w:p w14:paraId="2F9D95C9"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Z22</w:t>
            </w:r>
          </w:p>
        </w:tc>
        <w:tc>
          <w:tcPr>
            <w:tcW w:w="1860" w:type="dxa"/>
            <w:tcBorders>
              <w:top w:val="nil"/>
              <w:left w:val="nil"/>
              <w:bottom w:val="nil"/>
              <w:right w:val="nil"/>
            </w:tcBorders>
            <w:shd w:val="clear" w:color="auto" w:fill="auto"/>
            <w:noWrap/>
            <w:vAlign w:val="bottom"/>
            <w:hideMark/>
          </w:tcPr>
          <w:p w14:paraId="4B880900"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535494.04584529</w:t>
            </w:r>
          </w:p>
        </w:tc>
        <w:tc>
          <w:tcPr>
            <w:tcW w:w="1920" w:type="dxa"/>
            <w:tcBorders>
              <w:top w:val="nil"/>
              <w:left w:val="nil"/>
              <w:bottom w:val="nil"/>
              <w:right w:val="nil"/>
            </w:tcBorders>
            <w:shd w:val="clear" w:color="auto" w:fill="auto"/>
            <w:noWrap/>
            <w:vAlign w:val="bottom"/>
            <w:hideMark/>
          </w:tcPr>
          <w:p w14:paraId="3CCE1BB1"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4457658.94871675</w:t>
            </w:r>
          </w:p>
        </w:tc>
      </w:tr>
      <w:tr w:rsidR="00212D19" w:rsidRPr="00212D19" w14:paraId="332F6BFB" w14:textId="77777777" w:rsidTr="00212D19">
        <w:trPr>
          <w:trHeight w:val="255"/>
        </w:trPr>
        <w:tc>
          <w:tcPr>
            <w:tcW w:w="640" w:type="dxa"/>
            <w:tcBorders>
              <w:top w:val="nil"/>
              <w:left w:val="nil"/>
              <w:bottom w:val="nil"/>
              <w:right w:val="nil"/>
            </w:tcBorders>
            <w:shd w:val="clear" w:color="auto" w:fill="auto"/>
            <w:noWrap/>
            <w:vAlign w:val="bottom"/>
            <w:hideMark/>
          </w:tcPr>
          <w:p w14:paraId="5E4B1F46"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Z23</w:t>
            </w:r>
          </w:p>
        </w:tc>
        <w:tc>
          <w:tcPr>
            <w:tcW w:w="1860" w:type="dxa"/>
            <w:tcBorders>
              <w:top w:val="nil"/>
              <w:left w:val="nil"/>
              <w:bottom w:val="nil"/>
              <w:right w:val="nil"/>
            </w:tcBorders>
            <w:shd w:val="clear" w:color="auto" w:fill="auto"/>
            <w:noWrap/>
            <w:vAlign w:val="bottom"/>
            <w:hideMark/>
          </w:tcPr>
          <w:p w14:paraId="02FBA54A"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535501.918760811</w:t>
            </w:r>
          </w:p>
        </w:tc>
        <w:tc>
          <w:tcPr>
            <w:tcW w:w="1920" w:type="dxa"/>
            <w:tcBorders>
              <w:top w:val="nil"/>
              <w:left w:val="nil"/>
              <w:bottom w:val="nil"/>
              <w:right w:val="nil"/>
            </w:tcBorders>
            <w:shd w:val="clear" w:color="auto" w:fill="auto"/>
            <w:noWrap/>
            <w:vAlign w:val="bottom"/>
            <w:hideMark/>
          </w:tcPr>
          <w:p w14:paraId="0B00A7BB" w14:textId="77777777" w:rsidR="00212D19" w:rsidRPr="00212D19" w:rsidRDefault="00212D19" w:rsidP="00212D19">
            <w:pPr>
              <w:spacing w:after="0" w:line="240" w:lineRule="auto"/>
              <w:rPr>
                <w:rFonts w:ascii="Arial" w:eastAsia="Times New Roman" w:hAnsi="Arial" w:cs="Arial"/>
                <w:sz w:val="16"/>
                <w:szCs w:val="16"/>
                <w:lang w:val="sq-AL" w:eastAsia="sq-AL"/>
              </w:rPr>
            </w:pPr>
            <w:r w:rsidRPr="00212D19">
              <w:rPr>
                <w:rFonts w:ascii="Arial" w:eastAsia="Times New Roman" w:hAnsi="Arial" w:cs="Arial"/>
                <w:sz w:val="16"/>
                <w:szCs w:val="16"/>
                <w:lang w:val="sq-AL" w:eastAsia="sq-AL"/>
              </w:rPr>
              <w:t>4457643.2547505</w:t>
            </w:r>
          </w:p>
        </w:tc>
      </w:tr>
    </w:tbl>
    <w:p w14:paraId="35099142" w14:textId="77777777" w:rsidR="00212D19" w:rsidRPr="00125931" w:rsidRDefault="00212D19" w:rsidP="00125931">
      <w:pPr>
        <w:spacing w:after="0" w:line="240" w:lineRule="auto"/>
        <w:ind w:firstLine="284"/>
        <w:jc w:val="both"/>
        <w:rPr>
          <w:rFonts w:ascii="Garamond" w:hAnsi="Garamond"/>
          <w:sz w:val="24"/>
        </w:rPr>
      </w:pPr>
    </w:p>
    <w:sectPr w:rsidR="00212D19" w:rsidRPr="00125931" w:rsidSect="00D04CA9">
      <w:headerReference w:type="default" r:id="rId15"/>
      <w:footerReference w:type="default" r:id="rId16"/>
      <w:pgSz w:w="11907" w:h="16839"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8EDC5" w14:textId="77777777" w:rsidR="009B3178" w:rsidRDefault="009B3178" w:rsidP="0089541B">
      <w:pPr>
        <w:spacing w:after="0" w:line="240" w:lineRule="auto"/>
      </w:pPr>
      <w:r>
        <w:separator/>
      </w:r>
    </w:p>
  </w:endnote>
  <w:endnote w:type="continuationSeparator" w:id="0">
    <w:p w14:paraId="704ED6E0" w14:textId="77777777" w:rsidR="009B3178" w:rsidRDefault="009B3178" w:rsidP="0089541B">
      <w:pPr>
        <w:spacing w:after="0" w:line="240" w:lineRule="auto"/>
      </w:pPr>
      <w:r>
        <w:continuationSeparator/>
      </w:r>
    </w:p>
  </w:endnote>
  <w:endnote w:type="continuationNotice" w:id="1">
    <w:p w14:paraId="6E38CC60" w14:textId="77777777" w:rsidR="009B3178" w:rsidRDefault="009B31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4672887"/>
      <w:docPartObj>
        <w:docPartGallery w:val="Page Numbers (Bottom of Page)"/>
        <w:docPartUnique/>
      </w:docPartObj>
    </w:sdtPr>
    <w:sdtEndPr>
      <w:rPr>
        <w:noProof/>
      </w:rPr>
    </w:sdtEndPr>
    <w:sdtContent>
      <w:p w14:paraId="48A81F4E" w14:textId="77777777" w:rsidR="00D85A17" w:rsidRDefault="00D85A17">
        <w:pPr>
          <w:pStyle w:val="Footer"/>
          <w:jc w:val="right"/>
        </w:pPr>
        <w:r>
          <w:fldChar w:fldCharType="begin"/>
        </w:r>
        <w:r>
          <w:instrText xml:space="preserve"> PAGE   \* MERGEFORMAT </w:instrText>
        </w:r>
        <w:r>
          <w:fldChar w:fldCharType="separate"/>
        </w:r>
        <w:r w:rsidR="00EC63E0">
          <w:rPr>
            <w:noProof/>
          </w:rPr>
          <w:t>2</w:t>
        </w:r>
        <w:r>
          <w:rPr>
            <w:noProof/>
          </w:rPr>
          <w:fldChar w:fldCharType="end"/>
        </w:r>
      </w:p>
    </w:sdtContent>
  </w:sdt>
  <w:p w14:paraId="48A81F4F" w14:textId="77777777" w:rsidR="00D85A17" w:rsidRDefault="00D85A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D6392E" w14:textId="77777777" w:rsidR="009B3178" w:rsidRDefault="009B3178" w:rsidP="0089541B">
      <w:pPr>
        <w:spacing w:after="0" w:line="240" w:lineRule="auto"/>
      </w:pPr>
      <w:r>
        <w:separator/>
      </w:r>
    </w:p>
  </w:footnote>
  <w:footnote w:type="continuationSeparator" w:id="0">
    <w:p w14:paraId="3C10E89F" w14:textId="77777777" w:rsidR="009B3178" w:rsidRDefault="009B3178" w:rsidP="0089541B">
      <w:pPr>
        <w:spacing w:after="0" w:line="240" w:lineRule="auto"/>
      </w:pPr>
      <w:r>
        <w:continuationSeparator/>
      </w:r>
    </w:p>
  </w:footnote>
  <w:footnote w:type="continuationNotice" w:id="1">
    <w:p w14:paraId="260C029C" w14:textId="77777777" w:rsidR="009B3178" w:rsidRDefault="009B31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BBCED" w14:textId="77777777" w:rsidR="00D85A17" w:rsidRDefault="00D85A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23668"/>
    <w:multiLevelType w:val="hybridMultilevel"/>
    <w:tmpl w:val="819EF9FA"/>
    <w:lvl w:ilvl="0" w:tplc="80246F3E">
      <w:start w:val="3"/>
      <w:numFmt w:val="decimal"/>
      <w:lvlText w:val="%1."/>
      <w:lvlJc w:val="left"/>
      <w:pPr>
        <w:ind w:left="720" w:hanging="360"/>
      </w:pPr>
      <w:rPr>
        <w:rFonts w:ascii="Times New Roman" w:hAnsi="Times New Roman" w:cs="Times New Roman"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5E2714"/>
    <w:multiLevelType w:val="hybridMultilevel"/>
    <w:tmpl w:val="628CF790"/>
    <w:lvl w:ilvl="0" w:tplc="B5F02BBE">
      <w:numFmt w:val="bullet"/>
      <w:lvlText w:val="-"/>
      <w:lvlJc w:val="left"/>
      <w:pPr>
        <w:ind w:left="720" w:hanging="360"/>
      </w:pPr>
      <w:rPr>
        <w:rFonts w:ascii="Times New Roman" w:eastAsia="Times New Roman" w:hAnsi="Times New Roman" w:cs="Times New Roman" w:hint="default"/>
      </w:rPr>
    </w:lvl>
    <w:lvl w:ilvl="1" w:tplc="B5F02BBE">
      <w:numFmt w:val="bullet"/>
      <w:lvlText w:val="-"/>
      <w:lvlJc w:val="left"/>
      <w:pPr>
        <w:ind w:left="1440" w:hanging="360"/>
      </w:pPr>
      <w:rPr>
        <w:rFonts w:ascii="Times New Roman" w:eastAsia="Times New Roman" w:hAnsi="Times New Roman" w:cs="Times New Roman"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31EB4308"/>
    <w:multiLevelType w:val="hybridMultilevel"/>
    <w:tmpl w:val="AC1A16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0757B38"/>
    <w:multiLevelType w:val="hybridMultilevel"/>
    <w:tmpl w:val="BB9609A2"/>
    <w:lvl w:ilvl="0" w:tplc="B2D4161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5494FCD"/>
    <w:multiLevelType w:val="hybridMultilevel"/>
    <w:tmpl w:val="E81CFDFA"/>
    <w:lvl w:ilvl="0" w:tplc="F19A35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ABD7D3B"/>
    <w:multiLevelType w:val="hybridMultilevel"/>
    <w:tmpl w:val="72D24836"/>
    <w:lvl w:ilvl="0" w:tplc="041C0017">
      <w:start w:val="1"/>
      <w:numFmt w:val="lowerLetter"/>
      <w:lvlText w:val="%1)"/>
      <w:lvlJc w:val="left"/>
      <w:pPr>
        <w:ind w:left="1060" w:hanging="360"/>
      </w:pPr>
    </w:lvl>
    <w:lvl w:ilvl="1" w:tplc="041C0017">
      <w:start w:val="1"/>
      <w:numFmt w:val="lowerLetter"/>
      <w:lvlText w:val="%2)"/>
      <w:lvlJc w:val="left"/>
      <w:pPr>
        <w:ind w:left="1780" w:hanging="360"/>
      </w:pPr>
    </w:lvl>
    <w:lvl w:ilvl="2" w:tplc="041C001B" w:tentative="1">
      <w:start w:val="1"/>
      <w:numFmt w:val="lowerRoman"/>
      <w:lvlText w:val="%3."/>
      <w:lvlJc w:val="right"/>
      <w:pPr>
        <w:ind w:left="2500" w:hanging="180"/>
      </w:pPr>
    </w:lvl>
    <w:lvl w:ilvl="3" w:tplc="041C000F" w:tentative="1">
      <w:start w:val="1"/>
      <w:numFmt w:val="decimal"/>
      <w:lvlText w:val="%4."/>
      <w:lvlJc w:val="left"/>
      <w:pPr>
        <w:ind w:left="3220" w:hanging="360"/>
      </w:pPr>
    </w:lvl>
    <w:lvl w:ilvl="4" w:tplc="041C0019" w:tentative="1">
      <w:start w:val="1"/>
      <w:numFmt w:val="lowerLetter"/>
      <w:lvlText w:val="%5."/>
      <w:lvlJc w:val="left"/>
      <w:pPr>
        <w:ind w:left="3940" w:hanging="360"/>
      </w:pPr>
    </w:lvl>
    <w:lvl w:ilvl="5" w:tplc="041C001B" w:tentative="1">
      <w:start w:val="1"/>
      <w:numFmt w:val="lowerRoman"/>
      <w:lvlText w:val="%6."/>
      <w:lvlJc w:val="right"/>
      <w:pPr>
        <w:ind w:left="4660" w:hanging="180"/>
      </w:pPr>
    </w:lvl>
    <w:lvl w:ilvl="6" w:tplc="041C000F" w:tentative="1">
      <w:start w:val="1"/>
      <w:numFmt w:val="decimal"/>
      <w:lvlText w:val="%7."/>
      <w:lvlJc w:val="left"/>
      <w:pPr>
        <w:ind w:left="5380" w:hanging="360"/>
      </w:pPr>
    </w:lvl>
    <w:lvl w:ilvl="7" w:tplc="041C0019" w:tentative="1">
      <w:start w:val="1"/>
      <w:numFmt w:val="lowerLetter"/>
      <w:lvlText w:val="%8."/>
      <w:lvlJc w:val="left"/>
      <w:pPr>
        <w:ind w:left="6100" w:hanging="360"/>
      </w:pPr>
    </w:lvl>
    <w:lvl w:ilvl="8" w:tplc="041C001B" w:tentative="1">
      <w:start w:val="1"/>
      <w:numFmt w:val="lowerRoman"/>
      <w:lvlText w:val="%9."/>
      <w:lvlJc w:val="right"/>
      <w:pPr>
        <w:ind w:left="6820" w:hanging="180"/>
      </w:pPr>
    </w:lvl>
  </w:abstractNum>
  <w:abstractNum w:abstractNumId="6" w15:restartNumberingAfterBreak="0">
    <w:nsid w:val="4E1A0DD5"/>
    <w:multiLevelType w:val="hybridMultilevel"/>
    <w:tmpl w:val="B8B8F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36184E"/>
    <w:multiLevelType w:val="hybridMultilevel"/>
    <w:tmpl w:val="95D22780"/>
    <w:lvl w:ilvl="0" w:tplc="E1226208">
      <w:start w:val="1"/>
      <w:numFmt w:val="decimal"/>
      <w:lvlText w:val="%1."/>
      <w:lvlJc w:val="left"/>
      <w:pPr>
        <w:ind w:left="720" w:hanging="360"/>
      </w:pPr>
      <w:rPr>
        <w:rFonts w:hint="default"/>
        <w:sz w:val="28"/>
        <w:szCs w:val="28"/>
      </w:rPr>
    </w:lvl>
    <w:lvl w:ilvl="1" w:tplc="1F9A97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AC34DB"/>
    <w:multiLevelType w:val="hybridMultilevel"/>
    <w:tmpl w:val="F4D4E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BC3095"/>
    <w:multiLevelType w:val="hybridMultilevel"/>
    <w:tmpl w:val="3894D5B0"/>
    <w:lvl w:ilvl="0" w:tplc="8946A5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BC0DB5"/>
    <w:multiLevelType w:val="hybridMultilevel"/>
    <w:tmpl w:val="FDEE5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1252A4"/>
    <w:multiLevelType w:val="hybridMultilevel"/>
    <w:tmpl w:val="34645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1109FE"/>
    <w:multiLevelType w:val="hybridMultilevel"/>
    <w:tmpl w:val="58E85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45486A"/>
    <w:multiLevelType w:val="hybridMultilevel"/>
    <w:tmpl w:val="4BBA6D6A"/>
    <w:lvl w:ilvl="0" w:tplc="B5F02BBE">
      <w:numFmt w:val="bullet"/>
      <w:lvlText w:val="-"/>
      <w:lvlJc w:val="left"/>
      <w:pPr>
        <w:ind w:left="1146" w:hanging="360"/>
      </w:pPr>
      <w:rPr>
        <w:rFonts w:ascii="Times New Roman" w:eastAsia="Times New Roman" w:hAnsi="Times New Roman" w:cs="Times New Roman" w:hint="default"/>
      </w:rPr>
    </w:lvl>
    <w:lvl w:ilvl="1" w:tplc="041C0003" w:tentative="1">
      <w:start w:val="1"/>
      <w:numFmt w:val="bullet"/>
      <w:lvlText w:val="o"/>
      <w:lvlJc w:val="left"/>
      <w:pPr>
        <w:ind w:left="1866" w:hanging="360"/>
      </w:pPr>
      <w:rPr>
        <w:rFonts w:ascii="Courier New" w:hAnsi="Courier New" w:cs="Courier New" w:hint="default"/>
      </w:rPr>
    </w:lvl>
    <w:lvl w:ilvl="2" w:tplc="041C0005" w:tentative="1">
      <w:start w:val="1"/>
      <w:numFmt w:val="bullet"/>
      <w:lvlText w:val=""/>
      <w:lvlJc w:val="left"/>
      <w:pPr>
        <w:ind w:left="2586" w:hanging="360"/>
      </w:pPr>
      <w:rPr>
        <w:rFonts w:ascii="Wingdings" w:hAnsi="Wingdings" w:hint="default"/>
      </w:rPr>
    </w:lvl>
    <w:lvl w:ilvl="3" w:tplc="041C0001" w:tentative="1">
      <w:start w:val="1"/>
      <w:numFmt w:val="bullet"/>
      <w:lvlText w:val=""/>
      <w:lvlJc w:val="left"/>
      <w:pPr>
        <w:ind w:left="3306" w:hanging="360"/>
      </w:pPr>
      <w:rPr>
        <w:rFonts w:ascii="Symbol" w:hAnsi="Symbol" w:hint="default"/>
      </w:rPr>
    </w:lvl>
    <w:lvl w:ilvl="4" w:tplc="041C0003" w:tentative="1">
      <w:start w:val="1"/>
      <w:numFmt w:val="bullet"/>
      <w:lvlText w:val="o"/>
      <w:lvlJc w:val="left"/>
      <w:pPr>
        <w:ind w:left="4026" w:hanging="360"/>
      </w:pPr>
      <w:rPr>
        <w:rFonts w:ascii="Courier New" w:hAnsi="Courier New" w:cs="Courier New" w:hint="default"/>
      </w:rPr>
    </w:lvl>
    <w:lvl w:ilvl="5" w:tplc="041C0005" w:tentative="1">
      <w:start w:val="1"/>
      <w:numFmt w:val="bullet"/>
      <w:lvlText w:val=""/>
      <w:lvlJc w:val="left"/>
      <w:pPr>
        <w:ind w:left="4746" w:hanging="360"/>
      </w:pPr>
      <w:rPr>
        <w:rFonts w:ascii="Wingdings" w:hAnsi="Wingdings" w:hint="default"/>
      </w:rPr>
    </w:lvl>
    <w:lvl w:ilvl="6" w:tplc="041C0001" w:tentative="1">
      <w:start w:val="1"/>
      <w:numFmt w:val="bullet"/>
      <w:lvlText w:val=""/>
      <w:lvlJc w:val="left"/>
      <w:pPr>
        <w:ind w:left="5466" w:hanging="360"/>
      </w:pPr>
      <w:rPr>
        <w:rFonts w:ascii="Symbol" w:hAnsi="Symbol" w:hint="default"/>
      </w:rPr>
    </w:lvl>
    <w:lvl w:ilvl="7" w:tplc="041C0003" w:tentative="1">
      <w:start w:val="1"/>
      <w:numFmt w:val="bullet"/>
      <w:lvlText w:val="o"/>
      <w:lvlJc w:val="left"/>
      <w:pPr>
        <w:ind w:left="6186" w:hanging="360"/>
      </w:pPr>
      <w:rPr>
        <w:rFonts w:ascii="Courier New" w:hAnsi="Courier New" w:cs="Courier New" w:hint="default"/>
      </w:rPr>
    </w:lvl>
    <w:lvl w:ilvl="8" w:tplc="041C0005" w:tentative="1">
      <w:start w:val="1"/>
      <w:numFmt w:val="bullet"/>
      <w:lvlText w:val=""/>
      <w:lvlJc w:val="left"/>
      <w:pPr>
        <w:ind w:left="6906" w:hanging="360"/>
      </w:pPr>
      <w:rPr>
        <w:rFonts w:ascii="Wingdings" w:hAnsi="Wingdings" w:hint="default"/>
      </w:rPr>
    </w:lvl>
  </w:abstractNum>
  <w:abstractNum w:abstractNumId="14" w15:restartNumberingAfterBreak="0">
    <w:nsid w:val="7ECA4D94"/>
    <w:multiLevelType w:val="hybridMultilevel"/>
    <w:tmpl w:val="2412193E"/>
    <w:lvl w:ilvl="0" w:tplc="0809000F">
      <w:start w:val="1"/>
      <w:numFmt w:val="decimal"/>
      <w:lvlText w:val="%1."/>
      <w:lvlJc w:val="left"/>
      <w:pPr>
        <w:tabs>
          <w:tab w:val="num" w:pos="2970"/>
        </w:tabs>
        <w:ind w:left="297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abstractNumId w:val="12"/>
  </w:num>
  <w:num w:numId="2">
    <w:abstractNumId w:val="6"/>
  </w:num>
  <w:num w:numId="3">
    <w:abstractNumId w:val="4"/>
  </w:num>
  <w:num w:numId="4">
    <w:abstractNumId w:val="3"/>
  </w:num>
  <w:num w:numId="5">
    <w:abstractNumId w:val="9"/>
  </w:num>
  <w:num w:numId="6">
    <w:abstractNumId w:val="8"/>
  </w:num>
  <w:num w:numId="7">
    <w:abstractNumId w:val="7"/>
  </w:num>
  <w:num w:numId="8">
    <w:abstractNumId w:val="10"/>
  </w:num>
  <w:num w:numId="9">
    <w:abstractNumId w:val="11"/>
  </w:num>
  <w:num w:numId="10">
    <w:abstractNumId w:val="1"/>
  </w:num>
  <w:num w:numId="11">
    <w:abstractNumId w:val="13"/>
  </w:num>
  <w:num w:numId="12">
    <w:abstractNumId w:val="5"/>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4C6"/>
    <w:rsid w:val="000150D2"/>
    <w:rsid w:val="00016961"/>
    <w:rsid w:val="00016D8B"/>
    <w:rsid w:val="00026898"/>
    <w:rsid w:val="00033A4E"/>
    <w:rsid w:val="00034296"/>
    <w:rsid w:val="0003698D"/>
    <w:rsid w:val="00045BC6"/>
    <w:rsid w:val="00067818"/>
    <w:rsid w:val="00083C7D"/>
    <w:rsid w:val="000909CC"/>
    <w:rsid w:val="000959FF"/>
    <w:rsid w:val="00097122"/>
    <w:rsid w:val="000B037C"/>
    <w:rsid w:val="000C10EF"/>
    <w:rsid w:val="000D1F13"/>
    <w:rsid w:val="000D55F9"/>
    <w:rsid w:val="000E0546"/>
    <w:rsid w:val="000E4DA7"/>
    <w:rsid w:val="000E555C"/>
    <w:rsid w:val="00100DF0"/>
    <w:rsid w:val="001077FD"/>
    <w:rsid w:val="00110620"/>
    <w:rsid w:val="001111FE"/>
    <w:rsid w:val="00116C25"/>
    <w:rsid w:val="00121D95"/>
    <w:rsid w:val="00125931"/>
    <w:rsid w:val="00131845"/>
    <w:rsid w:val="001327CE"/>
    <w:rsid w:val="001328DA"/>
    <w:rsid w:val="00141374"/>
    <w:rsid w:val="00155956"/>
    <w:rsid w:val="00156105"/>
    <w:rsid w:val="001576BD"/>
    <w:rsid w:val="00175297"/>
    <w:rsid w:val="001876D6"/>
    <w:rsid w:val="001940B0"/>
    <w:rsid w:val="001A070E"/>
    <w:rsid w:val="001A31FC"/>
    <w:rsid w:val="001C6777"/>
    <w:rsid w:val="001D4F31"/>
    <w:rsid w:val="001F4417"/>
    <w:rsid w:val="0020087A"/>
    <w:rsid w:val="002126D8"/>
    <w:rsid w:val="00212D19"/>
    <w:rsid w:val="00222F27"/>
    <w:rsid w:val="00223020"/>
    <w:rsid w:val="002463D2"/>
    <w:rsid w:val="00260FE8"/>
    <w:rsid w:val="00274272"/>
    <w:rsid w:val="00281E4F"/>
    <w:rsid w:val="002879A7"/>
    <w:rsid w:val="00294F8C"/>
    <w:rsid w:val="00296059"/>
    <w:rsid w:val="002979FE"/>
    <w:rsid w:val="002D0C2A"/>
    <w:rsid w:val="002D6F76"/>
    <w:rsid w:val="002F1427"/>
    <w:rsid w:val="002F3CCC"/>
    <w:rsid w:val="00301BB7"/>
    <w:rsid w:val="00305E77"/>
    <w:rsid w:val="003069BB"/>
    <w:rsid w:val="003105D4"/>
    <w:rsid w:val="003134EF"/>
    <w:rsid w:val="00314438"/>
    <w:rsid w:val="00314E17"/>
    <w:rsid w:val="00341EEF"/>
    <w:rsid w:val="003436DB"/>
    <w:rsid w:val="00375C06"/>
    <w:rsid w:val="00380ACA"/>
    <w:rsid w:val="003A1045"/>
    <w:rsid w:val="003A3817"/>
    <w:rsid w:val="003A3F6B"/>
    <w:rsid w:val="003B0606"/>
    <w:rsid w:val="003D69AC"/>
    <w:rsid w:val="003E2B85"/>
    <w:rsid w:val="003E7823"/>
    <w:rsid w:val="003F5211"/>
    <w:rsid w:val="00406BDC"/>
    <w:rsid w:val="00427F8C"/>
    <w:rsid w:val="00440D25"/>
    <w:rsid w:val="0045308C"/>
    <w:rsid w:val="0045326A"/>
    <w:rsid w:val="00453CAE"/>
    <w:rsid w:val="0046683F"/>
    <w:rsid w:val="00467B0C"/>
    <w:rsid w:val="004751DB"/>
    <w:rsid w:val="00492BA2"/>
    <w:rsid w:val="004950D5"/>
    <w:rsid w:val="004A0F36"/>
    <w:rsid w:val="004A3518"/>
    <w:rsid w:val="004A6196"/>
    <w:rsid w:val="004B0CA1"/>
    <w:rsid w:val="004B14CE"/>
    <w:rsid w:val="004B2EFD"/>
    <w:rsid w:val="004B6909"/>
    <w:rsid w:val="004C4FF3"/>
    <w:rsid w:val="004C75DE"/>
    <w:rsid w:val="004D14C7"/>
    <w:rsid w:val="004E3015"/>
    <w:rsid w:val="004E394B"/>
    <w:rsid w:val="004E5F6C"/>
    <w:rsid w:val="004F6D7F"/>
    <w:rsid w:val="00513265"/>
    <w:rsid w:val="00521D14"/>
    <w:rsid w:val="00523E24"/>
    <w:rsid w:val="005243D9"/>
    <w:rsid w:val="0053091E"/>
    <w:rsid w:val="00534A4D"/>
    <w:rsid w:val="00541214"/>
    <w:rsid w:val="00554573"/>
    <w:rsid w:val="00555C78"/>
    <w:rsid w:val="00565B01"/>
    <w:rsid w:val="0057434D"/>
    <w:rsid w:val="005745FE"/>
    <w:rsid w:val="00574989"/>
    <w:rsid w:val="0058527F"/>
    <w:rsid w:val="00590D96"/>
    <w:rsid w:val="005A1E98"/>
    <w:rsid w:val="005A2FC8"/>
    <w:rsid w:val="005B78C9"/>
    <w:rsid w:val="005C1DC1"/>
    <w:rsid w:val="005C7E7A"/>
    <w:rsid w:val="005E6523"/>
    <w:rsid w:val="00606A90"/>
    <w:rsid w:val="00613BC5"/>
    <w:rsid w:val="00632408"/>
    <w:rsid w:val="0064604C"/>
    <w:rsid w:val="0064606F"/>
    <w:rsid w:val="00650EC5"/>
    <w:rsid w:val="006669E6"/>
    <w:rsid w:val="0067317A"/>
    <w:rsid w:val="00680686"/>
    <w:rsid w:val="00683DCA"/>
    <w:rsid w:val="006A00EB"/>
    <w:rsid w:val="006A1DE5"/>
    <w:rsid w:val="006A4514"/>
    <w:rsid w:val="006B0D63"/>
    <w:rsid w:val="006B53BD"/>
    <w:rsid w:val="006B5AD8"/>
    <w:rsid w:val="006B63D6"/>
    <w:rsid w:val="006E291D"/>
    <w:rsid w:val="006E2AFB"/>
    <w:rsid w:val="006F3B01"/>
    <w:rsid w:val="006F4738"/>
    <w:rsid w:val="006F764A"/>
    <w:rsid w:val="007074C0"/>
    <w:rsid w:val="00710E51"/>
    <w:rsid w:val="00711E16"/>
    <w:rsid w:val="00712519"/>
    <w:rsid w:val="00722116"/>
    <w:rsid w:val="007357C0"/>
    <w:rsid w:val="00736DDA"/>
    <w:rsid w:val="00737772"/>
    <w:rsid w:val="00737E5D"/>
    <w:rsid w:val="0074092E"/>
    <w:rsid w:val="00747396"/>
    <w:rsid w:val="00754E89"/>
    <w:rsid w:val="0076257F"/>
    <w:rsid w:val="00765DA9"/>
    <w:rsid w:val="007714EE"/>
    <w:rsid w:val="00792E8E"/>
    <w:rsid w:val="00795934"/>
    <w:rsid w:val="007B6253"/>
    <w:rsid w:val="007C1527"/>
    <w:rsid w:val="007C7CC5"/>
    <w:rsid w:val="007D33DD"/>
    <w:rsid w:val="007F32FE"/>
    <w:rsid w:val="007F376B"/>
    <w:rsid w:val="00801A99"/>
    <w:rsid w:val="00811CD1"/>
    <w:rsid w:val="00817672"/>
    <w:rsid w:val="00821F32"/>
    <w:rsid w:val="00823859"/>
    <w:rsid w:val="00835053"/>
    <w:rsid w:val="00841660"/>
    <w:rsid w:val="008430F3"/>
    <w:rsid w:val="00843D89"/>
    <w:rsid w:val="008457C6"/>
    <w:rsid w:val="008522A8"/>
    <w:rsid w:val="0085540D"/>
    <w:rsid w:val="008763B8"/>
    <w:rsid w:val="00886EBA"/>
    <w:rsid w:val="0089098A"/>
    <w:rsid w:val="0089541B"/>
    <w:rsid w:val="008A6D24"/>
    <w:rsid w:val="008B5353"/>
    <w:rsid w:val="008C43EB"/>
    <w:rsid w:val="008E0835"/>
    <w:rsid w:val="008F5B2A"/>
    <w:rsid w:val="009053AB"/>
    <w:rsid w:val="009151F9"/>
    <w:rsid w:val="00916237"/>
    <w:rsid w:val="0091743D"/>
    <w:rsid w:val="0092796A"/>
    <w:rsid w:val="009360EA"/>
    <w:rsid w:val="0093778E"/>
    <w:rsid w:val="00950263"/>
    <w:rsid w:val="0095053E"/>
    <w:rsid w:val="009516DB"/>
    <w:rsid w:val="009547F5"/>
    <w:rsid w:val="00972B83"/>
    <w:rsid w:val="00984C86"/>
    <w:rsid w:val="009A5C94"/>
    <w:rsid w:val="009B3178"/>
    <w:rsid w:val="009B7DE0"/>
    <w:rsid w:val="009C0CF7"/>
    <w:rsid w:val="009E0991"/>
    <w:rsid w:val="009E6586"/>
    <w:rsid w:val="009F0685"/>
    <w:rsid w:val="009F08B4"/>
    <w:rsid w:val="009F247E"/>
    <w:rsid w:val="009F44C6"/>
    <w:rsid w:val="009F64CC"/>
    <w:rsid w:val="00A00F72"/>
    <w:rsid w:val="00A019F8"/>
    <w:rsid w:val="00A04050"/>
    <w:rsid w:val="00A41845"/>
    <w:rsid w:val="00A5179A"/>
    <w:rsid w:val="00A53EFD"/>
    <w:rsid w:val="00A65BEA"/>
    <w:rsid w:val="00A8617C"/>
    <w:rsid w:val="00A91290"/>
    <w:rsid w:val="00A92430"/>
    <w:rsid w:val="00AA17D0"/>
    <w:rsid w:val="00AA318C"/>
    <w:rsid w:val="00AA530F"/>
    <w:rsid w:val="00AA77A0"/>
    <w:rsid w:val="00AB0FC7"/>
    <w:rsid w:val="00AD5A27"/>
    <w:rsid w:val="00AE4F53"/>
    <w:rsid w:val="00AE5328"/>
    <w:rsid w:val="00AF6459"/>
    <w:rsid w:val="00AF7B52"/>
    <w:rsid w:val="00B01E90"/>
    <w:rsid w:val="00B07DC0"/>
    <w:rsid w:val="00B135B5"/>
    <w:rsid w:val="00B20B78"/>
    <w:rsid w:val="00B23789"/>
    <w:rsid w:val="00B66220"/>
    <w:rsid w:val="00B8034D"/>
    <w:rsid w:val="00B823C0"/>
    <w:rsid w:val="00B92F62"/>
    <w:rsid w:val="00B9301B"/>
    <w:rsid w:val="00BA1D55"/>
    <w:rsid w:val="00BB1A53"/>
    <w:rsid w:val="00BC11F3"/>
    <w:rsid w:val="00BE02DF"/>
    <w:rsid w:val="00BE483A"/>
    <w:rsid w:val="00BF563B"/>
    <w:rsid w:val="00BF697B"/>
    <w:rsid w:val="00C01BDB"/>
    <w:rsid w:val="00C06286"/>
    <w:rsid w:val="00C30FEC"/>
    <w:rsid w:val="00C326FC"/>
    <w:rsid w:val="00C32CB2"/>
    <w:rsid w:val="00C34491"/>
    <w:rsid w:val="00C43469"/>
    <w:rsid w:val="00C451DF"/>
    <w:rsid w:val="00C6275F"/>
    <w:rsid w:val="00C70C98"/>
    <w:rsid w:val="00C731BF"/>
    <w:rsid w:val="00C74947"/>
    <w:rsid w:val="00C84E52"/>
    <w:rsid w:val="00C86B24"/>
    <w:rsid w:val="00C90B84"/>
    <w:rsid w:val="00C92998"/>
    <w:rsid w:val="00CA4DE2"/>
    <w:rsid w:val="00CB4D32"/>
    <w:rsid w:val="00CC167E"/>
    <w:rsid w:val="00CD3690"/>
    <w:rsid w:val="00CD5600"/>
    <w:rsid w:val="00CE029B"/>
    <w:rsid w:val="00CE241F"/>
    <w:rsid w:val="00CE60D9"/>
    <w:rsid w:val="00CF2F48"/>
    <w:rsid w:val="00CF79AA"/>
    <w:rsid w:val="00D03267"/>
    <w:rsid w:val="00D04CA9"/>
    <w:rsid w:val="00D259EF"/>
    <w:rsid w:val="00D331CC"/>
    <w:rsid w:val="00D41618"/>
    <w:rsid w:val="00D43CD9"/>
    <w:rsid w:val="00D4494B"/>
    <w:rsid w:val="00D518B8"/>
    <w:rsid w:val="00D6646E"/>
    <w:rsid w:val="00D66822"/>
    <w:rsid w:val="00D75593"/>
    <w:rsid w:val="00D85A17"/>
    <w:rsid w:val="00D86C6E"/>
    <w:rsid w:val="00D87B4E"/>
    <w:rsid w:val="00DA3CAC"/>
    <w:rsid w:val="00DA5C89"/>
    <w:rsid w:val="00DA6982"/>
    <w:rsid w:val="00DA76DA"/>
    <w:rsid w:val="00DB3353"/>
    <w:rsid w:val="00DC459E"/>
    <w:rsid w:val="00DE110D"/>
    <w:rsid w:val="00DE20B2"/>
    <w:rsid w:val="00DF4070"/>
    <w:rsid w:val="00DF45DF"/>
    <w:rsid w:val="00DF7351"/>
    <w:rsid w:val="00E03F07"/>
    <w:rsid w:val="00E40FB7"/>
    <w:rsid w:val="00E44AFA"/>
    <w:rsid w:val="00E53543"/>
    <w:rsid w:val="00E56696"/>
    <w:rsid w:val="00E6379E"/>
    <w:rsid w:val="00E64C70"/>
    <w:rsid w:val="00E83D35"/>
    <w:rsid w:val="00E9526E"/>
    <w:rsid w:val="00EA4386"/>
    <w:rsid w:val="00EA65C9"/>
    <w:rsid w:val="00EB03B5"/>
    <w:rsid w:val="00EB24D6"/>
    <w:rsid w:val="00EB38B1"/>
    <w:rsid w:val="00EC56BE"/>
    <w:rsid w:val="00EC63E0"/>
    <w:rsid w:val="00ED2A3E"/>
    <w:rsid w:val="00ED5676"/>
    <w:rsid w:val="00ED7A31"/>
    <w:rsid w:val="00EF10F3"/>
    <w:rsid w:val="00EF4137"/>
    <w:rsid w:val="00F00016"/>
    <w:rsid w:val="00F153E9"/>
    <w:rsid w:val="00F25058"/>
    <w:rsid w:val="00F32463"/>
    <w:rsid w:val="00F33C5E"/>
    <w:rsid w:val="00F42CAC"/>
    <w:rsid w:val="00F45724"/>
    <w:rsid w:val="00F506C9"/>
    <w:rsid w:val="00F512F2"/>
    <w:rsid w:val="00F64ED2"/>
    <w:rsid w:val="00F664CD"/>
    <w:rsid w:val="00F7703B"/>
    <w:rsid w:val="00F86C37"/>
    <w:rsid w:val="00F904FA"/>
    <w:rsid w:val="00F93276"/>
    <w:rsid w:val="00FA7EF4"/>
    <w:rsid w:val="00FC18B3"/>
    <w:rsid w:val="00FE0D42"/>
    <w:rsid w:val="00FE4FFD"/>
    <w:rsid w:val="00FF5CDE"/>
    <w:rsid w:val="00FF7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81F1C"/>
  <w15:docId w15:val="{E78514BA-38E4-4445-975A-F9C0DB2B0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7B0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F7B52"/>
    <w:pPr>
      <w:ind w:left="720"/>
      <w:contextualSpacing/>
    </w:pPr>
  </w:style>
  <w:style w:type="paragraph" w:styleId="Header">
    <w:name w:val="header"/>
    <w:basedOn w:val="Normal"/>
    <w:link w:val="HeaderChar"/>
    <w:uiPriority w:val="99"/>
    <w:unhideWhenUsed/>
    <w:rsid w:val="008954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41B"/>
    <w:rPr>
      <w:rFonts w:eastAsiaTheme="minorEastAsia"/>
    </w:rPr>
  </w:style>
  <w:style w:type="paragraph" w:styleId="Footer">
    <w:name w:val="footer"/>
    <w:basedOn w:val="Normal"/>
    <w:link w:val="FooterChar"/>
    <w:uiPriority w:val="99"/>
    <w:unhideWhenUsed/>
    <w:rsid w:val="008954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41B"/>
    <w:rPr>
      <w:rFonts w:eastAsiaTheme="minorEastAsia"/>
    </w:rPr>
  </w:style>
  <w:style w:type="character" w:styleId="Emphasis">
    <w:name w:val="Emphasis"/>
    <w:basedOn w:val="DefaultParagraphFont"/>
    <w:uiPriority w:val="20"/>
    <w:qFormat/>
    <w:rsid w:val="00E64C70"/>
    <w:rPr>
      <w:i/>
      <w:iCs/>
    </w:rPr>
  </w:style>
  <w:style w:type="character" w:customStyle="1" w:styleId="s1">
    <w:name w:val="s1"/>
    <w:basedOn w:val="DefaultParagraphFont"/>
    <w:rsid w:val="00C70C98"/>
  </w:style>
  <w:style w:type="paragraph" w:styleId="BalloonText">
    <w:name w:val="Balloon Text"/>
    <w:basedOn w:val="Normal"/>
    <w:link w:val="BalloonTextChar"/>
    <w:uiPriority w:val="99"/>
    <w:semiHidden/>
    <w:unhideWhenUsed/>
    <w:rsid w:val="00121D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D95"/>
    <w:rPr>
      <w:rFonts w:ascii="Segoe UI" w:eastAsiaTheme="minorEastAsia" w:hAnsi="Segoe UI" w:cs="Segoe UI"/>
      <w:sz w:val="18"/>
      <w:szCs w:val="18"/>
    </w:rPr>
  </w:style>
  <w:style w:type="paragraph" w:customStyle="1" w:styleId="Neninr">
    <w:name w:val="Neni nr"/>
    <w:basedOn w:val="Normal"/>
    <w:rsid w:val="009F247E"/>
    <w:pPr>
      <w:autoSpaceDE w:val="0"/>
      <w:autoSpaceDN w:val="0"/>
      <w:adjustRightInd w:val="0"/>
      <w:spacing w:line="330" w:lineRule="atLeast"/>
      <w:jc w:val="center"/>
    </w:pPr>
    <w:rPr>
      <w:rFonts w:ascii="Calibri" w:eastAsiaTheme="minorHAnsi" w:hAnsi="Calibri" w:cs="Calibri"/>
      <w:color w:val="000000"/>
      <w:sz w:val="24"/>
      <w:szCs w:val="24"/>
      <w:lang w:val="sq-AL"/>
    </w:rPr>
  </w:style>
  <w:style w:type="paragraph" w:customStyle="1" w:styleId="Paragrafi">
    <w:name w:val="Paragrafi"/>
    <w:uiPriority w:val="99"/>
    <w:rsid w:val="009F247E"/>
    <w:pPr>
      <w:pBdr>
        <w:top w:val="single" w:sz="6" w:space="0" w:color="auto"/>
        <w:bottom w:val="single" w:sz="6" w:space="0" w:color="auto"/>
        <w:between w:val="single" w:sz="6" w:space="0" w:color="auto"/>
      </w:pBdr>
      <w:autoSpaceDE w:val="0"/>
      <w:autoSpaceDN w:val="0"/>
      <w:adjustRightInd w:val="0"/>
      <w:spacing w:after="0" w:line="240" w:lineRule="auto"/>
      <w:ind w:firstLine="280"/>
      <w:jc w:val="both"/>
    </w:pPr>
    <w:rPr>
      <w:rFonts w:ascii="Times New Roman" w:hAnsi="Times New Roman" w:cs="Times New Roman"/>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399189">
      <w:bodyDiv w:val="1"/>
      <w:marLeft w:val="0"/>
      <w:marRight w:val="0"/>
      <w:marTop w:val="0"/>
      <w:marBottom w:val="0"/>
      <w:divBdr>
        <w:top w:val="none" w:sz="0" w:space="0" w:color="auto"/>
        <w:left w:val="none" w:sz="0" w:space="0" w:color="auto"/>
        <w:bottom w:val="none" w:sz="0" w:space="0" w:color="auto"/>
        <w:right w:val="none" w:sz="0" w:space="0" w:color="auto"/>
      </w:divBdr>
    </w:div>
    <w:div w:id="1571965569">
      <w:bodyDiv w:val="1"/>
      <w:marLeft w:val="0"/>
      <w:marRight w:val="0"/>
      <w:marTop w:val="0"/>
      <w:marBottom w:val="0"/>
      <w:divBdr>
        <w:top w:val="none" w:sz="0" w:space="0" w:color="auto"/>
        <w:left w:val="none" w:sz="0" w:space="0" w:color="auto"/>
        <w:bottom w:val="none" w:sz="0" w:space="0" w:color="auto"/>
        <w:right w:val="none" w:sz="0" w:space="0" w:color="auto"/>
      </w:divBdr>
    </w:div>
    <w:div w:id="176078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832</Nr_x002e__x0020_akti>
    <Data_x0020_e_x0020_Krijimit xmlns="0e656187-b300-4fb0-8bf4-3a50f872073c">2021-12-29T13:18:35Z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2021-12-28T23:00:00Z</Date_x0020_protokolli>
    <Titulli xmlns="0e656187-b300-4fb0-8bf4-3a50f872073c">Për rishpërndarje fondesh në buxhetin e vitit 2021, miratuar për  Ministrinë e Kulturës për qendrën kombëtare të Kinematografisë </Titulli>
    <Modifikuesi xmlns="0e656187-b300-4fb0-8bf4-3a50f872073c">ermira.bukaci</Modifikuesi>
    <Nr_x002e__x0020_prot_x0020_QBZ xmlns="0e656187-b300-4fb0-8bf4-3a50f872073c">1807</Nr_x002e__x0020_prot_x0020_QBZ>
    <Data_x0020_e_x0020_Modifikimit xmlns="0e656187-b300-4fb0-8bf4-3a50f872073c">2021-12-29T14:10:42Z</Data_x0020_e_x0020_Modifikimit>
    <Dekretuar xmlns="0e656187-b300-4fb0-8bf4-3a50f872073c">false</Dekretuar>
    <Data xmlns="0e656187-b300-4fb0-8bf4-3a50f872073c">2021-12-23T23:00:00Z</Data>
    <Nr_x002e__x0020_protokolli_x0020_i_x0020_aktit xmlns="0e656187-b300-4fb0-8bf4-3a50f872073c">6437/1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DD39BD0BF77941BFA2F6C52C460CB1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Akt ligjor" ma:contentTypeID="0x010100DD39BD0BF77941BFA2F6C52C460CB1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3BA99-E79D-4FBE-9C8E-8E5D3ED8B782}">
  <ds:schemaRefs>
    <ds:schemaRef ds:uri="http://schemas.microsoft.com/sharepoint/v3/contenttype/forms"/>
  </ds:schemaRefs>
</ds:datastoreItem>
</file>

<file path=customXml/itemProps2.xml><?xml version="1.0" encoding="utf-8"?>
<ds:datastoreItem xmlns:ds="http://schemas.openxmlformats.org/officeDocument/2006/customXml" ds:itemID="{274F37A2-192B-4A12-BE5A-FE21C7F58D17}">
  <ds:schemaRefs>
    <ds:schemaRef ds:uri="http://schemas.microsoft.com/sharepoint/v3/contenttype/forms"/>
  </ds:schemaRefs>
</ds:datastoreItem>
</file>

<file path=customXml/itemProps3.xml><?xml version="1.0" encoding="utf-8"?>
<ds:datastoreItem xmlns:ds="http://schemas.openxmlformats.org/officeDocument/2006/customXml" ds:itemID="{7A28BD56-ED2A-4D25-9BC5-AA46006A65E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8DC4E96C-F63C-49CB-883C-3F4B99E78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4D7122E-2E42-4CB4-97C1-6025A287C108}">
  <ds:schemaRefs>
    <ds:schemaRef ds:uri="http://schemas.openxmlformats.org/officeDocument/2006/bibliography"/>
  </ds:schemaRefs>
</ds:datastoreItem>
</file>

<file path=customXml/itemProps6.xml><?xml version="1.0" encoding="utf-8"?>
<ds:datastoreItem xmlns:ds="http://schemas.openxmlformats.org/officeDocument/2006/customXml" ds:itemID="{E15D1796-9ED8-4581-BF31-249E65437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608872A-DD77-42FE-89E1-DA75F00D5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2683</Words>
  <Characters>15299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Për rishpërndarje fondesh në buxhetin e vitit 2021, miratuar për Ministrinë e Kulturës për qendrën kombëtare të Kinematografisë</vt:lpstr>
    </vt:vector>
  </TitlesOfParts>
  <Company/>
  <LinksUpToDate>false</LinksUpToDate>
  <CharactersWithSpaces>17947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rishpërndarje fondesh në buxhetin e vitit 2021, miratuar për Ministrinë e Kulturës për qendrën kombëtare të Kinematografisë</dc:title>
  <dc:creator>admin123</dc:creator>
  <cp:lastModifiedBy>Rovena Lipe</cp:lastModifiedBy>
  <cp:revision>2</cp:revision>
  <cp:lastPrinted>2021-12-23T19:26:00Z</cp:lastPrinted>
  <dcterms:created xsi:type="dcterms:W3CDTF">2024-12-26T12:20:00Z</dcterms:created>
  <dcterms:modified xsi:type="dcterms:W3CDTF">2024-12-26T12:20:00Z</dcterms:modified>
</cp:coreProperties>
</file>