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E90092" w14:textId="77777777" w:rsidR="00744A73" w:rsidRPr="00050FA4" w:rsidRDefault="00744A73" w:rsidP="003F1DA7">
      <w:pPr>
        <w:ind w:firstLine="284"/>
        <w:jc w:val="center"/>
        <w:rPr>
          <w:rFonts w:ascii="Garamond" w:eastAsia="Times New Roman" w:hAnsi="Garamond"/>
          <w:b/>
          <w:lang w:eastAsia="sq-AL"/>
        </w:rPr>
      </w:pPr>
      <w:bookmarkStart w:id="0" w:name="_Toc484076168"/>
      <w:r w:rsidRPr="00050FA4">
        <w:rPr>
          <w:rFonts w:ascii="Garamond" w:eastAsia="Times New Roman" w:hAnsi="Garamond"/>
          <w:b/>
          <w:lang w:eastAsia="sq-AL"/>
        </w:rPr>
        <w:t>VENDIM</w:t>
      </w:r>
    </w:p>
    <w:p w14:paraId="75C7AAFE" w14:textId="77777777" w:rsidR="00744A73" w:rsidRPr="00050FA4" w:rsidRDefault="00744A73" w:rsidP="003F1DA7">
      <w:pPr>
        <w:ind w:firstLine="284"/>
        <w:jc w:val="center"/>
        <w:rPr>
          <w:rFonts w:ascii="Garamond" w:eastAsia="Times New Roman" w:hAnsi="Garamond"/>
          <w:b/>
          <w:bCs/>
          <w:lang w:eastAsia="sq-AL"/>
        </w:rPr>
      </w:pPr>
      <w:r w:rsidRPr="00050FA4">
        <w:rPr>
          <w:rFonts w:ascii="Garamond" w:eastAsia="Times New Roman" w:hAnsi="Garamond"/>
          <w:b/>
          <w:bCs/>
          <w:lang w:eastAsia="sq-AL"/>
        </w:rPr>
        <w:t>Nr. 51, datë 26.1.2022</w:t>
      </w:r>
    </w:p>
    <w:p w14:paraId="07F7B6D5" w14:textId="77777777" w:rsidR="00744A73" w:rsidRPr="00050FA4" w:rsidRDefault="00744A73" w:rsidP="003F1DA7">
      <w:pPr>
        <w:ind w:firstLine="284"/>
        <w:jc w:val="center"/>
        <w:rPr>
          <w:rFonts w:ascii="Garamond" w:eastAsia="Times New Roman" w:hAnsi="Garamond"/>
          <w:bCs/>
          <w:lang w:eastAsia="sq-AL"/>
        </w:rPr>
      </w:pPr>
    </w:p>
    <w:p w14:paraId="452DB3DD" w14:textId="09CD4E2C" w:rsidR="00744A73" w:rsidRPr="00050FA4" w:rsidRDefault="00744A73" w:rsidP="003F1DA7">
      <w:pPr>
        <w:ind w:firstLine="284"/>
        <w:jc w:val="center"/>
        <w:rPr>
          <w:rFonts w:ascii="Garamond" w:eastAsia="Times New Roman" w:hAnsi="Garamond"/>
          <w:b/>
          <w:lang w:eastAsia="sq-AL"/>
        </w:rPr>
      </w:pPr>
      <w:r w:rsidRPr="00050FA4">
        <w:rPr>
          <w:rFonts w:ascii="Garamond" w:eastAsia="Times New Roman" w:hAnsi="Garamond"/>
          <w:b/>
          <w:lang w:eastAsia="sq-AL"/>
        </w:rPr>
        <w:t>PËR MIRATIMIN E PROGRAMIT TË REFORMAVE EKONOMIKE (ERP) 2022</w:t>
      </w:r>
      <w:r w:rsidR="009B1D6B" w:rsidRPr="00050FA4">
        <w:rPr>
          <w:rFonts w:ascii="Garamond" w:eastAsia="Times New Roman" w:hAnsi="Garamond"/>
          <w:b/>
          <w:lang w:eastAsia="sq-AL"/>
        </w:rPr>
        <w:t>–</w:t>
      </w:r>
      <w:r w:rsidRPr="00050FA4">
        <w:rPr>
          <w:rFonts w:ascii="Garamond" w:eastAsia="Times New Roman" w:hAnsi="Garamond"/>
          <w:b/>
          <w:lang w:eastAsia="sq-AL"/>
        </w:rPr>
        <w:t>2024</w:t>
      </w:r>
    </w:p>
    <w:p w14:paraId="0559FEC1" w14:textId="77777777" w:rsidR="00744A73" w:rsidRPr="00050FA4" w:rsidRDefault="00744A73" w:rsidP="003F1DA7">
      <w:pPr>
        <w:ind w:firstLine="284"/>
        <w:jc w:val="center"/>
        <w:rPr>
          <w:rFonts w:ascii="Garamond" w:eastAsia="Times New Roman" w:hAnsi="Garamond"/>
          <w:b/>
          <w:lang w:eastAsia="sq-AL"/>
        </w:rPr>
      </w:pPr>
    </w:p>
    <w:p w14:paraId="688EE0F1" w14:textId="77777777" w:rsidR="00744A73" w:rsidRPr="00050FA4" w:rsidRDefault="00744A73" w:rsidP="003F1DA7">
      <w:pPr>
        <w:ind w:firstLine="284"/>
        <w:jc w:val="both"/>
        <w:rPr>
          <w:rFonts w:ascii="Garamond" w:eastAsia="Times New Roman" w:hAnsi="Garamond"/>
          <w:lang w:eastAsia="sq-AL"/>
        </w:rPr>
      </w:pPr>
      <w:r w:rsidRPr="00050FA4">
        <w:rPr>
          <w:rFonts w:ascii="Garamond" w:eastAsia="Times New Roman" w:hAnsi="Garamond"/>
          <w:lang w:eastAsia="sq-AL"/>
        </w:rPr>
        <w:t>Në mbështetje të nenit 100 të Kushtetutës, me propozimin e ministrit të Financave dhe Ekonomisë, Këshilli i Ministrave</w:t>
      </w:r>
    </w:p>
    <w:p w14:paraId="4C586B8C" w14:textId="77777777" w:rsidR="00744A73" w:rsidRPr="00050FA4" w:rsidRDefault="00744A73" w:rsidP="003F1DA7">
      <w:pPr>
        <w:ind w:firstLine="284"/>
        <w:jc w:val="both"/>
        <w:rPr>
          <w:rFonts w:ascii="Garamond" w:eastAsia="Times New Roman" w:hAnsi="Garamond"/>
          <w:lang w:eastAsia="sq-AL"/>
        </w:rPr>
      </w:pPr>
    </w:p>
    <w:p w14:paraId="7722A635" w14:textId="77777777" w:rsidR="00744A73" w:rsidRPr="00050FA4" w:rsidRDefault="00744A73" w:rsidP="003F1DA7">
      <w:pPr>
        <w:ind w:firstLine="284"/>
        <w:jc w:val="center"/>
        <w:rPr>
          <w:rFonts w:ascii="Garamond" w:eastAsia="Times New Roman" w:hAnsi="Garamond"/>
          <w:lang w:eastAsia="sq-AL"/>
        </w:rPr>
      </w:pPr>
      <w:r w:rsidRPr="00050FA4">
        <w:rPr>
          <w:rFonts w:ascii="Garamond" w:eastAsia="Times New Roman" w:hAnsi="Garamond"/>
          <w:lang w:eastAsia="sq-AL"/>
        </w:rPr>
        <w:t>VENDOSI:</w:t>
      </w:r>
    </w:p>
    <w:p w14:paraId="06C95740" w14:textId="77777777" w:rsidR="00744A73" w:rsidRPr="00050FA4" w:rsidRDefault="00744A73" w:rsidP="003F1DA7">
      <w:pPr>
        <w:ind w:firstLine="284"/>
        <w:jc w:val="both"/>
        <w:rPr>
          <w:rFonts w:ascii="Garamond" w:eastAsia="Times New Roman" w:hAnsi="Garamond"/>
          <w:lang w:eastAsia="sq-AL"/>
        </w:rPr>
      </w:pPr>
    </w:p>
    <w:p w14:paraId="7524F156" w14:textId="22B2B53A" w:rsidR="00744A73" w:rsidRPr="00050FA4" w:rsidRDefault="00744A73" w:rsidP="003F1DA7">
      <w:pPr>
        <w:ind w:firstLine="284"/>
        <w:jc w:val="both"/>
        <w:rPr>
          <w:rFonts w:ascii="Garamond" w:hAnsi="Garamond"/>
          <w:bCs/>
          <w:color w:val="000000"/>
          <w:lang w:eastAsia="sq-AL"/>
        </w:rPr>
      </w:pPr>
      <w:r w:rsidRPr="00050FA4">
        <w:rPr>
          <w:rFonts w:ascii="Garamond" w:hAnsi="Garamond"/>
          <w:bCs/>
          <w:color w:val="000000"/>
          <w:lang w:eastAsia="sq-AL"/>
        </w:rPr>
        <w:t>Miratimin e Programit të Reformave Ekonomike (ERP) 2022</w:t>
      </w:r>
      <w:r w:rsidR="00C948AF" w:rsidRPr="00050FA4">
        <w:rPr>
          <w:rFonts w:ascii="Garamond" w:hAnsi="Garamond"/>
          <w:bCs/>
          <w:color w:val="000000"/>
          <w:lang w:eastAsia="sq-AL"/>
        </w:rPr>
        <w:t>–</w:t>
      </w:r>
      <w:r w:rsidRPr="00050FA4">
        <w:rPr>
          <w:rFonts w:ascii="Garamond" w:hAnsi="Garamond"/>
          <w:bCs/>
          <w:color w:val="000000"/>
          <w:lang w:eastAsia="sq-AL"/>
        </w:rPr>
        <w:t>2024, sipas tekstit që i bashkëlidhet këtij vendimi.</w:t>
      </w:r>
    </w:p>
    <w:p w14:paraId="254B6E33" w14:textId="77777777" w:rsidR="00744A73" w:rsidRPr="00050FA4" w:rsidRDefault="00744A73" w:rsidP="003F1DA7">
      <w:pPr>
        <w:ind w:firstLine="284"/>
        <w:jc w:val="both"/>
        <w:rPr>
          <w:rFonts w:ascii="Garamond" w:hAnsi="Garamond"/>
          <w:bCs/>
          <w:color w:val="000000"/>
          <w:lang w:eastAsia="sq-AL"/>
        </w:rPr>
      </w:pPr>
      <w:r w:rsidRPr="00050FA4">
        <w:rPr>
          <w:rFonts w:ascii="Garamond" w:hAnsi="Garamond"/>
          <w:bCs/>
          <w:color w:val="000000"/>
          <w:lang w:eastAsia="sq-AL"/>
        </w:rPr>
        <w:t>Ky vendim hyn në fuqi pas botimit në Fletoren Zyrtare.</w:t>
      </w:r>
    </w:p>
    <w:p w14:paraId="59CF5B0A" w14:textId="77777777" w:rsidR="00744A73" w:rsidRPr="00050FA4" w:rsidRDefault="00744A73" w:rsidP="003F1DA7">
      <w:pPr>
        <w:widowControl w:val="0"/>
        <w:ind w:firstLine="284"/>
        <w:rPr>
          <w:rFonts w:ascii="Garamond" w:eastAsia="Times New Roman" w:hAnsi="Garamond"/>
          <w:caps/>
          <w:lang w:eastAsia="sq-AL"/>
        </w:rPr>
      </w:pPr>
    </w:p>
    <w:p w14:paraId="02E47789" w14:textId="77777777" w:rsidR="00744A73" w:rsidRPr="00050FA4" w:rsidRDefault="00744A73" w:rsidP="003F1DA7">
      <w:pPr>
        <w:widowControl w:val="0"/>
        <w:ind w:firstLine="284"/>
        <w:jc w:val="right"/>
        <w:rPr>
          <w:rFonts w:ascii="Garamond" w:eastAsia="Times New Roman" w:hAnsi="Garamond"/>
          <w:caps/>
          <w:lang w:eastAsia="sq-AL"/>
        </w:rPr>
      </w:pPr>
      <w:r w:rsidRPr="00050FA4">
        <w:rPr>
          <w:rFonts w:ascii="Garamond" w:eastAsia="Times New Roman" w:hAnsi="Garamond"/>
          <w:caps/>
          <w:lang w:eastAsia="sq-AL"/>
        </w:rPr>
        <w:t>KRYEMINISTËR</w:t>
      </w:r>
    </w:p>
    <w:p w14:paraId="11CA81A3" w14:textId="77777777" w:rsidR="00744A73" w:rsidRPr="00050FA4" w:rsidRDefault="00744A73" w:rsidP="003F1DA7">
      <w:pPr>
        <w:widowControl w:val="0"/>
        <w:ind w:firstLine="284"/>
        <w:jc w:val="right"/>
        <w:rPr>
          <w:rFonts w:ascii="Garamond" w:eastAsia="Times New Roman" w:hAnsi="Garamond"/>
          <w:lang w:eastAsia="sq-AL"/>
        </w:rPr>
      </w:pPr>
      <w:r w:rsidRPr="00050FA4">
        <w:rPr>
          <w:rFonts w:ascii="Garamond" w:eastAsia="Times New Roman" w:hAnsi="Garamond"/>
          <w:b/>
          <w:lang w:eastAsia="sq-AL"/>
        </w:rPr>
        <w:t>Edi Rama</w:t>
      </w:r>
    </w:p>
    <w:p w14:paraId="7E9B8FCF" w14:textId="77777777" w:rsidR="00744A73" w:rsidRPr="00050FA4" w:rsidRDefault="00744A73" w:rsidP="003F1DA7">
      <w:pPr>
        <w:ind w:firstLine="284"/>
        <w:jc w:val="center"/>
        <w:rPr>
          <w:rFonts w:ascii="Garamond" w:hAnsi="Garamond"/>
          <w:b/>
          <w:bCs/>
          <w:color w:val="0D0D0D"/>
        </w:rPr>
      </w:pPr>
    </w:p>
    <w:p w14:paraId="759D5495" w14:textId="77777777" w:rsidR="003C51D0" w:rsidRPr="00050FA4" w:rsidRDefault="003C51D0" w:rsidP="003F1DA7">
      <w:pPr>
        <w:ind w:firstLine="284"/>
        <w:jc w:val="center"/>
        <w:rPr>
          <w:rFonts w:ascii="Garamond" w:hAnsi="Garamond"/>
          <w:b/>
          <w:bCs/>
          <w:color w:val="0D0D0D"/>
        </w:rPr>
      </w:pPr>
      <w:r w:rsidRPr="00050FA4">
        <w:rPr>
          <w:rFonts w:ascii="Garamond" w:hAnsi="Garamond"/>
          <w:b/>
          <w:bCs/>
          <w:color w:val="0D0D0D"/>
        </w:rPr>
        <w:t>PROGRAMI I REFORMAVE EKONOMIKE</w:t>
      </w:r>
    </w:p>
    <w:p w14:paraId="2FC2DF00" w14:textId="02BAE0E9" w:rsidR="003C51D0" w:rsidRPr="00050FA4" w:rsidRDefault="003C51D0" w:rsidP="003F1DA7">
      <w:pPr>
        <w:ind w:firstLine="284"/>
        <w:jc w:val="center"/>
        <w:rPr>
          <w:rFonts w:ascii="Garamond" w:hAnsi="Garamond"/>
          <w:color w:val="0D0D0D"/>
        </w:rPr>
      </w:pPr>
      <w:r w:rsidRPr="00050FA4">
        <w:rPr>
          <w:rFonts w:ascii="Garamond" w:hAnsi="Garamond"/>
          <w:b/>
          <w:bCs/>
          <w:color w:val="0D0D0D"/>
        </w:rPr>
        <w:t>2022</w:t>
      </w:r>
      <w:r w:rsidR="009B1D6B" w:rsidRPr="00050FA4">
        <w:rPr>
          <w:rFonts w:ascii="Garamond" w:hAnsi="Garamond"/>
          <w:b/>
          <w:bCs/>
          <w:color w:val="0D0D0D"/>
        </w:rPr>
        <w:t>–</w:t>
      </w:r>
      <w:r w:rsidRPr="00050FA4">
        <w:rPr>
          <w:rFonts w:ascii="Garamond" w:hAnsi="Garamond"/>
          <w:b/>
          <w:bCs/>
          <w:color w:val="0D0D0D"/>
        </w:rPr>
        <w:t>2024</w:t>
      </w:r>
    </w:p>
    <w:p w14:paraId="1A7987E7" w14:textId="396B944D" w:rsidR="003C51D0" w:rsidRPr="00050FA4" w:rsidRDefault="003C51D0" w:rsidP="003F1DA7">
      <w:pPr>
        <w:ind w:firstLine="284"/>
        <w:jc w:val="center"/>
        <w:rPr>
          <w:rFonts w:ascii="Garamond" w:hAnsi="Garamond"/>
          <w:i/>
          <w:iCs/>
          <w:color w:val="0D0D0D"/>
        </w:rPr>
      </w:pPr>
      <w:r w:rsidRPr="00050FA4">
        <w:rPr>
          <w:rFonts w:ascii="Garamond" w:hAnsi="Garamond"/>
          <w:i/>
          <w:iCs/>
          <w:color w:val="0D0D0D"/>
        </w:rPr>
        <w:t xml:space="preserve">31 </w:t>
      </w:r>
      <w:r w:rsidR="009E14E0" w:rsidRPr="00050FA4">
        <w:rPr>
          <w:rFonts w:ascii="Garamond" w:hAnsi="Garamond"/>
          <w:i/>
          <w:iCs/>
          <w:color w:val="0D0D0D"/>
        </w:rPr>
        <w:t xml:space="preserve">janar </w:t>
      </w:r>
      <w:r w:rsidRPr="00050FA4">
        <w:rPr>
          <w:rFonts w:ascii="Garamond" w:hAnsi="Garamond"/>
          <w:i/>
          <w:iCs/>
          <w:color w:val="0D0D0D"/>
        </w:rPr>
        <w:t>2022</w:t>
      </w:r>
    </w:p>
    <w:p w14:paraId="3DFACE42" w14:textId="77777777" w:rsidR="003C51D0" w:rsidRPr="00050FA4" w:rsidRDefault="003C51D0" w:rsidP="003F1DA7">
      <w:pPr>
        <w:ind w:firstLine="284"/>
        <w:jc w:val="center"/>
        <w:rPr>
          <w:rFonts w:ascii="Garamond" w:hAnsi="Garamond"/>
          <w:i/>
          <w:iCs/>
          <w:color w:val="0D0D0D"/>
        </w:rPr>
      </w:pPr>
    </w:p>
    <w:p w14:paraId="4C6176C0" w14:textId="435F66E2" w:rsidR="003C51D0" w:rsidRPr="00050FA4" w:rsidRDefault="003C51D0" w:rsidP="00C948AF">
      <w:pPr>
        <w:ind w:firstLine="284"/>
        <w:rPr>
          <w:rFonts w:ascii="Garamond" w:hAnsi="Garamond"/>
          <w:i/>
          <w:iCs/>
          <w:color w:val="0D0D0D"/>
        </w:rPr>
      </w:pPr>
      <w:r w:rsidRPr="00050FA4">
        <w:rPr>
          <w:rFonts w:ascii="Garamond" w:hAnsi="Garamond"/>
          <w:b/>
          <w:bCs/>
          <w:color w:val="0D0D0D"/>
        </w:rPr>
        <w:t>Pasqyra e përmbajtjes</w:t>
      </w:r>
    </w:p>
    <w:p w14:paraId="7A275F9D" w14:textId="52A7AB4A"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1. KUADRI I PËRGJITHSHËM POLITIK DHE OBJEKTIVAT</w:t>
      </w:r>
      <w:r w:rsidR="009B1D6B" w:rsidRPr="00050FA4">
        <w:rPr>
          <w:rFonts w:ascii="Garamond" w:hAnsi="Garamond"/>
          <w:sz w:val="24"/>
          <w:szCs w:val="24"/>
        </w:rPr>
        <w:t xml:space="preserve"> </w:t>
      </w:r>
    </w:p>
    <w:p w14:paraId="1C240B2E" w14:textId="43CF4458"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2. ZBATIMI I UDHËZIMEVE POLITIKE</w:t>
      </w:r>
      <w:r w:rsidR="009B1D6B" w:rsidRPr="00050FA4">
        <w:rPr>
          <w:rFonts w:ascii="Garamond" w:hAnsi="Garamond"/>
          <w:sz w:val="24"/>
          <w:szCs w:val="24"/>
        </w:rPr>
        <w:t xml:space="preserve"> </w:t>
      </w:r>
    </w:p>
    <w:p w14:paraId="2DCD96AA" w14:textId="51F86813" w:rsidR="003C51D0" w:rsidRPr="00050FA4" w:rsidRDefault="003C51D0" w:rsidP="003F1DA7">
      <w:pPr>
        <w:pStyle w:val="TOC2"/>
        <w:spacing w:after="0"/>
        <w:ind w:left="0" w:firstLine="284"/>
        <w:jc w:val="both"/>
        <w:rPr>
          <w:rFonts w:ascii="Garamond" w:hAnsi="Garamond"/>
          <w:sz w:val="24"/>
          <w:szCs w:val="24"/>
        </w:rPr>
      </w:pPr>
      <w:r w:rsidRPr="00050FA4">
        <w:rPr>
          <w:rFonts w:ascii="Garamond" w:hAnsi="Garamond"/>
          <w:sz w:val="24"/>
          <w:szCs w:val="24"/>
        </w:rPr>
        <w:t>Rekomandimi 1</w:t>
      </w:r>
      <w:r w:rsidR="009B1D6B" w:rsidRPr="00050FA4">
        <w:rPr>
          <w:rFonts w:ascii="Garamond" w:hAnsi="Garamond"/>
          <w:sz w:val="24"/>
          <w:szCs w:val="24"/>
        </w:rPr>
        <w:t xml:space="preserve"> </w:t>
      </w:r>
    </w:p>
    <w:p w14:paraId="4319BF04" w14:textId="1E62596B" w:rsidR="003C51D0" w:rsidRPr="00050FA4" w:rsidRDefault="003C51D0" w:rsidP="003F1DA7">
      <w:pPr>
        <w:ind w:firstLine="284"/>
        <w:jc w:val="both"/>
        <w:rPr>
          <w:rFonts w:ascii="Garamond" w:hAnsi="Garamond"/>
        </w:rPr>
      </w:pPr>
      <w:r w:rsidRPr="00050FA4">
        <w:rPr>
          <w:rFonts w:ascii="Garamond" w:hAnsi="Garamond"/>
        </w:rPr>
        <w:t>Rekomandimi 2</w:t>
      </w:r>
      <w:r w:rsidR="009B1D6B" w:rsidRPr="00050FA4">
        <w:rPr>
          <w:rFonts w:ascii="Garamond" w:hAnsi="Garamond"/>
        </w:rPr>
        <w:t xml:space="preserve"> </w:t>
      </w:r>
    </w:p>
    <w:p w14:paraId="4DC1CC53" w14:textId="197011B3" w:rsidR="003C51D0" w:rsidRPr="00050FA4" w:rsidRDefault="003C51D0" w:rsidP="003F1DA7">
      <w:pPr>
        <w:ind w:firstLine="284"/>
        <w:jc w:val="both"/>
        <w:rPr>
          <w:rFonts w:ascii="Garamond" w:hAnsi="Garamond"/>
        </w:rPr>
      </w:pPr>
      <w:r w:rsidRPr="00050FA4">
        <w:rPr>
          <w:rFonts w:ascii="Garamond" w:hAnsi="Garamond"/>
        </w:rPr>
        <w:t>Rekomandimi 3</w:t>
      </w:r>
      <w:r w:rsidR="009B1D6B" w:rsidRPr="00050FA4">
        <w:rPr>
          <w:rFonts w:ascii="Garamond" w:hAnsi="Garamond"/>
        </w:rPr>
        <w:t xml:space="preserve"> </w:t>
      </w:r>
    </w:p>
    <w:p w14:paraId="1EC87E1F" w14:textId="3EB8A1B2" w:rsidR="003C51D0" w:rsidRPr="00050FA4" w:rsidRDefault="003C51D0" w:rsidP="003F1DA7">
      <w:pPr>
        <w:ind w:firstLine="284"/>
        <w:jc w:val="both"/>
        <w:rPr>
          <w:rFonts w:ascii="Garamond" w:hAnsi="Garamond"/>
        </w:rPr>
      </w:pPr>
      <w:r w:rsidRPr="00050FA4">
        <w:rPr>
          <w:rFonts w:ascii="Garamond" w:hAnsi="Garamond"/>
        </w:rPr>
        <w:t>Rekomandimi 4</w:t>
      </w:r>
      <w:r w:rsidR="009B1D6B" w:rsidRPr="00050FA4">
        <w:rPr>
          <w:rFonts w:ascii="Garamond" w:hAnsi="Garamond"/>
        </w:rPr>
        <w:t xml:space="preserve"> </w:t>
      </w:r>
    </w:p>
    <w:p w14:paraId="0C9B294E" w14:textId="00C099BB" w:rsidR="003C51D0" w:rsidRPr="00050FA4" w:rsidRDefault="003C51D0" w:rsidP="003F1DA7">
      <w:pPr>
        <w:ind w:firstLine="284"/>
        <w:jc w:val="both"/>
        <w:rPr>
          <w:rFonts w:ascii="Garamond" w:hAnsi="Garamond"/>
        </w:rPr>
      </w:pPr>
      <w:r w:rsidRPr="00050FA4">
        <w:rPr>
          <w:rFonts w:ascii="Garamond" w:hAnsi="Garamond"/>
        </w:rPr>
        <w:t>Rekomandimi 5</w:t>
      </w:r>
      <w:r w:rsidR="009B1D6B" w:rsidRPr="00050FA4">
        <w:rPr>
          <w:rFonts w:ascii="Garamond" w:hAnsi="Garamond"/>
        </w:rPr>
        <w:t xml:space="preserve"> </w:t>
      </w:r>
    </w:p>
    <w:p w14:paraId="378C5819" w14:textId="75E0C8EA" w:rsidR="003C51D0" w:rsidRPr="00050FA4" w:rsidRDefault="003C51D0" w:rsidP="003F1DA7">
      <w:pPr>
        <w:ind w:firstLine="284"/>
        <w:jc w:val="both"/>
        <w:rPr>
          <w:rFonts w:ascii="Garamond" w:hAnsi="Garamond"/>
        </w:rPr>
      </w:pPr>
      <w:r w:rsidRPr="00050FA4">
        <w:rPr>
          <w:rFonts w:ascii="Garamond" w:hAnsi="Garamond"/>
        </w:rPr>
        <w:t>Rekomandimi 6</w:t>
      </w:r>
      <w:r w:rsidR="009B1D6B" w:rsidRPr="00050FA4">
        <w:rPr>
          <w:rFonts w:ascii="Garamond" w:hAnsi="Garamond"/>
        </w:rPr>
        <w:t xml:space="preserve"> </w:t>
      </w:r>
    </w:p>
    <w:p w14:paraId="1E1C8ADB" w14:textId="56E5A1FC"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3. KUADRI MAKROEKONOMIK</w:t>
      </w:r>
      <w:r w:rsidR="009B1D6B" w:rsidRPr="00050FA4">
        <w:rPr>
          <w:rFonts w:ascii="Garamond" w:hAnsi="Garamond"/>
          <w:sz w:val="24"/>
          <w:szCs w:val="24"/>
        </w:rPr>
        <w:t xml:space="preserve"> </w:t>
      </w:r>
    </w:p>
    <w:p w14:paraId="4807A9E2" w14:textId="5A9E7BC7" w:rsidR="003C51D0" w:rsidRPr="00050FA4" w:rsidRDefault="00C948AF" w:rsidP="003F1DA7">
      <w:pPr>
        <w:pStyle w:val="TOC2"/>
        <w:spacing w:after="0"/>
        <w:ind w:left="0" w:firstLine="284"/>
        <w:jc w:val="both"/>
        <w:rPr>
          <w:rFonts w:ascii="Garamond" w:hAnsi="Garamond"/>
          <w:sz w:val="24"/>
          <w:szCs w:val="24"/>
        </w:rPr>
      </w:pPr>
      <w:r w:rsidRPr="00050FA4">
        <w:rPr>
          <w:rFonts w:ascii="Garamond" w:hAnsi="Garamond"/>
          <w:sz w:val="24"/>
          <w:szCs w:val="24"/>
        </w:rPr>
        <w:t>3.1</w:t>
      </w:r>
      <w:r w:rsidR="003C51D0" w:rsidRPr="00050FA4">
        <w:rPr>
          <w:rFonts w:ascii="Garamond" w:hAnsi="Garamond"/>
          <w:sz w:val="24"/>
          <w:szCs w:val="24"/>
        </w:rPr>
        <w:t xml:space="preserve"> Zhvillimet e fundit ekonomike</w:t>
      </w:r>
      <w:r w:rsidR="009B1D6B" w:rsidRPr="00050FA4">
        <w:rPr>
          <w:rFonts w:ascii="Garamond" w:hAnsi="Garamond"/>
          <w:sz w:val="24"/>
          <w:szCs w:val="24"/>
        </w:rPr>
        <w:t xml:space="preserve"> </w:t>
      </w:r>
    </w:p>
    <w:p w14:paraId="690D1106" w14:textId="3B101C42" w:rsidR="003C51D0" w:rsidRPr="00050FA4" w:rsidRDefault="00C948AF" w:rsidP="003F1DA7">
      <w:pPr>
        <w:ind w:firstLine="284"/>
        <w:jc w:val="both"/>
        <w:rPr>
          <w:rFonts w:ascii="Garamond" w:hAnsi="Garamond"/>
        </w:rPr>
      </w:pPr>
      <w:r w:rsidRPr="00050FA4">
        <w:rPr>
          <w:rFonts w:ascii="Garamond" w:hAnsi="Garamond"/>
        </w:rPr>
        <w:t>3.2</w:t>
      </w:r>
      <w:r w:rsidR="003C51D0" w:rsidRPr="00050FA4">
        <w:rPr>
          <w:rFonts w:ascii="Garamond" w:hAnsi="Garamond"/>
        </w:rPr>
        <w:t xml:space="preserve"> Skenari makroekonomik afatmesëm</w:t>
      </w:r>
      <w:r w:rsidR="009B1D6B" w:rsidRPr="00050FA4">
        <w:rPr>
          <w:rFonts w:ascii="Garamond" w:hAnsi="Garamond"/>
        </w:rPr>
        <w:t xml:space="preserve"> </w:t>
      </w:r>
    </w:p>
    <w:p w14:paraId="35530FC9" w14:textId="78EEBE31" w:rsidR="003C51D0" w:rsidRPr="00050FA4" w:rsidRDefault="00C948AF" w:rsidP="003F1DA7">
      <w:pPr>
        <w:ind w:firstLine="284"/>
        <w:jc w:val="both"/>
        <w:rPr>
          <w:rFonts w:ascii="Garamond" w:hAnsi="Garamond"/>
        </w:rPr>
      </w:pPr>
      <w:r w:rsidRPr="00050FA4">
        <w:rPr>
          <w:rFonts w:ascii="Garamond" w:hAnsi="Garamond"/>
        </w:rPr>
        <w:t>3.3</w:t>
      </w:r>
      <w:r w:rsidR="003C51D0" w:rsidRPr="00050FA4">
        <w:rPr>
          <w:rFonts w:ascii="Garamond" w:hAnsi="Garamond"/>
        </w:rPr>
        <w:t xml:space="preserve"> Skenari alternativ dhe rreziqet</w:t>
      </w:r>
      <w:r w:rsidR="009B1D6B" w:rsidRPr="00050FA4">
        <w:rPr>
          <w:rFonts w:ascii="Garamond" w:hAnsi="Garamond"/>
        </w:rPr>
        <w:t xml:space="preserve"> </w:t>
      </w:r>
    </w:p>
    <w:p w14:paraId="4E916E7B" w14:textId="4DFD5C87"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4. KUADRI FISKAL</w:t>
      </w:r>
      <w:r w:rsidR="009B1D6B" w:rsidRPr="00050FA4">
        <w:rPr>
          <w:rFonts w:ascii="Garamond" w:hAnsi="Garamond"/>
          <w:sz w:val="24"/>
          <w:szCs w:val="24"/>
        </w:rPr>
        <w:t xml:space="preserve"> </w:t>
      </w:r>
    </w:p>
    <w:p w14:paraId="3C484411" w14:textId="7CAB8408" w:rsidR="003C51D0" w:rsidRPr="00050FA4" w:rsidRDefault="00C948AF" w:rsidP="003F1DA7">
      <w:pPr>
        <w:pStyle w:val="TOC2"/>
        <w:spacing w:after="0"/>
        <w:ind w:left="0" w:firstLine="284"/>
        <w:jc w:val="both"/>
        <w:rPr>
          <w:rFonts w:ascii="Garamond" w:hAnsi="Garamond"/>
          <w:sz w:val="24"/>
          <w:szCs w:val="24"/>
        </w:rPr>
      </w:pPr>
      <w:r w:rsidRPr="00050FA4">
        <w:rPr>
          <w:rFonts w:ascii="Garamond" w:hAnsi="Garamond"/>
          <w:sz w:val="24"/>
          <w:szCs w:val="24"/>
        </w:rPr>
        <w:t>4.1</w:t>
      </w:r>
      <w:r w:rsidR="003C51D0" w:rsidRPr="00050FA4">
        <w:rPr>
          <w:rFonts w:ascii="Garamond" w:hAnsi="Garamond"/>
          <w:sz w:val="24"/>
          <w:szCs w:val="24"/>
        </w:rPr>
        <w:t xml:space="preserve"> Politikat strategjike dhe objektivat afatmes</w:t>
      </w:r>
      <w:r w:rsidR="00317817" w:rsidRPr="00050FA4">
        <w:rPr>
          <w:rFonts w:ascii="Garamond" w:hAnsi="Garamond"/>
          <w:sz w:val="24"/>
          <w:szCs w:val="24"/>
        </w:rPr>
        <w:t>ë</w:t>
      </w:r>
      <w:r w:rsidR="003C51D0" w:rsidRPr="00050FA4">
        <w:rPr>
          <w:rFonts w:ascii="Garamond" w:hAnsi="Garamond"/>
          <w:sz w:val="24"/>
          <w:szCs w:val="24"/>
        </w:rPr>
        <w:t>m</w:t>
      </w:r>
      <w:r w:rsidR="009B1D6B" w:rsidRPr="00050FA4">
        <w:rPr>
          <w:rFonts w:ascii="Garamond" w:hAnsi="Garamond"/>
          <w:sz w:val="24"/>
          <w:szCs w:val="24"/>
        </w:rPr>
        <w:t xml:space="preserve"> </w:t>
      </w:r>
    </w:p>
    <w:p w14:paraId="3B6822C8" w14:textId="580FDC28" w:rsidR="003C51D0" w:rsidRPr="00050FA4" w:rsidRDefault="00C948AF" w:rsidP="003F1DA7">
      <w:pPr>
        <w:ind w:firstLine="284"/>
        <w:jc w:val="both"/>
        <w:rPr>
          <w:rFonts w:ascii="Garamond" w:hAnsi="Garamond"/>
        </w:rPr>
      </w:pPr>
      <w:r w:rsidRPr="00050FA4">
        <w:rPr>
          <w:rFonts w:ascii="Garamond" w:hAnsi="Garamond"/>
        </w:rPr>
        <w:t>4.2</w:t>
      </w:r>
      <w:r w:rsidR="003C51D0" w:rsidRPr="00050FA4">
        <w:rPr>
          <w:rFonts w:ascii="Garamond" w:hAnsi="Garamond"/>
        </w:rPr>
        <w:t xml:space="preserve"> Implementimi i buxhetit për vitin 2021</w:t>
      </w:r>
      <w:r w:rsidR="009B1D6B" w:rsidRPr="00050FA4">
        <w:rPr>
          <w:rFonts w:ascii="Garamond" w:hAnsi="Garamond"/>
        </w:rPr>
        <w:t xml:space="preserve"> </w:t>
      </w:r>
    </w:p>
    <w:p w14:paraId="250B2DFF" w14:textId="3B02E0C3" w:rsidR="003C51D0" w:rsidRPr="00050FA4" w:rsidRDefault="00C948AF" w:rsidP="003F1DA7">
      <w:pPr>
        <w:ind w:firstLine="284"/>
        <w:jc w:val="both"/>
        <w:rPr>
          <w:rFonts w:ascii="Garamond" w:hAnsi="Garamond"/>
        </w:rPr>
      </w:pPr>
      <w:r w:rsidRPr="00050FA4">
        <w:rPr>
          <w:rFonts w:ascii="Garamond" w:hAnsi="Garamond"/>
        </w:rPr>
        <w:t>4.3</w:t>
      </w:r>
      <w:r w:rsidR="003C51D0" w:rsidRPr="00050FA4">
        <w:rPr>
          <w:rFonts w:ascii="Garamond" w:hAnsi="Garamond"/>
        </w:rPr>
        <w:t xml:space="preserve"> Planet buxhetore për vitin e dorëzimit të ERP-së</w:t>
      </w:r>
      <w:r w:rsidR="009B1D6B" w:rsidRPr="00050FA4">
        <w:rPr>
          <w:rFonts w:ascii="Garamond" w:hAnsi="Garamond"/>
        </w:rPr>
        <w:t xml:space="preserve"> </w:t>
      </w:r>
    </w:p>
    <w:p w14:paraId="38F05339" w14:textId="4BA39B8E" w:rsidR="003C51D0" w:rsidRPr="00050FA4" w:rsidRDefault="00C948AF" w:rsidP="003F1DA7">
      <w:pPr>
        <w:ind w:firstLine="284"/>
        <w:jc w:val="both"/>
        <w:rPr>
          <w:rFonts w:ascii="Garamond" w:hAnsi="Garamond"/>
        </w:rPr>
      </w:pPr>
      <w:r w:rsidRPr="00050FA4">
        <w:rPr>
          <w:rFonts w:ascii="Garamond" w:hAnsi="Garamond"/>
        </w:rPr>
        <w:t>4.4</w:t>
      </w:r>
      <w:r w:rsidR="003C51D0" w:rsidRPr="00050FA4">
        <w:rPr>
          <w:rFonts w:ascii="Garamond" w:hAnsi="Garamond"/>
        </w:rPr>
        <w:t xml:space="preserve"> Perspektiva buxhetore afatmesme</w:t>
      </w:r>
      <w:r w:rsidR="009B1D6B" w:rsidRPr="00050FA4">
        <w:rPr>
          <w:rFonts w:ascii="Garamond" w:hAnsi="Garamond"/>
        </w:rPr>
        <w:t xml:space="preserve"> </w:t>
      </w:r>
    </w:p>
    <w:p w14:paraId="76B58566" w14:textId="5C43B520" w:rsidR="003C51D0" w:rsidRPr="00050FA4" w:rsidRDefault="00C948AF" w:rsidP="003F1DA7">
      <w:pPr>
        <w:ind w:firstLine="284"/>
        <w:jc w:val="both"/>
        <w:rPr>
          <w:rFonts w:ascii="Garamond" w:hAnsi="Garamond"/>
        </w:rPr>
      </w:pPr>
      <w:r w:rsidRPr="00050FA4">
        <w:rPr>
          <w:rFonts w:ascii="Garamond" w:hAnsi="Garamond"/>
        </w:rPr>
        <w:t>4.5</w:t>
      </w:r>
      <w:r w:rsidR="003C51D0" w:rsidRPr="00050FA4">
        <w:rPr>
          <w:rFonts w:ascii="Garamond" w:hAnsi="Garamond"/>
        </w:rPr>
        <w:t xml:space="preserve"> Balanca strukturore</w:t>
      </w:r>
      <w:r w:rsidR="009B1D6B" w:rsidRPr="00050FA4">
        <w:rPr>
          <w:rFonts w:ascii="Garamond" w:hAnsi="Garamond"/>
        </w:rPr>
        <w:t xml:space="preserve"> </w:t>
      </w:r>
    </w:p>
    <w:p w14:paraId="2CCB9623" w14:textId="0B6D4B43" w:rsidR="003C51D0" w:rsidRPr="00050FA4" w:rsidRDefault="00C948AF" w:rsidP="003F1DA7">
      <w:pPr>
        <w:ind w:firstLine="284"/>
        <w:jc w:val="both"/>
        <w:rPr>
          <w:rFonts w:ascii="Garamond" w:hAnsi="Garamond"/>
        </w:rPr>
      </w:pPr>
      <w:r w:rsidRPr="00050FA4">
        <w:rPr>
          <w:rFonts w:ascii="Garamond" w:hAnsi="Garamond"/>
        </w:rPr>
        <w:t>4.6</w:t>
      </w:r>
      <w:r w:rsidR="003C51D0" w:rsidRPr="00050FA4">
        <w:rPr>
          <w:rFonts w:ascii="Garamond" w:hAnsi="Garamond"/>
        </w:rPr>
        <w:t xml:space="preserve"> Niveli i borxhit dhe zhvillimet</w:t>
      </w:r>
      <w:r w:rsidR="009B1D6B" w:rsidRPr="00050FA4">
        <w:rPr>
          <w:rFonts w:ascii="Garamond" w:hAnsi="Garamond"/>
        </w:rPr>
        <w:t xml:space="preserve"> </w:t>
      </w:r>
    </w:p>
    <w:p w14:paraId="194B8EC4" w14:textId="72F61536" w:rsidR="003C51D0" w:rsidRPr="00050FA4" w:rsidRDefault="00C948AF" w:rsidP="003F1DA7">
      <w:pPr>
        <w:ind w:firstLine="284"/>
        <w:jc w:val="both"/>
        <w:rPr>
          <w:rFonts w:ascii="Garamond" w:hAnsi="Garamond"/>
        </w:rPr>
      </w:pPr>
      <w:r w:rsidRPr="00050FA4">
        <w:rPr>
          <w:rFonts w:ascii="Garamond" w:hAnsi="Garamond"/>
        </w:rPr>
        <w:t>4.7</w:t>
      </w:r>
      <w:r w:rsidR="003C51D0" w:rsidRPr="00050FA4">
        <w:rPr>
          <w:rFonts w:ascii="Garamond" w:hAnsi="Garamond"/>
        </w:rPr>
        <w:t xml:space="preserve"> Analiza e ndjeshmërisë dhe krahasimi me programin e mëparshëm </w:t>
      </w:r>
    </w:p>
    <w:p w14:paraId="02B0A4B6" w14:textId="2F6A1CDD" w:rsidR="003C51D0" w:rsidRPr="00050FA4" w:rsidRDefault="00C948AF" w:rsidP="003F1DA7">
      <w:pPr>
        <w:ind w:firstLine="284"/>
        <w:jc w:val="both"/>
        <w:rPr>
          <w:rFonts w:ascii="Garamond" w:hAnsi="Garamond"/>
        </w:rPr>
      </w:pPr>
      <w:r w:rsidRPr="00050FA4">
        <w:rPr>
          <w:rFonts w:ascii="Garamond" w:hAnsi="Garamond"/>
        </w:rPr>
        <w:t>4.8</w:t>
      </w:r>
      <w:r w:rsidR="003C51D0" w:rsidRPr="00050FA4">
        <w:rPr>
          <w:rFonts w:ascii="Garamond" w:hAnsi="Garamond"/>
        </w:rPr>
        <w:t xml:space="preserve"> Cilësia e financave publike</w:t>
      </w:r>
      <w:r w:rsidR="009B1D6B" w:rsidRPr="00050FA4">
        <w:rPr>
          <w:rFonts w:ascii="Garamond" w:hAnsi="Garamond"/>
        </w:rPr>
        <w:t xml:space="preserve"> </w:t>
      </w:r>
    </w:p>
    <w:p w14:paraId="4DAB93BD" w14:textId="41D5D9B4" w:rsidR="003C51D0" w:rsidRPr="00050FA4" w:rsidRDefault="00C948AF" w:rsidP="003F1DA7">
      <w:pPr>
        <w:ind w:firstLine="284"/>
        <w:jc w:val="both"/>
        <w:rPr>
          <w:rFonts w:ascii="Garamond" w:hAnsi="Garamond"/>
        </w:rPr>
      </w:pPr>
      <w:r w:rsidRPr="00050FA4">
        <w:rPr>
          <w:rFonts w:ascii="Garamond" w:hAnsi="Garamond"/>
        </w:rPr>
        <w:t>4.9</w:t>
      </w:r>
      <w:r w:rsidR="003C51D0" w:rsidRPr="00050FA4">
        <w:rPr>
          <w:rFonts w:ascii="Garamond" w:hAnsi="Garamond"/>
        </w:rPr>
        <w:t xml:space="preserve"> Qeverisja fiskale dhe kuadri buxhetor</w:t>
      </w:r>
      <w:r w:rsidR="009B1D6B" w:rsidRPr="00050FA4">
        <w:rPr>
          <w:rFonts w:ascii="Garamond" w:hAnsi="Garamond"/>
        </w:rPr>
        <w:t xml:space="preserve"> </w:t>
      </w:r>
    </w:p>
    <w:p w14:paraId="4A4F874A" w14:textId="5AD0930B" w:rsidR="003C51D0" w:rsidRPr="00050FA4" w:rsidRDefault="00C948AF" w:rsidP="003F1DA7">
      <w:pPr>
        <w:pStyle w:val="TOC2"/>
        <w:spacing w:after="0"/>
        <w:ind w:left="0" w:firstLine="284"/>
        <w:jc w:val="both"/>
        <w:rPr>
          <w:rFonts w:ascii="Garamond" w:hAnsi="Garamond"/>
          <w:sz w:val="24"/>
          <w:szCs w:val="24"/>
        </w:rPr>
      </w:pPr>
      <w:r w:rsidRPr="00050FA4">
        <w:rPr>
          <w:rFonts w:ascii="Garamond" w:hAnsi="Garamond"/>
          <w:sz w:val="24"/>
          <w:szCs w:val="24"/>
        </w:rPr>
        <w:t>4.10</w:t>
      </w:r>
      <w:r w:rsidR="003C51D0" w:rsidRPr="00050FA4">
        <w:rPr>
          <w:rFonts w:ascii="Garamond" w:hAnsi="Garamond"/>
          <w:sz w:val="24"/>
          <w:szCs w:val="24"/>
        </w:rPr>
        <w:t xml:space="preserve"> Qëndrueshmëria e financave publike</w:t>
      </w:r>
      <w:r w:rsidR="009B1D6B" w:rsidRPr="00050FA4">
        <w:rPr>
          <w:rFonts w:ascii="Garamond" w:hAnsi="Garamond"/>
          <w:sz w:val="24"/>
          <w:szCs w:val="24"/>
        </w:rPr>
        <w:t xml:space="preserve"> </w:t>
      </w:r>
    </w:p>
    <w:p w14:paraId="6805F341" w14:textId="598B1BAA"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 xml:space="preserve">5. REFORMAT STRUKTURORE PARËSORE </w:t>
      </w:r>
      <w:r w:rsidR="00444907" w:rsidRPr="00050FA4">
        <w:rPr>
          <w:rFonts w:ascii="Garamond" w:hAnsi="Garamond"/>
          <w:sz w:val="24"/>
          <w:szCs w:val="24"/>
        </w:rPr>
        <w:t>M</w:t>
      </w:r>
      <w:r w:rsidRPr="00050FA4">
        <w:rPr>
          <w:rFonts w:ascii="Garamond" w:hAnsi="Garamond"/>
          <w:sz w:val="24"/>
          <w:szCs w:val="24"/>
        </w:rPr>
        <w:t>Ë 2022</w:t>
      </w:r>
      <w:r w:rsidR="006906A0" w:rsidRPr="00050FA4">
        <w:rPr>
          <w:rFonts w:ascii="Garamond" w:hAnsi="Garamond"/>
          <w:sz w:val="24"/>
          <w:szCs w:val="24"/>
        </w:rPr>
        <w:t>–</w:t>
      </w:r>
      <w:r w:rsidRPr="00050FA4">
        <w:rPr>
          <w:rFonts w:ascii="Garamond" w:hAnsi="Garamond"/>
          <w:sz w:val="24"/>
          <w:szCs w:val="24"/>
        </w:rPr>
        <w:t>2024</w:t>
      </w:r>
      <w:r w:rsidR="009B1D6B" w:rsidRPr="00050FA4">
        <w:rPr>
          <w:rFonts w:ascii="Garamond" w:hAnsi="Garamond"/>
          <w:sz w:val="24"/>
          <w:szCs w:val="24"/>
        </w:rPr>
        <w:t xml:space="preserve"> </w:t>
      </w:r>
    </w:p>
    <w:p w14:paraId="4751E87E" w14:textId="491A949A" w:rsidR="003C51D0" w:rsidRPr="00050FA4" w:rsidRDefault="00C948AF" w:rsidP="003F1DA7">
      <w:pPr>
        <w:pStyle w:val="TOC2"/>
        <w:spacing w:after="0"/>
        <w:ind w:left="0" w:firstLine="284"/>
        <w:jc w:val="both"/>
        <w:rPr>
          <w:rFonts w:ascii="Garamond" w:hAnsi="Garamond"/>
          <w:sz w:val="24"/>
          <w:szCs w:val="24"/>
        </w:rPr>
      </w:pPr>
      <w:r w:rsidRPr="00050FA4">
        <w:rPr>
          <w:rFonts w:ascii="Garamond" w:hAnsi="Garamond"/>
          <w:sz w:val="24"/>
          <w:szCs w:val="24"/>
        </w:rPr>
        <w:t>5.1</w:t>
      </w:r>
      <w:r w:rsidR="003C51D0" w:rsidRPr="00050FA4">
        <w:rPr>
          <w:rFonts w:ascii="Garamond" w:hAnsi="Garamond"/>
          <w:sz w:val="24"/>
          <w:szCs w:val="24"/>
        </w:rPr>
        <w:t xml:space="preserve"> Përditësim mbi tr</w:t>
      </w:r>
      <w:r w:rsidR="000A3955" w:rsidRPr="00050FA4">
        <w:rPr>
          <w:rFonts w:ascii="Garamond" w:hAnsi="Garamond"/>
          <w:sz w:val="24"/>
          <w:szCs w:val="24"/>
        </w:rPr>
        <w:t>i</w:t>
      </w:r>
      <w:r w:rsidR="003C51D0" w:rsidRPr="00050FA4">
        <w:rPr>
          <w:rFonts w:ascii="Garamond" w:hAnsi="Garamond"/>
          <w:sz w:val="24"/>
          <w:szCs w:val="24"/>
        </w:rPr>
        <w:t xml:space="preserve"> pengesat kryesore në konkurrueshmëri dhe rritje përfshirëse dhe masat e reformave të lidhura</w:t>
      </w:r>
      <w:r w:rsidR="009B1D6B" w:rsidRPr="00050FA4">
        <w:rPr>
          <w:rFonts w:ascii="Garamond" w:hAnsi="Garamond"/>
          <w:sz w:val="24"/>
          <w:szCs w:val="24"/>
        </w:rPr>
        <w:t xml:space="preserve"> </w:t>
      </w:r>
    </w:p>
    <w:p w14:paraId="2C51087C" w14:textId="2F1E6563" w:rsidR="003C51D0" w:rsidRPr="00050FA4" w:rsidRDefault="003C51D0" w:rsidP="003F1DA7">
      <w:pPr>
        <w:pStyle w:val="TOC3"/>
        <w:tabs>
          <w:tab w:val="clear" w:pos="1134"/>
          <w:tab w:val="clear" w:pos="9632"/>
        </w:tabs>
        <w:spacing w:after="0"/>
        <w:ind w:left="0" w:firstLine="284"/>
        <w:rPr>
          <w:rFonts w:ascii="Garamond" w:hAnsi="Garamond"/>
          <w:sz w:val="24"/>
          <w:szCs w:val="24"/>
        </w:rPr>
      </w:pPr>
      <w:r w:rsidRPr="00050FA4">
        <w:rPr>
          <w:rFonts w:ascii="Garamond" w:hAnsi="Garamond"/>
          <w:sz w:val="24"/>
          <w:szCs w:val="24"/>
        </w:rPr>
        <w:t xml:space="preserve">Sfida </w:t>
      </w:r>
      <w:r w:rsidR="001411C0" w:rsidRPr="00050FA4">
        <w:rPr>
          <w:rFonts w:ascii="Garamond" w:hAnsi="Garamond"/>
          <w:sz w:val="24"/>
          <w:szCs w:val="24"/>
        </w:rPr>
        <w:t>k</w:t>
      </w:r>
      <w:r w:rsidRPr="00050FA4">
        <w:rPr>
          <w:rFonts w:ascii="Garamond" w:hAnsi="Garamond"/>
          <w:sz w:val="24"/>
          <w:szCs w:val="24"/>
        </w:rPr>
        <w:t>yçe #1</w:t>
      </w:r>
      <w:r w:rsidR="009B1D6B" w:rsidRPr="00050FA4">
        <w:rPr>
          <w:rFonts w:ascii="Garamond" w:hAnsi="Garamond"/>
          <w:sz w:val="24"/>
          <w:szCs w:val="24"/>
        </w:rPr>
        <w:t xml:space="preserve"> </w:t>
      </w:r>
    </w:p>
    <w:p w14:paraId="3BBF474D" w14:textId="561F047F" w:rsidR="003C51D0" w:rsidRPr="00050FA4" w:rsidRDefault="003C51D0" w:rsidP="003F1DA7">
      <w:pPr>
        <w:ind w:firstLine="284"/>
        <w:jc w:val="both"/>
        <w:rPr>
          <w:rFonts w:ascii="Garamond" w:hAnsi="Garamond"/>
        </w:rPr>
      </w:pPr>
      <w:r w:rsidRPr="00050FA4">
        <w:rPr>
          <w:rFonts w:ascii="Garamond" w:hAnsi="Garamond"/>
        </w:rPr>
        <w:t xml:space="preserve">Sfida </w:t>
      </w:r>
      <w:r w:rsidR="001411C0" w:rsidRPr="00050FA4">
        <w:rPr>
          <w:rFonts w:ascii="Garamond" w:hAnsi="Garamond"/>
        </w:rPr>
        <w:t>k</w:t>
      </w:r>
      <w:r w:rsidRPr="00050FA4">
        <w:rPr>
          <w:rFonts w:ascii="Garamond" w:hAnsi="Garamond"/>
        </w:rPr>
        <w:t>yçe #2</w:t>
      </w:r>
      <w:r w:rsidR="009B1D6B" w:rsidRPr="00050FA4">
        <w:rPr>
          <w:rFonts w:ascii="Garamond" w:hAnsi="Garamond"/>
        </w:rPr>
        <w:t xml:space="preserve"> </w:t>
      </w:r>
    </w:p>
    <w:p w14:paraId="341F2F0A" w14:textId="32781E1D" w:rsidR="003C51D0" w:rsidRPr="00050FA4" w:rsidRDefault="003C51D0" w:rsidP="003F1DA7">
      <w:pPr>
        <w:ind w:firstLine="284"/>
        <w:jc w:val="both"/>
        <w:rPr>
          <w:rFonts w:ascii="Garamond" w:hAnsi="Garamond"/>
        </w:rPr>
      </w:pPr>
      <w:r w:rsidRPr="00050FA4">
        <w:rPr>
          <w:rFonts w:ascii="Garamond" w:hAnsi="Garamond"/>
        </w:rPr>
        <w:t xml:space="preserve">Sfida </w:t>
      </w:r>
      <w:r w:rsidR="001411C0" w:rsidRPr="00050FA4">
        <w:rPr>
          <w:rFonts w:ascii="Garamond" w:hAnsi="Garamond"/>
        </w:rPr>
        <w:t>k</w:t>
      </w:r>
      <w:r w:rsidRPr="00050FA4">
        <w:rPr>
          <w:rFonts w:ascii="Garamond" w:hAnsi="Garamond"/>
        </w:rPr>
        <w:t>yçe #3</w:t>
      </w:r>
      <w:r w:rsidR="009B1D6B" w:rsidRPr="00050FA4">
        <w:rPr>
          <w:rFonts w:ascii="Garamond" w:hAnsi="Garamond"/>
        </w:rPr>
        <w:t xml:space="preserve"> </w:t>
      </w:r>
    </w:p>
    <w:p w14:paraId="2B5C52D9" w14:textId="41408028" w:rsidR="003C51D0" w:rsidRPr="00050FA4" w:rsidRDefault="003C51D0" w:rsidP="003F1DA7">
      <w:pPr>
        <w:pStyle w:val="TOC2"/>
        <w:spacing w:after="0"/>
        <w:ind w:left="0" w:firstLine="284"/>
        <w:jc w:val="both"/>
        <w:rPr>
          <w:rFonts w:ascii="Garamond" w:hAnsi="Garamond"/>
          <w:sz w:val="24"/>
          <w:szCs w:val="24"/>
        </w:rPr>
      </w:pPr>
      <w:r w:rsidRPr="00050FA4">
        <w:rPr>
          <w:rFonts w:ascii="Garamond" w:hAnsi="Garamond"/>
          <w:sz w:val="24"/>
          <w:szCs w:val="24"/>
        </w:rPr>
        <w:t>5.2. Analiza e pengesave në fusha të tjera</w:t>
      </w:r>
      <w:r w:rsidR="009B1D6B" w:rsidRPr="00050FA4">
        <w:rPr>
          <w:rFonts w:ascii="Garamond" w:hAnsi="Garamond"/>
          <w:sz w:val="24"/>
          <w:szCs w:val="24"/>
        </w:rPr>
        <w:t xml:space="preserve"> </w:t>
      </w:r>
    </w:p>
    <w:p w14:paraId="0FE31BDD" w14:textId="434C636E" w:rsidR="003C51D0" w:rsidRPr="00050FA4" w:rsidRDefault="00411ABF" w:rsidP="003F1DA7">
      <w:pPr>
        <w:pStyle w:val="TOC3"/>
        <w:tabs>
          <w:tab w:val="clear" w:pos="1134"/>
          <w:tab w:val="clear" w:pos="9632"/>
        </w:tabs>
        <w:spacing w:after="0"/>
        <w:ind w:left="0" w:firstLine="284"/>
        <w:rPr>
          <w:rFonts w:ascii="Garamond" w:hAnsi="Garamond"/>
          <w:sz w:val="24"/>
          <w:szCs w:val="24"/>
        </w:rPr>
      </w:pPr>
      <w:r w:rsidRPr="00050FA4">
        <w:rPr>
          <w:rFonts w:ascii="Garamond" w:hAnsi="Garamond"/>
          <w:sz w:val="24"/>
          <w:szCs w:val="24"/>
        </w:rPr>
        <w:t>5.2.1</w:t>
      </w:r>
      <w:r w:rsidR="003C51D0" w:rsidRPr="00050FA4">
        <w:rPr>
          <w:rFonts w:ascii="Garamond" w:hAnsi="Garamond"/>
          <w:sz w:val="24"/>
          <w:szCs w:val="24"/>
        </w:rPr>
        <w:t xml:space="preserve"> Menaxhimi i </w:t>
      </w:r>
      <w:r w:rsidR="001411C0" w:rsidRPr="00050FA4">
        <w:rPr>
          <w:rFonts w:ascii="Garamond" w:hAnsi="Garamond"/>
          <w:sz w:val="24"/>
          <w:szCs w:val="24"/>
        </w:rPr>
        <w:t xml:space="preserve">financave publike </w:t>
      </w:r>
    </w:p>
    <w:p w14:paraId="16B09646" w14:textId="3D188340" w:rsidR="003C51D0" w:rsidRPr="00050FA4" w:rsidRDefault="00411ABF" w:rsidP="003F1DA7">
      <w:pPr>
        <w:ind w:firstLine="284"/>
        <w:jc w:val="both"/>
        <w:rPr>
          <w:rFonts w:ascii="Garamond" w:hAnsi="Garamond"/>
        </w:rPr>
      </w:pPr>
      <w:r w:rsidRPr="00050FA4">
        <w:rPr>
          <w:rFonts w:ascii="Garamond" w:hAnsi="Garamond"/>
        </w:rPr>
        <w:t>5.2.2</w:t>
      </w:r>
      <w:r w:rsidR="003C51D0" w:rsidRPr="00050FA4">
        <w:rPr>
          <w:rFonts w:ascii="Garamond" w:hAnsi="Garamond"/>
        </w:rPr>
        <w:t xml:space="preserve"> Tranzicioni i gjelbër</w:t>
      </w:r>
      <w:r w:rsidR="009B1D6B" w:rsidRPr="00050FA4">
        <w:rPr>
          <w:rFonts w:ascii="Garamond" w:hAnsi="Garamond"/>
        </w:rPr>
        <w:t xml:space="preserve"> </w:t>
      </w:r>
    </w:p>
    <w:p w14:paraId="0F81BC9F" w14:textId="1260E9A5" w:rsidR="003C51D0" w:rsidRPr="00050FA4" w:rsidRDefault="00411ABF" w:rsidP="003F1DA7">
      <w:pPr>
        <w:ind w:firstLine="284"/>
        <w:jc w:val="both"/>
        <w:rPr>
          <w:rFonts w:ascii="Garamond" w:hAnsi="Garamond"/>
        </w:rPr>
      </w:pPr>
      <w:r w:rsidRPr="00050FA4">
        <w:rPr>
          <w:rFonts w:ascii="Garamond" w:hAnsi="Garamond"/>
        </w:rPr>
        <w:lastRenderedPageBreak/>
        <w:t>5.2.3</w:t>
      </w:r>
      <w:r w:rsidR="003C51D0" w:rsidRPr="00050FA4">
        <w:rPr>
          <w:rFonts w:ascii="Garamond" w:hAnsi="Garamond"/>
        </w:rPr>
        <w:t xml:space="preserve"> Transformimi </w:t>
      </w:r>
      <w:r w:rsidR="00C948AF" w:rsidRPr="00050FA4">
        <w:rPr>
          <w:rFonts w:ascii="Garamond" w:hAnsi="Garamond"/>
        </w:rPr>
        <w:t>digjital</w:t>
      </w:r>
      <w:r w:rsidR="003C51D0" w:rsidRPr="00050FA4">
        <w:rPr>
          <w:rFonts w:ascii="Garamond" w:hAnsi="Garamond"/>
        </w:rPr>
        <w:t>, kërkim, zhvillim dhe inovacion</w:t>
      </w:r>
      <w:r w:rsidR="009B1D6B" w:rsidRPr="00050FA4">
        <w:rPr>
          <w:rFonts w:ascii="Garamond" w:hAnsi="Garamond"/>
        </w:rPr>
        <w:t xml:space="preserve"> </w:t>
      </w:r>
    </w:p>
    <w:p w14:paraId="7F2DD448" w14:textId="5A637D7C" w:rsidR="003C51D0" w:rsidRPr="00050FA4" w:rsidRDefault="00411ABF" w:rsidP="003F1DA7">
      <w:pPr>
        <w:ind w:firstLine="284"/>
        <w:jc w:val="both"/>
        <w:rPr>
          <w:rFonts w:ascii="Garamond" w:hAnsi="Garamond"/>
        </w:rPr>
      </w:pPr>
      <w:r w:rsidRPr="00050FA4">
        <w:rPr>
          <w:rFonts w:ascii="Garamond" w:hAnsi="Garamond"/>
        </w:rPr>
        <w:t>5.2.4</w:t>
      </w:r>
      <w:r w:rsidR="003C51D0" w:rsidRPr="00050FA4">
        <w:rPr>
          <w:rFonts w:ascii="Garamond" w:hAnsi="Garamond"/>
        </w:rPr>
        <w:t xml:space="preserve"> Mjedisi i biznesit dhe reduktimi i ekonomisë informale</w:t>
      </w:r>
      <w:r w:rsidR="009B1D6B" w:rsidRPr="00050FA4">
        <w:rPr>
          <w:rFonts w:ascii="Garamond" w:hAnsi="Garamond"/>
        </w:rPr>
        <w:t xml:space="preserve"> </w:t>
      </w:r>
    </w:p>
    <w:p w14:paraId="1C35DB06" w14:textId="08C4CC1D" w:rsidR="003C51D0" w:rsidRPr="00050FA4" w:rsidRDefault="003C51D0" w:rsidP="003F1DA7">
      <w:pPr>
        <w:ind w:firstLine="284"/>
        <w:jc w:val="both"/>
        <w:rPr>
          <w:rFonts w:ascii="Garamond" w:hAnsi="Garamond"/>
        </w:rPr>
      </w:pPr>
      <w:r w:rsidRPr="00050FA4">
        <w:rPr>
          <w:rFonts w:ascii="Garamond" w:hAnsi="Garamond"/>
        </w:rPr>
        <w:t>5</w:t>
      </w:r>
      <w:r w:rsidR="005A6B6F" w:rsidRPr="00050FA4">
        <w:rPr>
          <w:rFonts w:ascii="Garamond" w:hAnsi="Garamond"/>
        </w:rPr>
        <w:t>.2.5</w:t>
      </w:r>
      <w:r w:rsidRPr="00050FA4">
        <w:rPr>
          <w:rFonts w:ascii="Garamond" w:hAnsi="Garamond"/>
        </w:rPr>
        <w:t xml:space="preserve"> Integrimi ekonomik</w:t>
      </w:r>
      <w:r w:rsidR="009B1D6B" w:rsidRPr="00050FA4">
        <w:rPr>
          <w:rFonts w:ascii="Garamond" w:hAnsi="Garamond"/>
        </w:rPr>
        <w:t xml:space="preserve"> </w:t>
      </w:r>
    </w:p>
    <w:p w14:paraId="59203B3D" w14:textId="5B9690B2" w:rsidR="003C51D0" w:rsidRPr="00050FA4" w:rsidRDefault="005A6B6F" w:rsidP="003F1DA7">
      <w:pPr>
        <w:ind w:firstLine="284"/>
        <w:jc w:val="both"/>
        <w:rPr>
          <w:rFonts w:ascii="Garamond" w:hAnsi="Garamond"/>
        </w:rPr>
      </w:pPr>
      <w:r w:rsidRPr="00050FA4">
        <w:rPr>
          <w:rFonts w:ascii="Garamond" w:hAnsi="Garamond"/>
        </w:rPr>
        <w:t>5.2.6</w:t>
      </w:r>
      <w:r w:rsidR="003C51D0" w:rsidRPr="00050FA4">
        <w:rPr>
          <w:rFonts w:ascii="Garamond" w:hAnsi="Garamond"/>
        </w:rPr>
        <w:t xml:space="preserve"> Energjia</w:t>
      </w:r>
      <w:r w:rsidR="009B1D6B" w:rsidRPr="00050FA4">
        <w:rPr>
          <w:rFonts w:ascii="Garamond" w:hAnsi="Garamond"/>
        </w:rPr>
        <w:t xml:space="preserve"> </w:t>
      </w:r>
    </w:p>
    <w:p w14:paraId="448D66A1" w14:textId="5BCC631F" w:rsidR="003C51D0" w:rsidRPr="00050FA4" w:rsidRDefault="005A6B6F" w:rsidP="003F1DA7">
      <w:pPr>
        <w:ind w:firstLine="284"/>
        <w:jc w:val="both"/>
        <w:rPr>
          <w:rFonts w:ascii="Garamond" w:hAnsi="Garamond"/>
        </w:rPr>
      </w:pPr>
      <w:r w:rsidRPr="00050FA4">
        <w:rPr>
          <w:rFonts w:ascii="Garamond" w:hAnsi="Garamond"/>
        </w:rPr>
        <w:t>5.2.7</w:t>
      </w:r>
      <w:r w:rsidR="003C51D0" w:rsidRPr="00050FA4">
        <w:rPr>
          <w:rFonts w:ascii="Garamond" w:hAnsi="Garamond"/>
        </w:rPr>
        <w:t xml:space="preserve"> Transporti</w:t>
      </w:r>
      <w:r w:rsidR="009B1D6B" w:rsidRPr="00050FA4">
        <w:rPr>
          <w:rFonts w:ascii="Garamond" w:hAnsi="Garamond"/>
        </w:rPr>
        <w:t xml:space="preserve"> </w:t>
      </w:r>
    </w:p>
    <w:p w14:paraId="7FA715A9" w14:textId="61BC33C0" w:rsidR="003C51D0" w:rsidRPr="00050FA4" w:rsidRDefault="005A6B6F" w:rsidP="003F1DA7">
      <w:pPr>
        <w:ind w:firstLine="284"/>
        <w:jc w:val="both"/>
        <w:rPr>
          <w:rFonts w:ascii="Garamond" w:hAnsi="Garamond"/>
        </w:rPr>
      </w:pPr>
      <w:r w:rsidRPr="00050FA4">
        <w:rPr>
          <w:rFonts w:ascii="Garamond" w:hAnsi="Garamond"/>
        </w:rPr>
        <w:t>5.2.8</w:t>
      </w:r>
      <w:r w:rsidR="003C51D0" w:rsidRPr="00050FA4">
        <w:rPr>
          <w:rFonts w:ascii="Garamond" w:hAnsi="Garamond"/>
        </w:rPr>
        <w:t xml:space="preserve"> Bujqësi, industri dhe shërbime</w:t>
      </w:r>
      <w:r w:rsidR="009B1D6B" w:rsidRPr="00050FA4">
        <w:rPr>
          <w:rFonts w:ascii="Garamond" w:hAnsi="Garamond"/>
        </w:rPr>
        <w:t xml:space="preserve"> </w:t>
      </w:r>
    </w:p>
    <w:p w14:paraId="47F6F92B" w14:textId="63D9AE6B" w:rsidR="003C51D0" w:rsidRPr="00050FA4" w:rsidRDefault="005A6B6F" w:rsidP="003F1DA7">
      <w:pPr>
        <w:ind w:firstLine="284"/>
        <w:jc w:val="both"/>
        <w:rPr>
          <w:rFonts w:ascii="Garamond" w:hAnsi="Garamond"/>
        </w:rPr>
      </w:pPr>
      <w:r w:rsidRPr="00050FA4">
        <w:rPr>
          <w:rFonts w:ascii="Garamond" w:hAnsi="Garamond"/>
        </w:rPr>
        <w:t>5.2.9</w:t>
      </w:r>
      <w:r w:rsidR="003C51D0" w:rsidRPr="00050FA4">
        <w:rPr>
          <w:rFonts w:ascii="Garamond" w:hAnsi="Garamond"/>
        </w:rPr>
        <w:t xml:space="preserve"> Arsimimi dhe aftësitë</w:t>
      </w:r>
      <w:r w:rsidR="009B1D6B" w:rsidRPr="00050FA4">
        <w:rPr>
          <w:rFonts w:ascii="Garamond" w:hAnsi="Garamond"/>
        </w:rPr>
        <w:t xml:space="preserve"> </w:t>
      </w:r>
    </w:p>
    <w:p w14:paraId="68C1BB5D" w14:textId="3106D0F0" w:rsidR="003C51D0" w:rsidRPr="00050FA4" w:rsidRDefault="005A6B6F" w:rsidP="003F1DA7">
      <w:pPr>
        <w:pStyle w:val="TOC3"/>
        <w:tabs>
          <w:tab w:val="clear" w:pos="1134"/>
          <w:tab w:val="clear" w:pos="9632"/>
        </w:tabs>
        <w:spacing w:after="0"/>
        <w:ind w:left="0" w:firstLine="284"/>
        <w:rPr>
          <w:rFonts w:ascii="Garamond" w:hAnsi="Garamond"/>
          <w:sz w:val="24"/>
          <w:szCs w:val="24"/>
        </w:rPr>
      </w:pPr>
      <w:r w:rsidRPr="00050FA4">
        <w:rPr>
          <w:rFonts w:ascii="Garamond" w:hAnsi="Garamond"/>
          <w:sz w:val="24"/>
          <w:szCs w:val="24"/>
        </w:rPr>
        <w:t>5.2.10</w:t>
      </w:r>
      <w:r w:rsidR="003C51D0" w:rsidRPr="00050FA4">
        <w:rPr>
          <w:rFonts w:ascii="Garamond" w:hAnsi="Garamond"/>
          <w:sz w:val="24"/>
          <w:szCs w:val="24"/>
        </w:rPr>
        <w:t xml:space="preserve"> Punësimi dhe tregjet e punës</w:t>
      </w:r>
      <w:r w:rsidR="009B1D6B" w:rsidRPr="00050FA4">
        <w:rPr>
          <w:rFonts w:ascii="Garamond" w:hAnsi="Garamond"/>
          <w:sz w:val="24"/>
          <w:szCs w:val="24"/>
        </w:rPr>
        <w:t xml:space="preserve"> </w:t>
      </w:r>
    </w:p>
    <w:p w14:paraId="6B3DC955" w14:textId="6F7729B2" w:rsidR="003C51D0" w:rsidRPr="00050FA4" w:rsidRDefault="005A6B6F" w:rsidP="003F1DA7">
      <w:pPr>
        <w:pStyle w:val="TOC2"/>
        <w:spacing w:after="0"/>
        <w:ind w:left="0" w:firstLine="284"/>
        <w:jc w:val="both"/>
        <w:rPr>
          <w:rFonts w:ascii="Garamond" w:hAnsi="Garamond"/>
          <w:sz w:val="24"/>
          <w:szCs w:val="24"/>
        </w:rPr>
      </w:pPr>
      <w:r w:rsidRPr="00050FA4">
        <w:rPr>
          <w:rFonts w:ascii="Garamond" w:hAnsi="Garamond"/>
          <w:sz w:val="24"/>
          <w:szCs w:val="24"/>
        </w:rPr>
        <w:t>5.3</w:t>
      </w:r>
      <w:r w:rsidR="003C51D0" w:rsidRPr="00050FA4">
        <w:rPr>
          <w:rFonts w:ascii="Garamond" w:hAnsi="Garamond"/>
          <w:sz w:val="24"/>
          <w:szCs w:val="24"/>
        </w:rPr>
        <w:t xml:space="preserve"> Përmbledhje e masave të reformës</w:t>
      </w:r>
      <w:r w:rsidR="009B1D6B" w:rsidRPr="00050FA4">
        <w:rPr>
          <w:rFonts w:ascii="Garamond" w:hAnsi="Garamond"/>
          <w:sz w:val="24"/>
          <w:szCs w:val="24"/>
        </w:rPr>
        <w:t xml:space="preserve"> </w:t>
      </w:r>
    </w:p>
    <w:p w14:paraId="3C61A6F5" w14:textId="7606C4E8"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6. KOSTIMI DHE FINANCIMI I REFORMAVE STRUKTURORE</w:t>
      </w:r>
      <w:r w:rsidR="009B1D6B" w:rsidRPr="00050FA4">
        <w:rPr>
          <w:rFonts w:ascii="Garamond" w:hAnsi="Garamond"/>
          <w:sz w:val="24"/>
          <w:szCs w:val="24"/>
        </w:rPr>
        <w:t xml:space="preserve"> </w:t>
      </w:r>
    </w:p>
    <w:p w14:paraId="094EE032" w14:textId="768A5654" w:rsidR="003C51D0" w:rsidRPr="00050FA4" w:rsidRDefault="003C51D0" w:rsidP="003F1DA7">
      <w:pPr>
        <w:ind w:firstLine="284"/>
        <w:jc w:val="both"/>
        <w:rPr>
          <w:rFonts w:ascii="Garamond" w:hAnsi="Garamond"/>
        </w:rPr>
      </w:pPr>
      <w:r w:rsidRPr="00050FA4">
        <w:rPr>
          <w:rFonts w:ascii="Garamond" w:hAnsi="Garamond"/>
        </w:rPr>
        <w:t>7. ÇËSHTJET INSTITUCIONALE DHE PËRFSHIRJA E GRUPEVE TË INTERESIT</w:t>
      </w:r>
      <w:r w:rsidR="009B1D6B" w:rsidRPr="00050FA4">
        <w:rPr>
          <w:rFonts w:ascii="Garamond" w:hAnsi="Garamond"/>
        </w:rPr>
        <w:t xml:space="preserve"> </w:t>
      </w:r>
    </w:p>
    <w:p w14:paraId="31FB93D0" w14:textId="1C3B3AF5"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SHTOJCA I</w:t>
      </w:r>
      <w:r w:rsidR="009B1D6B" w:rsidRPr="00050FA4">
        <w:rPr>
          <w:rFonts w:ascii="Garamond" w:hAnsi="Garamond"/>
          <w:sz w:val="24"/>
          <w:szCs w:val="24"/>
        </w:rPr>
        <w:t xml:space="preserve"> </w:t>
      </w:r>
    </w:p>
    <w:p w14:paraId="1B626E81" w14:textId="7E91104A" w:rsidR="003C51D0" w:rsidRPr="00050FA4" w:rsidRDefault="003C51D0" w:rsidP="003F1DA7">
      <w:pPr>
        <w:pStyle w:val="TOC2"/>
        <w:spacing w:after="0"/>
        <w:ind w:left="0" w:firstLine="284"/>
        <w:jc w:val="both"/>
        <w:rPr>
          <w:rFonts w:ascii="Garamond" w:hAnsi="Garamond"/>
          <w:sz w:val="24"/>
          <w:szCs w:val="24"/>
        </w:rPr>
      </w:pPr>
      <w:r w:rsidRPr="00050FA4">
        <w:rPr>
          <w:rFonts w:ascii="Garamond" w:hAnsi="Garamond"/>
          <w:sz w:val="24"/>
          <w:szCs w:val="24"/>
        </w:rPr>
        <w:t>Tabela 1a: Perspektivat makroekonomike</w:t>
      </w:r>
      <w:r w:rsidR="009B1D6B" w:rsidRPr="00050FA4">
        <w:rPr>
          <w:rFonts w:ascii="Garamond" w:hAnsi="Garamond"/>
          <w:sz w:val="24"/>
          <w:szCs w:val="24"/>
        </w:rPr>
        <w:t xml:space="preserve"> </w:t>
      </w:r>
    </w:p>
    <w:p w14:paraId="2A35F978" w14:textId="6D15BE26" w:rsidR="003C51D0" w:rsidRPr="00050FA4" w:rsidRDefault="003C51D0" w:rsidP="003F1DA7">
      <w:pPr>
        <w:ind w:firstLine="284"/>
        <w:jc w:val="both"/>
        <w:rPr>
          <w:rFonts w:ascii="Garamond" w:hAnsi="Garamond"/>
        </w:rPr>
      </w:pPr>
      <w:r w:rsidRPr="00050FA4">
        <w:rPr>
          <w:rFonts w:ascii="Garamond" w:hAnsi="Garamond"/>
        </w:rPr>
        <w:t>Tabela 1b: Zhvillimet e çmimeve</w:t>
      </w:r>
      <w:r w:rsidR="009B1D6B" w:rsidRPr="00050FA4">
        <w:rPr>
          <w:rFonts w:ascii="Garamond" w:hAnsi="Garamond"/>
        </w:rPr>
        <w:t xml:space="preserve"> </w:t>
      </w:r>
    </w:p>
    <w:p w14:paraId="73B049AE" w14:textId="2D0C1182" w:rsidR="003C51D0" w:rsidRPr="00050FA4" w:rsidRDefault="003C51D0" w:rsidP="003F1DA7">
      <w:pPr>
        <w:ind w:firstLine="284"/>
        <w:jc w:val="both"/>
        <w:rPr>
          <w:rFonts w:ascii="Garamond" w:hAnsi="Garamond"/>
        </w:rPr>
      </w:pPr>
      <w:r w:rsidRPr="00050FA4">
        <w:rPr>
          <w:rFonts w:ascii="Garamond" w:hAnsi="Garamond"/>
        </w:rPr>
        <w:t>Tabela 1c: Zhvillimet në tregun e punës</w:t>
      </w:r>
      <w:r w:rsidR="009B1D6B" w:rsidRPr="00050FA4">
        <w:rPr>
          <w:rFonts w:ascii="Garamond" w:hAnsi="Garamond"/>
        </w:rPr>
        <w:t xml:space="preserve"> </w:t>
      </w:r>
    </w:p>
    <w:p w14:paraId="4D07974A" w14:textId="33A44F33" w:rsidR="003C51D0" w:rsidRPr="00050FA4" w:rsidRDefault="003C51D0" w:rsidP="003F1DA7">
      <w:pPr>
        <w:ind w:firstLine="284"/>
        <w:jc w:val="both"/>
        <w:rPr>
          <w:rFonts w:ascii="Garamond" w:hAnsi="Garamond"/>
        </w:rPr>
      </w:pPr>
      <w:r w:rsidRPr="00050FA4">
        <w:rPr>
          <w:rFonts w:ascii="Garamond" w:hAnsi="Garamond"/>
        </w:rPr>
        <w:t>Tabela 1d: Bilancet sektoriale</w:t>
      </w:r>
      <w:r w:rsidR="009B1D6B" w:rsidRPr="00050FA4">
        <w:rPr>
          <w:rFonts w:ascii="Garamond" w:hAnsi="Garamond"/>
        </w:rPr>
        <w:t xml:space="preserve"> </w:t>
      </w:r>
    </w:p>
    <w:p w14:paraId="3743CE1F" w14:textId="4761F726" w:rsidR="003C51D0" w:rsidRPr="00050FA4" w:rsidRDefault="003C51D0" w:rsidP="003F1DA7">
      <w:pPr>
        <w:ind w:firstLine="284"/>
        <w:jc w:val="both"/>
        <w:rPr>
          <w:rFonts w:ascii="Garamond" w:hAnsi="Garamond"/>
        </w:rPr>
      </w:pPr>
      <w:r w:rsidRPr="00050FA4">
        <w:rPr>
          <w:rFonts w:ascii="Garamond" w:hAnsi="Garamond"/>
        </w:rPr>
        <w:t>Tabela 1e: PBB, investime dhe vlera e shtuar bruto</w:t>
      </w:r>
      <w:r w:rsidR="009B1D6B" w:rsidRPr="00050FA4">
        <w:rPr>
          <w:rFonts w:ascii="Garamond" w:hAnsi="Garamond"/>
        </w:rPr>
        <w:t xml:space="preserve"> </w:t>
      </w:r>
    </w:p>
    <w:p w14:paraId="3F4745BE" w14:textId="5956FEC9" w:rsidR="003C51D0" w:rsidRPr="00050FA4" w:rsidRDefault="003C51D0" w:rsidP="003F1DA7">
      <w:pPr>
        <w:ind w:firstLine="284"/>
        <w:jc w:val="both"/>
        <w:rPr>
          <w:rFonts w:ascii="Garamond" w:hAnsi="Garamond"/>
        </w:rPr>
      </w:pPr>
      <w:r w:rsidRPr="00050FA4">
        <w:rPr>
          <w:rFonts w:ascii="Garamond" w:hAnsi="Garamond"/>
        </w:rPr>
        <w:t>Tabela 1f: Zhvillime të sektorit të jashtëm</w:t>
      </w:r>
      <w:r w:rsidR="009B1D6B" w:rsidRPr="00050FA4">
        <w:rPr>
          <w:rFonts w:ascii="Garamond" w:hAnsi="Garamond"/>
        </w:rPr>
        <w:t xml:space="preserve"> </w:t>
      </w:r>
    </w:p>
    <w:p w14:paraId="2C4B52A1" w14:textId="3D10FCB6" w:rsidR="003C51D0" w:rsidRPr="00050FA4" w:rsidRDefault="003C51D0" w:rsidP="003F1DA7">
      <w:pPr>
        <w:ind w:firstLine="284"/>
        <w:jc w:val="both"/>
        <w:rPr>
          <w:rFonts w:ascii="Garamond" w:hAnsi="Garamond"/>
        </w:rPr>
      </w:pPr>
      <w:r w:rsidRPr="00050FA4">
        <w:rPr>
          <w:rFonts w:ascii="Garamond" w:hAnsi="Garamond"/>
        </w:rPr>
        <w:t>Tabela 1g: Indikatorët e qëndrueshmërisë</w:t>
      </w:r>
      <w:r w:rsidR="009B1D6B" w:rsidRPr="00050FA4">
        <w:rPr>
          <w:rFonts w:ascii="Garamond" w:hAnsi="Garamond"/>
        </w:rPr>
        <w:t xml:space="preserve"> </w:t>
      </w:r>
    </w:p>
    <w:p w14:paraId="60ADC4B3" w14:textId="43F45D76" w:rsidR="003C51D0" w:rsidRPr="00050FA4" w:rsidRDefault="003C51D0" w:rsidP="003F1DA7">
      <w:pPr>
        <w:ind w:firstLine="284"/>
        <w:jc w:val="both"/>
        <w:rPr>
          <w:rFonts w:ascii="Garamond" w:hAnsi="Garamond"/>
        </w:rPr>
      </w:pPr>
      <w:r w:rsidRPr="00050FA4">
        <w:rPr>
          <w:rFonts w:ascii="Garamond" w:hAnsi="Garamond"/>
        </w:rPr>
        <w:t xml:space="preserve">Tabela 2a: Perspektivat e </w:t>
      </w:r>
      <w:r w:rsidR="002E13D6" w:rsidRPr="00050FA4">
        <w:rPr>
          <w:rFonts w:ascii="Garamond" w:hAnsi="Garamond"/>
        </w:rPr>
        <w:t>përgjithshme</w:t>
      </w:r>
      <w:r w:rsidRPr="00050FA4">
        <w:rPr>
          <w:rFonts w:ascii="Garamond" w:hAnsi="Garamond"/>
        </w:rPr>
        <w:t xml:space="preserve"> buxhetore të qeverisë</w:t>
      </w:r>
      <w:r w:rsidR="009B1D6B" w:rsidRPr="00050FA4">
        <w:rPr>
          <w:rFonts w:ascii="Garamond" w:hAnsi="Garamond"/>
        </w:rPr>
        <w:t xml:space="preserve"> </w:t>
      </w:r>
    </w:p>
    <w:p w14:paraId="055FFB8B" w14:textId="3C9EDF18" w:rsidR="003C51D0" w:rsidRPr="00050FA4" w:rsidRDefault="003C51D0" w:rsidP="003F1DA7">
      <w:pPr>
        <w:ind w:firstLine="284"/>
        <w:jc w:val="both"/>
        <w:rPr>
          <w:rFonts w:ascii="Garamond" w:hAnsi="Garamond"/>
        </w:rPr>
      </w:pPr>
      <w:r w:rsidRPr="00050FA4">
        <w:rPr>
          <w:rFonts w:ascii="Garamond" w:hAnsi="Garamond"/>
        </w:rPr>
        <w:t>Tabela 2b: Perspektivat e përgjithshme buxhetore të qeverisë</w:t>
      </w:r>
      <w:r w:rsidR="009B1D6B" w:rsidRPr="00050FA4">
        <w:rPr>
          <w:rFonts w:ascii="Garamond" w:hAnsi="Garamond"/>
        </w:rPr>
        <w:t xml:space="preserve"> </w:t>
      </w:r>
    </w:p>
    <w:p w14:paraId="4E41C848" w14:textId="227F421E" w:rsidR="003C51D0" w:rsidRPr="00050FA4" w:rsidRDefault="003C51D0" w:rsidP="003F1DA7">
      <w:pPr>
        <w:ind w:firstLine="284"/>
        <w:jc w:val="both"/>
        <w:rPr>
          <w:rFonts w:ascii="Garamond" w:hAnsi="Garamond"/>
        </w:rPr>
      </w:pPr>
      <w:r w:rsidRPr="00050FA4">
        <w:rPr>
          <w:rFonts w:ascii="Garamond" w:hAnsi="Garamond"/>
        </w:rPr>
        <w:t>Tabela 4: Zhvillime të përgjithshme të borxhit të qeverisë</w:t>
      </w:r>
      <w:r w:rsidR="009B1D6B" w:rsidRPr="00050FA4">
        <w:rPr>
          <w:rFonts w:ascii="Garamond" w:hAnsi="Garamond"/>
        </w:rPr>
        <w:t xml:space="preserve"> </w:t>
      </w:r>
    </w:p>
    <w:p w14:paraId="4CAD4241" w14:textId="4A141AE0" w:rsidR="003C51D0" w:rsidRPr="00050FA4" w:rsidRDefault="003C51D0" w:rsidP="003F1DA7">
      <w:pPr>
        <w:ind w:firstLine="284"/>
        <w:jc w:val="both"/>
        <w:rPr>
          <w:rFonts w:ascii="Garamond" w:hAnsi="Garamond"/>
        </w:rPr>
      </w:pPr>
      <w:r w:rsidRPr="00050FA4">
        <w:rPr>
          <w:rFonts w:ascii="Garamond" w:hAnsi="Garamond"/>
        </w:rPr>
        <w:t>Tabela 5: Zhvillime ciklike</w:t>
      </w:r>
      <w:r w:rsidR="009B1D6B" w:rsidRPr="00050FA4">
        <w:rPr>
          <w:rFonts w:ascii="Garamond" w:hAnsi="Garamond"/>
        </w:rPr>
        <w:t xml:space="preserve"> </w:t>
      </w:r>
    </w:p>
    <w:p w14:paraId="2DD3981F" w14:textId="48271D9F" w:rsidR="003C51D0" w:rsidRPr="00050FA4" w:rsidRDefault="003C51D0" w:rsidP="003F1DA7">
      <w:pPr>
        <w:ind w:firstLine="284"/>
        <w:jc w:val="both"/>
        <w:rPr>
          <w:rFonts w:ascii="Garamond" w:hAnsi="Garamond"/>
        </w:rPr>
      </w:pPr>
      <w:r w:rsidRPr="00050FA4">
        <w:rPr>
          <w:rFonts w:ascii="Garamond" w:hAnsi="Garamond"/>
        </w:rPr>
        <w:t>Tabela 6: Divergjenca nga programi i mëparshëm</w:t>
      </w:r>
      <w:r w:rsidR="009B1D6B" w:rsidRPr="00050FA4">
        <w:rPr>
          <w:rFonts w:ascii="Garamond" w:hAnsi="Garamond"/>
        </w:rPr>
        <w:t xml:space="preserve"> </w:t>
      </w:r>
    </w:p>
    <w:p w14:paraId="297FB54E" w14:textId="648F4083" w:rsidR="003C51D0" w:rsidRPr="00050FA4" w:rsidRDefault="003C51D0" w:rsidP="003F1DA7">
      <w:pPr>
        <w:ind w:firstLine="284"/>
        <w:jc w:val="both"/>
        <w:rPr>
          <w:rFonts w:ascii="Garamond" w:hAnsi="Garamond"/>
        </w:rPr>
      </w:pPr>
      <w:r w:rsidRPr="00050FA4">
        <w:rPr>
          <w:rFonts w:ascii="Garamond" w:hAnsi="Garamond"/>
        </w:rPr>
        <w:t>Tabela 8: Supozimet bazë mbi mjedisin e jashtëm ekonomik</w:t>
      </w:r>
      <w:r w:rsidR="001411C0" w:rsidRPr="00050FA4">
        <w:rPr>
          <w:rFonts w:ascii="Garamond" w:hAnsi="Garamond"/>
        </w:rPr>
        <w:t>,</w:t>
      </w:r>
      <w:r w:rsidRPr="00050FA4">
        <w:rPr>
          <w:rFonts w:ascii="Garamond" w:hAnsi="Garamond"/>
        </w:rPr>
        <w:t xml:space="preserve"> që qëndron në themel të kornizës së programit</w:t>
      </w:r>
      <w:r w:rsidR="009B1D6B" w:rsidRPr="00050FA4">
        <w:rPr>
          <w:rFonts w:ascii="Garamond" w:hAnsi="Garamond"/>
        </w:rPr>
        <w:t xml:space="preserve"> </w:t>
      </w:r>
    </w:p>
    <w:p w14:paraId="235B3539" w14:textId="57D62F60" w:rsidR="003C51D0" w:rsidRPr="00050FA4" w:rsidRDefault="003C51D0" w:rsidP="003F1DA7">
      <w:pPr>
        <w:ind w:firstLine="284"/>
        <w:jc w:val="both"/>
        <w:rPr>
          <w:rFonts w:ascii="Garamond" w:hAnsi="Garamond"/>
        </w:rPr>
      </w:pPr>
      <w:r w:rsidRPr="00050FA4">
        <w:rPr>
          <w:rFonts w:ascii="Garamond" w:hAnsi="Garamond"/>
        </w:rPr>
        <w:t>Tabela 9a: Tabela e treguesve socialë</w:t>
      </w:r>
      <w:r w:rsidR="009B1D6B" w:rsidRPr="00050FA4">
        <w:rPr>
          <w:rFonts w:ascii="Garamond" w:hAnsi="Garamond"/>
        </w:rPr>
        <w:t xml:space="preserve"> </w:t>
      </w:r>
    </w:p>
    <w:p w14:paraId="7D1594E9" w14:textId="2956FFB2" w:rsidR="003C51D0" w:rsidRPr="00050FA4" w:rsidRDefault="003C51D0" w:rsidP="003F1DA7">
      <w:pPr>
        <w:ind w:firstLine="284"/>
        <w:jc w:val="both"/>
        <w:rPr>
          <w:rFonts w:ascii="Garamond" w:hAnsi="Garamond"/>
        </w:rPr>
      </w:pPr>
      <w:r w:rsidRPr="00050FA4">
        <w:rPr>
          <w:rFonts w:ascii="Garamond" w:hAnsi="Garamond"/>
        </w:rPr>
        <w:t>Tabela 9b: Tregues të tjerë</w:t>
      </w:r>
      <w:r w:rsidR="009B1D6B" w:rsidRPr="00050FA4">
        <w:rPr>
          <w:rFonts w:ascii="Garamond" w:hAnsi="Garamond"/>
        </w:rPr>
        <w:t xml:space="preserve"> </w:t>
      </w:r>
    </w:p>
    <w:p w14:paraId="3FFE9A3E" w14:textId="43FD0D8C" w:rsidR="003C51D0" w:rsidRPr="00050FA4" w:rsidRDefault="003C51D0" w:rsidP="003F1DA7">
      <w:pPr>
        <w:ind w:firstLine="284"/>
        <w:jc w:val="both"/>
        <w:rPr>
          <w:rFonts w:ascii="Garamond" w:hAnsi="Garamond"/>
        </w:rPr>
      </w:pPr>
      <w:r w:rsidRPr="00050FA4">
        <w:rPr>
          <w:rFonts w:ascii="Garamond" w:hAnsi="Garamond"/>
        </w:rPr>
        <w:t>Tabela 10a: Kostimi i masave të reformave strukturore</w:t>
      </w:r>
      <w:r w:rsidR="009B1D6B" w:rsidRPr="00050FA4">
        <w:rPr>
          <w:rFonts w:ascii="Garamond" w:hAnsi="Garamond"/>
        </w:rPr>
        <w:t xml:space="preserve"> </w:t>
      </w:r>
    </w:p>
    <w:p w14:paraId="25701012" w14:textId="64936DCA" w:rsidR="003C51D0" w:rsidRPr="00050FA4" w:rsidRDefault="003C51D0" w:rsidP="003F1DA7">
      <w:pPr>
        <w:pStyle w:val="TOC3"/>
        <w:tabs>
          <w:tab w:val="clear" w:pos="1134"/>
          <w:tab w:val="clear" w:pos="9632"/>
        </w:tabs>
        <w:spacing w:after="0"/>
        <w:ind w:left="0" w:firstLine="284"/>
        <w:rPr>
          <w:rFonts w:ascii="Garamond" w:hAnsi="Garamond"/>
          <w:sz w:val="24"/>
          <w:szCs w:val="24"/>
        </w:rPr>
      </w:pPr>
      <w:r w:rsidRPr="00050FA4">
        <w:rPr>
          <w:rFonts w:ascii="Garamond" w:hAnsi="Garamond"/>
          <w:sz w:val="24"/>
          <w:szCs w:val="24"/>
        </w:rPr>
        <w:t>Sfidat kyçe</w:t>
      </w:r>
      <w:r w:rsidR="009B1D6B" w:rsidRPr="00050FA4">
        <w:rPr>
          <w:rFonts w:ascii="Garamond" w:hAnsi="Garamond"/>
          <w:sz w:val="24"/>
          <w:szCs w:val="24"/>
        </w:rPr>
        <w:t xml:space="preserve"> </w:t>
      </w:r>
    </w:p>
    <w:p w14:paraId="57254A52" w14:textId="0708610A" w:rsidR="003C51D0" w:rsidRPr="00050FA4" w:rsidRDefault="003C51D0" w:rsidP="003F1DA7">
      <w:pPr>
        <w:ind w:firstLine="284"/>
        <w:jc w:val="both"/>
        <w:rPr>
          <w:rFonts w:ascii="Garamond" w:hAnsi="Garamond"/>
        </w:rPr>
      </w:pPr>
      <w:r w:rsidRPr="00050FA4">
        <w:rPr>
          <w:rFonts w:ascii="Garamond" w:hAnsi="Garamond"/>
        </w:rPr>
        <w:t>Fushat e tjera</w:t>
      </w:r>
      <w:r w:rsidR="009B1D6B" w:rsidRPr="00050FA4">
        <w:rPr>
          <w:rFonts w:ascii="Garamond" w:hAnsi="Garamond"/>
        </w:rPr>
        <w:t xml:space="preserve"> </w:t>
      </w:r>
    </w:p>
    <w:p w14:paraId="4CA10614" w14:textId="20F3BD37" w:rsidR="003C51D0" w:rsidRPr="00050FA4" w:rsidRDefault="003C51D0" w:rsidP="003F1DA7">
      <w:pPr>
        <w:pStyle w:val="TOC2"/>
        <w:spacing w:after="0"/>
        <w:ind w:left="0" w:firstLine="284"/>
        <w:jc w:val="both"/>
        <w:rPr>
          <w:rFonts w:ascii="Garamond" w:hAnsi="Garamond"/>
          <w:sz w:val="24"/>
          <w:szCs w:val="24"/>
        </w:rPr>
      </w:pPr>
      <w:r w:rsidRPr="00050FA4">
        <w:rPr>
          <w:rFonts w:ascii="Garamond" w:hAnsi="Garamond"/>
          <w:sz w:val="24"/>
          <w:szCs w:val="24"/>
        </w:rPr>
        <w:t>Tabela 10b: Financimi i masave të reformave strukturore</w:t>
      </w:r>
      <w:r w:rsidR="009B1D6B" w:rsidRPr="00050FA4">
        <w:rPr>
          <w:rFonts w:ascii="Garamond" w:hAnsi="Garamond"/>
          <w:sz w:val="24"/>
          <w:szCs w:val="24"/>
        </w:rPr>
        <w:t xml:space="preserve"> </w:t>
      </w:r>
    </w:p>
    <w:p w14:paraId="58730262" w14:textId="637F1FA1" w:rsidR="003C51D0" w:rsidRPr="00050FA4" w:rsidRDefault="003C51D0" w:rsidP="003F1DA7">
      <w:pPr>
        <w:pStyle w:val="TOC3"/>
        <w:tabs>
          <w:tab w:val="clear" w:pos="1134"/>
          <w:tab w:val="clear" w:pos="9632"/>
        </w:tabs>
        <w:spacing w:after="0"/>
        <w:ind w:left="0" w:firstLine="284"/>
        <w:rPr>
          <w:rFonts w:ascii="Garamond" w:hAnsi="Garamond"/>
          <w:sz w:val="24"/>
          <w:szCs w:val="24"/>
        </w:rPr>
      </w:pPr>
      <w:r w:rsidRPr="00050FA4">
        <w:rPr>
          <w:rFonts w:ascii="Garamond" w:hAnsi="Garamond"/>
          <w:sz w:val="24"/>
          <w:szCs w:val="24"/>
        </w:rPr>
        <w:t>Sfidat kyçe</w:t>
      </w:r>
      <w:r w:rsidR="009B1D6B" w:rsidRPr="00050FA4">
        <w:rPr>
          <w:rFonts w:ascii="Garamond" w:hAnsi="Garamond"/>
          <w:sz w:val="24"/>
          <w:szCs w:val="24"/>
        </w:rPr>
        <w:t xml:space="preserve"> </w:t>
      </w:r>
    </w:p>
    <w:p w14:paraId="4F2F50A1" w14:textId="119B0B8F" w:rsidR="003C51D0" w:rsidRPr="00050FA4" w:rsidRDefault="003C51D0" w:rsidP="003F1DA7">
      <w:pPr>
        <w:ind w:firstLine="284"/>
        <w:jc w:val="both"/>
        <w:rPr>
          <w:rFonts w:ascii="Garamond" w:hAnsi="Garamond"/>
        </w:rPr>
      </w:pPr>
      <w:r w:rsidRPr="00050FA4">
        <w:rPr>
          <w:rFonts w:ascii="Garamond" w:hAnsi="Garamond"/>
        </w:rPr>
        <w:t>Fushat e tjera</w:t>
      </w:r>
      <w:r w:rsidR="009B1D6B" w:rsidRPr="00050FA4">
        <w:rPr>
          <w:rFonts w:ascii="Garamond" w:hAnsi="Garamond"/>
        </w:rPr>
        <w:t xml:space="preserve"> </w:t>
      </w:r>
    </w:p>
    <w:p w14:paraId="653500F6" w14:textId="0404947A" w:rsidR="003C51D0" w:rsidRPr="00050FA4" w:rsidRDefault="003C51D0" w:rsidP="003F1DA7">
      <w:pPr>
        <w:pStyle w:val="TOC2"/>
        <w:spacing w:after="0"/>
        <w:ind w:left="0" w:firstLine="284"/>
        <w:jc w:val="both"/>
        <w:rPr>
          <w:rFonts w:ascii="Garamond" w:hAnsi="Garamond"/>
          <w:sz w:val="24"/>
          <w:szCs w:val="24"/>
        </w:rPr>
      </w:pPr>
      <w:r w:rsidRPr="00050FA4">
        <w:rPr>
          <w:rFonts w:ascii="Garamond" w:hAnsi="Garamond"/>
          <w:sz w:val="24"/>
          <w:szCs w:val="24"/>
        </w:rPr>
        <w:t>Tabela 11: Raportimi mbi zbatimin e masave të reformave strukturore të ERP 2021</w:t>
      </w:r>
      <w:r w:rsidR="00D97FB7" w:rsidRPr="00050FA4">
        <w:rPr>
          <w:rFonts w:ascii="Garamond" w:hAnsi="Garamond"/>
          <w:sz w:val="24"/>
          <w:szCs w:val="24"/>
        </w:rPr>
        <w:t>–</w:t>
      </w:r>
      <w:r w:rsidRPr="00050FA4">
        <w:rPr>
          <w:rFonts w:ascii="Garamond" w:hAnsi="Garamond"/>
          <w:sz w:val="24"/>
          <w:szCs w:val="24"/>
        </w:rPr>
        <w:t>2023</w:t>
      </w:r>
      <w:r w:rsidR="009B1D6B" w:rsidRPr="00050FA4">
        <w:rPr>
          <w:rFonts w:ascii="Garamond" w:hAnsi="Garamond"/>
          <w:sz w:val="24"/>
          <w:szCs w:val="24"/>
        </w:rPr>
        <w:t xml:space="preserve"> </w:t>
      </w:r>
    </w:p>
    <w:p w14:paraId="3D72BA5B" w14:textId="075D798C" w:rsidR="003C51D0" w:rsidRPr="00050FA4" w:rsidRDefault="003C51D0" w:rsidP="003F1DA7">
      <w:pPr>
        <w:pStyle w:val="TOC1"/>
        <w:spacing w:after="0"/>
        <w:ind w:firstLine="284"/>
        <w:jc w:val="both"/>
        <w:rPr>
          <w:rFonts w:ascii="Garamond" w:hAnsi="Garamond"/>
          <w:sz w:val="24"/>
          <w:szCs w:val="24"/>
        </w:rPr>
      </w:pPr>
      <w:r w:rsidRPr="00050FA4">
        <w:rPr>
          <w:rFonts w:ascii="Garamond" w:hAnsi="Garamond"/>
          <w:sz w:val="24"/>
          <w:szCs w:val="24"/>
        </w:rPr>
        <w:t>SHTOJCA II</w:t>
      </w:r>
      <w:r w:rsidR="009B1D6B" w:rsidRPr="00050FA4">
        <w:rPr>
          <w:rFonts w:ascii="Garamond" w:hAnsi="Garamond"/>
          <w:sz w:val="24"/>
          <w:szCs w:val="24"/>
        </w:rPr>
        <w:t xml:space="preserve"> </w:t>
      </w:r>
    </w:p>
    <w:p w14:paraId="7563F87E" w14:textId="0A24B1EC" w:rsidR="003C51D0" w:rsidRPr="00050FA4" w:rsidRDefault="003C51D0" w:rsidP="003F1DA7">
      <w:pPr>
        <w:ind w:firstLine="284"/>
        <w:jc w:val="both"/>
        <w:rPr>
          <w:rFonts w:ascii="Garamond" w:hAnsi="Garamond"/>
        </w:rPr>
      </w:pPr>
      <w:r w:rsidRPr="00050FA4">
        <w:rPr>
          <w:rFonts w:ascii="Garamond" w:hAnsi="Garamond"/>
        </w:rPr>
        <w:t>SHTOJCA III</w:t>
      </w:r>
      <w:r w:rsidR="009B1D6B" w:rsidRPr="00050FA4">
        <w:rPr>
          <w:rFonts w:ascii="Garamond" w:hAnsi="Garamond"/>
        </w:rPr>
        <w:t xml:space="preserve"> </w:t>
      </w:r>
    </w:p>
    <w:p w14:paraId="2FC0603A" w14:textId="6A3DAA6C" w:rsidR="003C51D0" w:rsidRPr="00050FA4" w:rsidRDefault="003C51D0" w:rsidP="003F1DA7">
      <w:pPr>
        <w:pStyle w:val="Heading1"/>
        <w:ind w:left="0" w:firstLine="284"/>
        <w:rPr>
          <w:rFonts w:ascii="Garamond" w:hAnsi="Garamond"/>
          <w:b w:val="0"/>
          <w:color w:val="0D0D0D"/>
        </w:rPr>
      </w:pPr>
      <w:r w:rsidRPr="00050FA4">
        <w:rPr>
          <w:rFonts w:ascii="Garamond" w:hAnsi="Garamond"/>
          <w:b w:val="0"/>
          <w:color w:val="0D0D0D"/>
        </w:rPr>
        <w:t>1. KUADRI I PËRGJITHSHËM POLITIK DHE OBJEKTIVAT</w:t>
      </w:r>
    </w:p>
    <w:p w14:paraId="492DE108" w14:textId="5450F624" w:rsidR="003C51D0" w:rsidRPr="00050FA4" w:rsidRDefault="003C51D0" w:rsidP="003F1DA7">
      <w:pPr>
        <w:ind w:firstLine="284"/>
        <w:jc w:val="both"/>
        <w:rPr>
          <w:rFonts w:ascii="Garamond" w:hAnsi="Garamond"/>
          <w:color w:val="0D0D0D"/>
        </w:rPr>
      </w:pPr>
      <w:r w:rsidRPr="00050FA4">
        <w:rPr>
          <w:rFonts w:ascii="Garamond" w:hAnsi="Garamond"/>
          <w:color w:val="0D0D0D"/>
        </w:rPr>
        <w:t>Hartimi dhe përgatitja e Programit të Reformave Ekonomike (ERP) 2022</w:t>
      </w:r>
      <w:r w:rsidR="00D97FB7" w:rsidRPr="00050FA4">
        <w:rPr>
          <w:rFonts w:ascii="Garamond" w:hAnsi="Garamond"/>
          <w:color w:val="0D0D0D"/>
        </w:rPr>
        <w:t>–</w:t>
      </w:r>
      <w:r w:rsidRPr="00050FA4">
        <w:rPr>
          <w:rFonts w:ascii="Garamond" w:hAnsi="Garamond"/>
          <w:color w:val="0D0D0D"/>
        </w:rPr>
        <w:t>2024 u bë i mundur përmes bashkëpunimit ndërinstitucional midis Ministrisë së Financave dhe Ekonomisë, në cilësinë e Koordinatorit Kombëtar të ERP</w:t>
      </w:r>
      <w:r w:rsidR="00D97FB7" w:rsidRPr="00050FA4">
        <w:rPr>
          <w:rFonts w:ascii="Garamond" w:hAnsi="Garamond"/>
          <w:color w:val="0D0D0D"/>
        </w:rPr>
        <w:t>-së</w:t>
      </w:r>
      <w:r w:rsidRPr="00050FA4">
        <w:rPr>
          <w:rFonts w:ascii="Garamond" w:hAnsi="Garamond"/>
          <w:color w:val="0D0D0D"/>
        </w:rPr>
        <w:t>, dhe ministrive të ndryshme të linjës, Bankës së Shqipërisë dhe INSTAT</w:t>
      </w:r>
      <w:r w:rsidR="00D97FB7" w:rsidRPr="00050FA4">
        <w:rPr>
          <w:rFonts w:ascii="Garamond" w:hAnsi="Garamond"/>
          <w:color w:val="0D0D0D"/>
        </w:rPr>
        <w:t>-it</w:t>
      </w:r>
      <w:r w:rsidRPr="00050FA4">
        <w:rPr>
          <w:rFonts w:ascii="Garamond" w:hAnsi="Garamond"/>
          <w:color w:val="0D0D0D"/>
        </w:rPr>
        <w:t>.</w:t>
      </w:r>
    </w:p>
    <w:p w14:paraId="3995DCE6" w14:textId="52E3BDCC" w:rsidR="003C51D0" w:rsidRPr="00050FA4" w:rsidRDefault="003C51D0" w:rsidP="003F1DA7">
      <w:pPr>
        <w:ind w:firstLine="284"/>
        <w:jc w:val="both"/>
        <w:rPr>
          <w:rFonts w:ascii="Garamond" w:hAnsi="Garamond"/>
          <w:color w:val="0D0D0D"/>
        </w:rPr>
      </w:pPr>
      <w:r w:rsidRPr="00050FA4">
        <w:rPr>
          <w:rFonts w:ascii="Garamond" w:hAnsi="Garamond"/>
          <w:color w:val="0D0D0D"/>
        </w:rPr>
        <w:t>Programi i Reformave Ekonomike 2022</w:t>
      </w:r>
      <w:r w:rsidR="00643BAF" w:rsidRPr="00050FA4">
        <w:rPr>
          <w:rFonts w:ascii="Garamond" w:hAnsi="Garamond"/>
        </w:rPr>
        <w:t>–</w:t>
      </w:r>
      <w:r w:rsidRPr="00050FA4">
        <w:rPr>
          <w:rFonts w:ascii="Garamond" w:hAnsi="Garamond"/>
          <w:color w:val="0D0D0D"/>
        </w:rPr>
        <w:t>2024 paraqet politikat kryesore makroekonomike dhe fiskale</w:t>
      </w:r>
      <w:r w:rsidR="00643BAF" w:rsidRPr="00050FA4">
        <w:rPr>
          <w:rFonts w:ascii="Garamond" w:hAnsi="Garamond"/>
          <w:color w:val="0D0D0D"/>
        </w:rPr>
        <w:t>,</w:t>
      </w:r>
      <w:r w:rsidRPr="00050FA4">
        <w:rPr>
          <w:rFonts w:ascii="Garamond" w:hAnsi="Garamond"/>
          <w:color w:val="0D0D0D"/>
        </w:rPr>
        <w:t xml:space="preserve"> që synojnë të vendosin një ekuilibër të qartë midis forcave të brendshme dhe kërcënimeve të jashtme, me qëllim që të mundësojnë zhvillim të qëndrueshëm, rritje të punësimit dhe uljen e borxhit publik. Për më tepër, ERP</w:t>
      </w:r>
      <w:r w:rsidR="00643BAF" w:rsidRPr="00050FA4">
        <w:rPr>
          <w:rFonts w:ascii="Garamond" w:hAnsi="Garamond"/>
          <w:color w:val="0D0D0D"/>
        </w:rPr>
        <w:t>-ja</w:t>
      </w:r>
      <w:r w:rsidRPr="00050FA4">
        <w:rPr>
          <w:rFonts w:ascii="Garamond" w:hAnsi="Garamond"/>
          <w:color w:val="0D0D0D"/>
        </w:rPr>
        <w:t xml:space="preserve"> përmbledh masat e reformave prioritare të </w:t>
      </w:r>
      <w:r w:rsidR="00A600D9">
        <w:rPr>
          <w:rFonts w:ascii="Garamond" w:hAnsi="Garamond"/>
          <w:color w:val="0D0D0D"/>
        </w:rPr>
        <w:t>q</w:t>
      </w:r>
      <w:r w:rsidRPr="00A600D9">
        <w:rPr>
          <w:rFonts w:ascii="Garamond" w:hAnsi="Garamond"/>
          <w:color w:val="0D0D0D"/>
        </w:rPr>
        <w:t>everisë së Shqipërisë</w:t>
      </w:r>
      <w:r w:rsidRPr="00050FA4">
        <w:rPr>
          <w:rFonts w:ascii="Garamond" w:hAnsi="Garamond"/>
          <w:color w:val="0D0D0D"/>
        </w:rPr>
        <w:t xml:space="preserve"> për periudhën afatshkurtër</w:t>
      </w:r>
      <w:r w:rsidR="00643BAF" w:rsidRPr="00050FA4">
        <w:rPr>
          <w:rFonts w:ascii="Garamond" w:hAnsi="Garamond"/>
          <w:color w:val="0D0D0D"/>
        </w:rPr>
        <w:t>,</w:t>
      </w:r>
      <w:r w:rsidRPr="00050FA4">
        <w:rPr>
          <w:rFonts w:ascii="Garamond" w:hAnsi="Garamond"/>
          <w:color w:val="0D0D0D"/>
        </w:rPr>
        <w:t xml:space="preserve"> me qëllim rritjen e prodhimit </w:t>
      </w:r>
      <w:r w:rsidR="00643BAF" w:rsidRPr="00050FA4">
        <w:rPr>
          <w:rFonts w:ascii="Garamond" w:hAnsi="Garamond"/>
          <w:color w:val="0D0D0D"/>
        </w:rPr>
        <w:t>vendës</w:t>
      </w:r>
      <w:r w:rsidRPr="00050FA4">
        <w:rPr>
          <w:rFonts w:ascii="Garamond" w:hAnsi="Garamond"/>
          <w:color w:val="0D0D0D"/>
        </w:rPr>
        <w:t>, nxitjen e investimeve të reja dhe sigurimin e një zhvillimi të qëndrueshme dhe rritjen e konkurrueshmërisë.</w:t>
      </w:r>
    </w:p>
    <w:p w14:paraId="7B85987E" w14:textId="75E33063" w:rsidR="003C51D0" w:rsidRPr="00050FA4" w:rsidRDefault="003C51D0" w:rsidP="003F1DA7">
      <w:pPr>
        <w:ind w:firstLine="284"/>
        <w:jc w:val="both"/>
        <w:rPr>
          <w:rFonts w:ascii="Garamond" w:hAnsi="Garamond"/>
          <w:color w:val="0D0D0D"/>
        </w:rPr>
      </w:pPr>
      <w:r w:rsidRPr="00050FA4">
        <w:rPr>
          <w:rFonts w:ascii="Garamond" w:hAnsi="Garamond"/>
          <w:color w:val="0D0D0D"/>
        </w:rPr>
        <w:t>ERP 2022</w:t>
      </w:r>
      <w:r w:rsidR="00643BAF" w:rsidRPr="00050FA4">
        <w:rPr>
          <w:rFonts w:ascii="Garamond" w:hAnsi="Garamond"/>
          <w:color w:val="0D0D0D"/>
        </w:rPr>
        <w:t>–</w:t>
      </w:r>
      <w:r w:rsidRPr="00050FA4">
        <w:rPr>
          <w:rFonts w:ascii="Garamond" w:hAnsi="Garamond"/>
          <w:color w:val="0D0D0D"/>
        </w:rPr>
        <w:t>2024</w:t>
      </w:r>
      <w:r w:rsidR="00643BAF" w:rsidRPr="00050FA4">
        <w:rPr>
          <w:rFonts w:ascii="Garamond" w:hAnsi="Garamond"/>
          <w:color w:val="0D0D0D"/>
        </w:rPr>
        <w:t>,</w:t>
      </w:r>
      <w:r w:rsidRPr="00050FA4">
        <w:rPr>
          <w:rFonts w:ascii="Garamond" w:hAnsi="Garamond"/>
          <w:color w:val="0D0D0D"/>
        </w:rPr>
        <w:t xml:space="preserve"> gjithashtu</w:t>
      </w:r>
      <w:r w:rsidR="00EE18CD" w:rsidRPr="00050FA4">
        <w:rPr>
          <w:rFonts w:ascii="Garamond" w:hAnsi="Garamond"/>
          <w:color w:val="0D0D0D"/>
        </w:rPr>
        <w:t>,</w:t>
      </w:r>
      <w:r w:rsidRPr="00050FA4">
        <w:rPr>
          <w:rFonts w:ascii="Garamond" w:hAnsi="Garamond"/>
          <w:color w:val="0D0D0D"/>
        </w:rPr>
        <w:t xml:space="preserve"> përfshin ato reforma strukturore prioritare</w:t>
      </w:r>
      <w:r w:rsidR="00EE18CD" w:rsidRPr="00050FA4">
        <w:rPr>
          <w:rFonts w:ascii="Garamond" w:hAnsi="Garamond"/>
          <w:color w:val="0D0D0D"/>
        </w:rPr>
        <w:t>,</w:t>
      </w:r>
      <w:r w:rsidRPr="00050FA4">
        <w:rPr>
          <w:rFonts w:ascii="Garamond" w:hAnsi="Garamond"/>
          <w:color w:val="0D0D0D"/>
        </w:rPr>
        <w:t xml:space="preserve"> që janë në vazhdimësi nga ERP</w:t>
      </w:r>
      <w:r w:rsidR="00EE18CD" w:rsidRPr="00050FA4">
        <w:rPr>
          <w:rFonts w:ascii="Garamond" w:hAnsi="Garamond"/>
          <w:color w:val="0D0D0D"/>
        </w:rPr>
        <w:t>-ja</w:t>
      </w:r>
      <w:r w:rsidRPr="00050FA4">
        <w:rPr>
          <w:rFonts w:ascii="Garamond" w:hAnsi="Garamond"/>
          <w:color w:val="0D0D0D"/>
        </w:rPr>
        <w:t xml:space="preserve"> e mëparshme, së bashku me shtesat e reja të përfshira në këtë cikël. Qëllimi kryesor i kësaj qasje</w:t>
      </w:r>
      <w:r w:rsidR="00EE18CD" w:rsidRPr="00050FA4">
        <w:rPr>
          <w:rFonts w:ascii="Garamond" w:hAnsi="Garamond"/>
          <w:color w:val="0D0D0D"/>
        </w:rPr>
        <w:t>je</w:t>
      </w:r>
      <w:r w:rsidRPr="00050FA4">
        <w:rPr>
          <w:rFonts w:ascii="Garamond" w:hAnsi="Garamond"/>
          <w:color w:val="0D0D0D"/>
        </w:rPr>
        <w:t xml:space="preserve"> është të sigurojë një përfaqësim të vazhdueshëm të atyre reformave</w:t>
      </w:r>
      <w:r w:rsidR="00EE18CD" w:rsidRPr="00050FA4">
        <w:rPr>
          <w:rFonts w:ascii="Garamond" w:hAnsi="Garamond"/>
          <w:color w:val="0D0D0D"/>
        </w:rPr>
        <w:t>,</w:t>
      </w:r>
      <w:r w:rsidRPr="00050FA4">
        <w:rPr>
          <w:rFonts w:ascii="Garamond" w:hAnsi="Garamond"/>
          <w:color w:val="0D0D0D"/>
        </w:rPr>
        <w:t xml:space="preserve"> që janë ende në zbatim, duke siguruar kështu qëndrueshmëri në a</w:t>
      </w:r>
      <w:r w:rsidR="002E13D6" w:rsidRPr="00050FA4">
        <w:rPr>
          <w:rFonts w:ascii="Garamond" w:hAnsi="Garamond"/>
          <w:color w:val="0D0D0D"/>
        </w:rPr>
        <w:t>gj</w:t>
      </w:r>
      <w:r w:rsidRPr="00050FA4">
        <w:rPr>
          <w:rFonts w:ascii="Garamond" w:hAnsi="Garamond"/>
          <w:color w:val="0D0D0D"/>
        </w:rPr>
        <w:t>endën e reformës prioritare.</w:t>
      </w:r>
    </w:p>
    <w:p w14:paraId="36775B80" w14:textId="1BC33775"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Ekonomia shqiptare ka qenë mjaft elastike përballë dy goditjeve të njëpasnjëshme të tërmetit të nëntorit 2019, ndjekur nga shpërthimi i pandemisë COVID-19. Mbështetja e politikës fiskale dhe monetare së bashku me masat e duhura rregullatore kanë ndihmuar në zbutjen e ndikimit në popullatë dhe ekonomi </w:t>
      </w:r>
      <w:r w:rsidRPr="00050FA4">
        <w:rPr>
          <w:rFonts w:ascii="Garamond" w:hAnsi="Garamond"/>
          <w:color w:val="0D0D0D"/>
        </w:rPr>
        <w:lastRenderedPageBreak/>
        <w:t>dhe kanë përgatitur terrenin për një rimëkëmbje të shpejtë dhe të fuqishme. Pas një tkurrjeje prej 4 për</w:t>
      </w:r>
      <w:r w:rsidR="002E13D6" w:rsidRPr="00050FA4">
        <w:rPr>
          <w:rFonts w:ascii="Garamond" w:hAnsi="Garamond"/>
          <w:color w:val="0D0D0D"/>
        </w:rPr>
        <w:t xml:space="preserve"> </w:t>
      </w:r>
      <w:r w:rsidRPr="00050FA4">
        <w:rPr>
          <w:rFonts w:ascii="Garamond" w:hAnsi="Garamond"/>
          <w:color w:val="0D0D0D"/>
        </w:rPr>
        <w:t>qind në vitin 2020, ekonomia po rimëkëmbet fuqishëm me 8.7 për</w:t>
      </w:r>
      <w:r w:rsidR="002E13D6" w:rsidRPr="00050FA4">
        <w:rPr>
          <w:rFonts w:ascii="Garamond" w:hAnsi="Garamond"/>
          <w:color w:val="0D0D0D"/>
        </w:rPr>
        <w:t xml:space="preserve"> </w:t>
      </w:r>
      <w:r w:rsidRPr="00050FA4">
        <w:rPr>
          <w:rFonts w:ascii="Garamond" w:hAnsi="Garamond"/>
          <w:color w:val="0D0D0D"/>
        </w:rPr>
        <w:t xml:space="preserve">qind të parashikuar </w:t>
      </w:r>
      <w:r w:rsidR="00EE18CD" w:rsidRPr="00050FA4">
        <w:rPr>
          <w:rFonts w:ascii="Garamond" w:hAnsi="Garamond"/>
          <w:color w:val="0D0D0D"/>
        </w:rPr>
        <w:t>m</w:t>
      </w:r>
      <w:r w:rsidRPr="00050FA4">
        <w:rPr>
          <w:rFonts w:ascii="Garamond" w:hAnsi="Garamond"/>
          <w:color w:val="0D0D0D"/>
        </w:rPr>
        <w:t>ë 2021</w:t>
      </w:r>
      <w:r w:rsidR="00EE18CD" w:rsidRPr="00050FA4">
        <w:rPr>
          <w:rFonts w:ascii="Garamond" w:hAnsi="Garamond"/>
          <w:color w:val="0D0D0D"/>
        </w:rPr>
        <w:t>-shin</w:t>
      </w:r>
      <w:r w:rsidRPr="00050FA4">
        <w:rPr>
          <w:rFonts w:ascii="Garamond" w:hAnsi="Garamond"/>
          <w:color w:val="0D0D0D"/>
        </w:rPr>
        <w:t>. Sfidat kryesore janë investimet me efikasitet për të mbështetur zhvillimin e vazhdueshëm të vendit dhe për të rindërtuar hapësirën e duhur për politikën fiskale me qëllim uljen e deficitit fiskal dhe borxhit publik.</w:t>
      </w:r>
    </w:p>
    <w:p w14:paraId="284D4687" w14:textId="77777777" w:rsidR="00B13B34" w:rsidRDefault="003C51D0" w:rsidP="003F1DA7">
      <w:pPr>
        <w:tabs>
          <w:tab w:val="left" w:pos="10585"/>
        </w:tabs>
        <w:ind w:firstLine="284"/>
        <w:jc w:val="both"/>
        <w:rPr>
          <w:rFonts w:ascii="Garamond" w:hAnsi="Garamond"/>
          <w:color w:val="0D0D0D"/>
        </w:rPr>
      </w:pPr>
      <w:r w:rsidRPr="00050FA4">
        <w:rPr>
          <w:rFonts w:ascii="Garamond" w:hAnsi="Garamond"/>
          <w:i/>
          <w:iCs/>
          <w:color w:val="0D0D0D"/>
        </w:rPr>
        <w:t>Politika fiskale në periudhën afatmesme 2022</w:t>
      </w:r>
      <w:r w:rsidR="001A52C2" w:rsidRPr="00050FA4">
        <w:rPr>
          <w:rFonts w:ascii="Garamond" w:hAnsi="Garamond"/>
          <w:i/>
          <w:iCs/>
          <w:color w:val="0D0D0D"/>
        </w:rPr>
        <w:t>–</w:t>
      </w:r>
      <w:r w:rsidRPr="00050FA4">
        <w:rPr>
          <w:rFonts w:ascii="Garamond" w:hAnsi="Garamond"/>
          <w:i/>
          <w:iCs/>
          <w:color w:val="0D0D0D"/>
        </w:rPr>
        <w:t>2024 do të orientohet drejt konsolidimit fiskal</w:t>
      </w:r>
      <w:r w:rsidR="001A52C2" w:rsidRPr="00050FA4">
        <w:rPr>
          <w:rFonts w:ascii="Garamond" w:hAnsi="Garamond"/>
          <w:i/>
          <w:iCs/>
          <w:color w:val="0D0D0D"/>
        </w:rPr>
        <w:t>,</w:t>
      </w:r>
      <w:r w:rsidRPr="00050FA4">
        <w:rPr>
          <w:rFonts w:ascii="Garamond" w:hAnsi="Garamond"/>
          <w:i/>
          <w:iCs/>
          <w:color w:val="0D0D0D"/>
        </w:rPr>
        <w:t xml:space="preserve"> në përputhje me rregullat fiskale të përcaktuara në </w:t>
      </w:r>
      <w:r w:rsidR="001A52C2" w:rsidRPr="00050FA4">
        <w:rPr>
          <w:rFonts w:ascii="Garamond" w:hAnsi="Garamond"/>
          <w:i/>
          <w:iCs/>
          <w:color w:val="0D0D0D"/>
        </w:rPr>
        <w:t xml:space="preserve">ligjin organik të buxhetit, si </w:t>
      </w:r>
      <w:r w:rsidRPr="00050FA4">
        <w:rPr>
          <w:rFonts w:ascii="Garamond" w:hAnsi="Garamond"/>
          <w:i/>
          <w:iCs/>
          <w:color w:val="0D0D0D"/>
        </w:rPr>
        <w:t>dhe në rekomandimet e Komisionit Evropian në Përfundimet e Përbashkëta të Dialogut Ekonomik dhe Financiar midis BE</w:t>
      </w:r>
      <w:r w:rsidR="001A52C2" w:rsidRPr="00050FA4">
        <w:rPr>
          <w:rFonts w:ascii="Garamond" w:hAnsi="Garamond"/>
          <w:i/>
          <w:iCs/>
          <w:color w:val="0D0D0D"/>
        </w:rPr>
        <w:t>-së</w:t>
      </w:r>
      <w:r w:rsidRPr="00050FA4">
        <w:rPr>
          <w:rFonts w:ascii="Garamond" w:hAnsi="Garamond"/>
          <w:i/>
          <w:iCs/>
          <w:color w:val="0D0D0D"/>
        </w:rPr>
        <w:t xml:space="preserve"> dhe Ballkanit Perëndimor</w:t>
      </w:r>
      <w:r w:rsidR="001A52C2" w:rsidRPr="00050FA4">
        <w:rPr>
          <w:rFonts w:ascii="Garamond" w:hAnsi="Garamond"/>
          <w:i/>
          <w:iCs/>
          <w:color w:val="0D0D0D"/>
        </w:rPr>
        <w:t>ë,</w:t>
      </w:r>
      <w:r w:rsidRPr="00050FA4">
        <w:rPr>
          <w:rFonts w:ascii="Garamond" w:hAnsi="Garamond"/>
          <w:i/>
          <w:iCs/>
          <w:color w:val="0D0D0D"/>
        </w:rPr>
        <w:t xml:space="preserve"> në korrik të vitit 2021.</w:t>
      </w:r>
      <w:r w:rsidRPr="00050FA4">
        <w:rPr>
          <w:rFonts w:ascii="Garamond" w:hAnsi="Garamond"/>
          <w:color w:val="0D0D0D"/>
        </w:rPr>
        <w:t xml:space="preserve"> </w:t>
      </w:r>
    </w:p>
    <w:p w14:paraId="451B681C" w14:textId="77777777" w:rsidR="00B13B34" w:rsidRDefault="003C51D0" w:rsidP="003F1DA7">
      <w:pPr>
        <w:tabs>
          <w:tab w:val="left" w:pos="10585"/>
        </w:tabs>
        <w:ind w:firstLine="284"/>
        <w:jc w:val="both"/>
        <w:rPr>
          <w:rFonts w:ascii="Garamond" w:hAnsi="Garamond"/>
          <w:color w:val="0D0D0D"/>
        </w:rPr>
      </w:pPr>
      <w:r w:rsidRPr="00050FA4">
        <w:rPr>
          <w:rFonts w:ascii="Garamond" w:hAnsi="Garamond"/>
          <w:color w:val="0D0D0D"/>
        </w:rPr>
        <w:t>Në vitin 2022, deficiti i përgjithshëm fiskal pritet të arrijë në 5.4% të PBB-së, në rënie</w:t>
      </w:r>
      <w:r w:rsidR="002062F5" w:rsidRPr="00050FA4">
        <w:rPr>
          <w:rFonts w:ascii="Garamond" w:hAnsi="Garamond"/>
          <w:color w:val="0D0D0D"/>
        </w:rPr>
        <w:t>,</w:t>
      </w:r>
      <w:r w:rsidRPr="00050FA4">
        <w:rPr>
          <w:rFonts w:ascii="Garamond" w:hAnsi="Garamond"/>
          <w:color w:val="0D0D0D"/>
        </w:rPr>
        <w:t xml:space="preserve"> duke e krahasuar me ligjin e buxhetit 2020 të rishikuar prej 6.8%, si dhe duke e krahasuar me tejkalimin e pritur për 2021</w:t>
      </w:r>
      <w:r w:rsidR="002062F5" w:rsidRPr="00050FA4">
        <w:rPr>
          <w:rFonts w:ascii="Garamond" w:hAnsi="Garamond"/>
          <w:color w:val="0D0D0D"/>
        </w:rPr>
        <w:t>-shin</w:t>
      </w:r>
      <w:r w:rsidRPr="00050FA4">
        <w:rPr>
          <w:rFonts w:ascii="Garamond" w:hAnsi="Garamond"/>
          <w:color w:val="0D0D0D"/>
        </w:rPr>
        <w:t xml:space="preserve">, me rreth 5.8% të PBB-së. Në vijim, bilanci i përgjithshëm fiskal synohet të arrijë në 2.9% </w:t>
      </w:r>
      <w:r w:rsidR="002062F5" w:rsidRPr="00050FA4">
        <w:rPr>
          <w:rFonts w:ascii="Garamond" w:hAnsi="Garamond"/>
          <w:color w:val="0D0D0D"/>
        </w:rPr>
        <w:t>m</w:t>
      </w:r>
      <w:r w:rsidRPr="00050FA4">
        <w:rPr>
          <w:rFonts w:ascii="Garamond" w:hAnsi="Garamond"/>
          <w:color w:val="0D0D0D"/>
        </w:rPr>
        <w:t>ë 2023</w:t>
      </w:r>
      <w:r w:rsidR="002062F5" w:rsidRPr="00050FA4">
        <w:rPr>
          <w:rFonts w:ascii="Garamond" w:hAnsi="Garamond"/>
          <w:color w:val="0D0D0D"/>
        </w:rPr>
        <w:t>-shin</w:t>
      </w:r>
      <w:r w:rsidRPr="00050FA4">
        <w:rPr>
          <w:rFonts w:ascii="Garamond" w:hAnsi="Garamond"/>
          <w:color w:val="0D0D0D"/>
        </w:rPr>
        <w:t xml:space="preserve">, dhe 2.8% </w:t>
      </w:r>
      <w:r w:rsidR="002062F5" w:rsidRPr="00050FA4">
        <w:rPr>
          <w:rFonts w:ascii="Garamond" w:hAnsi="Garamond"/>
          <w:color w:val="0D0D0D"/>
        </w:rPr>
        <w:t>m</w:t>
      </w:r>
      <w:r w:rsidRPr="00050FA4">
        <w:rPr>
          <w:rFonts w:ascii="Garamond" w:hAnsi="Garamond"/>
          <w:color w:val="0D0D0D"/>
        </w:rPr>
        <w:t>ë 2024</w:t>
      </w:r>
      <w:r w:rsidR="002062F5" w:rsidRPr="00050FA4">
        <w:rPr>
          <w:rFonts w:ascii="Garamond" w:hAnsi="Garamond"/>
          <w:color w:val="0D0D0D"/>
        </w:rPr>
        <w:t>-ën</w:t>
      </w:r>
      <w:r w:rsidRPr="00050FA4">
        <w:rPr>
          <w:rFonts w:ascii="Garamond" w:hAnsi="Garamond"/>
          <w:color w:val="0D0D0D"/>
        </w:rPr>
        <w:t xml:space="preserve">. Pavarësisht parashikimit për një deficit primar prej -2.7% të PBB-së </w:t>
      </w:r>
      <w:r w:rsidR="002062F5" w:rsidRPr="00050FA4">
        <w:rPr>
          <w:rFonts w:ascii="Garamond" w:hAnsi="Garamond"/>
          <w:color w:val="0D0D0D"/>
        </w:rPr>
        <w:t>m</w:t>
      </w:r>
      <w:r w:rsidRPr="00050FA4">
        <w:rPr>
          <w:rFonts w:ascii="Garamond" w:hAnsi="Garamond"/>
          <w:color w:val="0D0D0D"/>
        </w:rPr>
        <w:t>ë 2022</w:t>
      </w:r>
      <w:r w:rsidR="002062F5" w:rsidRPr="00050FA4">
        <w:rPr>
          <w:rFonts w:ascii="Garamond" w:hAnsi="Garamond"/>
          <w:color w:val="0D0D0D"/>
        </w:rPr>
        <w:t>-shin</w:t>
      </w:r>
      <w:r w:rsidRPr="00050FA4">
        <w:rPr>
          <w:rFonts w:ascii="Garamond" w:hAnsi="Garamond"/>
          <w:color w:val="0D0D0D"/>
        </w:rPr>
        <w:t xml:space="preserve">, bilanci primar është përmirësuar në krahasim me nivelin e pritur të vitit 2021 prej -3.8%. </w:t>
      </w:r>
      <w:r w:rsidR="002062F5" w:rsidRPr="00050FA4">
        <w:rPr>
          <w:rFonts w:ascii="Garamond" w:hAnsi="Garamond"/>
          <w:color w:val="0D0D0D"/>
        </w:rPr>
        <w:t>M</w:t>
      </w:r>
      <w:r w:rsidRPr="00050FA4">
        <w:rPr>
          <w:rFonts w:ascii="Garamond" w:hAnsi="Garamond"/>
          <w:color w:val="0D0D0D"/>
        </w:rPr>
        <w:t>ë 2023</w:t>
      </w:r>
      <w:r w:rsidR="002062F5" w:rsidRPr="00050FA4">
        <w:rPr>
          <w:rFonts w:ascii="Garamond" w:hAnsi="Garamond"/>
          <w:color w:val="0D0D0D"/>
        </w:rPr>
        <w:t>-shin</w:t>
      </w:r>
      <w:r w:rsidRPr="00050FA4">
        <w:rPr>
          <w:rFonts w:ascii="Garamond" w:hAnsi="Garamond"/>
          <w:color w:val="0D0D0D"/>
        </w:rPr>
        <w:t xml:space="preserve">, bilanci primar synohet në balancë dhe </w:t>
      </w:r>
      <w:r w:rsidR="00284C1D" w:rsidRPr="00050FA4">
        <w:rPr>
          <w:rFonts w:ascii="Garamond" w:hAnsi="Garamond"/>
          <w:color w:val="0D0D0D"/>
        </w:rPr>
        <w:t>m</w:t>
      </w:r>
      <w:r w:rsidRPr="00050FA4">
        <w:rPr>
          <w:rFonts w:ascii="Garamond" w:hAnsi="Garamond"/>
          <w:color w:val="0D0D0D"/>
        </w:rPr>
        <w:t>ë 2024</w:t>
      </w:r>
      <w:r w:rsidR="00284C1D" w:rsidRPr="00050FA4">
        <w:rPr>
          <w:rFonts w:ascii="Garamond" w:hAnsi="Garamond"/>
          <w:color w:val="0D0D0D"/>
        </w:rPr>
        <w:t>-ën</w:t>
      </w:r>
      <w:r w:rsidRPr="00050FA4">
        <w:rPr>
          <w:rFonts w:ascii="Garamond" w:hAnsi="Garamond"/>
          <w:color w:val="0D0D0D"/>
        </w:rPr>
        <w:t xml:space="preserve"> pritet të arrijë një suficit prej 0.3% të PBB-së. Si rezultat, niveli i borxhit publik parashikohet të rikthehet në një trajektore rënëse nga 2022</w:t>
      </w:r>
      <w:r w:rsidR="00284C1D" w:rsidRPr="00050FA4">
        <w:rPr>
          <w:rFonts w:ascii="Garamond" w:hAnsi="Garamond"/>
          <w:color w:val="0D0D0D"/>
        </w:rPr>
        <w:t>-shi</w:t>
      </w:r>
      <w:r w:rsidRPr="00050FA4">
        <w:rPr>
          <w:rFonts w:ascii="Garamond" w:hAnsi="Garamond"/>
          <w:color w:val="0D0D0D"/>
        </w:rPr>
        <w:t xml:space="preserve"> e në vijim. Borxhi i përgjithshëm publik është parashikuar në 78.9% të PBB-së </w:t>
      </w:r>
      <w:r w:rsidR="00284C1D" w:rsidRPr="00050FA4">
        <w:rPr>
          <w:rFonts w:ascii="Garamond" w:hAnsi="Garamond"/>
          <w:color w:val="0D0D0D"/>
        </w:rPr>
        <w:t>më</w:t>
      </w:r>
      <w:r w:rsidRPr="00050FA4">
        <w:rPr>
          <w:rFonts w:ascii="Garamond" w:hAnsi="Garamond"/>
          <w:color w:val="0D0D0D"/>
        </w:rPr>
        <w:t xml:space="preserve"> 2022</w:t>
      </w:r>
      <w:r w:rsidR="00284C1D" w:rsidRPr="00050FA4">
        <w:rPr>
          <w:rFonts w:ascii="Garamond" w:hAnsi="Garamond"/>
          <w:color w:val="0D0D0D"/>
        </w:rPr>
        <w:t>-shin</w:t>
      </w:r>
      <w:r w:rsidRPr="00050FA4">
        <w:rPr>
          <w:rFonts w:ascii="Garamond" w:hAnsi="Garamond"/>
          <w:color w:val="0D0D0D"/>
        </w:rPr>
        <w:t>, nga rreth 80.1%</w:t>
      </w:r>
      <w:r w:rsidR="00284C1D" w:rsidRPr="00050FA4">
        <w:rPr>
          <w:rFonts w:ascii="Garamond" w:hAnsi="Garamond"/>
          <w:color w:val="0D0D0D"/>
        </w:rPr>
        <w:t>,</w:t>
      </w:r>
      <w:r w:rsidRPr="00050FA4">
        <w:rPr>
          <w:rFonts w:ascii="Garamond" w:hAnsi="Garamond"/>
          <w:color w:val="0D0D0D"/>
        </w:rPr>
        <w:t xml:space="preserve"> që pritet për 2021</w:t>
      </w:r>
      <w:r w:rsidR="00284C1D" w:rsidRPr="00050FA4">
        <w:rPr>
          <w:rFonts w:ascii="Garamond" w:hAnsi="Garamond"/>
          <w:color w:val="0D0D0D"/>
        </w:rPr>
        <w:t>-shin</w:t>
      </w:r>
      <w:r w:rsidRPr="00050FA4">
        <w:rPr>
          <w:rFonts w:ascii="Garamond" w:hAnsi="Garamond"/>
          <w:color w:val="0D0D0D"/>
        </w:rPr>
        <w:t>. Në fund të vitit 2023, borxhi publik parashikohet të redu</w:t>
      </w:r>
      <w:r w:rsidR="00284C1D" w:rsidRPr="00050FA4">
        <w:rPr>
          <w:rFonts w:ascii="Garamond" w:hAnsi="Garamond"/>
          <w:color w:val="0D0D0D"/>
        </w:rPr>
        <w:t>ktohet në rreth 77.7% të PBB-së</w:t>
      </w:r>
      <w:r w:rsidRPr="00050FA4">
        <w:rPr>
          <w:rFonts w:ascii="Garamond" w:hAnsi="Garamond"/>
          <w:color w:val="0D0D0D"/>
        </w:rPr>
        <w:t xml:space="preserve"> dhe </w:t>
      </w:r>
      <w:r w:rsidR="00284C1D" w:rsidRPr="00050FA4">
        <w:rPr>
          <w:rFonts w:ascii="Garamond" w:hAnsi="Garamond"/>
          <w:color w:val="0D0D0D"/>
        </w:rPr>
        <w:t>m</w:t>
      </w:r>
      <w:r w:rsidRPr="00050FA4">
        <w:rPr>
          <w:rFonts w:ascii="Garamond" w:hAnsi="Garamond"/>
          <w:color w:val="0D0D0D"/>
        </w:rPr>
        <w:t>ë 2023</w:t>
      </w:r>
      <w:r w:rsidR="00284C1D" w:rsidRPr="00050FA4">
        <w:rPr>
          <w:rFonts w:ascii="Garamond" w:hAnsi="Garamond"/>
          <w:color w:val="0D0D0D"/>
        </w:rPr>
        <w:t>ë-shin</w:t>
      </w:r>
      <w:r w:rsidRPr="00050FA4">
        <w:rPr>
          <w:rFonts w:ascii="Garamond" w:hAnsi="Garamond"/>
          <w:color w:val="0D0D0D"/>
        </w:rPr>
        <w:t xml:space="preserve"> në rreth 75.8% të PBB-së.</w:t>
      </w:r>
      <w:r w:rsidR="002E13D6" w:rsidRPr="00050FA4">
        <w:rPr>
          <w:rFonts w:ascii="Garamond" w:hAnsi="Garamond"/>
          <w:color w:val="0D0D0D"/>
        </w:rPr>
        <w:t xml:space="preserve"> </w:t>
      </w:r>
    </w:p>
    <w:p w14:paraId="7AAA7A9D" w14:textId="4775CB05" w:rsidR="003C51D0" w:rsidRPr="00050FA4" w:rsidRDefault="003C51D0" w:rsidP="003F1DA7">
      <w:pPr>
        <w:tabs>
          <w:tab w:val="left" w:pos="10585"/>
        </w:tabs>
        <w:ind w:firstLine="284"/>
        <w:jc w:val="both"/>
        <w:rPr>
          <w:rFonts w:ascii="Garamond" w:hAnsi="Garamond"/>
          <w:color w:val="0D0D0D"/>
        </w:rPr>
      </w:pPr>
      <w:r w:rsidRPr="00050FA4">
        <w:rPr>
          <w:rFonts w:ascii="Garamond" w:hAnsi="Garamond"/>
          <w:color w:val="0D0D0D"/>
        </w:rPr>
        <w:t>Njëkohësisht, është synuar dhe programuar ruajtja e një niveli mesatar vjetor të investimeve publike prej rreth 5.3% të PBB-së, gjatë periudhës 2022</w:t>
      </w:r>
      <w:r w:rsidR="00284C1D" w:rsidRPr="00050FA4">
        <w:rPr>
          <w:rFonts w:ascii="Garamond" w:hAnsi="Garamond"/>
          <w:color w:val="0D0D0D"/>
        </w:rPr>
        <w:t>–</w:t>
      </w:r>
      <w:r w:rsidRPr="00050FA4">
        <w:rPr>
          <w:rFonts w:ascii="Garamond" w:hAnsi="Garamond"/>
          <w:color w:val="0D0D0D"/>
        </w:rPr>
        <w:t xml:space="preserve">2024, që është thelbësore për të mbështetur rritjen ekonomike në periudhën afatmesme dhe afatgjatë. Bilanci korrent fiskal (diferenca midis investimeve publike dhe deficitit fiskal), do të jetë pozitive në vitin 2022, në nivelin 1% të PBB-së nga një nivel i pritshëm përsëri pozitiv prej 2.3% për vitin 2021, në përputhje kjo me </w:t>
      </w:r>
      <w:r w:rsidR="00725442" w:rsidRPr="00050FA4">
        <w:rPr>
          <w:rFonts w:ascii="Garamond" w:hAnsi="Garamond"/>
          <w:color w:val="0D0D0D"/>
        </w:rPr>
        <w:t>rregullë</w:t>
      </w:r>
      <w:r w:rsidRPr="00050FA4">
        <w:rPr>
          <w:rFonts w:ascii="Garamond" w:hAnsi="Garamond"/>
          <w:color w:val="0D0D0D"/>
        </w:rPr>
        <w:t>n respektiv</w:t>
      </w:r>
      <w:r w:rsidR="00725442" w:rsidRPr="00050FA4">
        <w:rPr>
          <w:rFonts w:ascii="Garamond" w:hAnsi="Garamond"/>
          <w:color w:val="0D0D0D"/>
        </w:rPr>
        <w:t>e</w:t>
      </w:r>
      <w:r w:rsidRPr="00050FA4">
        <w:rPr>
          <w:rFonts w:ascii="Garamond" w:hAnsi="Garamond"/>
          <w:color w:val="0D0D0D"/>
        </w:rPr>
        <w:t xml:space="preserve"> fiskal</w:t>
      </w:r>
      <w:r w:rsidR="00725442" w:rsidRPr="00050FA4">
        <w:rPr>
          <w:rFonts w:ascii="Garamond" w:hAnsi="Garamond"/>
          <w:color w:val="0D0D0D"/>
        </w:rPr>
        <w:t>e</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rregull</w:t>
      </w:r>
      <w:r w:rsidR="00725442" w:rsidRPr="00050FA4">
        <w:rPr>
          <w:rFonts w:ascii="Garamond" w:hAnsi="Garamond"/>
          <w:color w:val="0D0D0D"/>
        </w:rPr>
        <w:t>a</w:t>
      </w:r>
      <w:r w:rsidRPr="00050FA4">
        <w:rPr>
          <w:rFonts w:ascii="Garamond" w:hAnsi="Garamond"/>
          <w:color w:val="0D0D0D"/>
        </w:rPr>
        <w:t xml:space="preserve"> e artë</w:t>
      </w:r>
      <w:r w:rsidR="008A0E5B" w:rsidRPr="00050FA4">
        <w:rPr>
          <w:rFonts w:ascii="Garamond" w:hAnsi="Garamond"/>
          <w:color w:val="0D0D0D"/>
        </w:rPr>
        <w:t>”</w:t>
      </w:r>
      <w:r w:rsidRPr="00050FA4">
        <w:rPr>
          <w:rFonts w:ascii="Garamond" w:hAnsi="Garamond"/>
          <w:color w:val="0D0D0D"/>
        </w:rPr>
        <w:t xml:space="preserve"> </w:t>
      </w:r>
      <w:r w:rsidR="00725442" w:rsidRPr="00050FA4">
        <w:rPr>
          <w:rFonts w:ascii="Garamond" w:hAnsi="Garamond"/>
          <w:color w:val="0D0D0D"/>
        </w:rPr>
        <w:t>e</w:t>
      </w:r>
      <w:r w:rsidRPr="00050FA4">
        <w:rPr>
          <w:rFonts w:ascii="Garamond" w:hAnsi="Garamond"/>
          <w:color w:val="0D0D0D"/>
        </w:rPr>
        <w:t xml:space="preserve"> buxhetit).</w:t>
      </w:r>
    </w:p>
    <w:p w14:paraId="234C7E3B" w14:textId="0E39E2E9" w:rsidR="003C51D0" w:rsidRPr="00050FA4" w:rsidRDefault="003C51D0" w:rsidP="003F1DA7">
      <w:pPr>
        <w:pStyle w:val="Heading1"/>
        <w:ind w:left="0" w:firstLine="284"/>
        <w:jc w:val="both"/>
        <w:rPr>
          <w:rFonts w:ascii="Garamond" w:hAnsi="Garamond"/>
          <w:b w:val="0"/>
          <w:color w:val="0D0D0D"/>
        </w:rPr>
      </w:pPr>
      <w:r w:rsidRPr="00050FA4">
        <w:rPr>
          <w:rFonts w:ascii="Garamond" w:hAnsi="Garamond"/>
          <w:b w:val="0"/>
          <w:color w:val="0D0D0D"/>
        </w:rPr>
        <w:t>2. ZBATIMI I UDHËZIMEVE POLITIKE</w:t>
      </w:r>
    </w:p>
    <w:p w14:paraId="5B707451" w14:textId="77777777" w:rsidR="003C51D0" w:rsidRPr="00050FA4" w:rsidRDefault="003C51D0" w:rsidP="003F1DA7">
      <w:pPr>
        <w:pStyle w:val="Heading2"/>
        <w:ind w:left="0" w:firstLine="284"/>
        <w:jc w:val="both"/>
        <w:rPr>
          <w:rFonts w:ascii="Garamond" w:hAnsi="Garamond"/>
          <w:b/>
          <w:bCs/>
          <w:color w:val="0D0D0D"/>
        </w:rPr>
      </w:pPr>
      <w:r w:rsidRPr="00050FA4">
        <w:rPr>
          <w:rFonts w:ascii="Garamond" w:hAnsi="Garamond"/>
          <w:b/>
          <w:bCs/>
          <w:color w:val="0D0D0D"/>
        </w:rPr>
        <w:t>Rekomandimi 1</w:t>
      </w:r>
    </w:p>
    <w:p w14:paraId="042B337A" w14:textId="0C29C4AB"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1.1 Me kusht që rimëkëmbja e ekonomisë të rrënjoset mirë, të parashikohet në buxhetin e vitit 2022 dhe në planin fiskal afatmesëm një ulje graduale e borxhit publik</w:t>
      </w:r>
      <w:r w:rsidR="00910AC3" w:rsidRPr="00050FA4">
        <w:rPr>
          <w:rFonts w:ascii="Garamond" w:hAnsi="Garamond"/>
          <w:b/>
          <w:bCs/>
          <w:i/>
          <w:iCs/>
          <w:color w:val="0D0D0D"/>
        </w:rPr>
        <w:t>,</w:t>
      </w:r>
      <w:r w:rsidRPr="00050FA4">
        <w:rPr>
          <w:rFonts w:ascii="Garamond" w:hAnsi="Garamond"/>
          <w:b/>
          <w:bCs/>
          <w:i/>
          <w:iCs/>
          <w:color w:val="0D0D0D"/>
        </w:rPr>
        <w:t xml:space="preserve"> si raport i PBB-së dhe, bazuar në një parashikim realist të të ardhurave, kthim në balancë primare pozitive që nga viti 2023, në përputhje me </w:t>
      </w:r>
      <w:r w:rsidR="0060613F" w:rsidRPr="00050FA4">
        <w:rPr>
          <w:rFonts w:ascii="Garamond" w:hAnsi="Garamond"/>
          <w:b/>
          <w:bCs/>
          <w:i/>
          <w:iCs/>
          <w:color w:val="0D0D0D"/>
        </w:rPr>
        <w:t>rregullë</w:t>
      </w:r>
      <w:r w:rsidR="002E13D6" w:rsidRPr="00050FA4">
        <w:rPr>
          <w:rFonts w:ascii="Garamond" w:hAnsi="Garamond"/>
          <w:b/>
          <w:bCs/>
          <w:i/>
          <w:iCs/>
          <w:color w:val="0D0D0D"/>
        </w:rPr>
        <w:t>n fiskal</w:t>
      </w:r>
      <w:r w:rsidR="0060613F" w:rsidRPr="00050FA4">
        <w:rPr>
          <w:rFonts w:ascii="Garamond" w:hAnsi="Garamond"/>
          <w:b/>
          <w:bCs/>
          <w:i/>
          <w:iCs/>
          <w:color w:val="0D0D0D"/>
        </w:rPr>
        <w:t>e</w:t>
      </w:r>
      <w:r w:rsidR="002E13D6" w:rsidRPr="00050FA4">
        <w:rPr>
          <w:rFonts w:ascii="Garamond" w:hAnsi="Garamond"/>
          <w:b/>
          <w:bCs/>
          <w:i/>
          <w:iCs/>
          <w:color w:val="0D0D0D"/>
        </w:rPr>
        <w:t xml:space="preserve"> përkatës</w:t>
      </w:r>
      <w:r w:rsidR="0060613F" w:rsidRPr="00050FA4">
        <w:rPr>
          <w:rFonts w:ascii="Garamond" w:hAnsi="Garamond"/>
          <w:b/>
          <w:bCs/>
          <w:i/>
          <w:iCs/>
          <w:color w:val="0D0D0D"/>
        </w:rPr>
        <w:t>e</w:t>
      </w:r>
    </w:p>
    <w:p w14:paraId="08627FF4" w14:textId="27D81C89"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Ekonomia e vendit tonë ka treguar </w:t>
      </w:r>
      <w:r w:rsidR="002E13D6" w:rsidRPr="00050FA4">
        <w:rPr>
          <w:rFonts w:ascii="Garamond" w:hAnsi="Garamond"/>
          <w:color w:val="0D0D0D"/>
        </w:rPr>
        <w:t>qëndrueshmëri</w:t>
      </w:r>
      <w:r w:rsidRPr="00050FA4">
        <w:rPr>
          <w:rFonts w:ascii="Garamond" w:hAnsi="Garamond"/>
          <w:color w:val="0D0D0D"/>
        </w:rPr>
        <w:t xml:space="preserve"> të konsiderueshme përballë tërmetit të vitit 2019 dhe pandemisë. Në vitin 2020, si kundërpërgjigje kryesore ndaj amortizimit deri diku të goditjes pandemike, është ndërmarrë një politikë fiskale mjaft ekspansioniste, duke ruajtur këtë politikë edhe për vitin 2021. Për rrjedhojë, deficiti total buxhetor pritet të arrijë në rreth 5.8% e PBB-së </w:t>
      </w:r>
      <w:r w:rsidR="0060613F" w:rsidRPr="00050FA4">
        <w:rPr>
          <w:rFonts w:ascii="Garamond" w:hAnsi="Garamond"/>
          <w:color w:val="0D0D0D"/>
        </w:rPr>
        <w:t>m</w:t>
      </w:r>
      <w:r w:rsidRPr="00050FA4">
        <w:rPr>
          <w:rFonts w:ascii="Garamond" w:hAnsi="Garamond"/>
          <w:color w:val="0D0D0D"/>
        </w:rPr>
        <w:t>ë 2021</w:t>
      </w:r>
      <w:r w:rsidR="0060613F" w:rsidRPr="00050FA4">
        <w:rPr>
          <w:rFonts w:ascii="Garamond" w:hAnsi="Garamond"/>
          <w:color w:val="0D0D0D"/>
        </w:rPr>
        <w:t>-shin</w:t>
      </w:r>
      <w:r w:rsidRPr="00050FA4">
        <w:rPr>
          <w:rFonts w:ascii="Garamond" w:hAnsi="Garamond"/>
          <w:color w:val="0D0D0D"/>
        </w:rPr>
        <w:t xml:space="preserve"> nga rreth 6.8% </w:t>
      </w:r>
      <w:r w:rsidR="0060613F" w:rsidRPr="00050FA4">
        <w:rPr>
          <w:rFonts w:ascii="Garamond" w:hAnsi="Garamond"/>
          <w:color w:val="0D0D0D"/>
        </w:rPr>
        <w:t>m</w:t>
      </w:r>
      <w:r w:rsidRPr="00050FA4">
        <w:rPr>
          <w:rFonts w:ascii="Garamond" w:hAnsi="Garamond"/>
          <w:color w:val="0D0D0D"/>
        </w:rPr>
        <w:t>ë 2020</w:t>
      </w:r>
      <w:r w:rsidR="0060613F" w:rsidRPr="00050FA4">
        <w:rPr>
          <w:rFonts w:ascii="Garamond" w:hAnsi="Garamond"/>
          <w:color w:val="0D0D0D"/>
        </w:rPr>
        <w:t>-shin</w:t>
      </w:r>
      <w:r w:rsidRPr="00050FA4">
        <w:rPr>
          <w:rFonts w:ascii="Garamond" w:hAnsi="Garamond"/>
          <w:color w:val="0D0D0D"/>
        </w:rPr>
        <w:t xml:space="preserve"> dhe borxhi publik pritet të rritet në rreth 80.1% të PBB-së nga rreth 75.7% </w:t>
      </w:r>
      <w:r w:rsidR="0060613F" w:rsidRPr="00050FA4">
        <w:rPr>
          <w:rFonts w:ascii="Garamond" w:hAnsi="Garamond"/>
          <w:color w:val="0D0D0D"/>
        </w:rPr>
        <w:t>m</w:t>
      </w:r>
      <w:r w:rsidRPr="00050FA4">
        <w:rPr>
          <w:rFonts w:ascii="Garamond" w:hAnsi="Garamond"/>
          <w:color w:val="0D0D0D"/>
        </w:rPr>
        <w:t>ë 2020</w:t>
      </w:r>
      <w:r w:rsidR="0060613F" w:rsidRPr="00050FA4">
        <w:rPr>
          <w:rFonts w:ascii="Garamond" w:hAnsi="Garamond"/>
          <w:color w:val="0D0D0D"/>
        </w:rPr>
        <w:t>-shin</w:t>
      </w:r>
      <w:r w:rsidRPr="00050FA4">
        <w:rPr>
          <w:rFonts w:ascii="Garamond" w:hAnsi="Garamond"/>
          <w:color w:val="0D0D0D"/>
        </w:rPr>
        <w:t xml:space="preserve"> ose rreth 65.8%</w:t>
      </w:r>
      <w:r w:rsidR="0060613F" w:rsidRPr="00050FA4">
        <w:rPr>
          <w:rFonts w:ascii="Garamond" w:hAnsi="Garamond"/>
          <w:color w:val="0D0D0D"/>
        </w:rPr>
        <w:t>,</w:t>
      </w:r>
      <w:r w:rsidRPr="00050FA4">
        <w:rPr>
          <w:rFonts w:ascii="Garamond" w:hAnsi="Garamond"/>
          <w:color w:val="0D0D0D"/>
        </w:rPr>
        <w:t xml:space="preserve"> që ishte në fund të 2019.</w:t>
      </w:r>
    </w:p>
    <w:p w14:paraId="45D362B2" w14:textId="2C07797F" w:rsidR="003C51D0" w:rsidRPr="00050FA4" w:rsidRDefault="003C51D0" w:rsidP="003F1DA7">
      <w:pPr>
        <w:ind w:firstLine="284"/>
        <w:jc w:val="both"/>
        <w:rPr>
          <w:rFonts w:ascii="Garamond" w:hAnsi="Garamond"/>
          <w:color w:val="0D0D0D"/>
        </w:rPr>
      </w:pPr>
      <w:r w:rsidRPr="00050FA4">
        <w:rPr>
          <w:rFonts w:ascii="Garamond" w:hAnsi="Garamond"/>
          <w:color w:val="0D0D0D"/>
        </w:rPr>
        <w:t>Pas një viti të vështirë në 2020, ekonomia po rimëkëmbet fuqishëm, parashikuar në 8.7 për</w:t>
      </w:r>
      <w:r w:rsidR="002E13D6" w:rsidRPr="00050FA4">
        <w:rPr>
          <w:rFonts w:ascii="Garamond" w:hAnsi="Garamond"/>
          <w:color w:val="0D0D0D"/>
        </w:rPr>
        <w:t xml:space="preserve"> </w:t>
      </w:r>
      <w:r w:rsidRPr="00050FA4">
        <w:rPr>
          <w:rFonts w:ascii="Garamond" w:hAnsi="Garamond"/>
          <w:color w:val="0D0D0D"/>
        </w:rPr>
        <w:t>qind të PBB</w:t>
      </w:r>
      <w:r w:rsidR="0060613F" w:rsidRPr="00050FA4">
        <w:rPr>
          <w:rFonts w:ascii="Garamond" w:hAnsi="Garamond"/>
          <w:color w:val="0D0D0D"/>
        </w:rPr>
        <w:t>-së</w:t>
      </w:r>
      <w:r w:rsidRPr="00050FA4">
        <w:rPr>
          <w:rFonts w:ascii="Garamond" w:hAnsi="Garamond"/>
          <w:color w:val="0D0D0D"/>
        </w:rPr>
        <w:t xml:space="preserve"> </w:t>
      </w:r>
      <w:r w:rsidR="0060613F" w:rsidRPr="00050FA4">
        <w:rPr>
          <w:rFonts w:ascii="Garamond" w:hAnsi="Garamond"/>
          <w:color w:val="0D0D0D"/>
        </w:rPr>
        <w:t>m</w:t>
      </w:r>
      <w:r w:rsidRPr="00050FA4">
        <w:rPr>
          <w:rFonts w:ascii="Garamond" w:hAnsi="Garamond"/>
          <w:color w:val="0D0D0D"/>
        </w:rPr>
        <w:t>ë 2021 dhe pritet të jetë rreth 4.1% gjatë viteve 2022</w:t>
      </w:r>
      <w:r w:rsidR="0060613F" w:rsidRPr="00050FA4">
        <w:rPr>
          <w:rFonts w:ascii="Garamond" w:hAnsi="Garamond"/>
          <w:color w:val="0D0D0D"/>
        </w:rPr>
        <w:t>–</w:t>
      </w:r>
      <w:r w:rsidRPr="00050FA4">
        <w:rPr>
          <w:rFonts w:ascii="Garamond" w:hAnsi="Garamond"/>
          <w:color w:val="0D0D0D"/>
        </w:rPr>
        <w:t xml:space="preserve">2024. Për periudhën afatmesme, objektivi bazë i politikës fiskale, në përputhje me qëllimin kryesor të sigurimit të stabilitetit makroekonomik të vendit si një premisë thelbësore për sigurimin e rritjes ekonomike të qëndrueshme dhe gjithëpërfshirëse, si dhe në përputhje me këtë udhëzim të politikës (PG 1.1), do të jetë sërish konsolidimi fiskal. Politika fiskale do të synojë një trajektore rënëse të borxhit publik, pra një trajektore graduale rënëse, por të qëndrueshme vjetore, ndërkohë që balanca primare do të kthehet në një nivel pozitiv nga viti 2024 e në vazhdim, në përputhje edhe me </w:t>
      </w:r>
      <w:r w:rsidR="0060613F" w:rsidRPr="00050FA4">
        <w:rPr>
          <w:rFonts w:ascii="Garamond" w:hAnsi="Garamond"/>
          <w:color w:val="0D0D0D"/>
        </w:rPr>
        <w:t>rregullë</w:t>
      </w:r>
      <w:r w:rsidRPr="00050FA4">
        <w:rPr>
          <w:rFonts w:ascii="Garamond" w:hAnsi="Garamond"/>
          <w:color w:val="0D0D0D"/>
        </w:rPr>
        <w:t>n fiskal</w:t>
      </w:r>
      <w:r w:rsidR="0060613F" w:rsidRPr="00050FA4">
        <w:rPr>
          <w:rFonts w:ascii="Garamond" w:hAnsi="Garamond"/>
          <w:color w:val="0D0D0D"/>
        </w:rPr>
        <w:t>e</w:t>
      </w:r>
      <w:r w:rsidRPr="00050FA4">
        <w:rPr>
          <w:rFonts w:ascii="Garamond" w:hAnsi="Garamond"/>
          <w:color w:val="0D0D0D"/>
        </w:rPr>
        <w:t xml:space="preserve"> në </w:t>
      </w:r>
      <w:r w:rsidR="00910AC3" w:rsidRPr="00050FA4">
        <w:rPr>
          <w:rFonts w:ascii="Garamond" w:hAnsi="Garamond"/>
          <w:color w:val="0D0D0D"/>
        </w:rPr>
        <w:t xml:space="preserve">ligjin organik të buxhetit </w:t>
      </w:r>
      <w:r w:rsidRPr="00050FA4">
        <w:rPr>
          <w:rFonts w:ascii="Garamond" w:hAnsi="Garamond"/>
          <w:color w:val="0D0D0D"/>
        </w:rPr>
        <w:t>(LOB).</w:t>
      </w:r>
    </w:p>
    <w:p w14:paraId="597E2333" w14:textId="252D944F" w:rsidR="003C51D0" w:rsidRPr="00050FA4" w:rsidRDefault="003C51D0" w:rsidP="003F1DA7">
      <w:pPr>
        <w:ind w:firstLine="284"/>
        <w:jc w:val="both"/>
        <w:rPr>
          <w:rFonts w:ascii="Garamond" w:hAnsi="Garamond"/>
          <w:color w:val="0D0D0D"/>
        </w:rPr>
      </w:pPr>
      <w:r w:rsidRPr="00050FA4">
        <w:rPr>
          <w:rFonts w:ascii="Garamond" w:hAnsi="Garamond"/>
          <w:color w:val="0D0D0D"/>
        </w:rPr>
        <w:t>Duke filluar nga ky vit (2022)</w:t>
      </w:r>
      <w:r w:rsidR="0060613F" w:rsidRPr="00050FA4">
        <w:rPr>
          <w:rFonts w:ascii="Garamond" w:hAnsi="Garamond"/>
          <w:color w:val="0D0D0D"/>
        </w:rPr>
        <w:t>,</w:t>
      </w:r>
      <w:r w:rsidRPr="00050FA4">
        <w:rPr>
          <w:rFonts w:ascii="Garamond" w:hAnsi="Garamond"/>
          <w:color w:val="0D0D0D"/>
        </w:rPr>
        <w:t xml:space="preserve"> borxhi publik si raport i PBB-së pritet të kthehet në një trajektore rënëse, në përputhje me rregull</w:t>
      </w:r>
      <w:r w:rsidR="0060613F" w:rsidRPr="00050FA4">
        <w:rPr>
          <w:rFonts w:ascii="Garamond" w:hAnsi="Garamond"/>
          <w:color w:val="0D0D0D"/>
        </w:rPr>
        <w:t>ë</w:t>
      </w:r>
      <w:r w:rsidRPr="00050FA4">
        <w:rPr>
          <w:rFonts w:ascii="Garamond" w:hAnsi="Garamond"/>
          <w:color w:val="0D0D0D"/>
        </w:rPr>
        <w:t>n fiskal</w:t>
      </w:r>
      <w:r w:rsidR="0060613F" w:rsidRPr="00050FA4">
        <w:rPr>
          <w:rFonts w:ascii="Garamond" w:hAnsi="Garamond"/>
          <w:color w:val="0D0D0D"/>
        </w:rPr>
        <w:t>e</w:t>
      </w:r>
      <w:r w:rsidRPr="00050FA4">
        <w:rPr>
          <w:rFonts w:ascii="Garamond" w:hAnsi="Garamond"/>
          <w:color w:val="0D0D0D"/>
        </w:rPr>
        <w:t xml:space="preserve"> përkatës</w:t>
      </w:r>
      <w:r w:rsidR="0060613F" w:rsidRPr="00050FA4">
        <w:rPr>
          <w:rFonts w:ascii="Garamond" w:hAnsi="Garamond"/>
          <w:color w:val="0D0D0D"/>
        </w:rPr>
        <w:t>e</w:t>
      </w:r>
      <w:r w:rsidRPr="00050FA4">
        <w:rPr>
          <w:rFonts w:ascii="Garamond" w:hAnsi="Garamond"/>
          <w:color w:val="0D0D0D"/>
        </w:rPr>
        <w:t>, ku pritet të bjerë në rreth 78.9 për</w:t>
      </w:r>
      <w:r w:rsidR="007B30CB" w:rsidRPr="00050FA4">
        <w:rPr>
          <w:rFonts w:ascii="Garamond" w:hAnsi="Garamond"/>
          <w:color w:val="0D0D0D"/>
        </w:rPr>
        <w:t xml:space="preserve"> </w:t>
      </w:r>
      <w:r w:rsidRPr="00050FA4">
        <w:rPr>
          <w:rFonts w:ascii="Garamond" w:hAnsi="Garamond"/>
          <w:color w:val="0D0D0D"/>
        </w:rPr>
        <w:t>qind të PBB-së nga rreth 80.1 për</w:t>
      </w:r>
      <w:r w:rsidR="007B30CB" w:rsidRPr="00050FA4">
        <w:rPr>
          <w:rFonts w:ascii="Garamond" w:hAnsi="Garamond"/>
          <w:color w:val="0D0D0D"/>
        </w:rPr>
        <w:t xml:space="preserve"> </w:t>
      </w:r>
      <w:r w:rsidRPr="00050FA4">
        <w:rPr>
          <w:rFonts w:ascii="Garamond" w:hAnsi="Garamond"/>
          <w:color w:val="0D0D0D"/>
        </w:rPr>
        <w:t>qind e parashikuar për 2021. Sipas skenarit bazë, borxhi publik pritet të bjerë në rreth 74.6 për</w:t>
      </w:r>
      <w:r w:rsidR="007B30CB" w:rsidRPr="00050FA4">
        <w:rPr>
          <w:rFonts w:ascii="Garamond" w:hAnsi="Garamond"/>
          <w:color w:val="0D0D0D"/>
        </w:rPr>
        <w:t xml:space="preserve"> </w:t>
      </w:r>
      <w:r w:rsidRPr="00050FA4">
        <w:rPr>
          <w:rFonts w:ascii="Garamond" w:hAnsi="Garamond"/>
          <w:color w:val="0D0D0D"/>
        </w:rPr>
        <w:t>qind në vitin 2025 dhe më tej në rreth 67.7 për</w:t>
      </w:r>
      <w:r w:rsidR="007B30CB" w:rsidRPr="00050FA4">
        <w:rPr>
          <w:rFonts w:ascii="Garamond" w:hAnsi="Garamond"/>
          <w:color w:val="0D0D0D"/>
        </w:rPr>
        <w:t xml:space="preserve"> </w:t>
      </w:r>
      <w:r w:rsidRPr="00050FA4">
        <w:rPr>
          <w:rFonts w:ascii="Garamond" w:hAnsi="Garamond"/>
          <w:color w:val="0D0D0D"/>
        </w:rPr>
        <w:t>qind deri në vitin 2028.</w:t>
      </w:r>
    </w:p>
    <w:p w14:paraId="7F013338" w14:textId="7300990D"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1.2 Përfundimi i Strategjisë Afatmesme të të Ardhurave dhe fillimi i zbatimit të saj në përputhj</w:t>
      </w:r>
      <w:r w:rsidR="00982986" w:rsidRPr="00050FA4">
        <w:rPr>
          <w:rFonts w:ascii="Garamond" w:hAnsi="Garamond"/>
          <w:b/>
          <w:bCs/>
          <w:i/>
          <w:iCs/>
          <w:color w:val="0D0D0D"/>
        </w:rPr>
        <w:t>e me marrëveshjen e grupit ndër</w:t>
      </w:r>
      <w:r w:rsidRPr="00050FA4">
        <w:rPr>
          <w:rFonts w:ascii="Garamond" w:hAnsi="Garamond"/>
          <w:b/>
          <w:bCs/>
          <w:i/>
          <w:iCs/>
          <w:color w:val="0D0D0D"/>
        </w:rPr>
        <w:t>institucional të punës, por jo më vonë se përpara dorëzimit të ardhshëm të ERP</w:t>
      </w:r>
      <w:r w:rsidR="00982986" w:rsidRPr="00050FA4">
        <w:rPr>
          <w:rFonts w:ascii="Garamond" w:hAnsi="Garamond"/>
          <w:b/>
          <w:bCs/>
          <w:i/>
          <w:iCs/>
          <w:color w:val="0D0D0D"/>
        </w:rPr>
        <w:t>-së</w:t>
      </w:r>
    </w:p>
    <w:p w14:paraId="6C16ED6B" w14:textId="073E682D"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Strategjia </w:t>
      </w:r>
      <w:r w:rsidR="008417D2" w:rsidRPr="00050FA4">
        <w:rPr>
          <w:rFonts w:ascii="Garamond" w:hAnsi="Garamond"/>
          <w:color w:val="0D0D0D"/>
        </w:rPr>
        <w:t xml:space="preserve">afatmesme e të ardhurave </w:t>
      </w:r>
      <w:r w:rsidRPr="00050FA4">
        <w:rPr>
          <w:rFonts w:ascii="Garamond" w:hAnsi="Garamond"/>
          <w:color w:val="0D0D0D"/>
        </w:rPr>
        <w:t xml:space="preserve">është në </w:t>
      </w:r>
      <w:r w:rsidR="007B30CB" w:rsidRPr="00050FA4">
        <w:rPr>
          <w:rFonts w:ascii="Garamond" w:hAnsi="Garamond"/>
          <w:color w:val="0D0D0D"/>
        </w:rPr>
        <w:t>proces</w:t>
      </w:r>
      <w:r w:rsidRPr="00050FA4">
        <w:rPr>
          <w:rFonts w:ascii="Garamond" w:hAnsi="Garamond"/>
          <w:color w:val="0D0D0D"/>
        </w:rPr>
        <w:t xml:space="preserve"> finalizimi dhe në vitin 2022 do të fillojë zbatimi i masave të parashikuara.</w:t>
      </w:r>
    </w:p>
    <w:p w14:paraId="5E0E3123" w14:textId="0D23518A" w:rsidR="003C51D0" w:rsidRPr="00050FA4" w:rsidRDefault="003C51D0" w:rsidP="003F1DA7">
      <w:pPr>
        <w:ind w:firstLine="284"/>
        <w:jc w:val="both"/>
        <w:rPr>
          <w:rFonts w:ascii="Garamond" w:hAnsi="Garamond"/>
          <w:color w:val="0D0D0D"/>
        </w:rPr>
      </w:pPr>
      <w:r w:rsidRPr="00050FA4">
        <w:rPr>
          <w:rFonts w:ascii="Garamond" w:hAnsi="Garamond"/>
          <w:b/>
          <w:bCs/>
          <w:i/>
          <w:iCs/>
          <w:color w:val="0D0D0D"/>
        </w:rPr>
        <w:t xml:space="preserve">1.3 Rritja e kapaciteteve institucionale të njësisë së </w:t>
      </w:r>
      <w:r w:rsidR="008417D2" w:rsidRPr="00050FA4">
        <w:rPr>
          <w:rFonts w:ascii="Garamond" w:hAnsi="Garamond"/>
          <w:b/>
          <w:bCs/>
          <w:i/>
          <w:iCs/>
          <w:color w:val="0D0D0D"/>
        </w:rPr>
        <w:t xml:space="preserve">riskut fiskal </w:t>
      </w:r>
      <w:r w:rsidRPr="00050FA4">
        <w:rPr>
          <w:rFonts w:ascii="Garamond" w:hAnsi="Garamond"/>
          <w:b/>
          <w:bCs/>
          <w:i/>
          <w:iCs/>
          <w:color w:val="0D0D0D"/>
        </w:rPr>
        <w:t xml:space="preserve">për të vazhduar dhe </w:t>
      </w:r>
      <w:r w:rsidR="008417D2" w:rsidRPr="00050FA4">
        <w:rPr>
          <w:rFonts w:ascii="Garamond" w:hAnsi="Garamond"/>
          <w:b/>
          <w:bCs/>
          <w:i/>
          <w:iCs/>
          <w:color w:val="0D0D0D"/>
        </w:rPr>
        <w:t xml:space="preserve">për të </w:t>
      </w:r>
      <w:r w:rsidRPr="00050FA4">
        <w:rPr>
          <w:rFonts w:ascii="Garamond" w:hAnsi="Garamond"/>
          <w:b/>
          <w:bCs/>
          <w:i/>
          <w:iCs/>
          <w:color w:val="0D0D0D"/>
        </w:rPr>
        <w:t>zgjeruar punën e saj pa u mbë</w:t>
      </w:r>
      <w:r w:rsidR="008417D2" w:rsidRPr="00050FA4">
        <w:rPr>
          <w:rFonts w:ascii="Garamond" w:hAnsi="Garamond"/>
          <w:b/>
          <w:bCs/>
          <w:i/>
          <w:iCs/>
          <w:color w:val="0D0D0D"/>
        </w:rPr>
        <w:t>shtetur në asistencën e jashtme</w:t>
      </w:r>
    </w:p>
    <w:p w14:paraId="617FEA46" w14:textId="56975D48" w:rsidR="003C51D0" w:rsidRPr="00050FA4" w:rsidRDefault="003C51D0" w:rsidP="003F1DA7">
      <w:pPr>
        <w:ind w:firstLine="284"/>
        <w:jc w:val="both"/>
        <w:rPr>
          <w:rFonts w:ascii="Garamond" w:hAnsi="Garamond"/>
          <w:color w:val="0D0D0D"/>
        </w:rPr>
      </w:pPr>
      <w:r w:rsidRPr="00050FA4">
        <w:rPr>
          <w:rFonts w:ascii="Garamond" w:hAnsi="Garamond"/>
          <w:color w:val="0D0D0D"/>
        </w:rPr>
        <w:lastRenderedPageBreak/>
        <w:t xml:space="preserve">Parimisht dakord, bazuar edhe në kërkesat tona për rritje të stafit dhe trajnimeve, por theksojmë se rritja e kapaciteteve të </w:t>
      </w:r>
      <w:r w:rsidR="007B30CB" w:rsidRPr="00050FA4">
        <w:rPr>
          <w:rFonts w:ascii="Garamond" w:hAnsi="Garamond"/>
          <w:color w:val="0D0D0D"/>
        </w:rPr>
        <w:t>NJRF</w:t>
      </w:r>
      <w:r w:rsidRPr="00050FA4">
        <w:rPr>
          <w:rFonts w:ascii="Garamond" w:hAnsi="Garamond"/>
          <w:color w:val="0D0D0D"/>
        </w:rPr>
        <w:t>-së është në vendimmarrjen e nivelit drejtues.</w:t>
      </w:r>
    </w:p>
    <w:p w14:paraId="54D56426" w14:textId="77777777" w:rsidR="003C51D0" w:rsidRPr="00050FA4" w:rsidRDefault="003C51D0" w:rsidP="003F1DA7">
      <w:pPr>
        <w:pStyle w:val="Heading2"/>
        <w:ind w:left="0" w:firstLine="284"/>
        <w:jc w:val="both"/>
        <w:rPr>
          <w:rFonts w:ascii="Garamond" w:hAnsi="Garamond"/>
          <w:b/>
          <w:bCs/>
          <w:color w:val="0D0D0D"/>
        </w:rPr>
      </w:pPr>
      <w:r w:rsidRPr="00050FA4">
        <w:rPr>
          <w:rFonts w:ascii="Garamond" w:hAnsi="Garamond"/>
          <w:b/>
          <w:bCs/>
          <w:color w:val="0D0D0D"/>
        </w:rPr>
        <w:t>Rekomandimi 2</w:t>
      </w:r>
    </w:p>
    <w:p w14:paraId="196FF0E1" w14:textId="15CFE575"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2.1 Të vijohet reduktimi i stokut të detyrimeve të prapambetura të bazuara në kontratë; të zerohen detyrimet e prapambetura të rimbursimit TVSH-së në vitin 2022 dhe të analizohen arsyet e rritjes së detyrimeve të p</w:t>
      </w:r>
      <w:r w:rsidR="00AE3198" w:rsidRPr="00050FA4">
        <w:rPr>
          <w:rFonts w:ascii="Garamond" w:hAnsi="Garamond"/>
          <w:b/>
          <w:bCs/>
          <w:i/>
          <w:iCs/>
          <w:color w:val="0D0D0D"/>
        </w:rPr>
        <w:t>rapambetura të pushtetit vendor</w:t>
      </w:r>
    </w:p>
    <w:p w14:paraId="7678B0DE" w14:textId="00115F61" w:rsidR="003C51D0" w:rsidRPr="00050FA4" w:rsidRDefault="003C51D0" w:rsidP="003F1DA7">
      <w:pPr>
        <w:ind w:firstLine="284"/>
        <w:jc w:val="both"/>
        <w:rPr>
          <w:rFonts w:ascii="Garamond" w:hAnsi="Garamond"/>
          <w:color w:val="0D0D0D"/>
        </w:rPr>
      </w:pPr>
      <w:r w:rsidRPr="00050FA4">
        <w:rPr>
          <w:rFonts w:ascii="Garamond" w:hAnsi="Garamond"/>
          <w:color w:val="0D0D0D"/>
        </w:rPr>
        <w:t>Që nga prill</w:t>
      </w:r>
      <w:r w:rsidR="00AE3198" w:rsidRPr="00050FA4">
        <w:rPr>
          <w:rFonts w:ascii="Garamond" w:hAnsi="Garamond"/>
          <w:color w:val="0D0D0D"/>
        </w:rPr>
        <w:t>i</w:t>
      </w:r>
      <w:r w:rsidRPr="00050FA4">
        <w:rPr>
          <w:rFonts w:ascii="Garamond" w:hAnsi="Garamond"/>
          <w:color w:val="0D0D0D"/>
        </w:rPr>
        <w:t xml:space="preserve"> 2020, DPT</w:t>
      </w:r>
      <w:r w:rsidR="00946E02" w:rsidRPr="00050FA4">
        <w:rPr>
          <w:rFonts w:ascii="Garamond" w:hAnsi="Garamond"/>
          <w:color w:val="0D0D0D"/>
        </w:rPr>
        <w:t>-ja</w:t>
      </w:r>
      <w:r w:rsidRPr="00050FA4">
        <w:rPr>
          <w:rFonts w:ascii="Garamond" w:hAnsi="Garamond"/>
          <w:color w:val="0D0D0D"/>
        </w:rPr>
        <w:t xml:space="preserve"> publikon rregullisht në faqen e saj të internetit një publikim tremujor të dedikuar në lidhje me rimbursimin e TVSH-së dhe detyrimet e prapambetura për TVSH-në.</w:t>
      </w:r>
    </w:p>
    <w:p w14:paraId="0F261948" w14:textId="4EA5ED38"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Konceptimi i procedurës së automatizuar me bazë risku për administrimin e rimbursimeve të TVSH-së ka përfunduar dhe pjesa më e madhe e punës për të zbatuar rimbursimin automatik të TVSH-së është kryer. Gjatë vitit 2020 u amendua </w:t>
      </w:r>
      <w:r w:rsidR="00946E02" w:rsidRPr="00050FA4">
        <w:rPr>
          <w:rFonts w:ascii="Garamond" w:hAnsi="Garamond"/>
          <w:color w:val="0D0D0D"/>
        </w:rPr>
        <w:t xml:space="preserve">rregullorja e brendshme </w:t>
      </w:r>
      <w:r w:rsidRPr="00050FA4">
        <w:rPr>
          <w:rFonts w:ascii="Garamond" w:hAnsi="Garamond"/>
          <w:color w:val="0D0D0D"/>
        </w:rPr>
        <w:t>e TVSH-së n</w:t>
      </w:r>
      <w:r w:rsidR="00A417C0" w:rsidRPr="00050FA4">
        <w:rPr>
          <w:rFonts w:ascii="Garamond" w:hAnsi="Garamond"/>
          <w:color w:val="0D0D0D"/>
        </w:rPr>
        <w:t>ë</w:t>
      </w:r>
      <w:r w:rsidRPr="00050FA4">
        <w:rPr>
          <w:rFonts w:ascii="Garamond" w:hAnsi="Garamond"/>
          <w:color w:val="0D0D0D"/>
        </w:rPr>
        <w:t xml:space="preserve"> DPT, që synonte lehtësimin dhe thjeshtimin e kritereve të aplikuara të riskut. Prandaj afatet e rimbursimit të TVSH-së u përgjysmuan dhe metoda FIFO u ndoq rreptësisht. Si rezultat, stoku i prapambetur i rimbursimeve të TVSH-së u ul në vitin 2020, krahasuar me vitin 2019.</w:t>
      </w:r>
    </w:p>
    <w:p w14:paraId="43A49089" w14:textId="7C7152CF" w:rsidR="003C51D0" w:rsidRPr="00050FA4" w:rsidRDefault="003C51D0" w:rsidP="003F1DA7">
      <w:pPr>
        <w:ind w:firstLine="284"/>
        <w:jc w:val="both"/>
        <w:rPr>
          <w:rFonts w:ascii="Garamond" w:hAnsi="Garamond"/>
          <w:color w:val="0D0D0D"/>
        </w:rPr>
      </w:pPr>
      <w:r w:rsidRPr="00050FA4">
        <w:rPr>
          <w:rFonts w:ascii="Garamond" w:hAnsi="Garamond"/>
          <w:color w:val="0D0D0D"/>
        </w:rPr>
        <w:t>Trendi n</w:t>
      </w:r>
      <w:r w:rsidR="00A417C0" w:rsidRPr="00050FA4">
        <w:rPr>
          <w:rFonts w:ascii="Garamond" w:hAnsi="Garamond"/>
          <w:color w:val="0D0D0D"/>
        </w:rPr>
        <w:t>ë</w:t>
      </w:r>
      <w:r w:rsidRPr="00050FA4">
        <w:rPr>
          <w:rFonts w:ascii="Garamond" w:hAnsi="Garamond"/>
          <w:color w:val="0D0D0D"/>
        </w:rPr>
        <w:t xml:space="preserve"> rënie i detyrimeve t</w:t>
      </w:r>
      <w:r w:rsidR="002D6BCF" w:rsidRPr="00050FA4">
        <w:rPr>
          <w:rFonts w:ascii="Garamond" w:hAnsi="Garamond"/>
          <w:color w:val="0D0D0D"/>
        </w:rPr>
        <w:t>ë</w:t>
      </w:r>
      <w:r w:rsidRPr="00050FA4">
        <w:rPr>
          <w:rFonts w:ascii="Garamond" w:hAnsi="Garamond"/>
          <w:color w:val="0D0D0D"/>
        </w:rPr>
        <w:t xml:space="preserve"> prapambetura t</w:t>
      </w:r>
      <w:r w:rsidR="002D6BCF" w:rsidRPr="00050FA4">
        <w:rPr>
          <w:rFonts w:ascii="Garamond" w:hAnsi="Garamond"/>
          <w:color w:val="0D0D0D"/>
        </w:rPr>
        <w:t>ë</w:t>
      </w:r>
      <w:r w:rsidRPr="00050FA4">
        <w:rPr>
          <w:rFonts w:ascii="Garamond" w:hAnsi="Garamond"/>
          <w:color w:val="0D0D0D"/>
        </w:rPr>
        <w:t xml:space="preserve"> rimbursimit të TVSH-së ka qenë më i theksuar gjatë vitit 2021. DPT</w:t>
      </w:r>
      <w:r w:rsidR="00946E02" w:rsidRPr="00050FA4">
        <w:rPr>
          <w:rFonts w:ascii="Garamond" w:hAnsi="Garamond"/>
          <w:color w:val="0D0D0D"/>
        </w:rPr>
        <w:t>-ja</w:t>
      </w:r>
      <w:r w:rsidRPr="00050FA4">
        <w:rPr>
          <w:rFonts w:ascii="Garamond" w:hAnsi="Garamond"/>
          <w:color w:val="0D0D0D"/>
        </w:rPr>
        <w:t xml:space="preserve"> zeroi (prej shtatorit 2021) të gjithë stokun e rimbursimeve TVSH me këste, me përjashtim të njërit prej tyre, pagesa e këstit t</w:t>
      </w:r>
      <w:r w:rsidR="002D6BCF" w:rsidRPr="00050FA4">
        <w:rPr>
          <w:rFonts w:ascii="Garamond" w:hAnsi="Garamond"/>
          <w:color w:val="0D0D0D"/>
        </w:rPr>
        <w:t>ë</w:t>
      </w:r>
      <w:r w:rsidRPr="00050FA4">
        <w:rPr>
          <w:rFonts w:ascii="Garamond" w:hAnsi="Garamond"/>
          <w:color w:val="0D0D0D"/>
        </w:rPr>
        <w:t xml:space="preserve"> fundit t</w:t>
      </w:r>
      <w:r w:rsidR="002D6BCF" w:rsidRPr="00050FA4">
        <w:rPr>
          <w:rFonts w:ascii="Garamond" w:hAnsi="Garamond"/>
          <w:color w:val="0D0D0D"/>
        </w:rPr>
        <w:t>ë</w:t>
      </w:r>
      <w:r w:rsidRPr="00050FA4">
        <w:rPr>
          <w:rFonts w:ascii="Garamond" w:hAnsi="Garamond"/>
          <w:color w:val="0D0D0D"/>
        </w:rPr>
        <w:t xml:space="preserve"> të cilit do të jepet brenda vitit 2021. Deri në fund të shtatorit 2021 ka një stok TVSH prej 477 milionë</w:t>
      </w:r>
      <w:r w:rsidR="00AA6BA2" w:rsidRPr="00050FA4">
        <w:rPr>
          <w:rFonts w:ascii="Garamond" w:hAnsi="Garamond"/>
          <w:color w:val="0D0D0D"/>
        </w:rPr>
        <w:t>sh</w:t>
      </w:r>
      <w:r w:rsidRPr="00050FA4">
        <w:rPr>
          <w:rFonts w:ascii="Garamond" w:hAnsi="Garamond"/>
          <w:color w:val="0D0D0D"/>
        </w:rPr>
        <w:t xml:space="preserve"> ALL, ulur me 95% krahasuar me vlerën e stokut në 31.12.2020 (ishte 9.8 miliardë ALL).</w:t>
      </w:r>
    </w:p>
    <w:p w14:paraId="1B49A626" w14:textId="2282CF1B" w:rsidR="003C51D0" w:rsidRPr="00050FA4" w:rsidRDefault="003C51D0" w:rsidP="003F1DA7">
      <w:pPr>
        <w:ind w:firstLine="284"/>
        <w:jc w:val="both"/>
        <w:rPr>
          <w:rFonts w:ascii="Garamond" w:hAnsi="Garamond"/>
          <w:color w:val="0D0D0D"/>
        </w:rPr>
      </w:pPr>
      <w:r w:rsidRPr="00050FA4">
        <w:rPr>
          <w:rFonts w:ascii="Garamond" w:hAnsi="Garamond"/>
          <w:color w:val="0D0D0D"/>
        </w:rPr>
        <w:t>DPT</w:t>
      </w:r>
      <w:r w:rsidR="00AA6BA2" w:rsidRPr="00050FA4">
        <w:rPr>
          <w:rFonts w:ascii="Garamond" w:hAnsi="Garamond"/>
          <w:color w:val="0D0D0D"/>
        </w:rPr>
        <w:t>-ja</w:t>
      </w:r>
      <w:r w:rsidRPr="00050FA4">
        <w:rPr>
          <w:rFonts w:ascii="Garamond" w:hAnsi="Garamond"/>
          <w:color w:val="0D0D0D"/>
        </w:rPr>
        <w:t xml:space="preserve"> është e angazhuar të pastrojë të gjithë stokun e papaguar të TVSH-së deri në fund të vitit 2021.</w:t>
      </w:r>
    </w:p>
    <w:p w14:paraId="521FE316" w14:textId="31B290FF"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Lidhur me rekomandimin </w:t>
      </w:r>
      <w:r w:rsidR="008A0E5B" w:rsidRPr="00050FA4">
        <w:rPr>
          <w:rFonts w:ascii="Garamond" w:hAnsi="Garamond"/>
          <w:color w:val="0D0D0D"/>
        </w:rPr>
        <w:t>“</w:t>
      </w:r>
      <w:r w:rsidRPr="00050FA4">
        <w:rPr>
          <w:rFonts w:ascii="Garamond" w:hAnsi="Garamond"/>
          <w:i/>
          <w:iCs/>
          <w:color w:val="0D0D0D"/>
        </w:rPr>
        <w:t>Vijoni të reduktoni stokun e detyrimeve të prapambetura të bazuara në kontratë</w:t>
      </w:r>
      <w:r w:rsidR="008A0E5B" w:rsidRPr="00050FA4">
        <w:rPr>
          <w:rFonts w:ascii="Garamond" w:hAnsi="Garamond"/>
          <w:color w:val="0D0D0D"/>
        </w:rPr>
        <w:t>”</w:t>
      </w:r>
      <w:r w:rsidRPr="00050FA4">
        <w:rPr>
          <w:rFonts w:ascii="Garamond" w:hAnsi="Garamond"/>
          <w:color w:val="0D0D0D"/>
        </w:rPr>
        <w:t xml:space="preserve">- Kjo është në përgjegjësi direkte të </w:t>
      </w:r>
      <w:r w:rsidR="00017EB8" w:rsidRPr="00050FA4">
        <w:rPr>
          <w:rFonts w:ascii="Garamond" w:hAnsi="Garamond"/>
          <w:color w:val="0D0D0D"/>
        </w:rPr>
        <w:t xml:space="preserve">ministrive të linjës/institucioneve buxhetore, </w:t>
      </w:r>
      <w:r w:rsidRPr="00050FA4">
        <w:rPr>
          <w:rFonts w:ascii="Garamond" w:hAnsi="Garamond"/>
          <w:color w:val="0D0D0D"/>
        </w:rPr>
        <w:t>të cilat janë përgjegjëse për krijimin e detyrime</w:t>
      </w:r>
      <w:r w:rsidR="00F549D5" w:rsidRPr="00050FA4">
        <w:rPr>
          <w:rFonts w:ascii="Garamond" w:hAnsi="Garamond"/>
          <w:color w:val="0D0D0D"/>
        </w:rPr>
        <w:t>ve të prapambetura. Ndërkohë që</w:t>
      </w:r>
      <w:r w:rsidRPr="00050FA4">
        <w:rPr>
          <w:rFonts w:ascii="Garamond" w:hAnsi="Garamond"/>
          <w:color w:val="0D0D0D"/>
        </w:rPr>
        <w:t xml:space="preserve"> përgjegjësia e Drejtorisë së Menaxhimit të Buxhetit/Sektorit të Risqeve Fiskale lidhet me procesin e përpunimit dhe </w:t>
      </w:r>
      <w:r w:rsidR="00F549D5" w:rsidRPr="00050FA4">
        <w:rPr>
          <w:rFonts w:ascii="Garamond" w:hAnsi="Garamond"/>
          <w:color w:val="0D0D0D"/>
        </w:rPr>
        <w:t xml:space="preserve">të </w:t>
      </w:r>
      <w:r w:rsidRPr="00050FA4">
        <w:rPr>
          <w:rFonts w:ascii="Garamond" w:hAnsi="Garamond"/>
          <w:color w:val="0D0D0D"/>
        </w:rPr>
        <w:t>raportimit të detyrimeve të prapambetura, proces të cilin e zbatojmë dhe jemi në përputhje të plotë me rekomandimet e dhëna nga partnerët.</w:t>
      </w:r>
    </w:p>
    <w:p w14:paraId="39535B9A" w14:textId="5A3657F6"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Konceptimi i procedurës së automatizuar me bazë risku për administrimin e rimbursimeve të TVSH-së ka përfunduar dhe pjesa më e madhe e punës për të zbatuar rimbursimin automatik të TVSH-së është kryer. Gjatë vitit 2020 u amendua </w:t>
      </w:r>
      <w:r w:rsidR="00F549D5" w:rsidRPr="00050FA4">
        <w:rPr>
          <w:rFonts w:ascii="Garamond" w:hAnsi="Garamond"/>
          <w:color w:val="0D0D0D"/>
        </w:rPr>
        <w:t xml:space="preserve">rregullorja e brendshme </w:t>
      </w:r>
      <w:r w:rsidRPr="00050FA4">
        <w:rPr>
          <w:rFonts w:ascii="Garamond" w:hAnsi="Garamond"/>
          <w:color w:val="0D0D0D"/>
        </w:rPr>
        <w:t>e TVSH-së në DPT, që synonte lehtësimin dhe thjeshtimin e kritereve të aplikuara të riskut. Prandaj afatet e rimbursimit të TVSH-së u përgjysmuan dhe metoda FIFO u ndoq rreptësisht. Si rezultat, stoku i prapambetur i rimbursimeve të TVSH-së u ul në vitin 2020, krahasuar me vitin 2019. Trendi në rënie i detyrimeve t</w:t>
      </w:r>
      <w:r w:rsidR="002D6BCF" w:rsidRPr="00050FA4">
        <w:rPr>
          <w:rFonts w:ascii="Garamond" w:hAnsi="Garamond"/>
          <w:color w:val="0D0D0D"/>
        </w:rPr>
        <w:t>ë</w:t>
      </w:r>
      <w:r w:rsidRPr="00050FA4">
        <w:rPr>
          <w:rFonts w:ascii="Garamond" w:hAnsi="Garamond"/>
          <w:color w:val="0D0D0D"/>
        </w:rPr>
        <w:t xml:space="preserve"> prapambetura të rimbursimit të TVSH-së ka qenë më i theksuar gjatë vitit 2021. DPT</w:t>
      </w:r>
      <w:r w:rsidR="00792EB3" w:rsidRPr="00050FA4">
        <w:rPr>
          <w:rFonts w:ascii="Garamond" w:hAnsi="Garamond"/>
          <w:color w:val="0D0D0D"/>
        </w:rPr>
        <w:t>-ja</w:t>
      </w:r>
      <w:r w:rsidRPr="00050FA4">
        <w:rPr>
          <w:rFonts w:ascii="Garamond" w:hAnsi="Garamond"/>
          <w:color w:val="0D0D0D"/>
        </w:rPr>
        <w:t xml:space="preserve"> zeroi të gjithë stokun e rimbursimeve TVSH me këste, me përjashtim të njërit prej tyre, pagesa e këstit të fundit</w:t>
      </w:r>
      <w:r w:rsidR="00792EB3" w:rsidRPr="00050FA4">
        <w:rPr>
          <w:rFonts w:ascii="Garamond" w:hAnsi="Garamond"/>
          <w:color w:val="0D0D0D"/>
        </w:rPr>
        <w:t>,</w:t>
      </w:r>
      <w:r w:rsidRPr="00050FA4">
        <w:rPr>
          <w:rFonts w:ascii="Garamond" w:hAnsi="Garamond"/>
          <w:color w:val="0D0D0D"/>
        </w:rPr>
        <w:t xml:space="preserve"> i cili do të jepet brenda vitit 2021. Deri në fund të nëntorit 2021</w:t>
      </w:r>
      <w:r w:rsidR="00792EB3" w:rsidRPr="00050FA4">
        <w:rPr>
          <w:rFonts w:ascii="Garamond" w:hAnsi="Garamond"/>
          <w:color w:val="0D0D0D"/>
        </w:rPr>
        <w:t>,</w:t>
      </w:r>
      <w:r w:rsidRPr="00050FA4">
        <w:rPr>
          <w:rFonts w:ascii="Garamond" w:hAnsi="Garamond"/>
          <w:color w:val="0D0D0D"/>
        </w:rPr>
        <w:t xml:space="preserve"> stoku i TVSH-së është 621 milionë lekë, ulur me 94% krahasuar me vlerën e stokut në 31.12.2020 (ishte 9.8 miliardë lekë). DPT</w:t>
      </w:r>
      <w:r w:rsidR="00792EB3" w:rsidRPr="00050FA4">
        <w:rPr>
          <w:rFonts w:ascii="Garamond" w:hAnsi="Garamond"/>
          <w:color w:val="0D0D0D"/>
        </w:rPr>
        <w:t>-ja</w:t>
      </w:r>
      <w:r w:rsidRPr="00050FA4">
        <w:rPr>
          <w:rFonts w:ascii="Garamond" w:hAnsi="Garamond"/>
          <w:color w:val="0D0D0D"/>
        </w:rPr>
        <w:t xml:space="preserve"> është e angazhuar të pastrojë të gjithë stokun e papaguar të TVSH-së deri në fund të vitit 2021.</w:t>
      </w:r>
    </w:p>
    <w:p w14:paraId="3CF948D9" w14:textId="569D90E7"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Lidhur me rekomandimin </w:t>
      </w:r>
      <w:r w:rsidR="008A0E5B" w:rsidRPr="00050FA4">
        <w:rPr>
          <w:rFonts w:ascii="Garamond" w:hAnsi="Garamond"/>
          <w:color w:val="0D0D0D"/>
        </w:rPr>
        <w:t>“</w:t>
      </w:r>
      <w:r w:rsidRPr="00050FA4">
        <w:rPr>
          <w:rFonts w:ascii="Garamond" w:hAnsi="Garamond"/>
          <w:i/>
          <w:iCs/>
          <w:color w:val="0D0D0D"/>
        </w:rPr>
        <w:t>Analizoni arsyet e rritjes së detyrimeve të prapambetura të pushtetit vendor</w:t>
      </w:r>
      <w:r w:rsidR="008A0E5B" w:rsidRPr="00050FA4">
        <w:rPr>
          <w:rFonts w:ascii="Garamond" w:hAnsi="Garamond"/>
          <w:color w:val="0D0D0D"/>
        </w:rPr>
        <w:t>”</w:t>
      </w:r>
      <w:r w:rsidR="00FD6862" w:rsidRPr="00050FA4">
        <w:rPr>
          <w:rFonts w:ascii="Garamond" w:hAnsi="Garamond"/>
          <w:color w:val="0D0D0D"/>
        </w:rPr>
        <w:t>,</w:t>
      </w:r>
      <w:r w:rsidRPr="00050FA4">
        <w:rPr>
          <w:rFonts w:ascii="Garamond" w:hAnsi="Garamond"/>
          <w:color w:val="0D0D0D"/>
        </w:rPr>
        <w:t xml:space="preserve"> sqarojmë si vijon:</w:t>
      </w:r>
    </w:p>
    <w:p w14:paraId="426C89F8" w14:textId="498792C4" w:rsidR="003C51D0" w:rsidRPr="00050FA4" w:rsidRDefault="003C51D0" w:rsidP="003F1DA7">
      <w:pPr>
        <w:ind w:firstLine="284"/>
        <w:jc w:val="both"/>
        <w:rPr>
          <w:rFonts w:ascii="Garamond" w:hAnsi="Garamond"/>
          <w:color w:val="0D0D0D"/>
        </w:rPr>
      </w:pPr>
      <w:r w:rsidRPr="00050FA4">
        <w:rPr>
          <w:rFonts w:ascii="Garamond" w:hAnsi="Garamond"/>
          <w:color w:val="0D0D0D"/>
        </w:rPr>
        <w:t>-</w:t>
      </w:r>
      <w:r w:rsidR="005A6B6F" w:rsidRPr="00050FA4">
        <w:rPr>
          <w:rFonts w:ascii="Garamond" w:hAnsi="Garamond"/>
          <w:color w:val="0D0D0D"/>
        </w:rPr>
        <w:t xml:space="preserve"> </w:t>
      </w:r>
      <w:r w:rsidRPr="00050FA4">
        <w:rPr>
          <w:rFonts w:ascii="Garamond" w:hAnsi="Garamond"/>
          <w:color w:val="0D0D0D"/>
        </w:rPr>
        <w:t xml:space="preserve">Detyrimet e prapambetura të njësive të vetëqeverisjes vendore janë kryesisht detyrime të prapambetura të krijuara në të kaluarën, të trashëguara nga ish-njësitë vendore (komunat). </w:t>
      </w:r>
    </w:p>
    <w:p w14:paraId="58F5C077" w14:textId="04F89F83" w:rsidR="003C51D0" w:rsidRPr="00050FA4" w:rsidRDefault="003C51D0" w:rsidP="003F1DA7">
      <w:pPr>
        <w:ind w:firstLine="284"/>
        <w:jc w:val="both"/>
        <w:rPr>
          <w:rFonts w:ascii="Garamond" w:hAnsi="Garamond"/>
          <w:color w:val="0D0D0D"/>
        </w:rPr>
      </w:pPr>
      <w:r w:rsidRPr="00050FA4">
        <w:rPr>
          <w:rFonts w:ascii="Garamond" w:hAnsi="Garamond"/>
          <w:color w:val="0D0D0D"/>
        </w:rPr>
        <w:t>- Rritja e stokut të detyrimit për t’u paguar ndikohet edhe nga faktorë të tjerë të mundshëm</w:t>
      </w:r>
      <w:r w:rsidR="008A1783" w:rsidRPr="00050FA4">
        <w:rPr>
          <w:rFonts w:ascii="Garamond" w:hAnsi="Garamond"/>
          <w:color w:val="0D0D0D"/>
        </w:rPr>
        <w:t>,</w:t>
      </w:r>
      <w:r w:rsidRPr="00050FA4">
        <w:rPr>
          <w:rFonts w:ascii="Garamond" w:hAnsi="Garamond"/>
          <w:color w:val="0D0D0D"/>
        </w:rPr>
        <w:t xml:space="preserve"> si: vendimet e reja gjyqësore në favor të të tretëve dhe mosrealizimi i të ardhurave vendore të planifikuara. Gjatë dy viteve të fundit, faktorët e jashtëm</w:t>
      </w:r>
      <w:r w:rsidR="008A1783" w:rsidRPr="00050FA4">
        <w:rPr>
          <w:rFonts w:ascii="Garamond" w:hAnsi="Garamond"/>
          <w:color w:val="0D0D0D"/>
        </w:rPr>
        <w:t>,</w:t>
      </w:r>
      <w:r w:rsidRPr="00050FA4">
        <w:rPr>
          <w:rFonts w:ascii="Garamond" w:hAnsi="Garamond"/>
          <w:color w:val="0D0D0D"/>
        </w:rPr>
        <w:t xml:space="preserve"> si fatkeqësia natyrore</w:t>
      </w:r>
      <w:r w:rsidR="008A1783" w:rsidRPr="00050FA4">
        <w:rPr>
          <w:rFonts w:ascii="Garamond" w:hAnsi="Garamond"/>
          <w:color w:val="0D0D0D"/>
        </w:rPr>
        <w:t>,</w:t>
      </w:r>
      <w:r w:rsidRPr="00050FA4">
        <w:rPr>
          <w:rFonts w:ascii="Garamond" w:hAnsi="Garamond"/>
          <w:color w:val="0D0D0D"/>
        </w:rPr>
        <w:t xml:space="preserve"> ka ndodhur në vitin 2019, dhe pandemia globale e sëmundjes koronavirus 2019, kanë ndikuar në rritjen e stokut të detyrimeve të prapambetura në disa </w:t>
      </w:r>
      <w:r w:rsidR="002D6BCF" w:rsidRPr="00050FA4">
        <w:rPr>
          <w:rFonts w:ascii="Garamond" w:hAnsi="Garamond"/>
          <w:color w:val="0D0D0D"/>
        </w:rPr>
        <w:t>njësi</w:t>
      </w:r>
      <w:r w:rsidRPr="00050FA4">
        <w:rPr>
          <w:rFonts w:ascii="Garamond" w:hAnsi="Garamond"/>
          <w:color w:val="0D0D0D"/>
        </w:rPr>
        <w:t xml:space="preserve"> vendore. Detyrimet e reja të krijuara kanë të bëjnë kryesisht me kategorinë </w:t>
      </w:r>
      <w:r w:rsidR="008A0E5B" w:rsidRPr="00050FA4">
        <w:rPr>
          <w:rFonts w:ascii="Garamond" w:hAnsi="Garamond"/>
          <w:color w:val="0D0D0D"/>
        </w:rPr>
        <w:t>“</w:t>
      </w:r>
      <w:r w:rsidRPr="00050FA4">
        <w:rPr>
          <w:rFonts w:ascii="Garamond" w:hAnsi="Garamond"/>
          <w:color w:val="0D0D0D"/>
        </w:rPr>
        <w:t>Investime</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 xml:space="preserve">Mallra dhe </w:t>
      </w:r>
      <w:r w:rsidR="008A1783" w:rsidRPr="00050FA4">
        <w:rPr>
          <w:rFonts w:ascii="Garamond" w:hAnsi="Garamond"/>
          <w:color w:val="0D0D0D"/>
        </w:rPr>
        <w:t>shërbime</w:t>
      </w:r>
      <w:r w:rsidR="008A0E5B" w:rsidRPr="00050FA4">
        <w:rPr>
          <w:rFonts w:ascii="Garamond" w:hAnsi="Garamond"/>
          <w:color w:val="0D0D0D"/>
        </w:rPr>
        <w:t>”</w:t>
      </w:r>
      <w:r w:rsidRPr="00050FA4">
        <w:rPr>
          <w:rFonts w:ascii="Garamond" w:hAnsi="Garamond"/>
          <w:color w:val="0D0D0D"/>
        </w:rPr>
        <w:t xml:space="preserve"> dhe </w:t>
      </w:r>
      <w:r w:rsidR="008A0E5B" w:rsidRPr="00050FA4">
        <w:rPr>
          <w:rFonts w:ascii="Garamond" w:hAnsi="Garamond"/>
          <w:color w:val="0D0D0D"/>
        </w:rPr>
        <w:t>“</w:t>
      </w:r>
      <w:r w:rsidRPr="00050FA4">
        <w:rPr>
          <w:rFonts w:ascii="Garamond" w:hAnsi="Garamond"/>
          <w:color w:val="0D0D0D"/>
        </w:rPr>
        <w:t xml:space="preserve">Vendime </w:t>
      </w:r>
      <w:r w:rsidR="008A1783" w:rsidRPr="00050FA4">
        <w:rPr>
          <w:rFonts w:ascii="Garamond" w:hAnsi="Garamond"/>
          <w:color w:val="0D0D0D"/>
        </w:rPr>
        <w:t>gjyqësore</w:t>
      </w:r>
      <w:r w:rsidR="008A0E5B" w:rsidRPr="00050FA4">
        <w:rPr>
          <w:rFonts w:ascii="Garamond" w:hAnsi="Garamond"/>
          <w:color w:val="0D0D0D"/>
        </w:rPr>
        <w:t>”</w:t>
      </w:r>
      <w:r w:rsidRPr="00050FA4">
        <w:rPr>
          <w:rFonts w:ascii="Garamond" w:hAnsi="Garamond"/>
          <w:color w:val="0D0D0D"/>
        </w:rPr>
        <w:t>.</w:t>
      </w:r>
    </w:p>
    <w:p w14:paraId="0C6405E2" w14:textId="77777777" w:rsidR="003C51D0" w:rsidRPr="00050FA4" w:rsidRDefault="003C51D0" w:rsidP="003F1DA7">
      <w:pPr>
        <w:ind w:firstLine="284"/>
        <w:jc w:val="both"/>
        <w:rPr>
          <w:rFonts w:ascii="Garamond" w:hAnsi="Garamond"/>
          <w:color w:val="0D0D0D"/>
        </w:rPr>
      </w:pPr>
      <w:r w:rsidRPr="00050FA4">
        <w:rPr>
          <w:rFonts w:ascii="Garamond" w:hAnsi="Garamond"/>
          <w:b/>
          <w:bCs/>
          <w:i/>
          <w:iCs/>
          <w:color w:val="0D0D0D"/>
        </w:rPr>
        <w:t>2.2 Vlerësimi dhe miratimi i të gjitha investimeve, të cilat përfshijnë fonde publike, përfshirë PPP-të, përmes të njëjtit proces miratimi dhe vijimi i raportimit të shpenzimeve aktuale të rindërtimit nga tërmeti në zbatim të buxhetit të konsoliduar</w:t>
      </w:r>
    </w:p>
    <w:p w14:paraId="35367220" w14:textId="5F4E2AA6" w:rsidR="003C51D0" w:rsidRPr="00050FA4" w:rsidRDefault="003C51D0" w:rsidP="003F1DA7">
      <w:pPr>
        <w:ind w:firstLine="284"/>
        <w:jc w:val="both"/>
        <w:rPr>
          <w:rFonts w:ascii="Garamond" w:hAnsi="Garamond"/>
          <w:color w:val="0D0D0D"/>
        </w:rPr>
      </w:pPr>
      <w:r w:rsidRPr="00050FA4">
        <w:rPr>
          <w:rFonts w:ascii="Garamond" w:hAnsi="Garamond"/>
          <w:b/>
          <w:bCs/>
          <w:i/>
          <w:iCs/>
          <w:color w:val="0D0D0D"/>
        </w:rPr>
        <w:t>2.3 Riorientimi i përbërjes së shpenzimeve publike drejt zhvillimit të kapitalit njerëzor dhe inovacionit</w:t>
      </w:r>
      <w:r w:rsidR="008A1783" w:rsidRPr="00050FA4">
        <w:rPr>
          <w:rFonts w:ascii="Garamond" w:hAnsi="Garamond"/>
          <w:b/>
          <w:bCs/>
          <w:i/>
          <w:iCs/>
          <w:color w:val="0D0D0D"/>
        </w:rPr>
        <w:t>,</w:t>
      </w:r>
      <w:r w:rsidRPr="00050FA4">
        <w:rPr>
          <w:rFonts w:ascii="Garamond" w:hAnsi="Garamond"/>
          <w:b/>
          <w:bCs/>
          <w:i/>
          <w:iCs/>
          <w:color w:val="0D0D0D"/>
        </w:rPr>
        <w:t xml:space="preserve"> duke parashikuar një rritje graduale të vazhdueshme të shpenzimeve për arsimin, shëndetësinë, sigurimet shoqërore dhe </w:t>
      </w:r>
      <w:r w:rsidR="008A0E5B" w:rsidRPr="00050FA4">
        <w:rPr>
          <w:rFonts w:ascii="Garamond" w:hAnsi="Garamond"/>
          <w:b/>
          <w:bCs/>
          <w:i/>
          <w:iCs/>
          <w:color w:val="0D0D0D"/>
        </w:rPr>
        <w:t>“</w:t>
      </w:r>
      <w:r w:rsidRPr="00050FA4">
        <w:rPr>
          <w:rFonts w:ascii="Garamond" w:hAnsi="Garamond"/>
          <w:b/>
          <w:bCs/>
          <w:i/>
          <w:iCs/>
          <w:color w:val="0D0D0D"/>
        </w:rPr>
        <w:t xml:space="preserve">Kërkim </w:t>
      </w:r>
      <w:r w:rsidR="008A1783" w:rsidRPr="00050FA4">
        <w:rPr>
          <w:rFonts w:ascii="Garamond" w:hAnsi="Garamond"/>
          <w:b/>
          <w:bCs/>
          <w:i/>
          <w:iCs/>
          <w:color w:val="0D0D0D"/>
        </w:rPr>
        <w:t>dhe</w:t>
      </w:r>
      <w:r w:rsidRPr="00050FA4">
        <w:rPr>
          <w:rFonts w:ascii="Garamond" w:hAnsi="Garamond"/>
          <w:b/>
          <w:bCs/>
          <w:i/>
          <w:iCs/>
          <w:color w:val="0D0D0D"/>
        </w:rPr>
        <w:t xml:space="preserve"> </w:t>
      </w:r>
      <w:r w:rsidR="008A1783" w:rsidRPr="00050FA4">
        <w:rPr>
          <w:rFonts w:ascii="Garamond" w:hAnsi="Garamond"/>
          <w:b/>
          <w:bCs/>
          <w:i/>
          <w:iCs/>
          <w:color w:val="0D0D0D"/>
        </w:rPr>
        <w:t>zhvillim</w:t>
      </w:r>
      <w:r w:rsidR="008A0E5B" w:rsidRPr="00050FA4">
        <w:rPr>
          <w:rFonts w:ascii="Garamond" w:hAnsi="Garamond"/>
          <w:b/>
          <w:bCs/>
          <w:i/>
          <w:iCs/>
          <w:color w:val="0D0D0D"/>
        </w:rPr>
        <w:t>”</w:t>
      </w:r>
      <w:r w:rsidRPr="00050FA4">
        <w:rPr>
          <w:rFonts w:ascii="Garamond" w:hAnsi="Garamond"/>
          <w:b/>
          <w:bCs/>
          <w:i/>
          <w:iCs/>
          <w:color w:val="0D0D0D"/>
        </w:rPr>
        <w:t xml:space="preserve"> për</w:t>
      </w:r>
      <w:r w:rsidR="008A1783" w:rsidRPr="00050FA4">
        <w:rPr>
          <w:rFonts w:ascii="Garamond" w:hAnsi="Garamond"/>
          <w:b/>
          <w:bCs/>
          <w:i/>
          <w:iCs/>
          <w:color w:val="0D0D0D"/>
        </w:rPr>
        <w:t xml:space="preserve"> </w:t>
      </w:r>
      <w:r w:rsidRPr="00050FA4">
        <w:rPr>
          <w:rFonts w:ascii="Garamond" w:hAnsi="Garamond"/>
          <w:b/>
          <w:bCs/>
          <w:i/>
          <w:iCs/>
          <w:color w:val="0D0D0D"/>
        </w:rPr>
        <w:t>sa i përket pjesëmarrjes në totalin e shpenzimeve</w:t>
      </w:r>
    </w:p>
    <w:p w14:paraId="04C4F5FE" w14:textId="60BC5F26" w:rsidR="003C51D0" w:rsidRPr="00050FA4" w:rsidRDefault="003C51D0" w:rsidP="003F1DA7">
      <w:pPr>
        <w:ind w:firstLine="284"/>
        <w:jc w:val="both"/>
        <w:rPr>
          <w:rFonts w:ascii="Garamond" w:hAnsi="Garamond"/>
          <w:color w:val="0D0D0D"/>
        </w:rPr>
      </w:pPr>
      <w:r w:rsidRPr="00050FA4">
        <w:rPr>
          <w:rFonts w:ascii="Garamond" w:hAnsi="Garamond"/>
          <w:color w:val="0D0D0D"/>
        </w:rPr>
        <w:lastRenderedPageBreak/>
        <w:t xml:space="preserve">Shpenzimet në </w:t>
      </w:r>
      <w:r w:rsidR="00383D37" w:rsidRPr="00050FA4">
        <w:rPr>
          <w:rFonts w:ascii="Garamond" w:hAnsi="Garamond"/>
          <w:color w:val="0D0D0D"/>
        </w:rPr>
        <w:t xml:space="preserve">arsim, shëndetësi, mbrojtje sociale dhe kërkim dhe zhvillim, në vlera </w:t>
      </w:r>
      <w:r w:rsidRPr="00050FA4">
        <w:rPr>
          <w:rFonts w:ascii="Garamond" w:hAnsi="Garamond"/>
          <w:color w:val="0D0D0D"/>
        </w:rPr>
        <w:t>nominale janë në rritje nga viti 2016 deri në vitin 2024, të paraqitura dhe në tabelën e shpenzimeve funksionale të qeverisë më sipër.</w:t>
      </w:r>
    </w:p>
    <w:p w14:paraId="131DC5E0" w14:textId="36A28CF3"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Rritja e shpenzimeve në këto funksione tregon përpjekjet e vazhdueshme të qeverisë për </w:t>
      </w:r>
      <w:r w:rsidR="008D2789" w:rsidRPr="00050FA4">
        <w:rPr>
          <w:rFonts w:ascii="Garamond" w:hAnsi="Garamond"/>
          <w:color w:val="0D0D0D"/>
        </w:rPr>
        <w:t xml:space="preserve">të </w:t>
      </w:r>
      <w:r w:rsidRPr="00050FA4">
        <w:rPr>
          <w:rFonts w:ascii="Garamond" w:hAnsi="Garamond"/>
          <w:color w:val="0D0D0D"/>
        </w:rPr>
        <w:t>mbështetur me prioritet sektor</w:t>
      </w:r>
      <w:r w:rsidR="002C7E03" w:rsidRPr="00050FA4">
        <w:rPr>
          <w:rFonts w:ascii="Garamond" w:hAnsi="Garamond"/>
          <w:color w:val="0D0D0D"/>
        </w:rPr>
        <w:t xml:space="preserve">ët, </w:t>
      </w:r>
      <w:r w:rsidRPr="00050FA4">
        <w:rPr>
          <w:rFonts w:ascii="Garamond" w:hAnsi="Garamond"/>
          <w:color w:val="0D0D0D"/>
        </w:rPr>
        <w:t xml:space="preserve"> si arsim, shëndetësi, mbrojtje sociale dhe K&amp;ZH. Në buxhetin e vitit 2022</w:t>
      </w:r>
      <w:r w:rsidR="002C7E03" w:rsidRPr="00050FA4">
        <w:rPr>
          <w:rFonts w:ascii="Garamond" w:hAnsi="Garamond"/>
          <w:color w:val="0D0D0D"/>
        </w:rPr>
        <w:t>,</w:t>
      </w:r>
      <w:r w:rsidRPr="00050FA4">
        <w:rPr>
          <w:rFonts w:ascii="Garamond" w:hAnsi="Garamond"/>
          <w:color w:val="0D0D0D"/>
        </w:rPr>
        <w:t xml:space="preserve"> sektorë</w:t>
      </w:r>
      <w:r w:rsidR="002C7E03" w:rsidRPr="00050FA4">
        <w:rPr>
          <w:rFonts w:ascii="Garamond" w:hAnsi="Garamond"/>
          <w:color w:val="0D0D0D"/>
        </w:rPr>
        <w:t>ve</w:t>
      </w:r>
      <w:r w:rsidRPr="00050FA4">
        <w:rPr>
          <w:rFonts w:ascii="Garamond" w:hAnsi="Garamond"/>
          <w:color w:val="0D0D0D"/>
        </w:rPr>
        <w:t xml:space="preserve"> </w:t>
      </w:r>
      <w:r w:rsidR="002C7E03" w:rsidRPr="00050FA4">
        <w:rPr>
          <w:rFonts w:ascii="Garamond" w:hAnsi="Garamond"/>
          <w:color w:val="0D0D0D"/>
        </w:rPr>
        <w:t>të</w:t>
      </w:r>
      <w:r w:rsidRPr="00050FA4">
        <w:rPr>
          <w:rFonts w:ascii="Garamond" w:hAnsi="Garamond"/>
          <w:color w:val="0D0D0D"/>
        </w:rPr>
        <w:t xml:space="preserve"> arsimit, shëndetësisë, mbrojtjes sociale dhe K&amp;ZH </w:t>
      </w:r>
      <w:r w:rsidRPr="0090277C">
        <w:rPr>
          <w:rFonts w:ascii="Garamond" w:hAnsi="Garamond"/>
          <w:color w:val="0D0D0D"/>
        </w:rPr>
        <w:t>i është kushtuar vëmendje e veçantë duke</w:t>
      </w:r>
      <w:r w:rsidRPr="00050FA4">
        <w:rPr>
          <w:rFonts w:ascii="Garamond" w:hAnsi="Garamond"/>
          <w:color w:val="0D0D0D"/>
        </w:rPr>
        <w:t xml:space="preserve"> mbështetur me prioritet politikat e mëposhtme:</w:t>
      </w:r>
    </w:p>
    <w:p w14:paraId="783CE97B" w14:textId="0463AE60"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rriten </w:t>
      </w:r>
      <w:r w:rsidRPr="00050FA4">
        <w:rPr>
          <w:rFonts w:ascii="Garamond" w:hAnsi="Garamond"/>
          <w:color w:val="0D0D0D"/>
        </w:rPr>
        <w:t>me 6% pagat e punonjësve në sektorët e shëndetësisë, arsimit dhe mbrojtjes</w:t>
      </w:r>
      <w:r w:rsidR="00A1034C" w:rsidRPr="00050FA4">
        <w:rPr>
          <w:rFonts w:ascii="Garamond" w:hAnsi="Garamond"/>
          <w:color w:val="0D0D0D"/>
        </w:rPr>
        <w:t>;</w:t>
      </w:r>
    </w:p>
    <w:p w14:paraId="53D5FBFC" w14:textId="6FDC5909"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financohen </w:t>
      </w:r>
      <w:r w:rsidRPr="00050FA4">
        <w:rPr>
          <w:rFonts w:ascii="Garamond" w:hAnsi="Garamond"/>
          <w:color w:val="0D0D0D"/>
        </w:rPr>
        <w:t xml:space="preserve">si prioritete mbështetja e </w:t>
      </w:r>
      <w:r w:rsidR="00E708DC" w:rsidRPr="00050FA4">
        <w:rPr>
          <w:rFonts w:ascii="Garamond" w:hAnsi="Garamond"/>
          <w:i/>
          <w:color w:val="0D0D0D"/>
        </w:rPr>
        <w:t>start-up</w:t>
      </w:r>
      <w:r w:rsidRPr="00050FA4">
        <w:rPr>
          <w:rFonts w:ascii="Garamond" w:hAnsi="Garamond"/>
          <w:color w:val="0D0D0D"/>
        </w:rPr>
        <w:t xml:space="preserve">-eve, pagesa e papunësisë së naftëtarëve dhe garancia sovrane 1 </w:t>
      </w:r>
      <w:r w:rsidR="00F949C0" w:rsidRPr="00050FA4">
        <w:rPr>
          <w:rFonts w:ascii="Garamond" w:hAnsi="Garamond"/>
          <w:color w:val="0D0D0D"/>
        </w:rPr>
        <w:t>miliardë lekë</w:t>
      </w:r>
      <w:r w:rsidRPr="00050FA4">
        <w:rPr>
          <w:rFonts w:ascii="Garamond" w:hAnsi="Garamond"/>
          <w:color w:val="0D0D0D"/>
        </w:rPr>
        <w:t xml:space="preserve"> për manifakturën dhe sipërmarrjen</w:t>
      </w:r>
      <w:r w:rsidR="00A1034C" w:rsidRPr="00050FA4">
        <w:rPr>
          <w:rFonts w:ascii="Garamond" w:hAnsi="Garamond"/>
          <w:color w:val="0D0D0D"/>
        </w:rPr>
        <w:t>;</w:t>
      </w:r>
    </w:p>
    <w:p w14:paraId="5330C664" w14:textId="71C31EBD"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për </w:t>
      </w:r>
      <w:r w:rsidRPr="00050FA4">
        <w:rPr>
          <w:rFonts w:ascii="Garamond" w:hAnsi="Garamond"/>
          <w:color w:val="0D0D0D"/>
        </w:rPr>
        <w:t>Spitalin Rajonal të Fierit programohet një fond prej 750 milionë</w:t>
      </w:r>
      <w:r w:rsidR="002E7BD4" w:rsidRPr="00050FA4">
        <w:rPr>
          <w:rFonts w:ascii="Garamond" w:hAnsi="Garamond"/>
          <w:color w:val="0D0D0D"/>
        </w:rPr>
        <w:t>sh</w:t>
      </w:r>
      <w:r w:rsidRPr="00050FA4">
        <w:rPr>
          <w:rFonts w:ascii="Garamond" w:hAnsi="Garamond"/>
          <w:color w:val="0D0D0D"/>
        </w:rPr>
        <w:t xml:space="preserve">, si dhe do të vijojnë skemat e rimbursimit të barnave dhe </w:t>
      </w:r>
      <w:r w:rsidR="002E7BD4" w:rsidRPr="00050FA4">
        <w:rPr>
          <w:rFonts w:ascii="Garamond" w:hAnsi="Garamond"/>
          <w:color w:val="0D0D0D"/>
        </w:rPr>
        <w:t xml:space="preserve">e </w:t>
      </w:r>
      <w:r w:rsidRPr="00050FA4">
        <w:rPr>
          <w:rFonts w:ascii="Garamond" w:hAnsi="Garamond"/>
          <w:color w:val="0D0D0D"/>
        </w:rPr>
        <w:t>bonusit të bebes</w:t>
      </w:r>
      <w:r w:rsidR="00A1034C" w:rsidRPr="00050FA4">
        <w:rPr>
          <w:rFonts w:ascii="Garamond" w:hAnsi="Garamond"/>
          <w:color w:val="0D0D0D"/>
        </w:rPr>
        <w:t>;</w:t>
      </w:r>
    </w:p>
    <w:p w14:paraId="1137CDFC" w14:textId="39180302"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do </w:t>
      </w:r>
      <w:r w:rsidRPr="00050FA4">
        <w:rPr>
          <w:rFonts w:ascii="Garamond" w:hAnsi="Garamond"/>
          <w:color w:val="0D0D0D"/>
        </w:rPr>
        <w:t>të vijojë skema e librave shkollorë falas për nxënësit nga shtresa në nevojë, e cila zgjerohet deri në shkollën e mesme</w:t>
      </w:r>
      <w:r w:rsidR="00A1034C" w:rsidRPr="00050FA4">
        <w:rPr>
          <w:rFonts w:ascii="Garamond" w:hAnsi="Garamond"/>
          <w:color w:val="0D0D0D"/>
        </w:rPr>
        <w:t>;</w:t>
      </w:r>
    </w:p>
    <w:p w14:paraId="24E6065A" w14:textId="2DDB12A2"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rritet </w:t>
      </w:r>
      <w:r w:rsidRPr="00050FA4">
        <w:rPr>
          <w:rFonts w:ascii="Garamond" w:hAnsi="Garamond"/>
          <w:color w:val="0D0D0D"/>
        </w:rPr>
        <w:t>fondi i mbështetjes për shtresat në nevojë</w:t>
      </w:r>
      <w:r w:rsidR="00A1034C" w:rsidRPr="00050FA4">
        <w:rPr>
          <w:rFonts w:ascii="Garamond" w:hAnsi="Garamond"/>
          <w:color w:val="0D0D0D"/>
        </w:rPr>
        <w:t>;</w:t>
      </w:r>
      <w:r w:rsidRPr="00050FA4">
        <w:rPr>
          <w:rFonts w:ascii="Garamond" w:hAnsi="Garamond"/>
          <w:color w:val="0D0D0D"/>
        </w:rPr>
        <w:t xml:space="preserve"> </w:t>
      </w:r>
    </w:p>
    <w:p w14:paraId="278E8150" w14:textId="548246F4" w:rsidR="003C51D0" w:rsidRPr="00050FA4" w:rsidRDefault="003F1DA7" w:rsidP="003F1DA7">
      <w:pPr>
        <w:ind w:firstLine="284"/>
        <w:jc w:val="both"/>
        <w:rPr>
          <w:rFonts w:ascii="Garamond" w:hAnsi="Garamond"/>
          <w:color w:val="0D0D0D"/>
        </w:rPr>
      </w:pPr>
      <w:r w:rsidRPr="00050FA4">
        <w:rPr>
          <w:rFonts w:ascii="Garamond" w:hAnsi="Garamond" w:cs="Courier New"/>
          <w:color w:val="0D0D0D"/>
        </w:rPr>
        <w:t>-</w:t>
      </w:r>
      <w:r w:rsidR="003C51D0" w:rsidRPr="00050FA4">
        <w:rPr>
          <w:rFonts w:ascii="Garamond" w:hAnsi="Garamond" w:cs="Courier New"/>
          <w:color w:val="0D0D0D"/>
        </w:rPr>
        <w:t xml:space="preserve"> </w:t>
      </w:r>
      <w:r w:rsidR="005A6B6F" w:rsidRPr="00050FA4">
        <w:rPr>
          <w:rFonts w:ascii="Garamond" w:hAnsi="Garamond"/>
          <w:color w:val="0D0D0D"/>
        </w:rPr>
        <w:t xml:space="preserve">ndihma </w:t>
      </w:r>
      <w:r w:rsidR="003C51D0" w:rsidRPr="00050FA4">
        <w:rPr>
          <w:rFonts w:ascii="Garamond" w:hAnsi="Garamond"/>
          <w:color w:val="0D0D0D"/>
        </w:rPr>
        <w:t>ekonomike rritet me 10% për 50 mijë familje që përfitojnë prej saj;</w:t>
      </w:r>
    </w:p>
    <w:p w14:paraId="2103B301" w14:textId="74758AC1" w:rsidR="003C51D0" w:rsidRPr="00050FA4" w:rsidRDefault="003F1DA7" w:rsidP="003F1DA7">
      <w:pPr>
        <w:ind w:firstLine="284"/>
        <w:jc w:val="both"/>
        <w:rPr>
          <w:rFonts w:ascii="Garamond" w:hAnsi="Garamond"/>
          <w:color w:val="0D0D0D"/>
        </w:rPr>
      </w:pPr>
      <w:r w:rsidRPr="00050FA4">
        <w:rPr>
          <w:rFonts w:ascii="Garamond" w:hAnsi="Garamond" w:cs="Courier New"/>
          <w:color w:val="0D0D0D"/>
        </w:rPr>
        <w:t>-</w:t>
      </w:r>
      <w:r w:rsidR="003C51D0" w:rsidRPr="00050FA4">
        <w:rPr>
          <w:rFonts w:ascii="Garamond" w:hAnsi="Garamond" w:cs="Courier New"/>
          <w:color w:val="0D0D0D"/>
        </w:rPr>
        <w:t xml:space="preserve"> </w:t>
      </w:r>
      <w:r w:rsidR="005A6B6F" w:rsidRPr="00050FA4">
        <w:rPr>
          <w:rFonts w:ascii="Garamond" w:hAnsi="Garamond"/>
          <w:color w:val="0D0D0D"/>
        </w:rPr>
        <w:t xml:space="preserve">trefishohet </w:t>
      </w:r>
      <w:r w:rsidR="003C51D0" w:rsidRPr="00050FA4">
        <w:rPr>
          <w:rFonts w:ascii="Garamond" w:hAnsi="Garamond"/>
          <w:color w:val="0D0D0D"/>
        </w:rPr>
        <w:t>ndihma për 675 gra të trafikuara dhe</w:t>
      </w:r>
      <w:r w:rsidR="009B1D6B" w:rsidRPr="00050FA4">
        <w:rPr>
          <w:rFonts w:ascii="Garamond" w:hAnsi="Garamond"/>
          <w:color w:val="0D0D0D"/>
        </w:rPr>
        <w:t xml:space="preserve"> </w:t>
      </w:r>
      <w:r w:rsidR="003C51D0" w:rsidRPr="00050FA4">
        <w:rPr>
          <w:rFonts w:ascii="Garamond" w:hAnsi="Garamond"/>
          <w:color w:val="0D0D0D"/>
        </w:rPr>
        <w:t>670 fëmijët e mitur nën 18 vjeç;</w:t>
      </w:r>
    </w:p>
    <w:p w14:paraId="25F6F825" w14:textId="69A37F9D" w:rsidR="003C51D0" w:rsidRPr="00050FA4" w:rsidRDefault="003F1DA7" w:rsidP="003F1DA7">
      <w:pPr>
        <w:ind w:firstLine="284"/>
        <w:jc w:val="both"/>
        <w:rPr>
          <w:rFonts w:ascii="Garamond" w:hAnsi="Garamond"/>
          <w:color w:val="0D0D0D"/>
        </w:rPr>
      </w:pPr>
      <w:r w:rsidRPr="00050FA4">
        <w:rPr>
          <w:rFonts w:ascii="Garamond" w:hAnsi="Garamond" w:cs="Courier New"/>
          <w:color w:val="0D0D0D"/>
        </w:rPr>
        <w:t>-</w:t>
      </w:r>
      <w:r w:rsidR="003C51D0" w:rsidRPr="00050FA4">
        <w:rPr>
          <w:rFonts w:ascii="Garamond" w:hAnsi="Garamond" w:cs="Courier New"/>
          <w:color w:val="0D0D0D"/>
        </w:rPr>
        <w:t xml:space="preserve"> </w:t>
      </w:r>
      <w:r w:rsidR="005A6B6F" w:rsidRPr="00050FA4">
        <w:rPr>
          <w:rFonts w:ascii="Garamond" w:hAnsi="Garamond"/>
          <w:color w:val="0D0D0D"/>
        </w:rPr>
        <w:t xml:space="preserve">dyfishohet </w:t>
      </w:r>
      <w:r w:rsidR="003C51D0" w:rsidRPr="00050FA4">
        <w:rPr>
          <w:rFonts w:ascii="Garamond" w:hAnsi="Garamond"/>
          <w:color w:val="0D0D0D"/>
        </w:rPr>
        <w:t>ndihma për nënat me shumë fëmijë nga e cila përfitojnë 15 mijë familje;</w:t>
      </w:r>
    </w:p>
    <w:p w14:paraId="0E9A618F" w14:textId="5FA82165"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me </w:t>
      </w:r>
      <w:r w:rsidRPr="00050FA4">
        <w:rPr>
          <w:rFonts w:ascii="Garamond" w:hAnsi="Garamond"/>
          <w:color w:val="0D0D0D"/>
        </w:rPr>
        <w:t>një fond shtesë prej 250 milionë lekë</w:t>
      </w:r>
      <w:r w:rsidR="00815725" w:rsidRPr="00050FA4">
        <w:rPr>
          <w:rFonts w:ascii="Garamond" w:hAnsi="Garamond"/>
          <w:color w:val="0D0D0D"/>
        </w:rPr>
        <w:t>sh</w:t>
      </w:r>
      <w:r w:rsidRPr="00050FA4">
        <w:rPr>
          <w:rFonts w:ascii="Garamond" w:hAnsi="Garamond"/>
          <w:color w:val="0D0D0D"/>
        </w:rPr>
        <w:t xml:space="preserve"> për 2022</w:t>
      </w:r>
      <w:r w:rsidR="00815725" w:rsidRPr="00050FA4">
        <w:rPr>
          <w:rFonts w:ascii="Garamond" w:hAnsi="Garamond"/>
          <w:color w:val="0D0D0D"/>
        </w:rPr>
        <w:t>-shin</w:t>
      </w:r>
      <w:r w:rsidRPr="00050FA4">
        <w:rPr>
          <w:rFonts w:ascii="Garamond" w:hAnsi="Garamond"/>
          <w:color w:val="0D0D0D"/>
        </w:rPr>
        <w:t xml:space="preserve"> e në vijim sigurohet transporti për nxënësit</w:t>
      </w:r>
      <w:r w:rsidR="009B1D6B" w:rsidRPr="00050FA4">
        <w:rPr>
          <w:rFonts w:ascii="Garamond" w:hAnsi="Garamond"/>
          <w:color w:val="0D0D0D"/>
        </w:rPr>
        <w:t xml:space="preserve"> </w:t>
      </w:r>
      <w:r w:rsidRPr="00050FA4">
        <w:rPr>
          <w:rFonts w:ascii="Garamond" w:hAnsi="Garamond"/>
          <w:color w:val="0D0D0D"/>
        </w:rPr>
        <w:t>dhe mësuesit që banojnë larg nga shkolla</w:t>
      </w:r>
      <w:r w:rsidR="00A1034C" w:rsidRPr="00050FA4">
        <w:rPr>
          <w:rFonts w:ascii="Garamond" w:hAnsi="Garamond"/>
          <w:color w:val="0D0D0D"/>
        </w:rPr>
        <w:t>;</w:t>
      </w:r>
    </w:p>
    <w:p w14:paraId="539D74AE" w14:textId="64D7D7C9"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me </w:t>
      </w:r>
      <w:r w:rsidRPr="00050FA4">
        <w:rPr>
          <w:rFonts w:ascii="Garamond" w:hAnsi="Garamond"/>
          <w:color w:val="0D0D0D"/>
        </w:rPr>
        <w:t>700 milionë lekë të alokuara për projektet e binjakëzimit për universitetet, fokusi mbetet tek të rinjtë dhe edukimi</w:t>
      </w:r>
      <w:r w:rsidR="00A1034C" w:rsidRPr="00050FA4">
        <w:rPr>
          <w:rFonts w:ascii="Garamond" w:hAnsi="Garamond"/>
          <w:color w:val="0D0D0D"/>
        </w:rPr>
        <w:t>;</w:t>
      </w:r>
    </w:p>
    <w:p w14:paraId="5A9206DC" w14:textId="1C7EDE6B"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investimet </w:t>
      </w:r>
      <w:r w:rsidRPr="00050FA4">
        <w:rPr>
          <w:rFonts w:ascii="Garamond" w:hAnsi="Garamond"/>
          <w:color w:val="0D0D0D"/>
        </w:rPr>
        <w:t>në digjitalizim përfshijnë ministritë përkatëse në sektorët e rendit, mbrojtjes, shëndetësisë, financave dhe ekonomisë dhe arsimin</w:t>
      </w:r>
      <w:r w:rsidR="00A1034C" w:rsidRPr="00050FA4">
        <w:rPr>
          <w:rFonts w:ascii="Garamond" w:hAnsi="Garamond"/>
          <w:color w:val="0D0D0D"/>
        </w:rPr>
        <w:t>;</w:t>
      </w:r>
      <w:r w:rsidRPr="00050FA4">
        <w:rPr>
          <w:rFonts w:ascii="Garamond" w:hAnsi="Garamond"/>
          <w:color w:val="0D0D0D"/>
        </w:rPr>
        <w:t xml:space="preserve"> </w:t>
      </w:r>
    </w:p>
    <w:p w14:paraId="2F1E02FC" w14:textId="773D9AA0"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5A6B6F" w:rsidRPr="00050FA4">
        <w:rPr>
          <w:rFonts w:ascii="Garamond" w:hAnsi="Garamond"/>
          <w:color w:val="0D0D0D"/>
        </w:rPr>
        <w:t xml:space="preserve">me </w:t>
      </w:r>
      <w:r w:rsidRPr="00050FA4">
        <w:rPr>
          <w:rFonts w:ascii="Garamond" w:hAnsi="Garamond"/>
          <w:color w:val="0D0D0D"/>
        </w:rPr>
        <w:t xml:space="preserve">një fond 1.9 miliardë </w:t>
      </w:r>
      <w:r w:rsidR="00815725" w:rsidRPr="00050FA4">
        <w:rPr>
          <w:rFonts w:ascii="Garamond" w:hAnsi="Garamond"/>
          <w:color w:val="0D0D0D"/>
        </w:rPr>
        <w:t>lekë financohen në arsimin para</w:t>
      </w:r>
      <w:r w:rsidRPr="00050FA4">
        <w:rPr>
          <w:rFonts w:ascii="Garamond" w:hAnsi="Garamond"/>
          <w:color w:val="0D0D0D"/>
        </w:rPr>
        <w:t>universitar laboratorët shkencorë dhe klasat e teknologjisë së informacionit.</w:t>
      </w:r>
    </w:p>
    <w:p w14:paraId="2D6547F4" w14:textId="77777777" w:rsidR="003C51D0" w:rsidRPr="00050FA4" w:rsidRDefault="003C51D0" w:rsidP="003F1DA7">
      <w:pPr>
        <w:ind w:firstLine="284"/>
        <w:jc w:val="both"/>
        <w:rPr>
          <w:rFonts w:ascii="Garamond" w:hAnsi="Garamond"/>
          <w:color w:val="0D0D0D"/>
        </w:rPr>
      </w:pPr>
      <w:r w:rsidRPr="00050FA4">
        <w:rPr>
          <w:rFonts w:ascii="Garamond" w:hAnsi="Garamond"/>
          <w:color w:val="0D0D0D"/>
        </w:rPr>
        <w:t>Me investimet në projektet për trajnimin e të rinjve në teknologjinë e informacionit, ata do të përshtaten më mirë me kërkesat dhe ofertat në tregun e punës dhe krijohen vende cilësore të punës.</w:t>
      </w:r>
    </w:p>
    <w:p w14:paraId="689DBEC3" w14:textId="77777777" w:rsidR="003C51D0" w:rsidRPr="00050FA4" w:rsidRDefault="003C51D0" w:rsidP="003F1DA7">
      <w:pPr>
        <w:pStyle w:val="Heading2"/>
        <w:ind w:left="0" w:firstLine="284"/>
        <w:jc w:val="both"/>
        <w:rPr>
          <w:rFonts w:ascii="Garamond" w:hAnsi="Garamond"/>
          <w:b/>
          <w:bCs/>
          <w:color w:val="0D0D0D"/>
        </w:rPr>
      </w:pPr>
      <w:r w:rsidRPr="00050FA4">
        <w:rPr>
          <w:rFonts w:ascii="Garamond" w:hAnsi="Garamond"/>
          <w:b/>
          <w:bCs/>
          <w:color w:val="0D0D0D"/>
        </w:rPr>
        <w:t>Rekomandimi 3</w:t>
      </w:r>
    </w:p>
    <w:p w14:paraId="06AC2D83" w14:textId="73A5F06B"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3.1 Ruajtja e një kuadri të fortë rregullativ për sektorin financiar, në linjë me praktikat me të mira ndërkombëtare dhe të BE-së, sigurimi i administrimit të shëndoshë të rrezikut të kredisë, i një paraqitjeje transparente të cilësisë së aktiveve dhe i nj</w:t>
      </w:r>
      <w:r w:rsidR="00A1034C" w:rsidRPr="00050FA4">
        <w:rPr>
          <w:rFonts w:ascii="Garamond" w:hAnsi="Garamond"/>
          <w:b/>
          <w:bCs/>
          <w:i/>
          <w:iCs/>
          <w:color w:val="0D0D0D"/>
        </w:rPr>
        <w:t>ë provigjionimi të përsh</w:t>
      </w:r>
      <w:r w:rsidR="00815725" w:rsidRPr="00050FA4">
        <w:rPr>
          <w:rFonts w:ascii="Garamond" w:hAnsi="Garamond"/>
          <w:b/>
          <w:bCs/>
          <w:i/>
          <w:iCs/>
          <w:color w:val="0D0D0D"/>
        </w:rPr>
        <w:t>tatshëm</w:t>
      </w:r>
    </w:p>
    <w:p w14:paraId="165AB8EF" w14:textId="77777777"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Përputhshmëria e kuadrit tonë prudencial me praktikat më të mira ndërkombëtare dhe të Bashkimit Evropian, mbetet objektivi ynë i pandryshueshëm. </w:t>
      </w:r>
    </w:p>
    <w:p w14:paraId="31756119" w14:textId="2AD78304" w:rsidR="003C51D0" w:rsidRPr="00050FA4" w:rsidRDefault="003C51D0" w:rsidP="003F1DA7">
      <w:pPr>
        <w:ind w:firstLine="284"/>
        <w:jc w:val="both"/>
        <w:rPr>
          <w:rFonts w:ascii="Garamond" w:hAnsi="Garamond"/>
          <w:color w:val="0D0D0D"/>
        </w:rPr>
      </w:pPr>
      <w:r w:rsidRPr="00050FA4">
        <w:rPr>
          <w:rFonts w:ascii="Garamond" w:hAnsi="Garamond"/>
          <w:color w:val="0D0D0D"/>
        </w:rPr>
        <w:t>Në këtë kuadër, në vitet e fundit kemi miratuar disa ligje të rëndësishme për veprimtarinë financiare j</w:t>
      </w:r>
      <w:r w:rsidR="002E5783" w:rsidRPr="00050FA4">
        <w:rPr>
          <w:rFonts w:ascii="Garamond" w:hAnsi="Garamond"/>
          <w:color w:val="0D0D0D"/>
        </w:rPr>
        <w:t xml:space="preserve">obankare, që përfshijnë ligjet: </w:t>
      </w:r>
      <w:r w:rsidR="008A0E5B" w:rsidRPr="00050FA4">
        <w:rPr>
          <w:rFonts w:ascii="Garamond" w:hAnsi="Garamond"/>
          <w:color w:val="0D0D0D"/>
        </w:rPr>
        <w:t>“</w:t>
      </w:r>
      <w:r w:rsidRPr="00050FA4">
        <w:rPr>
          <w:rFonts w:ascii="Garamond" w:hAnsi="Garamond"/>
          <w:color w:val="0D0D0D"/>
        </w:rPr>
        <w:t>Mbi sigurimin e detyrueshëm në sektorin e transportit</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Mbi tregjet e kapitalit</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Mbi sipërmarrjet e investimeve kolektive</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Mbi tregjet financiare të bazuar mbi teknologjinë e regjistrave të shpërndarë</w:t>
      </w:r>
      <w:r w:rsidR="008A0E5B" w:rsidRPr="00050FA4">
        <w:rPr>
          <w:rFonts w:ascii="Garamond" w:hAnsi="Garamond"/>
          <w:color w:val="0D0D0D"/>
        </w:rPr>
        <w:t>”</w:t>
      </w:r>
      <w:r w:rsidRPr="00050FA4">
        <w:rPr>
          <w:rFonts w:ascii="Garamond" w:hAnsi="Garamond"/>
          <w:color w:val="0D0D0D"/>
        </w:rPr>
        <w:t xml:space="preserve">. Jemi në procesin e përgatitjes së projektligjit </w:t>
      </w:r>
      <w:r w:rsidR="008A0E5B" w:rsidRPr="00050FA4">
        <w:rPr>
          <w:rFonts w:ascii="Garamond" w:hAnsi="Garamond"/>
          <w:color w:val="0D0D0D"/>
        </w:rPr>
        <w:t>“</w:t>
      </w:r>
      <w:r w:rsidRPr="00050FA4">
        <w:rPr>
          <w:rFonts w:ascii="Garamond" w:hAnsi="Garamond"/>
          <w:color w:val="0D0D0D"/>
        </w:rPr>
        <w:t>Mbi fondet private të pensionit</w:t>
      </w:r>
      <w:r w:rsidR="008A0E5B" w:rsidRPr="00050FA4">
        <w:rPr>
          <w:rFonts w:ascii="Garamond" w:hAnsi="Garamond"/>
          <w:color w:val="0D0D0D"/>
        </w:rPr>
        <w:t>”</w:t>
      </w:r>
      <w:r w:rsidRPr="00050FA4">
        <w:rPr>
          <w:rFonts w:ascii="Garamond" w:hAnsi="Garamond"/>
          <w:color w:val="0D0D0D"/>
        </w:rPr>
        <w:t xml:space="preserve">. Puna për përgatitjen e akteve nënligjore që lidhen me këto ligje, po avancon. </w:t>
      </w:r>
    </w:p>
    <w:p w14:paraId="7F1ABF5D" w14:textId="6624A97E"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Në lidhje me veprimtarinë bankare përgjatë </w:t>
      </w:r>
      <w:r w:rsidR="0084624F" w:rsidRPr="00050FA4">
        <w:rPr>
          <w:rFonts w:ascii="Garamond" w:hAnsi="Garamond"/>
          <w:color w:val="0D0D0D"/>
        </w:rPr>
        <w:t>s</w:t>
      </w:r>
      <w:r w:rsidRPr="00050FA4">
        <w:rPr>
          <w:rFonts w:ascii="Garamond" w:hAnsi="Garamond"/>
          <w:color w:val="0D0D0D"/>
        </w:rPr>
        <w:t>ë njëjtës periudhë, janë miratuar disa rregullore të rëndësishme në fushat e mbikëqyrjes mikro-</w:t>
      </w:r>
      <w:r w:rsidR="007B30CB" w:rsidRPr="00050FA4">
        <w:rPr>
          <w:rFonts w:ascii="Garamond" w:hAnsi="Garamond"/>
          <w:color w:val="0D0D0D"/>
        </w:rPr>
        <w:t xml:space="preserve"> </w:t>
      </w:r>
      <w:r w:rsidRPr="00050FA4">
        <w:rPr>
          <w:rFonts w:ascii="Garamond" w:hAnsi="Garamond"/>
          <w:color w:val="0D0D0D"/>
        </w:rPr>
        <w:t>dhe makroprudenciale dhe të ndërhyrjes së jashtëzakonshme, duke përfshirë rregulloret</w:t>
      </w:r>
      <w:r w:rsidR="0084624F"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Mbi raportin e likuiditetit</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Për raportin e levës financiare të bankave</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Për shtesat makroprudenciale të kapitalit</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Për fondin e ndërhyrjes së jashtëzakonshme dhe procedurat për administrimin e tij</w:t>
      </w:r>
      <w:r w:rsidR="008A0E5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Kërkesat minimale për instrumentet e kapitalit rregullator dhe detyrimet e pranuara</w:t>
      </w:r>
      <w:r w:rsidR="008A0E5B" w:rsidRPr="00050FA4">
        <w:rPr>
          <w:rFonts w:ascii="Garamond" w:hAnsi="Garamond"/>
          <w:color w:val="0D0D0D"/>
        </w:rPr>
        <w:t>”</w:t>
      </w:r>
      <w:r w:rsidRPr="00050FA4">
        <w:rPr>
          <w:rFonts w:ascii="Garamond" w:hAnsi="Garamond"/>
          <w:color w:val="0D0D0D"/>
        </w:rPr>
        <w:t xml:space="preserve">. Gjithashtu janë publikuar një sërë udhëzimesh dhe metodologjish në fushat e përmendura më sipër. </w:t>
      </w:r>
    </w:p>
    <w:p w14:paraId="402C5755" w14:textId="0895DAB5" w:rsidR="003C51D0" w:rsidRPr="00050FA4" w:rsidRDefault="003C51D0" w:rsidP="003F1DA7">
      <w:pPr>
        <w:ind w:firstLine="284"/>
        <w:jc w:val="both"/>
        <w:rPr>
          <w:rFonts w:ascii="Garamond" w:hAnsi="Garamond"/>
          <w:color w:val="0D0D0D"/>
        </w:rPr>
      </w:pPr>
      <w:r w:rsidRPr="00050FA4">
        <w:rPr>
          <w:rFonts w:ascii="Garamond" w:hAnsi="Garamond"/>
          <w:color w:val="0D0D0D"/>
        </w:rPr>
        <w:t>Ky proces do të vazhdojë në mënyrë të qëndrueshme</w:t>
      </w:r>
      <w:r w:rsidR="0084624F" w:rsidRPr="00050FA4">
        <w:rPr>
          <w:rFonts w:ascii="Garamond" w:hAnsi="Garamond"/>
          <w:color w:val="0D0D0D"/>
        </w:rPr>
        <w:t>,</w:t>
      </w:r>
      <w:r w:rsidRPr="00050FA4">
        <w:rPr>
          <w:rFonts w:ascii="Garamond" w:hAnsi="Garamond"/>
          <w:color w:val="0D0D0D"/>
        </w:rPr>
        <w:t xml:space="preserve"> duke monitoruar njëherazi dhe me kujdes zhvillimet ekonomike dhe financiare, në mënyrë që</w:t>
      </w:r>
      <w:r w:rsidR="0084624F" w:rsidRPr="00050FA4">
        <w:rPr>
          <w:rFonts w:ascii="Garamond" w:hAnsi="Garamond"/>
          <w:color w:val="0D0D0D"/>
        </w:rPr>
        <w:t>,</w:t>
      </w:r>
      <w:r w:rsidRPr="00050FA4">
        <w:rPr>
          <w:rFonts w:ascii="Garamond" w:hAnsi="Garamond"/>
          <w:color w:val="0D0D0D"/>
        </w:rPr>
        <w:t xml:space="preserve"> nëse nevojitet, të bëhen rregullimet e nevojshme dhe të gjendet ekuilibri i duhur.</w:t>
      </w:r>
    </w:p>
    <w:p w14:paraId="001F3E29" w14:textId="2C4292AB" w:rsidR="003C51D0" w:rsidRPr="00050FA4" w:rsidRDefault="003C51D0" w:rsidP="003F1DA7">
      <w:pPr>
        <w:ind w:firstLine="284"/>
        <w:jc w:val="both"/>
        <w:rPr>
          <w:rFonts w:ascii="Garamond" w:hAnsi="Garamond"/>
          <w:color w:val="0D0D0D"/>
        </w:rPr>
      </w:pPr>
      <w:r w:rsidRPr="00050FA4">
        <w:rPr>
          <w:rFonts w:ascii="Garamond" w:hAnsi="Garamond"/>
          <w:color w:val="0D0D0D"/>
        </w:rPr>
        <w:t>Fokusi kryesor i mbikëqyrjes gjatë periudhës 2020</w:t>
      </w:r>
      <w:r w:rsidR="0084624F" w:rsidRPr="00050FA4">
        <w:rPr>
          <w:rFonts w:ascii="Garamond" w:hAnsi="Garamond"/>
          <w:color w:val="0D0D0D"/>
        </w:rPr>
        <w:t>–</w:t>
      </w:r>
      <w:r w:rsidRPr="00050FA4">
        <w:rPr>
          <w:rFonts w:ascii="Garamond" w:hAnsi="Garamond"/>
          <w:color w:val="0D0D0D"/>
        </w:rPr>
        <w:t xml:space="preserve">2021 ishte verifikimi që administrimi i rrezikut të kredisë nga bankat, ishte kryer në mënyrën e duhur, në vijim të ndikimit të </w:t>
      </w:r>
      <w:r w:rsidR="007B30CB" w:rsidRPr="00050FA4">
        <w:rPr>
          <w:rFonts w:ascii="Garamond" w:hAnsi="Garamond"/>
          <w:color w:val="0D0D0D"/>
        </w:rPr>
        <w:t>COVID</w:t>
      </w:r>
      <w:r w:rsidRPr="00050FA4">
        <w:rPr>
          <w:rFonts w:ascii="Garamond" w:hAnsi="Garamond"/>
          <w:color w:val="0D0D0D"/>
        </w:rPr>
        <w:t xml:space="preserve">-19. Masat ekonomike, financiare dhe prudenciale të marra në kohën e duhur, të shoqëruara me </w:t>
      </w:r>
      <w:r w:rsidR="007B30CB" w:rsidRPr="00050FA4">
        <w:rPr>
          <w:rFonts w:ascii="Garamond" w:hAnsi="Garamond"/>
          <w:color w:val="0D0D0D"/>
        </w:rPr>
        <w:t>një</w:t>
      </w:r>
      <w:r w:rsidRPr="00050FA4">
        <w:rPr>
          <w:rFonts w:ascii="Garamond" w:hAnsi="Garamond"/>
          <w:color w:val="0D0D0D"/>
        </w:rPr>
        <w:t xml:space="preserve"> komunikim të shpeshtë dhe të afërt me bankat ishin elemente që mundësuan ruajtjen e cilësisë së portofolit të kredisë në banka, madje edhe përmirësimin e tij. Megjithatë, pasiguritë në lidhje me zhvillimet ekonomike dhe të shëndetit publik, në vend dhe jashtë tij, mbeten të pranishme. Për më tepër, masat prudenciale për lehtësimin e procesit të </w:t>
      </w:r>
      <w:r w:rsidRPr="00050FA4">
        <w:rPr>
          <w:rFonts w:ascii="Garamond" w:hAnsi="Garamond"/>
          <w:color w:val="0D0D0D"/>
        </w:rPr>
        <w:lastRenderedPageBreak/>
        <w:t>ristrukturimit të kredive, identifikimit të kredive me probleme dhe të provigjionimit të tyre, tani kanë përfunduar. Për këtë arsye, me qëllimin për identifikimin dhe adresimin e çdo dobësie në administrimin e rrezikut të kredisë, ne do të angazhojmë burime dhe procese specifike mbikëqyrëse gjatë vitit 2022.</w:t>
      </w:r>
    </w:p>
    <w:p w14:paraId="27F81832" w14:textId="77777777"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3.2 Të reduktohen më tej pengesat e mbetura institucionale dhe ligjore për heqjen dhe zgjidhjen efektive të NPL-ve, duke përfshirë zgjidhjen e bllokimit të përmbarimit dhe forcimin e procedurave të falimentimit.</w:t>
      </w:r>
    </w:p>
    <w:p w14:paraId="73C5043D" w14:textId="5B1A8BEC"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Për sa i përket forcimit të procedurave të falimentimit, Ministria e Drejtësisë është asistuar nga ekspertët e IFC-së në përgatitjen dhe hartimin e </w:t>
      </w:r>
      <w:r w:rsidR="008A0E5B" w:rsidRPr="00050FA4">
        <w:rPr>
          <w:rFonts w:ascii="Garamond" w:hAnsi="Garamond"/>
          <w:color w:val="0D0D0D"/>
        </w:rPr>
        <w:t>“</w:t>
      </w:r>
      <w:r w:rsidRPr="00050FA4">
        <w:rPr>
          <w:rFonts w:ascii="Garamond" w:hAnsi="Garamond"/>
          <w:color w:val="0D0D0D"/>
        </w:rPr>
        <w:t xml:space="preserve">Ligji për </w:t>
      </w:r>
      <w:r w:rsidR="004C21C1" w:rsidRPr="00050FA4">
        <w:rPr>
          <w:rFonts w:ascii="Garamond" w:hAnsi="Garamond"/>
          <w:color w:val="0D0D0D"/>
        </w:rPr>
        <w:t>falimentimin</w:t>
      </w:r>
      <w:r w:rsidR="008A0E5B" w:rsidRPr="00050FA4">
        <w:rPr>
          <w:rFonts w:ascii="Garamond" w:hAnsi="Garamond"/>
          <w:color w:val="0D0D0D"/>
        </w:rPr>
        <w:t>”</w:t>
      </w:r>
      <w:r w:rsidRPr="00050FA4">
        <w:rPr>
          <w:rFonts w:ascii="Garamond" w:hAnsi="Garamond"/>
          <w:color w:val="0D0D0D"/>
        </w:rPr>
        <w:t xml:space="preserve"> (2017) si dhe të akteve nënligjore. Aktualisht janë miratuar 2 aktet e mëposhtme: </w:t>
      </w:r>
    </w:p>
    <w:p w14:paraId="68407C56" w14:textId="1880C318" w:rsidR="003C51D0" w:rsidRPr="00050FA4" w:rsidRDefault="003C51D0" w:rsidP="003F1DA7">
      <w:pPr>
        <w:ind w:firstLine="284"/>
        <w:jc w:val="both"/>
        <w:rPr>
          <w:rFonts w:ascii="Garamond" w:hAnsi="Garamond"/>
          <w:color w:val="0D0D0D"/>
        </w:rPr>
      </w:pPr>
      <w:r w:rsidRPr="00050FA4">
        <w:rPr>
          <w:rFonts w:ascii="Garamond" w:hAnsi="Garamond" w:cs="Cambria"/>
          <w:color w:val="0D0D0D"/>
        </w:rPr>
        <w:t xml:space="preserve">- </w:t>
      </w:r>
      <w:r w:rsidR="004C21C1" w:rsidRPr="00050FA4">
        <w:rPr>
          <w:rFonts w:ascii="Garamond" w:hAnsi="Garamond"/>
          <w:color w:val="0D0D0D"/>
        </w:rPr>
        <w:t>“</w:t>
      </w:r>
      <w:r w:rsidRPr="00050FA4">
        <w:rPr>
          <w:rFonts w:ascii="Garamond" w:hAnsi="Garamond"/>
          <w:color w:val="0D0D0D"/>
        </w:rPr>
        <w:t xml:space="preserve">Për </w:t>
      </w:r>
      <w:r w:rsidR="004C21C1" w:rsidRPr="00050FA4">
        <w:rPr>
          <w:rFonts w:ascii="Garamond" w:hAnsi="Garamond"/>
          <w:color w:val="0D0D0D"/>
        </w:rPr>
        <w:t xml:space="preserve">rregullimin </w:t>
      </w:r>
      <w:r w:rsidRPr="00050FA4">
        <w:rPr>
          <w:rFonts w:ascii="Garamond" w:hAnsi="Garamond"/>
          <w:color w:val="0D0D0D"/>
        </w:rPr>
        <w:t>e marrëveshjeve së ristrukturimit jashtëgjyqësorë për debitorët në vështirësi financiare</w:t>
      </w:r>
      <w:r w:rsidR="008A0E5B" w:rsidRPr="00050FA4">
        <w:rPr>
          <w:rFonts w:ascii="Garamond" w:hAnsi="Garamond"/>
          <w:color w:val="0D0D0D"/>
        </w:rPr>
        <w:t>”</w:t>
      </w:r>
      <w:r w:rsidRPr="00050FA4">
        <w:rPr>
          <w:rFonts w:ascii="Garamond" w:hAnsi="Garamond"/>
          <w:color w:val="0D0D0D"/>
        </w:rPr>
        <w:t>, qeveria ka miratuar me vendimin nr. 65, datë 3.2.2021</w:t>
      </w:r>
      <w:r w:rsidR="003D661A" w:rsidRPr="00050FA4">
        <w:rPr>
          <w:rFonts w:ascii="Garamond" w:hAnsi="Garamond"/>
          <w:color w:val="0D0D0D"/>
        </w:rPr>
        <w:t>,</w:t>
      </w:r>
      <w:r w:rsidRPr="00050FA4">
        <w:rPr>
          <w:rFonts w:ascii="Garamond" w:hAnsi="Garamond"/>
          <w:color w:val="0D0D0D"/>
        </w:rPr>
        <w:t xml:space="preserve"> të Këshillit të Ministrave</w:t>
      </w:r>
      <w:r w:rsidR="004B2FFF" w:rsidRPr="00050FA4">
        <w:rPr>
          <w:rFonts w:ascii="Garamond" w:hAnsi="Garamond"/>
          <w:color w:val="0D0D0D"/>
        </w:rPr>
        <w:t>,</w:t>
      </w:r>
      <w:r w:rsidRPr="00050FA4">
        <w:rPr>
          <w:rFonts w:ascii="Garamond" w:hAnsi="Garamond"/>
          <w:color w:val="0D0D0D"/>
        </w:rPr>
        <w:t xml:space="preserve"> rregulloren </w:t>
      </w:r>
      <w:r w:rsidR="008A0E5B" w:rsidRPr="00050FA4">
        <w:rPr>
          <w:rFonts w:ascii="Garamond" w:hAnsi="Garamond"/>
          <w:color w:val="0D0D0D"/>
        </w:rPr>
        <w:t>“</w:t>
      </w:r>
      <w:r w:rsidRPr="00050FA4">
        <w:rPr>
          <w:rFonts w:ascii="Garamond" w:hAnsi="Garamond"/>
          <w:color w:val="0D0D0D"/>
        </w:rPr>
        <w:t>Për marrëveshjet e riorganizimit të përshpejtuar jashtë gjykatës</w:t>
      </w:r>
      <w:r w:rsidR="008A0E5B" w:rsidRPr="00050FA4">
        <w:rPr>
          <w:rFonts w:ascii="Garamond" w:hAnsi="Garamond"/>
          <w:color w:val="0D0D0D"/>
        </w:rPr>
        <w:t>”</w:t>
      </w:r>
      <w:r w:rsidRPr="00050FA4">
        <w:rPr>
          <w:rFonts w:ascii="Garamond" w:hAnsi="Garamond"/>
          <w:color w:val="0D0D0D"/>
        </w:rPr>
        <w:t xml:space="preserve">. </w:t>
      </w:r>
    </w:p>
    <w:p w14:paraId="0CEEE9E7" w14:textId="05FA9307" w:rsidR="003C51D0" w:rsidRPr="00050FA4" w:rsidRDefault="003C51D0" w:rsidP="003F1DA7">
      <w:pPr>
        <w:ind w:firstLine="284"/>
        <w:jc w:val="both"/>
        <w:rPr>
          <w:rFonts w:ascii="Garamond" w:hAnsi="Garamond"/>
          <w:color w:val="0D0D0D"/>
        </w:rPr>
      </w:pPr>
      <w:r w:rsidRPr="00050FA4">
        <w:rPr>
          <w:rFonts w:ascii="Garamond" w:hAnsi="Garamond" w:cs="Cambria"/>
          <w:color w:val="0D0D0D"/>
        </w:rPr>
        <w:t xml:space="preserve">- </w:t>
      </w:r>
      <w:r w:rsidR="004C21C1" w:rsidRPr="00050FA4">
        <w:rPr>
          <w:rFonts w:ascii="Garamond" w:hAnsi="Garamond"/>
          <w:color w:val="0D0D0D"/>
        </w:rPr>
        <w:t>“</w:t>
      </w:r>
      <w:r w:rsidRPr="00050FA4">
        <w:rPr>
          <w:rFonts w:ascii="Garamond" w:hAnsi="Garamond"/>
          <w:color w:val="0D0D0D"/>
        </w:rPr>
        <w:t xml:space="preserve">Për </w:t>
      </w:r>
      <w:r w:rsidR="004C21C1" w:rsidRPr="00050FA4">
        <w:rPr>
          <w:rFonts w:ascii="Garamond" w:hAnsi="Garamond"/>
          <w:color w:val="0D0D0D"/>
        </w:rPr>
        <w:t xml:space="preserve">rregulloren </w:t>
      </w:r>
      <w:r w:rsidRPr="00050FA4">
        <w:rPr>
          <w:rFonts w:ascii="Garamond" w:hAnsi="Garamond"/>
          <w:color w:val="0D0D0D"/>
        </w:rPr>
        <w:t>për paraqitjen e llogarive dhe shkarkimin përfundimtar të përfaqësuesit të falimentimit</w:t>
      </w:r>
      <w:r w:rsidR="008A0E5B" w:rsidRPr="00050FA4">
        <w:rPr>
          <w:rFonts w:ascii="Garamond" w:hAnsi="Garamond"/>
          <w:color w:val="0D0D0D"/>
        </w:rPr>
        <w:t>”</w:t>
      </w:r>
      <w:r w:rsidRPr="00050FA4">
        <w:rPr>
          <w:rFonts w:ascii="Garamond" w:hAnsi="Garamond"/>
          <w:color w:val="0D0D0D"/>
        </w:rPr>
        <w:t>, Këshilli i Ministrave ka miratuar vendimin nr. 733, datë 13.11.2019</w:t>
      </w:r>
      <w:r w:rsidR="007B30CB" w:rsidRPr="00050FA4">
        <w:rPr>
          <w:rFonts w:ascii="Garamond" w:hAnsi="Garamond"/>
          <w:color w:val="0D0D0D"/>
        </w:rPr>
        <w:t>,</w:t>
      </w:r>
      <w:r w:rsidRPr="00050FA4">
        <w:rPr>
          <w:rFonts w:ascii="Garamond" w:hAnsi="Garamond"/>
          <w:color w:val="0D0D0D"/>
        </w:rPr>
        <w:t xml:space="preserve"> </w:t>
      </w:r>
      <w:r w:rsidR="008A0E5B" w:rsidRPr="00050FA4">
        <w:rPr>
          <w:rFonts w:ascii="Garamond" w:hAnsi="Garamond"/>
          <w:color w:val="0D0D0D"/>
        </w:rPr>
        <w:t>“</w:t>
      </w:r>
      <w:r w:rsidRPr="00050FA4">
        <w:rPr>
          <w:rFonts w:ascii="Garamond" w:hAnsi="Garamond"/>
          <w:color w:val="0D0D0D"/>
        </w:rPr>
        <w:t>Për miratimin e standardeve kombëtare për administrimin e masës së falimentimit</w:t>
      </w:r>
      <w:r w:rsidR="008A0E5B" w:rsidRPr="00050FA4">
        <w:rPr>
          <w:rFonts w:ascii="Garamond" w:hAnsi="Garamond"/>
          <w:color w:val="0D0D0D"/>
        </w:rPr>
        <w:t>”</w:t>
      </w:r>
      <w:r w:rsidRPr="00050FA4">
        <w:rPr>
          <w:rFonts w:ascii="Garamond" w:hAnsi="Garamond"/>
          <w:color w:val="0D0D0D"/>
        </w:rPr>
        <w:t xml:space="preserve">, i cili parashikon mënyrën e përgatitjes dhe </w:t>
      </w:r>
      <w:r w:rsidR="004B2FFF" w:rsidRPr="00050FA4">
        <w:rPr>
          <w:rFonts w:ascii="Garamond" w:hAnsi="Garamond"/>
          <w:color w:val="0D0D0D"/>
        </w:rPr>
        <w:t xml:space="preserve">të </w:t>
      </w:r>
      <w:r w:rsidRPr="00050FA4">
        <w:rPr>
          <w:rFonts w:ascii="Garamond" w:hAnsi="Garamond"/>
          <w:color w:val="0D0D0D"/>
        </w:rPr>
        <w:t>paraqitjes së llogarive dhe shkarkimin përfundimtar të administratorit të falimentimit.</w:t>
      </w:r>
    </w:p>
    <w:p w14:paraId="449003A8" w14:textId="275D4C6F" w:rsidR="003C51D0" w:rsidRPr="00050FA4" w:rsidRDefault="003C51D0" w:rsidP="003F1DA7">
      <w:pPr>
        <w:ind w:firstLine="284"/>
        <w:jc w:val="both"/>
        <w:rPr>
          <w:rFonts w:ascii="Garamond" w:hAnsi="Garamond"/>
          <w:color w:val="0D0D0D"/>
        </w:rPr>
      </w:pPr>
      <w:r w:rsidRPr="00050FA4">
        <w:rPr>
          <w:rFonts w:ascii="Garamond" w:hAnsi="Garamond"/>
          <w:color w:val="0D0D0D"/>
        </w:rPr>
        <w:t>Për sa i përket funksionimit të procedurës së falimentimit, informacioni në lidhje me vendimin e falimentimit është i disponueshëm publikisht në sisteme/platforma të ndryshme. Së pari, të gjitha procedurat e falimentimit janë, në thelb, procedura gjyqësore. Në këtë këndvështrim, të gjitha proceset gjyqësore janë të disponueshme për publikun në faqet e internetit të gjykatave përkatëse. Në Shqipëri ka shumë sisteme të ndryshme të menaxhimit të gjykatave ARK IT</w:t>
      </w:r>
      <w:r w:rsidR="005C1847" w:rsidRPr="00050FA4">
        <w:rPr>
          <w:rFonts w:ascii="Garamond" w:hAnsi="Garamond"/>
          <w:color w:val="0D0D0D"/>
        </w:rPr>
        <w:t>,</w:t>
      </w:r>
      <w:r w:rsidRPr="00050FA4">
        <w:rPr>
          <w:rFonts w:ascii="Garamond" w:hAnsi="Garamond"/>
          <w:color w:val="0D0D0D"/>
        </w:rPr>
        <w:t xml:space="preserve"> që përdoret kryesisht nga gjykata e Tiranës dhe ICMIS</w:t>
      </w:r>
      <w:r w:rsidR="00CB2FB4" w:rsidRPr="00050FA4">
        <w:rPr>
          <w:rFonts w:ascii="Garamond" w:hAnsi="Garamond"/>
          <w:color w:val="0D0D0D"/>
        </w:rPr>
        <w:t>,</w:t>
      </w:r>
      <w:r w:rsidRPr="00050FA4">
        <w:rPr>
          <w:rFonts w:ascii="Garamond" w:hAnsi="Garamond"/>
          <w:color w:val="0D0D0D"/>
        </w:rPr>
        <w:t xml:space="preserve"> që përdoret nga gjykata të tjera. Gjithashtu, disa gjykata kanë faqen e tyre të internetit, si</w:t>
      </w:r>
      <w:r w:rsidR="00CB2FB4" w:rsidRPr="00050FA4">
        <w:rPr>
          <w:rFonts w:ascii="Garamond" w:hAnsi="Garamond"/>
          <w:color w:val="0D0D0D"/>
        </w:rPr>
        <w:t>:</w:t>
      </w:r>
      <w:r w:rsidRPr="00050FA4">
        <w:rPr>
          <w:rFonts w:ascii="Garamond" w:hAnsi="Garamond"/>
          <w:color w:val="0D0D0D"/>
        </w:rPr>
        <w:t xml:space="preserve"> Gjykata e Apelit të Tiranës dhe Gjykata e Lartë, ku çdo vendim është i disponueshëm për publikun. Nga ana tjetër, bazuar në ligjin për </w:t>
      </w:r>
      <w:r w:rsidR="00CB2FB4" w:rsidRPr="00050FA4">
        <w:rPr>
          <w:rFonts w:ascii="Garamond" w:hAnsi="Garamond"/>
          <w:color w:val="0D0D0D"/>
        </w:rPr>
        <w:t xml:space="preserve">Qendrën Kombëtare </w:t>
      </w:r>
      <w:r w:rsidRPr="00050FA4">
        <w:rPr>
          <w:rFonts w:ascii="Garamond" w:hAnsi="Garamond"/>
          <w:color w:val="0D0D0D"/>
        </w:rPr>
        <w:t xml:space="preserve">të </w:t>
      </w:r>
      <w:r w:rsidR="00CB2FB4" w:rsidRPr="00050FA4">
        <w:rPr>
          <w:rFonts w:ascii="Garamond" w:hAnsi="Garamond"/>
          <w:color w:val="0D0D0D"/>
        </w:rPr>
        <w:t>Regjistrimit</w:t>
      </w:r>
      <w:r w:rsidRPr="00050FA4">
        <w:rPr>
          <w:rFonts w:ascii="Garamond" w:hAnsi="Garamond"/>
          <w:color w:val="0D0D0D"/>
        </w:rPr>
        <w:t>, është i detyrueshëm regjistrimi në regjistrin tregtar të çdo vendimi të gjykatës për fillimin e procedurës së falimentimit të një shoqërie. Ky vendim vihet publikisht në faqen e Qendrës Kombëtare të Biznesit dhe pjesë e ekstraktit tregtar të secilës kompani. Prandaj, palët e treta që duan të kryejnë një transaksion biznesi me atë kompani do të informohen lehtësisht nëse kjo kompani është në procedurë falimentimi. Duke marrë parasysh situatën aktuale, të gjithë partnerët përkatës</w:t>
      </w:r>
      <w:r w:rsidR="00C2578C" w:rsidRPr="00050FA4">
        <w:rPr>
          <w:rFonts w:ascii="Garamond" w:hAnsi="Garamond"/>
          <w:color w:val="0D0D0D"/>
        </w:rPr>
        <w:t>,</w:t>
      </w:r>
      <w:r w:rsidRPr="00050FA4">
        <w:rPr>
          <w:rFonts w:ascii="Garamond" w:hAnsi="Garamond"/>
          <w:color w:val="0D0D0D"/>
        </w:rPr>
        <w:t xml:space="preserve"> që kanë ndihmua</w:t>
      </w:r>
      <w:r w:rsidR="00C2578C" w:rsidRPr="00050FA4">
        <w:rPr>
          <w:rFonts w:ascii="Garamond" w:hAnsi="Garamond"/>
          <w:color w:val="0D0D0D"/>
        </w:rPr>
        <w:t xml:space="preserve">r Ministrinë e Drejtësisë (IFC </w:t>
      </w:r>
      <w:r w:rsidRPr="00050FA4">
        <w:rPr>
          <w:rFonts w:ascii="Garamond" w:hAnsi="Garamond"/>
          <w:color w:val="0D0D0D"/>
        </w:rPr>
        <w:t>etj.) në përmirësimin e kuadrit të përgjithshëm të procedurave të falimentimit e konsiderojnë kuadrin aktual ligjor në fuqi, si efektiv, në drejtim të lehtësimit të procedurave të falimentimit dhe përdorimit të këtij instrumenti për kompanitë në vështirësi.</w:t>
      </w:r>
    </w:p>
    <w:p w14:paraId="00CFC9D3" w14:textId="4149FF96"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3.3 Vazhdimi i zbatimit të masave</w:t>
      </w:r>
      <w:r w:rsidR="00C2578C" w:rsidRPr="00050FA4">
        <w:rPr>
          <w:rFonts w:ascii="Garamond" w:hAnsi="Garamond"/>
          <w:b/>
          <w:bCs/>
          <w:i/>
          <w:iCs/>
          <w:color w:val="0D0D0D"/>
        </w:rPr>
        <w:t>,</w:t>
      </w:r>
      <w:r w:rsidRPr="00050FA4">
        <w:rPr>
          <w:rFonts w:ascii="Garamond" w:hAnsi="Garamond"/>
          <w:b/>
          <w:bCs/>
          <w:i/>
          <w:iCs/>
          <w:color w:val="0D0D0D"/>
        </w:rPr>
        <w:t xml:space="preserve"> që synojnë nxitjen e përdorimit të monedhës kombëtare, përfshirë zhvillimin e tregut të instrumenteve financiare mbrojtëse n</w:t>
      </w:r>
      <w:r w:rsidR="001500EB" w:rsidRPr="00050FA4">
        <w:rPr>
          <w:rFonts w:ascii="Garamond" w:hAnsi="Garamond"/>
          <w:b/>
          <w:bCs/>
          <w:i/>
          <w:iCs/>
          <w:color w:val="0D0D0D"/>
        </w:rPr>
        <w:t>ga rreziku i kursit të këmbimit</w:t>
      </w:r>
    </w:p>
    <w:p w14:paraId="3E7E6776" w14:textId="0C397294" w:rsidR="003C51D0" w:rsidRPr="00050FA4" w:rsidRDefault="003C51D0" w:rsidP="003F1DA7">
      <w:pPr>
        <w:ind w:firstLine="284"/>
        <w:jc w:val="both"/>
        <w:rPr>
          <w:rFonts w:ascii="Garamond" w:hAnsi="Garamond"/>
          <w:color w:val="0D0D0D"/>
        </w:rPr>
      </w:pPr>
      <w:r w:rsidRPr="00050FA4">
        <w:rPr>
          <w:rFonts w:ascii="Garamond" w:hAnsi="Garamond"/>
          <w:color w:val="0D0D0D"/>
        </w:rPr>
        <w:t>Mbështetja e zhvillimit të instrumenteve financiare mbrojtëse nga rreziku i kursit të këmbimit është një ndër objektivat afatmes</w:t>
      </w:r>
      <w:r w:rsidR="00BA32E8" w:rsidRPr="00050FA4">
        <w:rPr>
          <w:rFonts w:ascii="Garamond" w:hAnsi="Garamond"/>
          <w:color w:val="0D0D0D"/>
        </w:rPr>
        <w:t>ë</w:t>
      </w:r>
      <w:r w:rsidRPr="00050FA4">
        <w:rPr>
          <w:rFonts w:ascii="Garamond" w:hAnsi="Garamond"/>
          <w:color w:val="0D0D0D"/>
        </w:rPr>
        <w:t>m të Bankës së Shqipërisë. Përpjekjet për të zhvilluar tregun e brendshëm të këmbimit valutor nëpërmjet inkurajimit të përdorimit të instrumenteve mbrojtës, janë planifikuar sipas rekomandimeve të lëna nga misioni i posaçëm i asistencës teknike të FMN</w:t>
      </w:r>
      <w:r w:rsidR="00C2578C" w:rsidRPr="00050FA4">
        <w:rPr>
          <w:rFonts w:ascii="Garamond" w:hAnsi="Garamond"/>
          <w:color w:val="0D0D0D"/>
        </w:rPr>
        <w:t>-së</w:t>
      </w:r>
      <w:r w:rsidRPr="00050FA4">
        <w:rPr>
          <w:rFonts w:ascii="Garamond" w:hAnsi="Garamond"/>
          <w:color w:val="0D0D0D"/>
        </w:rPr>
        <w:t xml:space="preserve"> në fund të vitit 2019. Mbështetur në këtë plan veprimi, janë realizuar disa masa: </w:t>
      </w:r>
    </w:p>
    <w:p w14:paraId="12540279" w14:textId="573DCA33" w:rsidR="003C51D0" w:rsidRPr="00050FA4" w:rsidRDefault="00A1034C" w:rsidP="003F1DA7">
      <w:pPr>
        <w:ind w:firstLine="284"/>
        <w:jc w:val="both"/>
        <w:rPr>
          <w:rFonts w:ascii="Garamond" w:hAnsi="Garamond"/>
          <w:color w:val="0D0D0D"/>
        </w:rPr>
      </w:pPr>
      <w:r w:rsidRPr="00050FA4">
        <w:rPr>
          <w:rFonts w:ascii="Garamond" w:hAnsi="Garamond"/>
          <w:color w:val="0D0D0D"/>
        </w:rPr>
        <w:t xml:space="preserve">i. </w:t>
      </w:r>
      <w:r w:rsidR="00C2578C" w:rsidRPr="00050FA4">
        <w:rPr>
          <w:rFonts w:ascii="Garamond" w:hAnsi="Garamond"/>
          <w:color w:val="0D0D0D"/>
        </w:rPr>
        <w:t xml:space="preserve">ka </w:t>
      </w:r>
      <w:r w:rsidRPr="00050FA4">
        <w:rPr>
          <w:rFonts w:ascii="Garamond" w:hAnsi="Garamond"/>
          <w:color w:val="0D0D0D"/>
        </w:rPr>
        <w:t>ri</w:t>
      </w:r>
      <w:r w:rsidR="003C51D0" w:rsidRPr="00050FA4">
        <w:rPr>
          <w:rFonts w:ascii="Garamond" w:hAnsi="Garamond"/>
          <w:color w:val="0D0D0D"/>
        </w:rPr>
        <w:t>nisur emetimi i bonove të thesarit me maturitet 3-mujor, me periodicitet të përshtatshëm</w:t>
      </w:r>
      <w:r w:rsidR="00C2578C" w:rsidRPr="00050FA4">
        <w:rPr>
          <w:rFonts w:ascii="Garamond" w:hAnsi="Garamond"/>
          <w:color w:val="0D0D0D"/>
        </w:rPr>
        <w:t>;</w:t>
      </w:r>
      <w:r w:rsidR="003C51D0" w:rsidRPr="00050FA4">
        <w:rPr>
          <w:rFonts w:ascii="Garamond" w:hAnsi="Garamond"/>
          <w:color w:val="0D0D0D"/>
        </w:rPr>
        <w:t xml:space="preserve"> </w:t>
      </w:r>
    </w:p>
    <w:p w14:paraId="3BEF8A6A" w14:textId="52E8A529" w:rsidR="003C51D0" w:rsidRPr="00050FA4" w:rsidRDefault="003C51D0" w:rsidP="003F1DA7">
      <w:pPr>
        <w:ind w:firstLine="284"/>
        <w:jc w:val="both"/>
        <w:rPr>
          <w:rFonts w:ascii="Garamond" w:hAnsi="Garamond"/>
          <w:color w:val="0D0D0D"/>
        </w:rPr>
      </w:pPr>
      <w:r w:rsidRPr="00050FA4">
        <w:rPr>
          <w:rFonts w:ascii="Garamond" w:hAnsi="Garamond"/>
          <w:color w:val="0D0D0D"/>
        </w:rPr>
        <w:t>ii</w:t>
      </w:r>
      <w:r w:rsidR="00A1034C" w:rsidRPr="00050FA4">
        <w:rPr>
          <w:rFonts w:ascii="Garamond" w:hAnsi="Garamond"/>
          <w:color w:val="0D0D0D"/>
        </w:rPr>
        <w:t>.</w:t>
      </w:r>
      <w:r w:rsidRPr="00050FA4">
        <w:rPr>
          <w:rFonts w:ascii="Garamond" w:hAnsi="Garamond"/>
          <w:color w:val="0D0D0D"/>
        </w:rPr>
        <w:t xml:space="preserve"> </w:t>
      </w:r>
      <w:r w:rsidR="00C2578C" w:rsidRPr="00050FA4">
        <w:rPr>
          <w:rFonts w:ascii="Garamond" w:hAnsi="Garamond"/>
          <w:color w:val="0D0D0D"/>
        </w:rPr>
        <w:t xml:space="preserve">është </w:t>
      </w:r>
      <w:r w:rsidRPr="00050FA4">
        <w:rPr>
          <w:rFonts w:ascii="Garamond" w:hAnsi="Garamond"/>
          <w:color w:val="0D0D0D"/>
        </w:rPr>
        <w:t xml:space="preserve">rishikuar udhëzimi mbi mënyrën e llogaritjes ‘’fiksit’’ të kursit zyrtar të këmbimit, duke realizuar publikimin e kursit të kërkuar dhe atij të ofruar, krahas kursit </w:t>
      </w:r>
      <w:r w:rsidR="008A0E5B" w:rsidRPr="00050FA4">
        <w:rPr>
          <w:rFonts w:ascii="Garamond" w:hAnsi="Garamond"/>
          <w:color w:val="0D0D0D"/>
        </w:rPr>
        <w:t>“</w:t>
      </w:r>
      <w:r w:rsidRPr="00050FA4">
        <w:rPr>
          <w:rFonts w:ascii="Garamond" w:hAnsi="Garamond"/>
          <w:color w:val="0D0D0D"/>
        </w:rPr>
        <w:t>fiks</w:t>
      </w:r>
      <w:r w:rsidR="008A0E5B" w:rsidRPr="00050FA4">
        <w:rPr>
          <w:rFonts w:ascii="Garamond" w:hAnsi="Garamond"/>
          <w:color w:val="0D0D0D"/>
        </w:rPr>
        <w:t>”</w:t>
      </w:r>
      <w:r w:rsidRPr="00050FA4">
        <w:rPr>
          <w:rFonts w:ascii="Garamond" w:hAnsi="Garamond"/>
          <w:color w:val="0D0D0D"/>
        </w:rPr>
        <w:t xml:space="preserve">. Kuotimet mblidhen vetëm nga bankat për vlera të </w:t>
      </w:r>
      <w:r w:rsidR="00BA5E8F" w:rsidRPr="00050FA4">
        <w:rPr>
          <w:rFonts w:ascii="Garamond" w:hAnsi="Garamond"/>
          <w:color w:val="0D0D0D"/>
        </w:rPr>
        <w:t>standardizuara</w:t>
      </w:r>
      <w:r w:rsidR="00C2578C" w:rsidRPr="00050FA4">
        <w:rPr>
          <w:rFonts w:ascii="Garamond" w:hAnsi="Garamond"/>
          <w:color w:val="0D0D0D"/>
        </w:rPr>
        <w:t>;</w:t>
      </w:r>
    </w:p>
    <w:p w14:paraId="6F9DCFA9" w14:textId="3968C385" w:rsidR="003C51D0" w:rsidRPr="00050FA4" w:rsidRDefault="003C51D0" w:rsidP="003F1DA7">
      <w:pPr>
        <w:ind w:firstLine="284"/>
        <w:jc w:val="both"/>
        <w:rPr>
          <w:rFonts w:ascii="Garamond" w:hAnsi="Garamond"/>
          <w:color w:val="0D0D0D"/>
        </w:rPr>
      </w:pPr>
      <w:r w:rsidRPr="00050FA4">
        <w:rPr>
          <w:rFonts w:ascii="Garamond" w:hAnsi="Garamond"/>
          <w:color w:val="0D0D0D"/>
        </w:rPr>
        <w:t>iii</w:t>
      </w:r>
      <w:r w:rsidR="00A1034C" w:rsidRPr="00050FA4">
        <w:rPr>
          <w:rFonts w:ascii="Garamond" w:hAnsi="Garamond"/>
          <w:color w:val="0D0D0D"/>
        </w:rPr>
        <w:t>.</w:t>
      </w:r>
      <w:r w:rsidRPr="00050FA4">
        <w:rPr>
          <w:rFonts w:ascii="Garamond" w:hAnsi="Garamond"/>
          <w:color w:val="0D0D0D"/>
        </w:rPr>
        <w:t xml:space="preserve"> </w:t>
      </w:r>
      <w:r w:rsidR="00C2578C" w:rsidRPr="00050FA4">
        <w:rPr>
          <w:rFonts w:ascii="Garamond" w:hAnsi="Garamond"/>
          <w:color w:val="0D0D0D"/>
        </w:rPr>
        <w:t xml:space="preserve">është </w:t>
      </w:r>
      <w:r w:rsidRPr="00050FA4">
        <w:rPr>
          <w:rFonts w:ascii="Garamond" w:hAnsi="Garamond"/>
          <w:color w:val="0D0D0D"/>
        </w:rPr>
        <w:t xml:space="preserve">rishikuar rregullorja </w:t>
      </w:r>
      <w:r w:rsidR="008A0E5B" w:rsidRPr="00050FA4">
        <w:rPr>
          <w:rFonts w:ascii="Garamond" w:hAnsi="Garamond"/>
          <w:color w:val="0D0D0D"/>
        </w:rPr>
        <w:t>“</w:t>
      </w:r>
      <w:r w:rsidRPr="00050FA4">
        <w:rPr>
          <w:rFonts w:ascii="Garamond" w:hAnsi="Garamond"/>
          <w:color w:val="0D0D0D"/>
        </w:rPr>
        <w:t>Për procedurat e ndërhyrjes së Bankës së Shqipërisë në tregun e brendshëm të këmbimeve valutore</w:t>
      </w:r>
      <w:r w:rsidR="008A0E5B" w:rsidRPr="00050FA4">
        <w:rPr>
          <w:rFonts w:ascii="Garamond" w:hAnsi="Garamond"/>
          <w:color w:val="0D0D0D"/>
        </w:rPr>
        <w:t>”</w:t>
      </w:r>
      <w:r w:rsidRPr="00050FA4">
        <w:rPr>
          <w:rFonts w:ascii="Garamond" w:hAnsi="Garamond"/>
          <w:color w:val="0D0D0D"/>
        </w:rPr>
        <w:t xml:space="preserve">, ku janë prezantuar instrumentet </w:t>
      </w:r>
      <w:r w:rsidR="008A0E5B" w:rsidRPr="00050FA4">
        <w:rPr>
          <w:rFonts w:ascii="Garamond" w:hAnsi="Garamond"/>
          <w:i/>
          <w:color w:val="0D0D0D"/>
        </w:rPr>
        <w:t>“</w:t>
      </w:r>
      <w:r w:rsidRPr="00050FA4">
        <w:rPr>
          <w:rFonts w:ascii="Garamond" w:hAnsi="Garamond"/>
          <w:i/>
          <w:color w:val="0D0D0D"/>
        </w:rPr>
        <w:t>forwards</w:t>
      </w:r>
      <w:r w:rsidR="008A0E5B" w:rsidRPr="00050FA4">
        <w:rPr>
          <w:rFonts w:ascii="Garamond" w:hAnsi="Garamond"/>
          <w:i/>
          <w:color w:val="0D0D0D"/>
        </w:rPr>
        <w:t>”</w:t>
      </w:r>
      <w:r w:rsidRPr="00050FA4">
        <w:rPr>
          <w:rFonts w:ascii="Garamond" w:hAnsi="Garamond"/>
          <w:color w:val="0D0D0D"/>
        </w:rPr>
        <w:t xml:space="preserve"> 3-mujore si alternativë për kryerjen e ndërhyrjeve. Kjo do të ndihmojë familjarizimin e tregut me instrumentet dhe përcaktimin e çmimeve të produkteve financiare</w:t>
      </w:r>
      <w:r w:rsidR="00C2578C" w:rsidRPr="00050FA4">
        <w:rPr>
          <w:rFonts w:ascii="Garamond" w:hAnsi="Garamond"/>
          <w:color w:val="0D0D0D"/>
        </w:rPr>
        <w:t>;</w:t>
      </w:r>
      <w:r w:rsidRPr="00050FA4">
        <w:rPr>
          <w:rFonts w:ascii="Garamond" w:hAnsi="Garamond"/>
          <w:color w:val="0D0D0D"/>
        </w:rPr>
        <w:t xml:space="preserve"> </w:t>
      </w:r>
    </w:p>
    <w:p w14:paraId="1434675B" w14:textId="5E62A590" w:rsidR="003C51D0" w:rsidRPr="00050FA4" w:rsidRDefault="003C51D0" w:rsidP="003F1DA7">
      <w:pPr>
        <w:ind w:firstLine="284"/>
        <w:jc w:val="both"/>
        <w:rPr>
          <w:rFonts w:ascii="Garamond" w:hAnsi="Garamond"/>
          <w:color w:val="0D0D0D"/>
        </w:rPr>
      </w:pPr>
      <w:r w:rsidRPr="00050FA4">
        <w:rPr>
          <w:rFonts w:ascii="Garamond" w:hAnsi="Garamond"/>
          <w:color w:val="0D0D0D"/>
        </w:rPr>
        <w:t>iv</w:t>
      </w:r>
      <w:r w:rsidR="00A1034C" w:rsidRPr="00050FA4">
        <w:rPr>
          <w:rFonts w:ascii="Garamond" w:hAnsi="Garamond"/>
          <w:color w:val="0D0D0D"/>
        </w:rPr>
        <w:t>.</w:t>
      </w:r>
      <w:r w:rsidRPr="00050FA4">
        <w:rPr>
          <w:rFonts w:ascii="Garamond" w:hAnsi="Garamond"/>
          <w:color w:val="0D0D0D"/>
        </w:rPr>
        <w:t xml:space="preserve"> </w:t>
      </w:r>
      <w:r w:rsidR="00C2578C" w:rsidRPr="00050FA4">
        <w:rPr>
          <w:rFonts w:ascii="Garamond" w:hAnsi="Garamond"/>
          <w:color w:val="0D0D0D"/>
        </w:rPr>
        <w:t xml:space="preserve">është </w:t>
      </w:r>
      <w:r w:rsidRPr="00050FA4">
        <w:rPr>
          <w:rFonts w:ascii="Garamond" w:hAnsi="Garamond"/>
          <w:color w:val="0D0D0D"/>
        </w:rPr>
        <w:t xml:space="preserve">miratuar udhëzimi për </w:t>
      </w:r>
      <w:r w:rsidR="008A0E5B" w:rsidRPr="00050FA4">
        <w:rPr>
          <w:rFonts w:ascii="Garamond" w:hAnsi="Garamond"/>
          <w:color w:val="0D0D0D"/>
        </w:rPr>
        <w:t>“</w:t>
      </w:r>
      <w:r w:rsidRPr="00050FA4">
        <w:rPr>
          <w:rFonts w:ascii="Garamond" w:hAnsi="Garamond"/>
          <w:color w:val="0D0D0D"/>
        </w:rPr>
        <w:t>Raportimin e veprimeve të këmbimeve valutore</w:t>
      </w:r>
      <w:r w:rsidR="008A0E5B" w:rsidRPr="00050FA4">
        <w:rPr>
          <w:rFonts w:ascii="Garamond" w:hAnsi="Garamond"/>
          <w:color w:val="0D0D0D"/>
        </w:rPr>
        <w:t>”</w:t>
      </w:r>
      <w:r w:rsidRPr="00050FA4">
        <w:rPr>
          <w:rFonts w:ascii="Garamond" w:hAnsi="Garamond"/>
          <w:color w:val="0D0D0D"/>
        </w:rPr>
        <w:t>, i cili përmirëson procesin e standardizimit dhe përpunimit të raportimeve nga operatorët e tregut, dhe rrit informacionin e përftuar duke dalluar instrumentet e përdorur dhe kundër palët në këtë treg</w:t>
      </w:r>
      <w:r w:rsidR="00C2578C" w:rsidRPr="00050FA4">
        <w:rPr>
          <w:rFonts w:ascii="Garamond" w:hAnsi="Garamond"/>
          <w:color w:val="0D0D0D"/>
        </w:rPr>
        <w:t>.</w:t>
      </w:r>
    </w:p>
    <w:p w14:paraId="396DC355" w14:textId="06C0586C"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Banka e Shqipërisë po vlerëson mundësinë për të publikuar në një fazë të mëvonshme të dhëna të agreguara mbi volumin dhe çmimin e transaksioneve të kryera në tregun e këmbimeve valutore, me qëllim rritjen e transparencës. Disa hapa janë bërë në drejtim të prezantimit të marrëveshjeve të </w:t>
      </w:r>
      <w:r w:rsidR="00BA5E8F" w:rsidRPr="00050FA4">
        <w:rPr>
          <w:rFonts w:ascii="Garamond" w:hAnsi="Garamond"/>
          <w:color w:val="0D0D0D"/>
        </w:rPr>
        <w:t>standardizuara</w:t>
      </w:r>
      <w:r w:rsidRPr="00050FA4">
        <w:rPr>
          <w:rFonts w:ascii="Garamond" w:hAnsi="Garamond"/>
          <w:color w:val="0D0D0D"/>
        </w:rPr>
        <w:t xml:space="preserve"> </w:t>
      </w:r>
      <w:r w:rsidRPr="00050FA4">
        <w:rPr>
          <w:rFonts w:ascii="Garamond" w:hAnsi="Garamond"/>
          <w:color w:val="0D0D0D"/>
        </w:rPr>
        <w:lastRenderedPageBreak/>
        <w:t xml:space="preserve">për transaksionet e këmbimit valutor, nëpërmjet përpjekjeve për prezantimin e instrumenteve derivativë në marrëdhëniet me Ministrinë e Financave dhe Ekonomisë. Masa të tjera në planin e punës, të cilat do të konsiderohen në vijim, lidhen me përmirësimin e edukimit financiar dhe </w:t>
      </w:r>
      <w:r w:rsidR="00BA5E8F" w:rsidRPr="00050FA4">
        <w:rPr>
          <w:rFonts w:ascii="Garamond" w:hAnsi="Garamond"/>
          <w:color w:val="0D0D0D"/>
        </w:rPr>
        <w:t>standardizimin</w:t>
      </w:r>
      <w:r w:rsidRPr="00050FA4">
        <w:rPr>
          <w:rFonts w:ascii="Garamond" w:hAnsi="Garamond"/>
          <w:color w:val="0D0D0D"/>
        </w:rPr>
        <w:t xml:space="preserve"> e marrëveshjeve midis bankave.</w:t>
      </w:r>
    </w:p>
    <w:p w14:paraId="73979024" w14:textId="77777777" w:rsidR="003C51D0" w:rsidRPr="00050FA4" w:rsidRDefault="003C51D0" w:rsidP="003F1DA7">
      <w:pPr>
        <w:pStyle w:val="Heading2"/>
        <w:ind w:left="0" w:firstLine="284"/>
        <w:jc w:val="both"/>
        <w:rPr>
          <w:rFonts w:ascii="Garamond" w:hAnsi="Garamond"/>
          <w:b/>
          <w:bCs/>
          <w:color w:val="0D0D0D"/>
        </w:rPr>
      </w:pPr>
      <w:r w:rsidRPr="00050FA4">
        <w:rPr>
          <w:rFonts w:ascii="Garamond" w:hAnsi="Garamond"/>
          <w:b/>
          <w:bCs/>
          <w:color w:val="0D0D0D"/>
        </w:rPr>
        <w:t>Rekomandimi 4</w:t>
      </w:r>
    </w:p>
    <w:p w14:paraId="18819F67" w14:textId="330A16FB"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4.1 Ofroni shërbime të zgjeruara të mbështetjes së biznesit për të përmirësuar aksesin në finan</w:t>
      </w:r>
      <w:r w:rsidR="00BA5E8F" w:rsidRPr="00050FA4">
        <w:rPr>
          <w:rFonts w:ascii="Garamond" w:hAnsi="Garamond"/>
          <w:b/>
          <w:bCs/>
          <w:i/>
          <w:iCs/>
          <w:color w:val="0D0D0D"/>
        </w:rPr>
        <w:t>ca dhe njohuritë e sipërmarrjes</w:t>
      </w:r>
    </w:p>
    <w:p w14:paraId="3FCD02AB" w14:textId="73074B8B" w:rsidR="003C51D0" w:rsidRPr="00050FA4" w:rsidRDefault="003C51D0" w:rsidP="003F1DA7">
      <w:pPr>
        <w:ind w:firstLine="284"/>
        <w:jc w:val="both"/>
        <w:rPr>
          <w:rFonts w:ascii="Garamond" w:hAnsi="Garamond"/>
          <w:color w:val="0D0D0D"/>
        </w:rPr>
      </w:pPr>
      <w:r w:rsidRPr="00050FA4">
        <w:rPr>
          <w:rFonts w:ascii="Garamond" w:hAnsi="Garamond"/>
          <w:color w:val="0D0D0D"/>
        </w:rPr>
        <w:t>Agjencia Shqiptare e Zhvillimit të Investimeve (AIDA) është institucioni qendror publik i dedikuar që ofron shërbime për mbështetjen e biznesit (BSS) për SME-të. AIDA jep informacion të përgjithshëm, p.sh. mbi legjislacionin përkatës për fillimin e një biznesi, si të zhvillohet një plan biznesi dhe çfarë BSS</w:t>
      </w:r>
      <w:r w:rsidR="007F5AE1" w:rsidRPr="00050FA4">
        <w:rPr>
          <w:rFonts w:ascii="Garamond" w:hAnsi="Garamond"/>
          <w:color w:val="0D0D0D"/>
        </w:rPr>
        <w:t xml:space="preserve"> financiare dhe jo</w:t>
      </w:r>
      <w:r w:rsidRPr="00050FA4">
        <w:rPr>
          <w:rFonts w:ascii="Garamond" w:hAnsi="Garamond"/>
          <w:color w:val="0D0D0D"/>
        </w:rPr>
        <w:t>financiare janë të disponueshme. Mbështetja e mëtejshme për NVM-të përfshin lehtësimin e pjesëmarrjes në panairet kombëtare dhe ndërkombëtare, identifikimin e tregjeve të reja, partnerëve të eksportit, trajnimeve dhe nevojave të certifikimit të produkteve dhe mbështetjes përmes projekteve të ndryshme me donatorë.</w:t>
      </w:r>
    </w:p>
    <w:p w14:paraId="36EC2234" w14:textId="062A4B23"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Përveç informacionit, AIDA ofron mbështetje financiare për bizneset. Megjithatë, kërkesa deri më tani ka qenë mjaft e ulët. Në </w:t>
      </w:r>
      <w:r w:rsidRPr="00E41F4F">
        <w:rPr>
          <w:rFonts w:ascii="Garamond" w:hAnsi="Garamond"/>
          <w:color w:val="0D0D0D"/>
        </w:rPr>
        <w:t xml:space="preserve">periudhën </w:t>
      </w:r>
      <w:r w:rsidR="00E41F4F" w:rsidRPr="00E41F4F">
        <w:rPr>
          <w:rFonts w:ascii="Garamond" w:hAnsi="Garamond"/>
          <w:color w:val="0D0D0D"/>
        </w:rPr>
        <w:t>6-vjeçare</w:t>
      </w:r>
      <w:r w:rsidRPr="00050FA4">
        <w:rPr>
          <w:rFonts w:ascii="Garamond" w:hAnsi="Garamond"/>
          <w:color w:val="0D0D0D"/>
        </w:rPr>
        <w:t xml:space="preserve"> nga viti 2014 deri në vitin 2019, 373 SME kanë marrë grante nga fondet e AIDA-s me një shumë totale prej 264 milionë lekësh. Sipas </w:t>
      </w:r>
      <w:r w:rsidR="007F5AE1" w:rsidRPr="00050FA4">
        <w:rPr>
          <w:rFonts w:ascii="Garamond" w:hAnsi="Garamond"/>
          <w:color w:val="0D0D0D"/>
        </w:rPr>
        <w:t xml:space="preserve">indeksit të politikave </w:t>
      </w:r>
      <w:r w:rsidRPr="00050FA4">
        <w:rPr>
          <w:rFonts w:ascii="Garamond" w:hAnsi="Garamond"/>
          <w:color w:val="0D0D0D"/>
        </w:rPr>
        <w:t>të SME-ve, SME-të i perceptojnë si frenuese procedurat e aplikimit për fondet e AIDA-s. Përveç kësaj, grantet e ofruara përmes këtyre fondeve janë relativisht të vogla. Kjo duket se i pengon më tej aplikantët e mundshëm nga kalimi i procesit të gjatë të aplikimit. Si pjesë e aplikimit, SME-të duhet të takohen personalisht me stafin e AIDA-s në zyrën e vendosur në Tiranë. Kjo raportohet të jetë një pengesë për SME-të në rajone të tjera dhe faktor në hezitimin e tyre për të aplikuar për shërbimet financiare të AIDA-s. Nën tr</w:t>
      </w:r>
      <w:r w:rsidR="007F5AE1" w:rsidRPr="00050FA4">
        <w:rPr>
          <w:rFonts w:ascii="Garamond" w:hAnsi="Garamond"/>
          <w:color w:val="0D0D0D"/>
        </w:rPr>
        <w:t>i</w:t>
      </w:r>
      <w:r w:rsidRPr="00050FA4">
        <w:rPr>
          <w:rFonts w:ascii="Garamond" w:hAnsi="Garamond"/>
          <w:color w:val="0D0D0D"/>
        </w:rPr>
        <w:t xml:space="preserve"> zonat e ndërhyrjes së BIDS</w:t>
      </w:r>
      <w:r w:rsidR="007F5AE1" w:rsidRPr="00050FA4">
        <w:rPr>
          <w:rFonts w:ascii="Garamond" w:hAnsi="Garamond"/>
          <w:color w:val="0D0D0D"/>
        </w:rPr>
        <w:t>-it</w:t>
      </w:r>
      <w:r w:rsidRPr="00050FA4">
        <w:rPr>
          <w:rFonts w:ascii="Garamond" w:hAnsi="Garamond"/>
          <w:color w:val="0D0D0D"/>
        </w:rPr>
        <w:t xml:space="preserve"> 2021</w:t>
      </w:r>
      <w:r w:rsidR="007F5AE1" w:rsidRPr="00050FA4">
        <w:rPr>
          <w:rFonts w:ascii="Garamond" w:hAnsi="Garamond"/>
          <w:color w:val="0D0D0D"/>
        </w:rPr>
        <w:t>–</w:t>
      </w:r>
      <w:r w:rsidRPr="00050FA4">
        <w:rPr>
          <w:rFonts w:ascii="Garamond" w:hAnsi="Garamond"/>
          <w:color w:val="0D0D0D"/>
        </w:rPr>
        <w:t>2027 ka disa masa</w:t>
      </w:r>
      <w:r w:rsidR="007F5AE1" w:rsidRPr="00050FA4">
        <w:rPr>
          <w:rFonts w:ascii="Garamond" w:hAnsi="Garamond"/>
          <w:color w:val="0D0D0D"/>
        </w:rPr>
        <w:t>,</w:t>
      </w:r>
      <w:r w:rsidRPr="00050FA4">
        <w:rPr>
          <w:rFonts w:ascii="Garamond" w:hAnsi="Garamond"/>
          <w:color w:val="0D0D0D"/>
        </w:rPr>
        <w:t xml:space="preserve"> si p.sh</w:t>
      </w:r>
      <w:r w:rsidR="00EB2D05" w:rsidRPr="00050FA4">
        <w:rPr>
          <w:rFonts w:ascii="Garamond" w:hAnsi="Garamond"/>
          <w:color w:val="0D0D0D"/>
        </w:rPr>
        <w:t>.</w:t>
      </w:r>
      <w:r w:rsidRPr="00050FA4">
        <w:rPr>
          <w:rFonts w:ascii="Garamond" w:hAnsi="Garamond"/>
          <w:color w:val="0D0D0D"/>
        </w:rPr>
        <w:t>:</w:t>
      </w:r>
    </w:p>
    <w:p w14:paraId="1BE8F4B1" w14:textId="2131FBF7"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Programi i strukturuar për shërbimin e mëtejshëm të kujdesit, </w:t>
      </w:r>
      <w:r w:rsidR="00F8742D" w:rsidRPr="00050FA4">
        <w:rPr>
          <w:rFonts w:ascii="Garamond" w:hAnsi="Garamond"/>
          <w:color w:val="0D0D0D"/>
        </w:rPr>
        <w:t xml:space="preserve">kohët </w:t>
      </w:r>
      <w:r w:rsidRPr="00050FA4">
        <w:rPr>
          <w:rFonts w:ascii="Garamond" w:hAnsi="Garamond"/>
          <w:color w:val="0D0D0D"/>
        </w:rPr>
        <w:t>e fundit, roli i kujdesit të mëtejshëm është forcuar në të gjithë globin, në kuadrin e ndërprerjes serioze të zinxhirëve të vlerave ndërkombëtare, flukseve të tregtisë dhe investimeve të shkaktuara nga pandemia COVID-19. Megjithatë, kujdesi i mëtejshëm ofron një potencial premtues</w:t>
      </w:r>
      <w:r w:rsidR="00F8742D" w:rsidRPr="00050FA4">
        <w:rPr>
          <w:rFonts w:ascii="Garamond" w:hAnsi="Garamond"/>
          <w:color w:val="0D0D0D"/>
        </w:rPr>
        <w:t>,</w:t>
      </w:r>
      <w:r w:rsidRPr="00050FA4">
        <w:rPr>
          <w:rFonts w:ascii="Garamond" w:hAnsi="Garamond"/>
          <w:color w:val="0D0D0D"/>
        </w:rPr>
        <w:t xml:space="preserve"> që shkon përtej krizës aktuale. Konsiderohet si një mënyrë me kosto efektive për të kursyer investimet, për të siguruar riinvestim dhe për të rritur ndikimin në zhvillim. Koordinimi dhe bashkëpunimi ndërorganizativ konsiderohet si faktor kyç për sukses. Ekziston një gamë e gjerë institucionesh që ofrojnë shërbime mbështetëse për investitorët ose që luajnë një rol të rëndësishëm në ofrimin e këtyre shërbimeve (p.sh. BDHTI</w:t>
      </w:r>
      <w:r w:rsidR="00F8742D" w:rsidRPr="00050FA4">
        <w:rPr>
          <w:rFonts w:ascii="Garamond" w:hAnsi="Garamond"/>
          <w:color w:val="0D0D0D"/>
        </w:rPr>
        <w:t>-ja</w:t>
      </w:r>
      <w:r w:rsidRPr="00050FA4">
        <w:rPr>
          <w:rFonts w:ascii="Garamond" w:hAnsi="Garamond"/>
          <w:color w:val="0D0D0D"/>
        </w:rPr>
        <w:t xml:space="preserve">, dhomat e tregtisë, shoqatat, bashkitë). Shërbimet e mëtejshme të kujdesit do të zgjerohen, duke ndjekur një qasje bashkëpunuese për të shmangur dyfishimin dhe konfuzionin midis investitorëve ekzistues. Theks i veçantë do t’i kushtohet forcimit të lidhjeve midis pushtetit qendror dhe bashkive nëpërmjet </w:t>
      </w:r>
      <w:r w:rsidR="00860411" w:rsidRPr="00050FA4">
        <w:rPr>
          <w:rFonts w:ascii="Garamond" w:hAnsi="Garamond"/>
          <w:color w:val="0D0D0D"/>
        </w:rPr>
        <w:t xml:space="preserve">memorandumeve të bashkëpunimit </w:t>
      </w:r>
      <w:r w:rsidRPr="00050FA4">
        <w:rPr>
          <w:rFonts w:ascii="Garamond" w:hAnsi="Garamond"/>
          <w:color w:val="0D0D0D"/>
        </w:rPr>
        <w:t>që do të lidhen me AIDA-n dhe bashkitë.</w:t>
      </w:r>
    </w:p>
    <w:p w14:paraId="52FFEEEF" w14:textId="5F81941F"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w:t>
      </w:r>
      <w:r w:rsidR="00860411" w:rsidRPr="00050FA4">
        <w:rPr>
          <w:rFonts w:ascii="Garamond" w:hAnsi="Garamond"/>
          <w:color w:val="0D0D0D"/>
        </w:rPr>
        <w:t>Promovimi</w:t>
      </w:r>
      <w:r w:rsidRPr="00050FA4">
        <w:rPr>
          <w:rFonts w:ascii="Garamond" w:hAnsi="Garamond"/>
          <w:color w:val="0D0D0D"/>
        </w:rPr>
        <w:t>/lehtësimi sistematik i investimeve të shënjestruara.</w:t>
      </w:r>
    </w:p>
    <w:p w14:paraId="3F7E2F59" w14:textId="505D09A1"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Forcimi i ekosistemit të </w:t>
      </w:r>
      <w:r w:rsidR="00E708DC" w:rsidRPr="00050FA4">
        <w:rPr>
          <w:rFonts w:ascii="Garamond" w:hAnsi="Garamond"/>
          <w:i/>
          <w:color w:val="0D0D0D"/>
        </w:rPr>
        <w:t>start-up</w:t>
      </w:r>
      <w:r w:rsidRPr="00050FA4">
        <w:rPr>
          <w:rFonts w:ascii="Garamond" w:hAnsi="Garamond"/>
          <w:color w:val="0D0D0D"/>
        </w:rPr>
        <w:t xml:space="preserve">-eve, duke njohur kontributin e konsiderueshëm të bizneseve të reja për një ekonomi më të orientuar nga inovacioni dhe njohuri, ky veprim fokusohet në zhvillimin e një mjedisi të favorshëm sipërmarrës, të lidhur ngushtë me </w:t>
      </w:r>
      <w:r w:rsidR="00860411" w:rsidRPr="00050FA4">
        <w:rPr>
          <w:rFonts w:ascii="Garamond" w:hAnsi="Garamond"/>
          <w:color w:val="0D0D0D"/>
        </w:rPr>
        <w:t xml:space="preserve">projektligjin </w:t>
      </w:r>
      <w:r w:rsidRPr="00050FA4">
        <w:rPr>
          <w:rFonts w:ascii="Garamond" w:hAnsi="Garamond"/>
          <w:color w:val="0D0D0D"/>
        </w:rPr>
        <w:t xml:space="preserve">për </w:t>
      </w:r>
      <w:r w:rsidR="00860411" w:rsidRPr="00050FA4">
        <w:rPr>
          <w:rFonts w:ascii="Garamond" w:hAnsi="Garamond"/>
          <w:color w:val="0D0D0D"/>
        </w:rPr>
        <w:t xml:space="preserve">mbështetjen </w:t>
      </w:r>
      <w:r w:rsidRPr="00050FA4">
        <w:rPr>
          <w:rFonts w:ascii="Garamond" w:hAnsi="Garamond"/>
          <w:color w:val="0D0D0D"/>
        </w:rPr>
        <w:t xml:space="preserve">dhe </w:t>
      </w:r>
      <w:r w:rsidR="00860411" w:rsidRPr="00050FA4">
        <w:rPr>
          <w:rFonts w:ascii="Garamond" w:hAnsi="Garamond"/>
          <w:color w:val="0D0D0D"/>
        </w:rPr>
        <w:t xml:space="preserve">zhvillimin </w:t>
      </w:r>
      <w:r w:rsidRPr="00050FA4">
        <w:rPr>
          <w:rFonts w:ascii="Garamond" w:hAnsi="Garamond"/>
          <w:color w:val="0D0D0D"/>
        </w:rPr>
        <w:t xml:space="preserve">e </w:t>
      </w:r>
      <w:r w:rsidR="00860411" w:rsidRPr="00050FA4">
        <w:rPr>
          <w:rFonts w:ascii="Garamond" w:hAnsi="Garamond"/>
          <w:color w:val="0D0D0D"/>
        </w:rPr>
        <w:t xml:space="preserve">bizneseve inovative, dhe inovacioni dhe </w:t>
      </w:r>
      <w:r w:rsidRPr="00050FA4">
        <w:rPr>
          <w:rFonts w:ascii="Garamond" w:hAnsi="Garamond"/>
          <w:color w:val="0D0D0D"/>
        </w:rPr>
        <w:t xml:space="preserve">programi i BE-së për </w:t>
      </w:r>
      <w:r w:rsidR="00860411" w:rsidRPr="00050FA4">
        <w:rPr>
          <w:rFonts w:ascii="Garamond" w:hAnsi="Garamond"/>
          <w:color w:val="0D0D0D"/>
        </w:rPr>
        <w:t>inovacion</w:t>
      </w:r>
      <w:r w:rsidR="00E67ECA" w:rsidRPr="00050FA4">
        <w:rPr>
          <w:rFonts w:ascii="Garamond" w:hAnsi="Garamond"/>
          <w:color w:val="0D0D0D"/>
        </w:rPr>
        <w:t>. Theks i veçantë do t’u</w:t>
      </w:r>
      <w:r w:rsidRPr="00050FA4">
        <w:rPr>
          <w:rFonts w:ascii="Garamond" w:hAnsi="Garamond"/>
          <w:color w:val="0D0D0D"/>
        </w:rPr>
        <w:t xml:space="preserve"> kushtohet grave sipërmarrëse dhe bizneseve fillestare</w:t>
      </w:r>
      <w:r w:rsidR="005B7E50" w:rsidRPr="00050FA4">
        <w:rPr>
          <w:rFonts w:ascii="Garamond" w:hAnsi="Garamond"/>
          <w:color w:val="0D0D0D"/>
        </w:rPr>
        <w:t>,</w:t>
      </w:r>
      <w:r w:rsidRPr="00050FA4">
        <w:rPr>
          <w:rFonts w:ascii="Garamond" w:hAnsi="Garamond"/>
          <w:color w:val="0D0D0D"/>
        </w:rPr>
        <w:t xml:space="preserve"> që ofrojnë zgjidhje ose produkte/shërbime </w:t>
      </w:r>
      <w:r w:rsidR="00C948AF" w:rsidRPr="00050FA4">
        <w:rPr>
          <w:rFonts w:ascii="Garamond" w:hAnsi="Garamond"/>
          <w:color w:val="0D0D0D"/>
        </w:rPr>
        <w:t>digjital</w:t>
      </w:r>
      <w:r w:rsidRPr="00050FA4">
        <w:rPr>
          <w:rFonts w:ascii="Garamond" w:hAnsi="Garamond"/>
          <w:color w:val="0D0D0D"/>
        </w:rPr>
        <w:t>e</w:t>
      </w:r>
      <w:r w:rsidR="005B7E50" w:rsidRPr="00050FA4">
        <w:rPr>
          <w:rFonts w:ascii="Garamond" w:hAnsi="Garamond"/>
          <w:color w:val="0D0D0D"/>
        </w:rPr>
        <w:t>,</w:t>
      </w:r>
      <w:r w:rsidRPr="00050FA4">
        <w:rPr>
          <w:rFonts w:ascii="Garamond" w:hAnsi="Garamond"/>
          <w:color w:val="0D0D0D"/>
        </w:rPr>
        <w:t xml:space="preserve"> që kontribuojnë në zhvillimin e një ekonomie të gjelbër dhe rrethore. Veprimet prioritare do të trajtojnë gjithashtu masat rregullatore që lehtësojnë themelimin e bizneseve fillestare dhe pasqyrojnë rëndësinë e mbrojtjes së të drejtave të pronësisë industriale dhe intelektuale. Ngritja e kapaciteteve</w:t>
      </w:r>
      <w:r w:rsidR="000010B7" w:rsidRPr="00050FA4">
        <w:rPr>
          <w:rFonts w:ascii="Garamond" w:hAnsi="Garamond"/>
          <w:color w:val="0D0D0D"/>
        </w:rPr>
        <w:t>,</w:t>
      </w:r>
      <w:r w:rsidRPr="00050FA4">
        <w:rPr>
          <w:rFonts w:ascii="Garamond" w:hAnsi="Garamond"/>
          <w:color w:val="0D0D0D"/>
        </w:rPr>
        <w:t xml:space="preserve"> duke adresuar ekosistemin fillestar dhe inovacionin: </w:t>
      </w:r>
      <w:r w:rsidR="000010B7" w:rsidRPr="00050FA4">
        <w:rPr>
          <w:rFonts w:ascii="Garamond" w:hAnsi="Garamond"/>
          <w:color w:val="0D0D0D"/>
        </w:rPr>
        <w:t xml:space="preserve">masat </w:t>
      </w:r>
      <w:r w:rsidRPr="00050FA4">
        <w:rPr>
          <w:rFonts w:ascii="Garamond" w:hAnsi="Garamond"/>
          <w:color w:val="0D0D0D"/>
        </w:rPr>
        <w:t xml:space="preserve">e personalizuara të ngritjes së kapaciteteve do të </w:t>
      </w:r>
      <w:r w:rsidR="004422E2" w:rsidRPr="00050FA4">
        <w:rPr>
          <w:rFonts w:ascii="Garamond" w:hAnsi="Garamond"/>
          <w:color w:val="0D0D0D"/>
        </w:rPr>
        <w:t xml:space="preserve">synimi </w:t>
      </w:r>
      <w:r w:rsidR="00E708DC" w:rsidRPr="00050FA4">
        <w:rPr>
          <w:rFonts w:ascii="Garamond" w:hAnsi="Garamond"/>
          <w:i/>
          <w:color w:val="0D0D0D"/>
        </w:rPr>
        <w:t>start-up</w:t>
      </w:r>
      <w:r w:rsidRPr="00050FA4">
        <w:rPr>
          <w:rFonts w:ascii="Garamond" w:hAnsi="Garamond"/>
          <w:i/>
          <w:color w:val="0D0D0D"/>
        </w:rPr>
        <w:t>s</w:t>
      </w:r>
      <w:r w:rsidR="00B619CA" w:rsidRPr="00050FA4">
        <w:rPr>
          <w:rFonts w:ascii="Garamond" w:hAnsi="Garamond"/>
          <w:i/>
          <w:color w:val="0D0D0D"/>
        </w:rPr>
        <w:t>,</w:t>
      </w:r>
      <w:r w:rsidRPr="00050FA4">
        <w:rPr>
          <w:rFonts w:ascii="Garamond" w:hAnsi="Garamond"/>
          <w:color w:val="0D0D0D"/>
        </w:rPr>
        <w:t xml:space="preserve"> si dhe do të mbështesin organizatat (si inkubatorët, përshpejtuesit dhe iniciativat e institucioneve të arsimit të lartë)</w:t>
      </w:r>
      <w:r w:rsidR="00B619CA" w:rsidRPr="00050FA4">
        <w:rPr>
          <w:rFonts w:ascii="Garamond" w:hAnsi="Garamond"/>
          <w:color w:val="0D0D0D"/>
        </w:rPr>
        <w:t>,</w:t>
      </w:r>
      <w:r w:rsidRPr="00050FA4">
        <w:rPr>
          <w:rFonts w:ascii="Garamond" w:hAnsi="Garamond"/>
          <w:color w:val="0D0D0D"/>
        </w:rPr>
        <w:t xml:space="preserve"> duke i ndihmuar ata të përmirësojnë dhe zgjerojnë shërbimet e tyre. Masat e mëtejshme synojnë diversifikimin e strukturës dhe shërbimeve mbështetëse për fillestarët, si dhe tërheqjen e lojtarëve të rinj publikë dhe privatë (p.sh.</w:t>
      </w:r>
      <w:r w:rsidR="00B619CA" w:rsidRPr="00050FA4">
        <w:rPr>
          <w:rFonts w:ascii="Garamond" w:hAnsi="Garamond"/>
          <w:color w:val="0D0D0D"/>
        </w:rPr>
        <w:t>,</w:t>
      </w:r>
      <w:r w:rsidRPr="00050FA4">
        <w:rPr>
          <w:rFonts w:ascii="Garamond" w:hAnsi="Garamond"/>
          <w:color w:val="0D0D0D"/>
        </w:rPr>
        <w:t xml:space="preserve"> nga diaspora) në ekosistem.</w:t>
      </w:r>
    </w:p>
    <w:p w14:paraId="66EB5214" w14:textId="60F98D93" w:rsidR="003C51D0" w:rsidRPr="00050FA4" w:rsidRDefault="003C51D0" w:rsidP="003F1DA7">
      <w:pPr>
        <w:ind w:firstLine="284"/>
        <w:jc w:val="both"/>
        <w:rPr>
          <w:rFonts w:ascii="Garamond" w:hAnsi="Garamond"/>
          <w:color w:val="0D0D0D"/>
        </w:rPr>
      </w:pPr>
      <w:r w:rsidRPr="00050FA4">
        <w:rPr>
          <w:rFonts w:ascii="Garamond" w:hAnsi="Garamond"/>
          <w:color w:val="0D0D0D"/>
        </w:rPr>
        <w:t xml:space="preserve">- Përmirësimi i aksesit në financa: Ndërtimi i skemave ekzistuese/të mbështetura nga donatorët, p.sh. nën </w:t>
      </w:r>
      <w:r w:rsidR="00B619CA" w:rsidRPr="00050FA4">
        <w:rPr>
          <w:rFonts w:ascii="Garamond" w:hAnsi="Garamond"/>
          <w:color w:val="0D0D0D"/>
        </w:rPr>
        <w:t xml:space="preserve">inovacionin </w:t>
      </w:r>
      <w:r w:rsidRPr="00050FA4">
        <w:rPr>
          <w:rFonts w:ascii="Garamond" w:hAnsi="Garamond"/>
          <w:color w:val="0D0D0D"/>
        </w:rPr>
        <w:t>e BE-së, ky komponent parashikon futjen e instrumenteve të mëtejshme financimi</w:t>
      </w:r>
      <w:r w:rsidR="00B619CA" w:rsidRPr="00050FA4">
        <w:rPr>
          <w:rFonts w:ascii="Garamond" w:hAnsi="Garamond"/>
          <w:color w:val="0D0D0D"/>
        </w:rPr>
        <w:t>,</w:t>
      </w:r>
      <w:r w:rsidRPr="00050FA4">
        <w:rPr>
          <w:rFonts w:ascii="Garamond" w:hAnsi="Garamond"/>
          <w:color w:val="0D0D0D"/>
        </w:rPr>
        <w:t xml:space="preserve"> që plotësojnë dhënien e granteve për bizneset fillestare dhe organizatat mbështetëse. Kjo përfshin, ndër të tjera, zhvillimin e një rrjeti engjëjsh biznesi dhe kuadrin ligjor për financimin nga turma.</w:t>
      </w:r>
    </w:p>
    <w:p w14:paraId="6CB8C6EB" w14:textId="60A59EA0" w:rsidR="003C51D0" w:rsidRPr="00050FA4" w:rsidRDefault="003C51D0" w:rsidP="003F1DA7">
      <w:pPr>
        <w:ind w:firstLine="284"/>
        <w:jc w:val="both"/>
        <w:rPr>
          <w:rFonts w:ascii="Garamond" w:hAnsi="Garamond"/>
          <w:color w:val="0D0D0D"/>
        </w:rPr>
      </w:pPr>
      <w:r w:rsidRPr="00050FA4">
        <w:rPr>
          <w:rFonts w:ascii="Garamond" w:hAnsi="Garamond"/>
          <w:color w:val="0D0D0D"/>
        </w:rPr>
        <w:lastRenderedPageBreak/>
        <w:t xml:space="preserve">- Programi i </w:t>
      </w:r>
      <w:r w:rsidR="00B619CA" w:rsidRPr="00050FA4">
        <w:rPr>
          <w:rFonts w:ascii="Garamond" w:hAnsi="Garamond"/>
          <w:color w:val="0D0D0D"/>
        </w:rPr>
        <w:t xml:space="preserve">aftësive të sipërmarrjes </w:t>
      </w:r>
      <w:r w:rsidRPr="00050FA4">
        <w:rPr>
          <w:rFonts w:ascii="Garamond" w:hAnsi="Garamond"/>
          <w:color w:val="0D0D0D"/>
        </w:rPr>
        <w:t>për SME-të etj. Ky program do të përdorë në mënyrë specifike sinergjitë me veprime të tjera prioritare, si vlerësimi periodik i nevojave për trajnim dhe programi i zhvillimit të fuqisë punëtore. Vlerësimi i nevojave për trajnim do të ndihmojë në përshtatjen e shërbimeve mbështetëse të biznesit me nevojat e NVM-ve, sektorit të tyre, fazës së zhvillimit dhe përvojës së tregut. Gjithashtu, ky veprim plotëson zhvillimin e aftësive të punonjësve përmes programit të zhvillimit të fuqisë punëtore.</w:t>
      </w:r>
    </w:p>
    <w:p w14:paraId="07B416AB" w14:textId="0112F3BA" w:rsidR="003C51D0" w:rsidRPr="00050FA4" w:rsidRDefault="003C51D0" w:rsidP="003F1DA7">
      <w:pPr>
        <w:ind w:firstLine="284"/>
        <w:jc w:val="both"/>
        <w:rPr>
          <w:rFonts w:ascii="Garamond" w:hAnsi="Garamond"/>
          <w:color w:val="0D0D0D"/>
        </w:rPr>
      </w:pPr>
      <w:r w:rsidRPr="00050FA4">
        <w:rPr>
          <w:rFonts w:ascii="Garamond" w:hAnsi="Garamond"/>
          <w:color w:val="0D0D0D"/>
        </w:rPr>
        <w:t>- Një nga KPI</w:t>
      </w:r>
      <w:r w:rsidR="00396ACB" w:rsidRPr="00050FA4">
        <w:rPr>
          <w:rFonts w:ascii="Garamond" w:hAnsi="Garamond"/>
          <w:color w:val="0D0D0D"/>
        </w:rPr>
        <w:t>-të</w:t>
      </w:r>
      <w:r w:rsidRPr="00050FA4">
        <w:rPr>
          <w:rFonts w:ascii="Garamond" w:hAnsi="Garamond"/>
          <w:color w:val="0D0D0D"/>
        </w:rPr>
        <w:t xml:space="preserve"> në fushën e </w:t>
      </w:r>
      <w:r w:rsidR="00396ACB" w:rsidRPr="00050FA4">
        <w:rPr>
          <w:rFonts w:ascii="Garamond" w:hAnsi="Garamond"/>
          <w:color w:val="0D0D0D"/>
        </w:rPr>
        <w:t>“</w:t>
      </w:r>
      <w:r w:rsidRPr="00050FA4">
        <w:rPr>
          <w:rFonts w:ascii="Garamond" w:hAnsi="Garamond"/>
          <w:color w:val="0D0D0D"/>
        </w:rPr>
        <w:t>zhvillimit të NVM-ve, sipërmarrjes dhe inovacionit</w:t>
      </w:r>
      <w:r w:rsidR="00396ACB" w:rsidRPr="00050FA4">
        <w:rPr>
          <w:rFonts w:ascii="Garamond" w:hAnsi="Garamond"/>
          <w:color w:val="0D0D0D"/>
        </w:rPr>
        <w:t>”</w:t>
      </w:r>
      <w:r w:rsidRPr="00050FA4">
        <w:rPr>
          <w:rFonts w:ascii="Garamond" w:hAnsi="Garamond"/>
          <w:color w:val="0D0D0D"/>
        </w:rPr>
        <w:t xml:space="preserve"> është rritja e vlerësimit në </w:t>
      </w:r>
      <w:r w:rsidR="00396ACB" w:rsidRPr="00050FA4">
        <w:rPr>
          <w:rFonts w:ascii="Garamond" w:hAnsi="Garamond"/>
          <w:color w:val="0D0D0D"/>
        </w:rPr>
        <w:t xml:space="preserve">indeksin e politikave </w:t>
      </w:r>
      <w:r w:rsidRPr="00050FA4">
        <w:rPr>
          <w:rFonts w:ascii="Garamond" w:hAnsi="Garamond"/>
          <w:color w:val="0D0D0D"/>
        </w:rPr>
        <w:t xml:space="preserve">të NVM-ve (Shërbimet </w:t>
      </w:r>
      <w:r w:rsidR="00396ACB" w:rsidRPr="00050FA4">
        <w:rPr>
          <w:rFonts w:ascii="Garamond" w:hAnsi="Garamond"/>
          <w:color w:val="0D0D0D"/>
        </w:rPr>
        <w:t xml:space="preserve">mbështetëse </w:t>
      </w:r>
      <w:r w:rsidRPr="00050FA4">
        <w:rPr>
          <w:rFonts w:ascii="Garamond" w:hAnsi="Garamond"/>
          <w:color w:val="0D0D0D"/>
        </w:rPr>
        <w:t>për SME-të) nga 3.6 në 4.4.</w:t>
      </w:r>
    </w:p>
    <w:p w14:paraId="10F4440E" w14:textId="1E2E2F55"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4.2 Përmirësimi i transparencës në miratimin dhe zbatimin e legjislacionit, veçanërisht duke siguruar një konsultim efektiv në kohë të bizneseve dhe partnerëve socialë mbi legjislacionin e ri q</w:t>
      </w:r>
      <w:r w:rsidR="00396ACB" w:rsidRPr="00050FA4">
        <w:rPr>
          <w:rFonts w:ascii="Garamond" w:hAnsi="Garamond"/>
          <w:b/>
          <w:bCs/>
          <w:i/>
          <w:iCs/>
          <w:color w:val="0D0D0D"/>
        </w:rPr>
        <w:t>ë ndikon në veprimtarinë e tyre</w:t>
      </w:r>
    </w:p>
    <w:p w14:paraId="025DB649" w14:textId="34E1B875" w:rsidR="003C51D0" w:rsidRPr="00050FA4" w:rsidRDefault="003C51D0" w:rsidP="003F1DA7">
      <w:pPr>
        <w:ind w:firstLine="284"/>
        <w:jc w:val="both"/>
        <w:rPr>
          <w:rFonts w:ascii="Garamond" w:hAnsi="Garamond"/>
        </w:rPr>
      </w:pPr>
      <w:r w:rsidRPr="00050FA4">
        <w:rPr>
          <w:rFonts w:ascii="Garamond" w:hAnsi="Garamond"/>
          <w:color w:val="0D0D0D"/>
        </w:rPr>
        <w:t xml:space="preserve">Për të përmirësuar transparencën në miratimin dhe zbatimin e legjislacionit ne plotësojmë disa forma të konsultimit publik të dërguara nga Kryeministri të quajtura </w:t>
      </w:r>
      <w:r w:rsidR="00396ACB" w:rsidRPr="00050FA4">
        <w:rPr>
          <w:rFonts w:ascii="Garamond" w:hAnsi="Garamond"/>
          <w:color w:val="0D0D0D"/>
        </w:rPr>
        <w:t>“</w:t>
      </w:r>
      <w:r w:rsidRPr="00050FA4">
        <w:rPr>
          <w:rFonts w:ascii="Garamond" w:hAnsi="Garamond"/>
          <w:color w:val="0D0D0D"/>
        </w:rPr>
        <w:t>Raportet e Konsultimeve Publike</w:t>
      </w:r>
      <w:r w:rsidR="00396ACB" w:rsidRPr="00050FA4">
        <w:rPr>
          <w:rFonts w:ascii="Garamond" w:hAnsi="Garamond"/>
          <w:color w:val="0D0D0D"/>
        </w:rPr>
        <w:t xml:space="preserve">”, </w:t>
      </w:r>
      <w:r w:rsidRPr="00050FA4">
        <w:rPr>
          <w:rFonts w:ascii="Garamond" w:hAnsi="Garamond"/>
          <w:color w:val="0D0D0D"/>
        </w:rPr>
        <w:t>të cilat përmbajnë të gjitha informacionet në lidhje me metodat e konsultimit publik, palët e interesuara të përfshira, deklaratën e komenteve të marra</w:t>
      </w:r>
      <w:r w:rsidR="009A44F5" w:rsidRPr="00050FA4">
        <w:rPr>
          <w:rFonts w:ascii="Garamond" w:hAnsi="Garamond"/>
          <w:color w:val="0D0D0D"/>
        </w:rPr>
        <w:t xml:space="preserve"> me </w:t>
      </w:r>
      <w:r w:rsidR="009A44F5" w:rsidRPr="003570C4">
        <w:rPr>
          <w:rFonts w:ascii="Garamond" w:hAnsi="Garamond"/>
          <w:color w:val="0D0D0D"/>
        </w:rPr>
        <w:t>komente arsyetuese.</w:t>
      </w:r>
      <w:r w:rsidR="009A44F5" w:rsidRPr="00050FA4">
        <w:rPr>
          <w:rFonts w:ascii="Garamond" w:hAnsi="Garamond"/>
          <w:color w:val="0D0D0D"/>
        </w:rPr>
        <w:t xml:space="preserve"> marrë/</w:t>
      </w:r>
      <w:r w:rsidRPr="00050FA4">
        <w:rPr>
          <w:rFonts w:ascii="Garamond" w:hAnsi="Garamond"/>
          <w:color w:val="0D0D0D"/>
        </w:rPr>
        <w:t xml:space="preserve">refuzuar, kohëzgjatja e konsultimit. Ky raport më pas publikohet në faqen zyrtare të konsultimit </w:t>
      </w:r>
      <w:r w:rsidR="009A44F5" w:rsidRPr="00050FA4">
        <w:rPr>
          <w:rFonts w:ascii="Garamond" w:hAnsi="Garamond"/>
          <w:color w:val="0D0D0D"/>
        </w:rPr>
        <w:t>publi</w:t>
      </w:r>
      <w:r w:rsidR="00884FB3" w:rsidRPr="00050FA4">
        <w:rPr>
          <w:rFonts w:ascii="Garamond" w:hAnsi="Garamond"/>
          <w:color w:val="0D0D0D"/>
        </w:rPr>
        <w:t>k</w:t>
      </w:r>
      <w:r w:rsidR="009A44F5" w:rsidRPr="00050FA4">
        <w:rPr>
          <w:rFonts w:ascii="Garamond" w:hAnsi="Garamond"/>
          <w:color w:val="0D0D0D"/>
        </w:rPr>
        <w:t>:</w:t>
      </w:r>
      <w:r w:rsidR="00884FB3" w:rsidRPr="00050FA4">
        <w:rPr>
          <w:rFonts w:ascii="Garamond" w:hAnsi="Garamond"/>
          <w:color w:val="0D0D0D"/>
        </w:rPr>
        <w:t xml:space="preserve"> </w:t>
      </w:r>
      <w:hyperlink r:id="rId11" w:history="1">
        <w:r w:rsidR="00884FB3" w:rsidRPr="00050FA4">
          <w:rPr>
            <w:rStyle w:val="Hyperlink"/>
            <w:rFonts w:ascii="Garamond" w:hAnsi="Garamond"/>
            <w:color w:val="auto"/>
            <w:u w:val="none"/>
          </w:rPr>
          <w:t>https://konsultimipublik</w:t>
        </w:r>
      </w:hyperlink>
      <w:r w:rsidRPr="00050FA4">
        <w:rPr>
          <w:rFonts w:ascii="Garamond" w:hAnsi="Garamond"/>
        </w:rPr>
        <w:t>.</w:t>
      </w:r>
      <w:r w:rsidR="00884FB3" w:rsidRPr="00050FA4">
        <w:rPr>
          <w:rFonts w:ascii="Garamond" w:hAnsi="Garamond"/>
        </w:rPr>
        <w:t xml:space="preserve"> </w:t>
      </w:r>
      <w:r w:rsidRPr="00050FA4">
        <w:rPr>
          <w:rFonts w:ascii="Garamond" w:hAnsi="Garamond"/>
        </w:rPr>
        <w:t>gov.al</w:t>
      </w:r>
      <w:r w:rsidR="00535FB4" w:rsidRPr="00050FA4">
        <w:rPr>
          <w:rFonts w:ascii="Garamond" w:hAnsi="Garamond"/>
        </w:rPr>
        <w:t>/</w:t>
      </w:r>
      <w:r w:rsidRPr="00050FA4">
        <w:rPr>
          <w:rFonts w:ascii="Garamond" w:hAnsi="Garamond"/>
        </w:rPr>
        <w:t>Konsultime/Detaje/355</w:t>
      </w:r>
      <w:r w:rsidR="00396ACB" w:rsidRPr="00050FA4">
        <w:rPr>
          <w:rFonts w:ascii="Garamond" w:hAnsi="Garamond"/>
        </w:rPr>
        <w:t xml:space="preserve">. </w:t>
      </w:r>
    </w:p>
    <w:p w14:paraId="472FC4DE" w14:textId="7A22ADC3" w:rsidR="003C51D0" w:rsidRPr="00050FA4" w:rsidRDefault="003C51D0" w:rsidP="003F1DA7">
      <w:pPr>
        <w:ind w:firstLine="284"/>
        <w:jc w:val="both"/>
        <w:rPr>
          <w:rFonts w:ascii="Garamond" w:hAnsi="Garamond"/>
          <w:b/>
          <w:bCs/>
          <w:i/>
          <w:iCs/>
          <w:color w:val="0D0D0D"/>
        </w:rPr>
      </w:pPr>
      <w:r w:rsidRPr="00050FA4">
        <w:rPr>
          <w:rFonts w:ascii="Garamond" w:hAnsi="Garamond"/>
          <w:b/>
          <w:bCs/>
          <w:i/>
          <w:iCs/>
          <w:color w:val="0D0D0D"/>
        </w:rPr>
        <w:t>4.3 Hartoni dhe konsultoni një strategji gjithëpërfshirëse për të trajtuar dhe mbikëqyrur të gjitha aspektet e informalitetit, me një plan veprimi me baselines, duke përfshirë objektiva të qart</w:t>
      </w:r>
      <w:r w:rsidR="00BA32E8" w:rsidRPr="00050FA4">
        <w:rPr>
          <w:rFonts w:ascii="Garamond" w:hAnsi="Garamond"/>
          <w:b/>
          <w:bCs/>
          <w:i/>
          <w:iCs/>
          <w:color w:val="0D0D0D"/>
        </w:rPr>
        <w:t>ë</w:t>
      </w:r>
      <w:r w:rsidRPr="00050FA4">
        <w:rPr>
          <w:rFonts w:ascii="Garamond" w:hAnsi="Garamond"/>
          <w:b/>
          <w:bCs/>
          <w:i/>
          <w:iCs/>
          <w:color w:val="0D0D0D"/>
        </w:rPr>
        <w:t xml:space="preserve"> dhe të matsh</w:t>
      </w:r>
      <w:r w:rsidR="00BA32E8" w:rsidRPr="00050FA4">
        <w:rPr>
          <w:rFonts w:ascii="Garamond" w:hAnsi="Garamond"/>
          <w:b/>
          <w:bCs/>
          <w:i/>
          <w:iCs/>
          <w:color w:val="0D0D0D"/>
        </w:rPr>
        <w:t>ëm</w:t>
      </w:r>
      <w:r w:rsidRPr="00050FA4">
        <w:rPr>
          <w:rFonts w:ascii="Garamond" w:hAnsi="Garamond"/>
          <w:b/>
          <w:bCs/>
          <w:i/>
          <w:iCs/>
          <w:color w:val="0D0D0D"/>
        </w:rPr>
        <w:t xml:space="preserve"> dhe për të vendosur një monitorim të rregullt të bazuar në ecurinë e z</w:t>
      </w:r>
      <w:r w:rsidR="00A22EFC" w:rsidRPr="00050FA4">
        <w:rPr>
          <w:rFonts w:ascii="Garamond" w:hAnsi="Garamond"/>
          <w:b/>
          <w:bCs/>
          <w:i/>
          <w:iCs/>
          <w:color w:val="0D0D0D"/>
        </w:rPr>
        <w:t>batimit dhe rezultateve të tij</w:t>
      </w:r>
    </w:p>
    <w:p w14:paraId="0EA04AC6" w14:textId="163DD994" w:rsidR="003C51D0" w:rsidRPr="00050FA4" w:rsidRDefault="003C51D0" w:rsidP="003F1DA7">
      <w:pPr>
        <w:ind w:firstLine="284"/>
        <w:jc w:val="both"/>
        <w:rPr>
          <w:rFonts w:ascii="Garamond" w:hAnsi="Garamond"/>
          <w:color w:val="0D0D0D"/>
        </w:rPr>
      </w:pPr>
      <w:r w:rsidRPr="00050FA4">
        <w:rPr>
          <w:rFonts w:ascii="Garamond" w:hAnsi="Garamond"/>
          <w:color w:val="0D0D0D"/>
        </w:rPr>
        <w:t>Gjatë periudhës 2022</w:t>
      </w:r>
      <w:r w:rsidR="009A44F5" w:rsidRPr="00050FA4">
        <w:rPr>
          <w:rFonts w:ascii="Garamond" w:hAnsi="Garamond"/>
          <w:color w:val="0D0D0D"/>
        </w:rPr>
        <w:t>–</w:t>
      </w:r>
      <w:r w:rsidRPr="00050FA4">
        <w:rPr>
          <w:rFonts w:ascii="Garamond" w:hAnsi="Garamond"/>
          <w:color w:val="0D0D0D"/>
        </w:rPr>
        <w:t>2024, përpjekjet e Administratës Tatimore Shqiptare për të luftuar informalitetin do të përqendrohen në:</w:t>
      </w:r>
    </w:p>
    <w:p w14:paraId="36614467" w14:textId="579D2A2C" w:rsidR="003C51D0" w:rsidRPr="00050FA4" w:rsidRDefault="003C51D0" w:rsidP="003F1DA7">
      <w:pPr>
        <w:pStyle w:val="ListParagraph"/>
        <w:tabs>
          <w:tab w:val="left" w:pos="720"/>
        </w:tabs>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1. Kriteret e reja dhe të përmirësuara të riskut për identifikimin e tatimpaguesve në mospërmbushje të detyrimeve tatimore (tatimpaguesit me rritje të të ardhurave, por ulje të detyrimit TVSH; tatimpaguesit që nuk deklarojnë shpenzimet për faturat e energjisë elektrike; tatimpaguesit me paga të nëndeklaruara për punonjësit e tyre – të identifikuara duke krahasuar të dhënat disavjeçare).</w:t>
      </w:r>
    </w:p>
    <w:p w14:paraId="4C89FF48" w14:textId="72B060BD" w:rsidR="003C51D0" w:rsidRPr="00050FA4" w:rsidRDefault="003C51D0" w:rsidP="003F1DA7">
      <w:pPr>
        <w:pStyle w:val="ListParagraph"/>
        <w:tabs>
          <w:tab w:val="left" w:pos="720"/>
        </w:tabs>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2. Trajtimi i evazionit fiskal, mashtrimit fiskal dhe informalitetit, duke përdorur në kohë reale mbikëqyrjen e transaksioneve financiare midis tatimpaguesve, sipas sistemit të sapozbatuar të fiskalizimit (sistemi i monitorimit dhe mbikëqyrjes së veprimtarive tregtare të tatimpaguesve nga autoritetet tatimore shqiptare). Ky sistem do të sjellë më shumë raportime transaksionesh me para në dorë dhe do të reduktojë transaksionet e fshehura pa para, me kontroll më të mirë të sistemit fiskal. Do të ndihmojë</w:t>
      </w:r>
      <w:r w:rsidR="00396ACB" w:rsidRPr="00050FA4">
        <w:rPr>
          <w:rFonts w:ascii="Garamond" w:hAnsi="Garamond" w:cs="Times New Roman"/>
          <w:color w:val="0D0D0D"/>
          <w:sz w:val="24"/>
          <w:szCs w:val="24"/>
          <w:lang w:val="sq-AL"/>
        </w:rPr>
        <w:t>,</w:t>
      </w:r>
      <w:r w:rsidRPr="00050FA4">
        <w:rPr>
          <w:rFonts w:ascii="Garamond" w:hAnsi="Garamond" w:cs="Times New Roman"/>
          <w:color w:val="0D0D0D"/>
          <w:sz w:val="24"/>
          <w:szCs w:val="24"/>
          <w:lang w:val="sq-AL"/>
        </w:rPr>
        <w:t xml:space="preserve"> gjithashtu</w:t>
      </w:r>
      <w:r w:rsidR="00396ACB" w:rsidRPr="00050FA4">
        <w:rPr>
          <w:rFonts w:ascii="Garamond" w:hAnsi="Garamond" w:cs="Times New Roman"/>
          <w:color w:val="0D0D0D"/>
          <w:sz w:val="24"/>
          <w:szCs w:val="24"/>
          <w:lang w:val="sq-AL"/>
        </w:rPr>
        <w:t>,</w:t>
      </w:r>
      <w:r w:rsidRPr="00050FA4">
        <w:rPr>
          <w:rFonts w:ascii="Garamond" w:hAnsi="Garamond" w:cs="Times New Roman"/>
          <w:color w:val="0D0D0D"/>
          <w:sz w:val="24"/>
          <w:szCs w:val="24"/>
          <w:lang w:val="sq-AL"/>
        </w:rPr>
        <w:t xml:space="preserve"> efikasitetin në raportimin fiskal, duke mbledhur më shumë të dhëna nga tatimpaguesit dhe duke parambushur deklaratën e TVSH-së me këto të dhëna.</w:t>
      </w:r>
    </w:p>
    <w:p w14:paraId="65133B28" w14:textId="34FBAD1C" w:rsidR="003C51D0" w:rsidRPr="00050FA4" w:rsidRDefault="003C51D0" w:rsidP="003F1DA7">
      <w:pPr>
        <w:pStyle w:val="ListParagraph"/>
        <w:tabs>
          <w:tab w:val="left" w:pos="720"/>
        </w:tabs>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 xml:space="preserve">3. Detektimi i të ardhurave globale të padeklaruara nga tatimpaguesit dhe individët, nëpërmjet shkëmbimit të parë automatik të informacionit mbi llogaritë financiare në vitin 2021 e në vijim, sipas </w:t>
      </w:r>
      <w:r w:rsidR="00396ACB" w:rsidRPr="00050FA4">
        <w:rPr>
          <w:rFonts w:ascii="Garamond" w:hAnsi="Garamond" w:cs="Times New Roman"/>
          <w:color w:val="0D0D0D"/>
          <w:sz w:val="24"/>
          <w:szCs w:val="24"/>
          <w:lang w:val="sq-AL"/>
        </w:rPr>
        <w:t xml:space="preserve">standardit të përbashkët të raportimit </w:t>
      </w:r>
      <w:r w:rsidRPr="00050FA4">
        <w:rPr>
          <w:rFonts w:ascii="Garamond" w:hAnsi="Garamond" w:cs="Times New Roman"/>
          <w:color w:val="0D0D0D"/>
          <w:sz w:val="24"/>
          <w:szCs w:val="24"/>
          <w:lang w:val="sq-AL"/>
        </w:rPr>
        <w:t>të OECD-së.</w:t>
      </w:r>
    </w:p>
    <w:p w14:paraId="2DD14ABE" w14:textId="45B40692" w:rsidR="003C51D0" w:rsidRPr="00050FA4" w:rsidRDefault="003C51D0" w:rsidP="003F1DA7">
      <w:pPr>
        <w:pStyle w:val="ListParagraph"/>
        <w:tabs>
          <w:tab w:val="left" w:pos="720"/>
        </w:tabs>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 xml:space="preserve">4. Integrimi dhe përdorimi i të dhënave nga palët e treta në </w:t>
      </w:r>
      <w:r w:rsidRPr="00050FA4">
        <w:rPr>
          <w:rFonts w:ascii="Garamond" w:hAnsi="Garamond" w:cs="Times New Roman"/>
          <w:i/>
          <w:iCs/>
          <w:color w:val="0D0D0D"/>
          <w:sz w:val="24"/>
          <w:szCs w:val="24"/>
          <w:lang w:val="sq-AL"/>
        </w:rPr>
        <w:t>Data Warehouse</w:t>
      </w:r>
      <w:r w:rsidRPr="00050FA4">
        <w:rPr>
          <w:rFonts w:ascii="Garamond" w:hAnsi="Garamond" w:cs="Times New Roman"/>
          <w:color w:val="0D0D0D"/>
          <w:sz w:val="24"/>
          <w:szCs w:val="24"/>
          <w:lang w:val="sq-AL"/>
        </w:rPr>
        <w:t xml:space="preserve"> të administratës tatimore, {autoritetet kombëtare të shërbimeve (uji, elektriciteti), regjistrimi i automjeteve, bashkitë</w:t>
      </w:r>
      <w:r w:rsidR="00577E94" w:rsidRPr="00050FA4">
        <w:rPr>
          <w:rFonts w:ascii="Garamond" w:hAnsi="Garamond" w:cs="Times New Roman"/>
          <w:color w:val="0D0D0D"/>
          <w:sz w:val="24"/>
          <w:szCs w:val="24"/>
          <w:lang w:val="sq-AL"/>
        </w:rPr>
        <w:t xml:space="preserve"> etj</w:t>
      </w:r>
      <w:r w:rsidRPr="00050FA4">
        <w:rPr>
          <w:rFonts w:ascii="Garamond" w:hAnsi="Garamond" w:cs="Times New Roman"/>
          <w:color w:val="0D0D0D"/>
          <w:sz w:val="24"/>
          <w:szCs w:val="24"/>
          <w:lang w:val="sq-AL"/>
        </w:rPr>
        <w:t>.} Duke marrë në konsideratë hendekun e TVSH-së</w:t>
      </w:r>
      <w:r w:rsidR="00F23696" w:rsidRPr="00050FA4">
        <w:rPr>
          <w:rFonts w:ascii="Garamond" w:hAnsi="Garamond" w:cs="Times New Roman"/>
          <w:color w:val="0D0D0D"/>
          <w:sz w:val="24"/>
          <w:szCs w:val="24"/>
          <w:lang w:val="sq-AL"/>
        </w:rPr>
        <w:t>,</w:t>
      </w:r>
      <w:r w:rsidRPr="00050FA4">
        <w:rPr>
          <w:rFonts w:ascii="Garamond" w:hAnsi="Garamond" w:cs="Times New Roman"/>
          <w:color w:val="0D0D0D"/>
          <w:sz w:val="24"/>
          <w:szCs w:val="24"/>
          <w:lang w:val="sq-AL"/>
        </w:rPr>
        <w:t xml:space="preserve"> si dhe mospërputhjet e të dhënave, mbledhjen e të dhënave dhe administrimin e mire të tyre, ndërtimi i një </w:t>
      </w:r>
      <w:r w:rsidRPr="00050FA4">
        <w:rPr>
          <w:rFonts w:ascii="Garamond" w:hAnsi="Garamond" w:cs="Times New Roman"/>
          <w:i/>
          <w:iCs/>
          <w:color w:val="0D0D0D"/>
          <w:sz w:val="24"/>
          <w:szCs w:val="24"/>
          <w:lang w:val="sq-AL"/>
        </w:rPr>
        <w:t>Data Warehouse</w:t>
      </w:r>
      <w:r w:rsidRPr="00050FA4">
        <w:rPr>
          <w:rFonts w:ascii="Garamond" w:hAnsi="Garamond" w:cs="Times New Roman"/>
          <w:color w:val="0D0D0D"/>
          <w:sz w:val="24"/>
          <w:szCs w:val="24"/>
          <w:lang w:val="sq-AL"/>
        </w:rPr>
        <w:t xml:space="preserve"> (si një nga rekomandimet e FMN-së) me të dhëna të centralizuara, të menaxhuara nga vetëm një burim, bëhet një hap i madh përpara në lidhje me luftën kundër informalitetit. </w:t>
      </w:r>
    </w:p>
    <w:p w14:paraId="512D335D" w14:textId="4A7051B4" w:rsidR="003C51D0" w:rsidRPr="00050FA4" w:rsidRDefault="003C51D0" w:rsidP="003F1DA7">
      <w:pPr>
        <w:pStyle w:val="AAAAAAATEXXXX"/>
        <w:rPr>
          <w:lang w:val="sq-AL"/>
        </w:rPr>
      </w:pPr>
      <w:r w:rsidRPr="00050FA4">
        <w:rPr>
          <w:lang w:val="sq-AL"/>
        </w:rPr>
        <w:t xml:space="preserve">5. Ndërtimi i Regjistrit të Aseteve të Tatimpaguesve (te tundshme </w:t>
      </w:r>
      <w:r w:rsidR="00B74637" w:rsidRPr="00050FA4">
        <w:rPr>
          <w:lang w:val="sq-AL"/>
        </w:rPr>
        <w:t xml:space="preserve">dhe të </w:t>
      </w:r>
      <w:r w:rsidRPr="00050FA4">
        <w:rPr>
          <w:lang w:val="sq-AL"/>
        </w:rPr>
        <w:t>patundshme), me qëllim vlerësimin real të pasurive të tatimpaguesve, duke ndërtuar një sistem për verifikimin dhe ndjekjen e të ardhurave të tatimpaguesve, kontrollin e plotë të pagesave të bëra mbi taksat e pasurisë. Ky proces do të kalojë nëpër 3 faza: a</w:t>
      </w:r>
      <w:r w:rsidR="00B74637" w:rsidRPr="00050FA4">
        <w:rPr>
          <w:lang w:val="sq-AL"/>
        </w:rPr>
        <w:t xml:space="preserve">) krijimi </w:t>
      </w:r>
      <w:r w:rsidRPr="00050FA4">
        <w:rPr>
          <w:lang w:val="sq-AL"/>
        </w:rPr>
        <w:t xml:space="preserve">i një </w:t>
      </w:r>
      <w:r w:rsidR="00B74637" w:rsidRPr="00050FA4">
        <w:rPr>
          <w:lang w:val="sq-AL"/>
        </w:rPr>
        <w:t xml:space="preserve">regjistri </w:t>
      </w:r>
      <w:r w:rsidRPr="00050FA4">
        <w:rPr>
          <w:lang w:val="sq-AL"/>
        </w:rPr>
        <w:t>asetesh me atributet përkatëse; b</w:t>
      </w:r>
      <w:r w:rsidR="00B74637" w:rsidRPr="00050FA4">
        <w:rPr>
          <w:lang w:val="sq-AL"/>
        </w:rPr>
        <w:t>;</w:t>
      </w:r>
      <w:r w:rsidRPr="00050FA4">
        <w:rPr>
          <w:lang w:val="sq-AL"/>
        </w:rPr>
        <w:t xml:space="preserve"> </w:t>
      </w:r>
      <w:r w:rsidR="00B74637" w:rsidRPr="00050FA4">
        <w:rPr>
          <w:lang w:val="sq-AL"/>
        </w:rPr>
        <w:t xml:space="preserve">shkëmbimi </w:t>
      </w:r>
      <w:r w:rsidRPr="00050FA4">
        <w:rPr>
          <w:lang w:val="sq-AL"/>
        </w:rPr>
        <w:t xml:space="preserve">i të dhënave me </w:t>
      </w:r>
      <w:r w:rsidRPr="00050FA4">
        <w:rPr>
          <w:i/>
          <w:iCs/>
          <w:lang w:val="sq-AL"/>
        </w:rPr>
        <w:t>web-service</w:t>
      </w:r>
      <w:r w:rsidRPr="00050FA4">
        <w:rPr>
          <w:lang w:val="sq-AL"/>
        </w:rPr>
        <w:t>; c</w:t>
      </w:r>
      <w:r w:rsidR="00F60951" w:rsidRPr="00050FA4">
        <w:rPr>
          <w:lang w:val="sq-AL"/>
        </w:rPr>
        <w:t>)</w:t>
      </w:r>
      <w:r w:rsidRPr="00050FA4">
        <w:rPr>
          <w:lang w:val="sq-AL"/>
        </w:rPr>
        <w:t xml:space="preserve"> </w:t>
      </w:r>
      <w:r w:rsidR="00F60951" w:rsidRPr="00050FA4">
        <w:rPr>
          <w:lang w:val="sq-AL"/>
        </w:rPr>
        <w:t xml:space="preserve">analiza </w:t>
      </w:r>
      <w:r w:rsidRPr="00050FA4">
        <w:rPr>
          <w:lang w:val="sq-AL"/>
        </w:rPr>
        <w:t xml:space="preserve">e të dhënave me raportet </w:t>
      </w:r>
      <w:r w:rsidRPr="00050FA4">
        <w:rPr>
          <w:iCs/>
          <w:lang w:val="sq-AL"/>
        </w:rPr>
        <w:t>BI</w:t>
      </w:r>
      <w:r w:rsidRPr="00050FA4">
        <w:rPr>
          <w:lang w:val="sq-AL"/>
        </w:rPr>
        <w:t xml:space="preserve">. </w:t>
      </w:r>
    </w:p>
    <w:p w14:paraId="4E18568B" w14:textId="4B5275F0" w:rsidR="003C51D0" w:rsidRPr="00050FA4" w:rsidRDefault="003C51D0" w:rsidP="003F1DA7">
      <w:pPr>
        <w:pStyle w:val="ListParagraph"/>
        <w:tabs>
          <w:tab w:val="left" w:pos="720"/>
        </w:tabs>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6. Hartimi dhe zbatimi i një programi përmbushjeje për individët më të pasur</w:t>
      </w:r>
      <w:r w:rsidRPr="00050FA4">
        <w:rPr>
          <w:rStyle w:val="FootnoteReference"/>
          <w:rFonts w:ascii="Garamond" w:hAnsi="Garamond" w:cs="Times New Roman"/>
          <w:color w:val="0D0D0D"/>
          <w:sz w:val="24"/>
          <w:szCs w:val="24"/>
          <w:lang w:val="sq-AL"/>
        </w:rPr>
        <w:footnoteReference w:id="2"/>
      </w:r>
      <w:r w:rsidRPr="00050FA4">
        <w:rPr>
          <w:rFonts w:ascii="Garamond" w:hAnsi="Garamond" w:cs="Times New Roman"/>
          <w:color w:val="0D0D0D"/>
          <w:sz w:val="24"/>
          <w:szCs w:val="24"/>
          <w:lang w:val="sq-AL"/>
        </w:rPr>
        <w:t>.</w:t>
      </w:r>
    </w:p>
    <w:p w14:paraId="16BCF195" w14:textId="2D8018C1" w:rsidR="003C51D0" w:rsidRPr="00050FA4" w:rsidRDefault="003C51D0" w:rsidP="003F1DA7">
      <w:pPr>
        <w:pStyle w:val="ListParagraph"/>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7. Fuqizimi i sistemit dhe përdorimi i të dhënave në procesin e vendimmarrjes</w:t>
      </w:r>
      <w:r w:rsidR="00F60951" w:rsidRPr="00050FA4">
        <w:rPr>
          <w:rFonts w:ascii="Garamond" w:hAnsi="Garamond" w:cs="Times New Roman"/>
          <w:color w:val="0D0D0D"/>
          <w:sz w:val="24"/>
          <w:szCs w:val="24"/>
          <w:lang w:val="sq-AL"/>
        </w:rPr>
        <w:t>,</w:t>
      </w:r>
      <w:r w:rsidRPr="00050FA4">
        <w:rPr>
          <w:rFonts w:ascii="Garamond" w:hAnsi="Garamond" w:cs="Times New Roman"/>
          <w:color w:val="0D0D0D"/>
          <w:sz w:val="24"/>
          <w:szCs w:val="24"/>
          <w:lang w:val="sq-AL"/>
        </w:rPr>
        <w:t xml:space="preserve"> në lidhje me individët e </w:t>
      </w:r>
      <w:r w:rsidRPr="00050FA4">
        <w:rPr>
          <w:rFonts w:ascii="Garamond" w:hAnsi="Garamond" w:cs="Times New Roman"/>
          <w:color w:val="0D0D0D"/>
          <w:sz w:val="24"/>
          <w:szCs w:val="24"/>
          <w:lang w:val="sq-AL"/>
        </w:rPr>
        <w:lastRenderedPageBreak/>
        <w:t>pasur.</w:t>
      </w:r>
    </w:p>
    <w:p w14:paraId="698CA7DC" w14:textId="0179EFBB" w:rsidR="003C51D0" w:rsidRPr="00050FA4" w:rsidRDefault="003C51D0" w:rsidP="003F1DA7">
      <w:pPr>
        <w:pStyle w:val="ListParagraph"/>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8. Përdorimi i qasjes së integruar për zbatimin e strategjisë së përmbushjes së individëve të pasur.</w:t>
      </w:r>
    </w:p>
    <w:p w14:paraId="54108EBE" w14:textId="04CF5B56" w:rsidR="003C51D0" w:rsidRPr="00050FA4" w:rsidRDefault="003C51D0" w:rsidP="003F1DA7">
      <w:pPr>
        <w:pStyle w:val="ListParagraph"/>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9. Zbatimi i planit sektorial të turizmit.</w:t>
      </w:r>
    </w:p>
    <w:p w14:paraId="1A40F77A" w14:textId="065BD495" w:rsidR="003C51D0" w:rsidRPr="00050FA4" w:rsidRDefault="003C51D0" w:rsidP="003F1DA7">
      <w:pPr>
        <w:pStyle w:val="ListParagraph"/>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10. Analiza dhe zbatimi i rregullave të riskut për monitorimin e tatimpaguesve</w:t>
      </w:r>
      <w:r w:rsidR="005F6BAC" w:rsidRPr="00050FA4">
        <w:rPr>
          <w:rFonts w:ascii="Garamond" w:hAnsi="Garamond" w:cs="Times New Roman"/>
          <w:color w:val="0D0D0D"/>
          <w:sz w:val="24"/>
          <w:szCs w:val="24"/>
          <w:lang w:val="sq-AL"/>
        </w:rPr>
        <w:t>,</w:t>
      </w:r>
      <w:r w:rsidRPr="00050FA4">
        <w:rPr>
          <w:rFonts w:ascii="Garamond" w:hAnsi="Garamond" w:cs="Times New Roman"/>
          <w:color w:val="0D0D0D"/>
          <w:sz w:val="24"/>
          <w:szCs w:val="24"/>
          <w:lang w:val="sq-AL"/>
        </w:rPr>
        <w:t xml:space="preserve"> në kuadrin e ndryshimit të pragut të TVSH-së në 10 milionë </w:t>
      </w:r>
      <w:r w:rsidR="009A44F5" w:rsidRPr="00050FA4">
        <w:rPr>
          <w:rFonts w:ascii="Garamond" w:hAnsi="Garamond" w:cs="Times New Roman"/>
          <w:color w:val="0D0D0D"/>
          <w:sz w:val="24"/>
          <w:szCs w:val="24"/>
          <w:lang w:val="sq-AL"/>
        </w:rPr>
        <w:t>lek</w:t>
      </w:r>
      <w:r w:rsidR="006C72EA" w:rsidRPr="00050FA4">
        <w:rPr>
          <w:rFonts w:ascii="Garamond" w:hAnsi="Garamond" w:cs="Times New Roman"/>
          <w:color w:val="0D0D0D"/>
          <w:sz w:val="24"/>
          <w:szCs w:val="24"/>
          <w:lang w:val="sq-AL"/>
        </w:rPr>
        <w:t>ë</w:t>
      </w:r>
      <w:r w:rsidRPr="00050FA4">
        <w:rPr>
          <w:rFonts w:ascii="Garamond" w:hAnsi="Garamond" w:cs="Times New Roman"/>
          <w:color w:val="0D0D0D"/>
          <w:sz w:val="24"/>
          <w:szCs w:val="24"/>
          <w:lang w:val="sq-AL"/>
        </w:rPr>
        <w:t>.</w:t>
      </w:r>
    </w:p>
    <w:p w14:paraId="4962BEBD" w14:textId="200842C3" w:rsidR="003C51D0" w:rsidRPr="00050FA4" w:rsidRDefault="003C51D0" w:rsidP="003F1DA7">
      <w:pPr>
        <w:pStyle w:val="ListParagraph"/>
        <w:ind w:left="0" w:firstLine="284"/>
        <w:jc w:val="both"/>
        <w:rPr>
          <w:rFonts w:ascii="Garamond" w:hAnsi="Garamond" w:cs="Times New Roman"/>
          <w:color w:val="0D0D0D"/>
          <w:sz w:val="24"/>
          <w:szCs w:val="24"/>
          <w:lang w:val="sq-AL"/>
        </w:rPr>
      </w:pPr>
      <w:r w:rsidRPr="00050FA4">
        <w:rPr>
          <w:rFonts w:ascii="Garamond" w:hAnsi="Garamond" w:cs="Times New Roman"/>
          <w:color w:val="0D0D0D"/>
          <w:sz w:val="24"/>
          <w:szCs w:val="24"/>
          <w:lang w:val="sq-AL"/>
        </w:rPr>
        <w:t>11. Zbatimi i planit sektorial të informalitetit në tregun e punës në 4 komponentët e tij.</w:t>
      </w:r>
    </w:p>
    <w:p w14:paraId="5CA68774" w14:textId="77777777" w:rsidR="003C51D0" w:rsidRPr="00050FA4" w:rsidRDefault="003C51D0" w:rsidP="003F1DA7">
      <w:pPr>
        <w:pStyle w:val="CommentText"/>
        <w:ind w:firstLine="284"/>
        <w:jc w:val="both"/>
        <w:rPr>
          <w:rFonts w:ascii="Garamond" w:hAnsi="Garamond"/>
          <w:color w:val="0D0D0D"/>
          <w:sz w:val="24"/>
          <w:szCs w:val="24"/>
        </w:rPr>
      </w:pPr>
      <w:r w:rsidRPr="00050FA4">
        <w:rPr>
          <w:rFonts w:ascii="Garamond" w:hAnsi="Garamond"/>
          <w:color w:val="0D0D0D"/>
          <w:sz w:val="24"/>
          <w:szCs w:val="24"/>
        </w:rPr>
        <w:t xml:space="preserve">Të gjitha këto aktivitete përshkruhen më hollësisht në seksionin </w:t>
      </w:r>
      <w:r w:rsidRPr="00050FA4">
        <w:rPr>
          <w:rFonts w:ascii="Garamond" w:hAnsi="Garamond"/>
          <w:i/>
          <w:iCs/>
          <w:color w:val="0D0D0D"/>
          <w:sz w:val="24"/>
          <w:szCs w:val="24"/>
        </w:rPr>
        <w:t>Masa e Reformës 06: Forcimi i luftës kundër informalitetit</w:t>
      </w:r>
      <w:r w:rsidRPr="00050FA4">
        <w:rPr>
          <w:rFonts w:ascii="Garamond" w:hAnsi="Garamond"/>
          <w:color w:val="0D0D0D"/>
          <w:sz w:val="24"/>
          <w:szCs w:val="24"/>
        </w:rPr>
        <w:t>.</w:t>
      </w:r>
    </w:p>
    <w:p w14:paraId="7BA76326" w14:textId="5302C9DD" w:rsidR="003C51D0" w:rsidRPr="00050FA4" w:rsidRDefault="003C51D0" w:rsidP="003F1DA7">
      <w:pPr>
        <w:pStyle w:val="CommentText"/>
        <w:ind w:firstLine="284"/>
        <w:jc w:val="both"/>
        <w:rPr>
          <w:rFonts w:ascii="Garamond" w:hAnsi="Garamond"/>
          <w:color w:val="0D0D0D"/>
          <w:sz w:val="24"/>
          <w:szCs w:val="24"/>
        </w:rPr>
      </w:pPr>
      <w:r w:rsidRPr="00050FA4">
        <w:rPr>
          <w:rFonts w:ascii="Garamond" w:hAnsi="Garamond"/>
          <w:color w:val="0D0D0D"/>
          <w:sz w:val="24"/>
          <w:szCs w:val="24"/>
        </w:rPr>
        <w:t>Administrata tatimore ka marrë në mënyrë të vazhdueshme masa në luftën ndaj informalitetit gjat</w:t>
      </w:r>
      <w:r w:rsidR="005F6BAC" w:rsidRPr="00050FA4">
        <w:rPr>
          <w:rFonts w:ascii="Garamond" w:hAnsi="Garamond"/>
          <w:color w:val="0D0D0D"/>
          <w:sz w:val="24"/>
          <w:szCs w:val="24"/>
        </w:rPr>
        <w:t>ë</w:t>
      </w:r>
      <w:r w:rsidRPr="00050FA4">
        <w:rPr>
          <w:rFonts w:ascii="Garamond" w:hAnsi="Garamond"/>
          <w:color w:val="0D0D0D"/>
          <w:sz w:val="24"/>
          <w:szCs w:val="24"/>
        </w:rPr>
        <w:t xml:space="preserve"> periudhës s</w:t>
      </w:r>
      <w:r w:rsidR="005F6BAC" w:rsidRPr="00050FA4">
        <w:rPr>
          <w:rFonts w:ascii="Garamond" w:hAnsi="Garamond"/>
          <w:color w:val="0D0D0D"/>
          <w:sz w:val="24"/>
          <w:szCs w:val="24"/>
        </w:rPr>
        <w:t>ë</w:t>
      </w:r>
      <w:r w:rsidRPr="00050FA4">
        <w:rPr>
          <w:rFonts w:ascii="Garamond" w:hAnsi="Garamond"/>
          <w:color w:val="0D0D0D"/>
          <w:sz w:val="24"/>
          <w:szCs w:val="24"/>
        </w:rPr>
        <w:t xml:space="preserve"> vitit 2021.</w:t>
      </w:r>
    </w:p>
    <w:p w14:paraId="5F93AC3A" w14:textId="5887DAF9" w:rsidR="003C51D0" w:rsidRPr="00050FA4" w:rsidRDefault="003C51D0" w:rsidP="003F1DA7">
      <w:pPr>
        <w:pStyle w:val="CommentText"/>
        <w:ind w:firstLine="284"/>
        <w:jc w:val="both"/>
        <w:rPr>
          <w:rFonts w:ascii="Garamond" w:hAnsi="Garamond"/>
          <w:color w:val="0D0D0D"/>
          <w:sz w:val="24"/>
          <w:szCs w:val="24"/>
        </w:rPr>
      </w:pPr>
      <w:r w:rsidRPr="00050FA4">
        <w:rPr>
          <w:rFonts w:ascii="Garamond" w:hAnsi="Garamond"/>
          <w:color w:val="0D0D0D"/>
          <w:sz w:val="24"/>
          <w:szCs w:val="24"/>
        </w:rPr>
        <w:t>Janë ndërmarrë hapa konkret</w:t>
      </w:r>
      <w:r w:rsidR="005F6BAC" w:rsidRPr="00050FA4">
        <w:rPr>
          <w:rFonts w:ascii="Garamond" w:hAnsi="Garamond"/>
          <w:color w:val="0D0D0D"/>
          <w:sz w:val="24"/>
          <w:szCs w:val="24"/>
        </w:rPr>
        <w:t>ë</w:t>
      </w:r>
      <w:r w:rsidR="009B1D6B" w:rsidRPr="00050FA4">
        <w:rPr>
          <w:rFonts w:ascii="Garamond" w:hAnsi="Garamond"/>
          <w:color w:val="0D0D0D"/>
          <w:sz w:val="24"/>
          <w:szCs w:val="24"/>
        </w:rPr>
        <w:t xml:space="preserve"> </w:t>
      </w:r>
      <w:r w:rsidRPr="00050FA4">
        <w:rPr>
          <w:rFonts w:ascii="Garamond" w:hAnsi="Garamond"/>
          <w:color w:val="0D0D0D"/>
          <w:sz w:val="24"/>
          <w:szCs w:val="24"/>
        </w:rPr>
        <w:t>në dërgimin e letrave të personalizuara, n</w:t>
      </w:r>
      <w:r w:rsidR="005F6BAC" w:rsidRPr="00050FA4">
        <w:rPr>
          <w:rFonts w:ascii="Garamond" w:hAnsi="Garamond"/>
          <w:color w:val="0D0D0D"/>
          <w:sz w:val="24"/>
          <w:szCs w:val="24"/>
        </w:rPr>
        <w:t>ë</w:t>
      </w:r>
      <w:r w:rsidRPr="00050FA4">
        <w:rPr>
          <w:rFonts w:ascii="Garamond" w:hAnsi="Garamond"/>
          <w:color w:val="0D0D0D"/>
          <w:sz w:val="24"/>
          <w:szCs w:val="24"/>
        </w:rPr>
        <w:t xml:space="preserve"> baz</w:t>
      </w:r>
      <w:r w:rsidR="000C71F9" w:rsidRPr="00050FA4">
        <w:rPr>
          <w:rFonts w:ascii="Garamond" w:hAnsi="Garamond"/>
          <w:color w:val="0D0D0D"/>
        </w:rPr>
        <w:t>ë</w:t>
      </w:r>
      <w:r w:rsidRPr="00050FA4">
        <w:rPr>
          <w:rFonts w:ascii="Garamond" w:hAnsi="Garamond"/>
          <w:color w:val="0D0D0D"/>
          <w:sz w:val="24"/>
          <w:szCs w:val="24"/>
        </w:rPr>
        <w:t xml:space="preserve"> t</w:t>
      </w:r>
      <w:r w:rsidR="000C71F9" w:rsidRPr="00050FA4">
        <w:rPr>
          <w:rFonts w:ascii="Garamond" w:hAnsi="Garamond"/>
          <w:color w:val="0D0D0D"/>
        </w:rPr>
        <w:t>ë</w:t>
      </w:r>
      <w:r w:rsidRPr="00050FA4">
        <w:rPr>
          <w:rFonts w:ascii="Garamond" w:hAnsi="Garamond"/>
          <w:color w:val="0D0D0D"/>
          <w:sz w:val="24"/>
          <w:szCs w:val="24"/>
        </w:rPr>
        <w:t xml:space="preserve"> kritereve t</w:t>
      </w:r>
      <w:r w:rsidR="000C71F9" w:rsidRPr="00050FA4">
        <w:rPr>
          <w:rFonts w:ascii="Garamond" w:hAnsi="Garamond"/>
          <w:color w:val="0D0D0D"/>
        </w:rPr>
        <w:t>ë</w:t>
      </w:r>
      <w:r w:rsidRPr="00050FA4">
        <w:rPr>
          <w:rFonts w:ascii="Garamond" w:hAnsi="Garamond"/>
          <w:color w:val="0D0D0D"/>
          <w:sz w:val="24"/>
          <w:szCs w:val="24"/>
        </w:rPr>
        <w:t xml:space="preserve"> riskut t</w:t>
      </w:r>
      <w:r w:rsidR="000C71F9" w:rsidRPr="00050FA4">
        <w:rPr>
          <w:rFonts w:ascii="Garamond" w:hAnsi="Garamond"/>
          <w:color w:val="0D0D0D"/>
        </w:rPr>
        <w:t>ë</w:t>
      </w:r>
      <w:r w:rsidRPr="00050FA4">
        <w:rPr>
          <w:rFonts w:ascii="Garamond" w:hAnsi="Garamond"/>
          <w:color w:val="0D0D0D"/>
          <w:sz w:val="24"/>
          <w:szCs w:val="24"/>
        </w:rPr>
        <w:t xml:space="preserve"> miratuara n</w:t>
      </w:r>
      <w:r w:rsidR="00B76368" w:rsidRPr="00050FA4">
        <w:rPr>
          <w:rFonts w:ascii="Garamond" w:hAnsi="Garamond"/>
          <w:color w:val="0D0D0D"/>
        </w:rPr>
        <w:t>ë</w:t>
      </w:r>
      <w:r w:rsidRPr="00050FA4">
        <w:rPr>
          <w:rFonts w:ascii="Garamond" w:hAnsi="Garamond"/>
          <w:color w:val="0D0D0D"/>
          <w:sz w:val="24"/>
          <w:szCs w:val="24"/>
        </w:rPr>
        <w:t xml:space="preserve"> komitetin e përmbushjes për evidentimin e tatimpaguesve për deklarimin e pagës reale.</w:t>
      </w:r>
    </w:p>
    <w:p w14:paraId="3F431DFD" w14:textId="0C1DF210" w:rsidR="003C51D0" w:rsidRPr="00050FA4" w:rsidRDefault="003C51D0" w:rsidP="003F1DA7">
      <w:pPr>
        <w:pStyle w:val="CommentText"/>
        <w:ind w:firstLine="284"/>
        <w:jc w:val="both"/>
        <w:rPr>
          <w:rFonts w:ascii="Garamond" w:hAnsi="Garamond"/>
          <w:b/>
          <w:bCs/>
          <w:color w:val="0D0D0D"/>
          <w:sz w:val="24"/>
          <w:szCs w:val="24"/>
        </w:rPr>
      </w:pPr>
      <w:r w:rsidRPr="00050FA4">
        <w:rPr>
          <w:rFonts w:ascii="Garamond" w:hAnsi="Garamond"/>
          <w:color w:val="0D0D0D"/>
          <w:sz w:val="24"/>
          <w:szCs w:val="24"/>
        </w:rPr>
        <w:t>Konkretisht janë dërguar 3883 letra t</w:t>
      </w:r>
      <w:r w:rsidR="000C71F9" w:rsidRPr="00050FA4">
        <w:rPr>
          <w:rFonts w:ascii="Garamond" w:hAnsi="Garamond"/>
          <w:color w:val="0D0D0D"/>
          <w:sz w:val="24"/>
          <w:szCs w:val="24"/>
        </w:rPr>
        <w:t>ë</w:t>
      </w:r>
      <w:r w:rsidRPr="00050FA4">
        <w:rPr>
          <w:rFonts w:ascii="Garamond" w:hAnsi="Garamond"/>
          <w:color w:val="0D0D0D"/>
          <w:sz w:val="24"/>
          <w:szCs w:val="24"/>
        </w:rPr>
        <w:t xml:space="preserve"> personalizuara për</w:t>
      </w:r>
      <w:r w:rsidR="009B1D6B" w:rsidRPr="00050FA4">
        <w:rPr>
          <w:rFonts w:ascii="Garamond" w:hAnsi="Garamond"/>
          <w:color w:val="0D0D0D"/>
          <w:sz w:val="24"/>
          <w:szCs w:val="24"/>
        </w:rPr>
        <w:t xml:space="preserve"> </w:t>
      </w:r>
      <w:r w:rsidRPr="00050FA4">
        <w:rPr>
          <w:rFonts w:ascii="Garamond" w:hAnsi="Garamond"/>
          <w:color w:val="0D0D0D"/>
          <w:sz w:val="24"/>
          <w:szCs w:val="24"/>
        </w:rPr>
        <w:t>tatimpaguesit për deklarimin e pagës reale.</w:t>
      </w:r>
    </w:p>
    <w:p w14:paraId="0CE2427D" w14:textId="77777777" w:rsidR="003C51D0" w:rsidRPr="00050FA4" w:rsidRDefault="003C51D0" w:rsidP="003F1DA7">
      <w:pPr>
        <w:pStyle w:val="CommentText"/>
        <w:ind w:firstLine="284"/>
        <w:jc w:val="both"/>
        <w:rPr>
          <w:rFonts w:ascii="Garamond" w:hAnsi="Garamond"/>
          <w:color w:val="0D0D0D"/>
          <w:sz w:val="24"/>
          <w:szCs w:val="24"/>
        </w:rPr>
      </w:pPr>
      <w:r w:rsidRPr="00050FA4">
        <w:rPr>
          <w:rFonts w:ascii="Garamond" w:hAnsi="Garamond"/>
          <w:color w:val="0D0D0D"/>
          <w:sz w:val="24"/>
          <w:szCs w:val="24"/>
        </w:rPr>
        <w:t xml:space="preserve">Nga monitorimi i kryer për reagimin e këtyre tatimpaguesve është vënë re se kemi një rritje me 2% të numrit të punonjësve dhe me të njëjtën normë të vendeve të punës. </w:t>
      </w:r>
    </w:p>
    <w:p w14:paraId="50CAA0E0" w14:textId="77777777" w:rsidR="002F6FE6" w:rsidRPr="00050FA4" w:rsidRDefault="002F6FE6" w:rsidP="003F1DA7">
      <w:pPr>
        <w:pStyle w:val="AAAAAAATEXXXX"/>
        <w:rPr>
          <w:lang w:val="sq-AL"/>
        </w:rPr>
      </w:pPr>
      <w:r w:rsidRPr="00050FA4">
        <w:rPr>
          <w:lang w:val="sq-AL"/>
        </w:rPr>
        <w:t xml:space="preserve">Nga të dhënat e fundit që disponojmë, kemi </w:t>
      </w:r>
    </w:p>
    <w:p w14:paraId="491382FE" w14:textId="64010F5D" w:rsidR="003C51D0" w:rsidRPr="00050FA4" w:rsidRDefault="003616E8" w:rsidP="003F1DA7">
      <w:pPr>
        <w:pStyle w:val="AAAAAAATEXXXX"/>
        <w:rPr>
          <w:rFonts w:cs="Garamond"/>
          <w:lang w:val="sq-AL" w:eastAsia="sq-AL"/>
        </w:rPr>
      </w:pPr>
      <w:r w:rsidRPr="00050FA4">
        <w:rPr>
          <w:rFonts w:cs="Symbol"/>
          <w:lang w:val="sq-AL" w:eastAsia="sq-AL"/>
        </w:rPr>
        <w:t xml:space="preserve">- </w:t>
      </w:r>
      <w:r w:rsidR="003C51D0" w:rsidRPr="00050FA4">
        <w:rPr>
          <w:rFonts w:cs="Garamond"/>
          <w:lang w:val="sq-AL" w:eastAsia="sq-AL"/>
        </w:rPr>
        <w:t>665,327 punonjës</w:t>
      </w:r>
      <w:r w:rsidR="00227099" w:rsidRPr="00050FA4">
        <w:rPr>
          <w:rFonts w:cs="Garamond"/>
          <w:lang w:val="sq-AL" w:eastAsia="sq-AL"/>
        </w:rPr>
        <w:t>;</w:t>
      </w:r>
    </w:p>
    <w:p w14:paraId="0C952FF4" w14:textId="17B7489E" w:rsidR="003C51D0" w:rsidRPr="00050FA4" w:rsidRDefault="003616E8" w:rsidP="003F1DA7">
      <w:pPr>
        <w:pStyle w:val="AAAAAAATEXXXX"/>
        <w:rPr>
          <w:rFonts w:cs="Garamond"/>
          <w:lang w:val="sq-AL" w:eastAsia="sq-AL"/>
        </w:rPr>
      </w:pPr>
      <w:r w:rsidRPr="00050FA4">
        <w:rPr>
          <w:rFonts w:cs="Symbol"/>
          <w:lang w:val="sq-AL" w:eastAsia="sq-AL"/>
        </w:rPr>
        <w:t xml:space="preserve">- </w:t>
      </w:r>
      <w:r w:rsidR="003C51D0" w:rsidRPr="00050FA4">
        <w:rPr>
          <w:rFonts w:cs="Garamond"/>
          <w:lang w:val="sq-AL" w:eastAsia="sq-AL"/>
        </w:rPr>
        <w:t>705,738 numri i vendeve të punës</w:t>
      </w:r>
      <w:r w:rsidR="00227099" w:rsidRPr="00050FA4">
        <w:rPr>
          <w:rFonts w:cs="Garamond"/>
          <w:lang w:val="sq-AL" w:eastAsia="sq-AL"/>
        </w:rPr>
        <w:t>;</w:t>
      </w:r>
    </w:p>
    <w:p w14:paraId="525D69C6" w14:textId="712832FB" w:rsidR="003C51D0" w:rsidRPr="00050FA4" w:rsidRDefault="003C51D0" w:rsidP="003F1DA7">
      <w:pPr>
        <w:pStyle w:val="AAAAAAATEXXXX"/>
        <w:rPr>
          <w:rFonts w:cs="Garamond"/>
          <w:lang w:val="sq-AL" w:eastAsia="sq-AL"/>
        </w:rPr>
      </w:pPr>
      <w:r w:rsidRPr="00050FA4">
        <w:rPr>
          <w:rFonts w:cs="Garamond"/>
          <w:lang w:val="sq-AL" w:eastAsia="sq-AL"/>
        </w:rPr>
        <w:t xml:space="preserve">Për periudhën </w:t>
      </w:r>
      <w:r w:rsidR="009A44F5" w:rsidRPr="00050FA4">
        <w:rPr>
          <w:rFonts w:cs="Garamond"/>
          <w:lang w:val="sq-AL" w:eastAsia="sq-AL"/>
        </w:rPr>
        <w:t xml:space="preserve">janar–nëntor </w:t>
      </w:r>
      <w:r w:rsidRPr="00050FA4">
        <w:rPr>
          <w:rFonts w:cs="Garamond"/>
          <w:lang w:val="sq-AL" w:eastAsia="sq-AL"/>
        </w:rPr>
        <w:t xml:space="preserve">2021, </w:t>
      </w:r>
      <w:r w:rsidR="00227099" w:rsidRPr="00050FA4">
        <w:rPr>
          <w:rFonts w:cs="Garamond"/>
          <w:lang w:val="sq-AL" w:eastAsia="sq-AL"/>
        </w:rPr>
        <w:t xml:space="preserve">kontributet </w:t>
      </w:r>
      <w:r w:rsidRPr="00050FA4">
        <w:rPr>
          <w:rFonts w:cs="Garamond"/>
          <w:lang w:val="sq-AL" w:eastAsia="sq-AL"/>
        </w:rPr>
        <w:t>shoqërore dhe shëndetësore janë në vlerën 99,121,021,923 lek</w:t>
      </w:r>
      <w:r w:rsidR="002D7088">
        <w:rPr>
          <w:rFonts w:cs="Garamond"/>
          <w:lang w:val="sq-AL" w:eastAsia="sq-AL"/>
        </w:rPr>
        <w:t>ë</w:t>
      </w:r>
      <w:r w:rsidR="00227099" w:rsidRPr="00050FA4">
        <w:rPr>
          <w:rFonts w:cs="Garamond"/>
          <w:lang w:val="sq-AL" w:eastAsia="sq-AL"/>
        </w:rPr>
        <w:t>:</w:t>
      </w:r>
    </w:p>
    <w:p w14:paraId="64AFAB5E" w14:textId="25EA7B06" w:rsidR="003C51D0" w:rsidRPr="00050FA4" w:rsidRDefault="003C51D0" w:rsidP="003F1DA7">
      <w:pPr>
        <w:pStyle w:val="AAAAAAATEXXXX"/>
        <w:rPr>
          <w:rFonts w:cs="Garamond"/>
          <w:lang w:val="sq-AL" w:eastAsia="sq-AL"/>
        </w:rPr>
      </w:pPr>
      <w:r w:rsidRPr="00050FA4">
        <w:rPr>
          <w:lang w:val="sq-AL" w:eastAsia="sq-AL"/>
        </w:rPr>
        <w:t xml:space="preserve">- </w:t>
      </w:r>
      <w:r w:rsidR="00B80F70" w:rsidRPr="00050FA4">
        <w:rPr>
          <w:rFonts w:cs="Garamond"/>
          <w:lang w:val="sq-AL" w:eastAsia="sq-AL"/>
        </w:rPr>
        <w:t xml:space="preserve">rreth </w:t>
      </w:r>
      <w:r w:rsidRPr="00050FA4">
        <w:rPr>
          <w:rFonts w:cs="Garamond"/>
          <w:lang w:val="sq-AL" w:eastAsia="sq-AL"/>
        </w:rPr>
        <w:t xml:space="preserve">59.000 tatimpagues aktivë të fiskalizuar dhe që prej datës 1 </w:t>
      </w:r>
      <w:r w:rsidR="00904ECF" w:rsidRPr="00050FA4">
        <w:rPr>
          <w:rFonts w:cs="Garamond"/>
          <w:lang w:val="sq-AL" w:eastAsia="sq-AL"/>
        </w:rPr>
        <w:t xml:space="preserve">janar </w:t>
      </w:r>
      <w:r w:rsidRPr="00050FA4">
        <w:rPr>
          <w:rFonts w:cs="Garamond"/>
          <w:lang w:val="sq-AL" w:eastAsia="sq-AL"/>
        </w:rPr>
        <w:t>të këtij viti</w:t>
      </w:r>
      <w:r w:rsidR="00227099" w:rsidRPr="00050FA4">
        <w:rPr>
          <w:rFonts w:cs="Garamond"/>
          <w:lang w:val="sq-AL" w:eastAsia="sq-AL"/>
        </w:rPr>
        <w:t>;</w:t>
      </w:r>
    </w:p>
    <w:p w14:paraId="424E1834" w14:textId="1CC42F0A" w:rsidR="003C51D0" w:rsidRPr="00050FA4" w:rsidRDefault="003C51D0" w:rsidP="003F1DA7">
      <w:pPr>
        <w:pStyle w:val="AAAAAAATEXXXX"/>
        <w:rPr>
          <w:rFonts w:cs="Garamond"/>
          <w:lang w:val="sq-AL" w:eastAsia="sq-AL"/>
        </w:rPr>
      </w:pPr>
      <w:r w:rsidRPr="00050FA4">
        <w:rPr>
          <w:lang w:val="sq-AL" w:eastAsia="sq-AL"/>
        </w:rPr>
        <w:t xml:space="preserve">- </w:t>
      </w:r>
      <w:r w:rsidRPr="00050FA4">
        <w:rPr>
          <w:rFonts w:cs="Garamond"/>
          <w:lang w:val="sq-AL" w:eastAsia="sq-AL"/>
        </w:rPr>
        <w:t>88.609 tatimpagues ose 73% e totalit të tatimpaguesve aktivë janë pajisur me certifikatë fiskalizimi</w:t>
      </w:r>
      <w:r w:rsidR="00227099" w:rsidRPr="00050FA4">
        <w:rPr>
          <w:rFonts w:cs="Garamond"/>
          <w:lang w:val="sq-AL" w:eastAsia="sq-AL"/>
        </w:rPr>
        <w:t>;</w:t>
      </w:r>
    </w:p>
    <w:p w14:paraId="2540614E" w14:textId="1BA32C62" w:rsidR="003C51D0" w:rsidRPr="00050FA4" w:rsidRDefault="003C51D0" w:rsidP="003F1DA7">
      <w:pPr>
        <w:pStyle w:val="AAAAAAATEXXXX"/>
        <w:rPr>
          <w:rFonts w:cs="Garamond"/>
          <w:lang w:val="sq-AL" w:eastAsia="sq-AL"/>
        </w:rPr>
      </w:pPr>
      <w:r w:rsidRPr="00050FA4">
        <w:rPr>
          <w:lang w:val="sq-AL" w:eastAsia="sq-AL"/>
        </w:rPr>
        <w:t xml:space="preserve">- </w:t>
      </w:r>
      <w:r w:rsidR="00B80F70" w:rsidRPr="00050FA4">
        <w:rPr>
          <w:rFonts w:cs="Garamond"/>
          <w:lang w:val="sq-AL" w:eastAsia="sq-AL"/>
        </w:rPr>
        <w:t xml:space="preserve">rreth </w:t>
      </w:r>
      <w:r w:rsidRPr="00050FA4">
        <w:rPr>
          <w:rFonts w:cs="Garamond"/>
          <w:lang w:val="sq-AL" w:eastAsia="sq-AL"/>
        </w:rPr>
        <w:t>55 698 biznese aktive janë t</w:t>
      </w:r>
      <w:r w:rsidR="000C71F9" w:rsidRPr="00050FA4">
        <w:rPr>
          <w:lang w:val="sq-AL"/>
        </w:rPr>
        <w:t>ë</w:t>
      </w:r>
      <w:r w:rsidRPr="00050FA4">
        <w:rPr>
          <w:rFonts w:cs="Garamond"/>
          <w:lang w:val="sq-AL" w:eastAsia="sq-AL"/>
        </w:rPr>
        <w:t xml:space="preserve"> pajisura me</w:t>
      </w:r>
      <w:r w:rsidR="009B1D6B" w:rsidRPr="00050FA4">
        <w:rPr>
          <w:rFonts w:cs="Garamond"/>
          <w:lang w:val="sq-AL" w:eastAsia="sq-AL"/>
        </w:rPr>
        <w:t xml:space="preserve"> </w:t>
      </w:r>
      <w:r w:rsidRPr="00050FA4">
        <w:rPr>
          <w:rFonts w:cs="Garamond"/>
          <w:lang w:val="sq-AL" w:eastAsia="sq-AL"/>
        </w:rPr>
        <w:t>llogari bankare (sipas ligjit për procedurat tati</w:t>
      </w:r>
      <w:r w:rsidR="00227099" w:rsidRPr="00050FA4">
        <w:rPr>
          <w:rFonts w:cs="Garamond"/>
          <w:lang w:val="sq-AL" w:eastAsia="sq-AL"/>
        </w:rPr>
        <w:t>more në Republikën e Shqipërisë</w:t>
      </w:r>
      <w:r w:rsidRPr="00050FA4">
        <w:rPr>
          <w:rFonts w:cs="Garamond"/>
          <w:lang w:val="sq-AL" w:eastAsia="sq-AL"/>
        </w:rPr>
        <w:t>)</w:t>
      </w:r>
      <w:r w:rsidR="00227099" w:rsidRPr="00050FA4">
        <w:rPr>
          <w:rFonts w:cs="Garamond"/>
          <w:lang w:val="sq-AL" w:eastAsia="sq-AL"/>
        </w:rPr>
        <w:t>.</w:t>
      </w:r>
    </w:p>
    <w:p w14:paraId="21C6FB12" w14:textId="4840E611" w:rsidR="003C51D0" w:rsidRPr="00050FA4" w:rsidRDefault="003C51D0" w:rsidP="003F1DA7">
      <w:pPr>
        <w:pStyle w:val="AAAAAAATEXXXX"/>
        <w:rPr>
          <w:rFonts w:cs="Garamond"/>
          <w:lang w:val="sq-AL" w:eastAsia="sq-AL"/>
        </w:rPr>
      </w:pPr>
      <w:r w:rsidRPr="00050FA4">
        <w:rPr>
          <w:rFonts w:cs="Garamond"/>
          <w:lang w:val="sq-AL" w:eastAsia="sq-AL"/>
        </w:rPr>
        <w:t>Të ardhurat tatimore neto për 11</w:t>
      </w:r>
      <w:r w:rsidR="00227099" w:rsidRPr="00050FA4">
        <w:rPr>
          <w:rFonts w:cs="Garamond"/>
          <w:lang w:val="sq-AL" w:eastAsia="sq-AL"/>
        </w:rPr>
        <w:t>-</w:t>
      </w:r>
      <w:r w:rsidRPr="00050FA4">
        <w:rPr>
          <w:rFonts w:cs="Garamond"/>
          <w:lang w:val="sq-AL" w:eastAsia="sq-AL"/>
        </w:rPr>
        <w:t xml:space="preserve">mujorin e 2021 llogariten në vlerën 129,920,719 </w:t>
      </w:r>
      <w:r w:rsidR="00227099" w:rsidRPr="00050FA4">
        <w:rPr>
          <w:rFonts w:cs="Garamond"/>
          <w:lang w:val="sq-AL" w:eastAsia="sq-AL"/>
        </w:rPr>
        <w:t xml:space="preserve">ALL, </w:t>
      </w:r>
      <w:r w:rsidRPr="00050FA4">
        <w:rPr>
          <w:rFonts w:cs="Garamond"/>
          <w:lang w:val="sq-AL" w:eastAsia="sq-AL"/>
        </w:rPr>
        <w:t>duke shënuar një rritje prej 4% në krahasim me gjithë vitin 2020.</w:t>
      </w:r>
    </w:p>
    <w:p w14:paraId="2DB72EAC" w14:textId="77777777" w:rsidR="002F6FE6" w:rsidRPr="00050FA4" w:rsidRDefault="002F6FE6" w:rsidP="003F1DA7">
      <w:pPr>
        <w:pStyle w:val="CommentText"/>
        <w:ind w:left="720" w:firstLine="284"/>
        <w:jc w:val="both"/>
        <w:rPr>
          <w:rFonts w:ascii="Garamond" w:hAnsi="Garamond"/>
          <w:color w:val="0D0D0D" w:themeColor="text1" w:themeTint="F2"/>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623"/>
        <w:gridCol w:w="2112"/>
        <w:gridCol w:w="4286"/>
      </w:tblGrid>
      <w:tr w:rsidR="00FA29AB" w:rsidRPr="00050FA4" w14:paraId="735B6E06" w14:textId="77777777" w:rsidTr="009A44F5">
        <w:trPr>
          <w:trHeight w:val="20"/>
          <w:jc w:val="center"/>
        </w:trPr>
        <w:tc>
          <w:tcPr>
            <w:tcW w:w="0" w:type="auto"/>
            <w:shd w:val="clear" w:color="auto" w:fill="auto"/>
            <w:noWrap/>
            <w:vAlign w:val="center"/>
            <w:hideMark/>
          </w:tcPr>
          <w:p w14:paraId="67864DB4" w14:textId="77777777" w:rsidR="002F6FE6" w:rsidRPr="00050FA4" w:rsidRDefault="002F6FE6" w:rsidP="009A44F5">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Periudha</w:t>
            </w:r>
          </w:p>
        </w:tc>
        <w:tc>
          <w:tcPr>
            <w:tcW w:w="0" w:type="auto"/>
            <w:shd w:val="clear" w:color="auto" w:fill="auto"/>
            <w:vAlign w:val="center"/>
            <w:hideMark/>
          </w:tcPr>
          <w:p w14:paraId="265FEEB3" w14:textId="60715100" w:rsidR="002F6FE6" w:rsidRPr="00050FA4" w:rsidRDefault="00F62243" w:rsidP="009A44F5">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 xml:space="preserve">Nr. </w:t>
            </w:r>
            <w:r w:rsidR="009A44F5" w:rsidRPr="00050FA4">
              <w:rPr>
                <w:rFonts w:ascii="Garamond" w:eastAsia="Times New Roman" w:hAnsi="Garamond"/>
                <w:b/>
                <w:bCs/>
                <w:color w:val="0D0D0D" w:themeColor="text1" w:themeTint="F2"/>
                <w:sz w:val="20"/>
                <w:szCs w:val="20"/>
              </w:rPr>
              <w:t xml:space="preserve">i </w:t>
            </w:r>
            <w:r w:rsidRPr="00050FA4">
              <w:rPr>
                <w:rFonts w:ascii="Garamond" w:eastAsia="Times New Roman" w:hAnsi="Garamond"/>
                <w:b/>
                <w:bCs/>
                <w:color w:val="0D0D0D" w:themeColor="text1" w:themeTint="F2"/>
                <w:sz w:val="20"/>
                <w:szCs w:val="20"/>
              </w:rPr>
              <w:t>p</w:t>
            </w:r>
            <w:r w:rsidR="002F6FE6" w:rsidRPr="00050FA4">
              <w:rPr>
                <w:rFonts w:ascii="Garamond" w:eastAsia="Times New Roman" w:hAnsi="Garamond"/>
                <w:b/>
                <w:bCs/>
                <w:color w:val="0D0D0D" w:themeColor="text1" w:themeTint="F2"/>
                <w:sz w:val="20"/>
                <w:szCs w:val="20"/>
              </w:rPr>
              <w:t>unonjësve</w:t>
            </w:r>
          </w:p>
        </w:tc>
        <w:tc>
          <w:tcPr>
            <w:tcW w:w="0" w:type="auto"/>
            <w:shd w:val="clear" w:color="auto" w:fill="auto"/>
            <w:vAlign w:val="center"/>
            <w:hideMark/>
          </w:tcPr>
          <w:p w14:paraId="4955099E" w14:textId="33F55580" w:rsidR="002F6FE6" w:rsidRPr="00050FA4" w:rsidRDefault="002F6FE6" w:rsidP="009A44F5">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Nr. i vendeve t</w:t>
            </w:r>
            <w:r w:rsidR="000C71F9" w:rsidRPr="00050FA4">
              <w:rPr>
                <w:rFonts w:ascii="Garamond" w:hAnsi="Garamond"/>
                <w:b/>
                <w:color w:val="0D0D0D"/>
                <w:sz w:val="20"/>
              </w:rPr>
              <w:t>ë</w:t>
            </w:r>
            <w:r w:rsidRPr="00050FA4">
              <w:rPr>
                <w:rFonts w:ascii="Garamond" w:eastAsia="Times New Roman" w:hAnsi="Garamond"/>
                <w:b/>
                <w:bCs/>
                <w:color w:val="0D0D0D" w:themeColor="text1" w:themeTint="F2"/>
                <w:sz w:val="20"/>
                <w:szCs w:val="20"/>
              </w:rPr>
              <w:t xml:space="preserve"> punës</w:t>
            </w:r>
          </w:p>
        </w:tc>
        <w:tc>
          <w:tcPr>
            <w:tcW w:w="0" w:type="auto"/>
            <w:shd w:val="clear" w:color="auto" w:fill="auto"/>
            <w:vAlign w:val="center"/>
            <w:hideMark/>
          </w:tcPr>
          <w:p w14:paraId="5E5EBBE7" w14:textId="7857C408" w:rsidR="002F6FE6" w:rsidRPr="00050FA4" w:rsidRDefault="002F6FE6" w:rsidP="00B76368">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Kontributet shoqërore dhe shëndetësore n</w:t>
            </w:r>
            <w:r w:rsidR="00B76368" w:rsidRPr="00050FA4">
              <w:rPr>
                <w:rFonts w:ascii="Garamond" w:eastAsia="Times New Roman" w:hAnsi="Garamond"/>
                <w:b/>
                <w:bCs/>
                <w:color w:val="0D0D0D" w:themeColor="text1" w:themeTint="F2"/>
                <w:sz w:val="20"/>
                <w:szCs w:val="20"/>
              </w:rPr>
              <w:t>ë</w:t>
            </w:r>
            <w:r w:rsidRPr="00050FA4">
              <w:rPr>
                <w:rFonts w:ascii="Garamond" w:eastAsia="Times New Roman" w:hAnsi="Garamond"/>
                <w:b/>
                <w:bCs/>
                <w:color w:val="0D0D0D" w:themeColor="text1" w:themeTint="F2"/>
                <w:sz w:val="20"/>
                <w:szCs w:val="20"/>
              </w:rPr>
              <w:t xml:space="preserve"> total</w:t>
            </w:r>
          </w:p>
        </w:tc>
      </w:tr>
      <w:tr w:rsidR="00FA29AB" w:rsidRPr="00050FA4" w14:paraId="545838BC" w14:textId="77777777" w:rsidTr="009A44F5">
        <w:trPr>
          <w:trHeight w:val="20"/>
          <w:jc w:val="center"/>
        </w:trPr>
        <w:tc>
          <w:tcPr>
            <w:tcW w:w="0" w:type="auto"/>
            <w:shd w:val="clear" w:color="auto" w:fill="auto"/>
            <w:noWrap/>
            <w:vAlign w:val="bottom"/>
            <w:hideMark/>
          </w:tcPr>
          <w:p w14:paraId="1598C59B" w14:textId="08416408" w:rsidR="002F6FE6" w:rsidRPr="00050FA4" w:rsidRDefault="009A44F5" w:rsidP="009A44F5">
            <w:pPr>
              <w:jc w:val="center"/>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Janar–</w:t>
            </w:r>
            <w:r w:rsidR="00657735" w:rsidRPr="00050FA4">
              <w:rPr>
                <w:rFonts w:ascii="Garamond" w:eastAsia="Times New Roman" w:hAnsi="Garamond"/>
                <w:color w:val="0D0D0D" w:themeColor="text1" w:themeTint="F2"/>
                <w:sz w:val="20"/>
                <w:szCs w:val="20"/>
              </w:rPr>
              <w:t>nëntor</w:t>
            </w:r>
            <w:r w:rsidR="002F6FE6" w:rsidRPr="00050FA4">
              <w:rPr>
                <w:rFonts w:ascii="Garamond" w:eastAsia="Times New Roman" w:hAnsi="Garamond"/>
                <w:color w:val="0D0D0D" w:themeColor="text1" w:themeTint="F2"/>
                <w:sz w:val="20"/>
                <w:szCs w:val="20"/>
              </w:rPr>
              <w:t xml:space="preserve"> 2021</w:t>
            </w:r>
          </w:p>
        </w:tc>
        <w:tc>
          <w:tcPr>
            <w:tcW w:w="0" w:type="auto"/>
            <w:shd w:val="clear" w:color="auto" w:fill="auto"/>
            <w:noWrap/>
            <w:vAlign w:val="center"/>
            <w:hideMark/>
          </w:tcPr>
          <w:p w14:paraId="20E194AA" w14:textId="77777777" w:rsidR="002F6FE6" w:rsidRPr="00050FA4" w:rsidRDefault="002F6FE6" w:rsidP="00227099">
            <w:pPr>
              <w:jc w:val="right"/>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665,327</w:t>
            </w:r>
          </w:p>
        </w:tc>
        <w:tc>
          <w:tcPr>
            <w:tcW w:w="0" w:type="auto"/>
            <w:shd w:val="clear" w:color="auto" w:fill="auto"/>
            <w:noWrap/>
            <w:vAlign w:val="center"/>
            <w:hideMark/>
          </w:tcPr>
          <w:p w14:paraId="091110EF" w14:textId="77777777" w:rsidR="002F6FE6" w:rsidRPr="00050FA4" w:rsidRDefault="002F6FE6" w:rsidP="00227099">
            <w:pPr>
              <w:jc w:val="right"/>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705,738</w:t>
            </w:r>
          </w:p>
        </w:tc>
        <w:tc>
          <w:tcPr>
            <w:tcW w:w="0" w:type="auto"/>
            <w:shd w:val="clear" w:color="auto" w:fill="auto"/>
            <w:noWrap/>
            <w:vAlign w:val="center"/>
            <w:hideMark/>
          </w:tcPr>
          <w:p w14:paraId="6EC345C3" w14:textId="77777777" w:rsidR="002F6FE6" w:rsidRPr="00050FA4" w:rsidRDefault="002F6FE6" w:rsidP="00227099">
            <w:pPr>
              <w:jc w:val="right"/>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108,132,023,916 lekë</w:t>
            </w:r>
          </w:p>
        </w:tc>
      </w:tr>
    </w:tbl>
    <w:p w14:paraId="5785578B" w14:textId="77777777" w:rsidR="002F6FE6" w:rsidRPr="00050FA4" w:rsidRDefault="002F6FE6" w:rsidP="003F1DA7">
      <w:pPr>
        <w:pStyle w:val="CommentText"/>
        <w:ind w:firstLine="284"/>
        <w:jc w:val="both"/>
        <w:rPr>
          <w:rFonts w:ascii="Garamond" w:hAnsi="Garamond"/>
          <w:color w:val="0D0D0D" w:themeColor="text1" w:themeTint="F2"/>
          <w:sz w:val="24"/>
          <w:szCs w:val="24"/>
        </w:rPr>
      </w:pPr>
    </w:p>
    <w:p w14:paraId="317C41C5" w14:textId="496CD317" w:rsidR="002F6FE6" w:rsidRPr="00050FA4" w:rsidRDefault="002F6FE6" w:rsidP="003F1DA7">
      <w:pPr>
        <w:pStyle w:val="AAAAAAATEXXXX"/>
        <w:rPr>
          <w:lang w:val="sq-AL"/>
        </w:rPr>
      </w:pPr>
      <w:r w:rsidRPr="00050FA4">
        <w:rPr>
          <w:lang w:val="sq-AL"/>
        </w:rPr>
        <w:t>Nëpërmjet planeve sektoriale administrata tatimore synon të identifikoj</w:t>
      </w:r>
      <w:r w:rsidR="006A2BA7" w:rsidRPr="00050FA4">
        <w:rPr>
          <w:lang w:val="sq-AL"/>
        </w:rPr>
        <w:t>ë</w:t>
      </w:r>
      <w:r w:rsidRPr="00050FA4">
        <w:rPr>
          <w:lang w:val="sq-AL"/>
        </w:rPr>
        <w:t xml:space="preserve"> sektorë me risk n</w:t>
      </w:r>
      <w:r w:rsidR="00B76368" w:rsidRPr="00050FA4">
        <w:rPr>
          <w:lang w:val="sq-AL"/>
        </w:rPr>
        <w:t>ë</w:t>
      </w:r>
      <w:r w:rsidRPr="00050FA4">
        <w:rPr>
          <w:lang w:val="sq-AL"/>
        </w:rPr>
        <w:t xml:space="preserve"> ekonomi dhe të hartoj</w:t>
      </w:r>
      <w:r w:rsidR="006A2BA7" w:rsidRPr="00050FA4">
        <w:rPr>
          <w:lang w:val="sq-AL"/>
        </w:rPr>
        <w:t>ë</w:t>
      </w:r>
      <w:r w:rsidRPr="00050FA4">
        <w:rPr>
          <w:lang w:val="sq-AL"/>
        </w:rPr>
        <w:t xml:space="preserve"> plane për të luftuar informalitetin n</w:t>
      </w:r>
      <w:r w:rsidR="00B76368" w:rsidRPr="00050FA4">
        <w:rPr>
          <w:lang w:val="sq-AL"/>
        </w:rPr>
        <w:t>ë</w:t>
      </w:r>
      <w:r w:rsidRPr="00050FA4">
        <w:rPr>
          <w:lang w:val="sq-AL"/>
        </w:rPr>
        <w:t xml:space="preserve"> fushat q</w:t>
      </w:r>
      <w:r w:rsidR="00B76368" w:rsidRPr="00050FA4">
        <w:rPr>
          <w:lang w:val="sq-AL"/>
        </w:rPr>
        <w:t>ë</w:t>
      </w:r>
      <w:r w:rsidRPr="00050FA4">
        <w:rPr>
          <w:lang w:val="sq-AL"/>
        </w:rPr>
        <w:t xml:space="preserve"> kan</w:t>
      </w:r>
      <w:r w:rsidR="00B76368" w:rsidRPr="00050FA4">
        <w:rPr>
          <w:lang w:val="sq-AL"/>
        </w:rPr>
        <w:t>ë</w:t>
      </w:r>
      <w:r w:rsidRPr="00050FA4">
        <w:rPr>
          <w:lang w:val="sq-AL"/>
        </w:rPr>
        <w:t xml:space="preserve"> ndikim m</w:t>
      </w:r>
      <w:r w:rsidR="006A2BA7" w:rsidRPr="00050FA4">
        <w:rPr>
          <w:lang w:val="sq-AL"/>
        </w:rPr>
        <w:t>ë</w:t>
      </w:r>
      <w:r w:rsidRPr="00050FA4">
        <w:rPr>
          <w:lang w:val="sq-AL"/>
        </w:rPr>
        <w:t xml:space="preserve"> të madh n</w:t>
      </w:r>
      <w:r w:rsidR="00B76368" w:rsidRPr="00050FA4">
        <w:rPr>
          <w:lang w:val="sq-AL"/>
        </w:rPr>
        <w:t>ë</w:t>
      </w:r>
      <w:r w:rsidRPr="00050FA4">
        <w:rPr>
          <w:lang w:val="sq-AL"/>
        </w:rPr>
        <w:t xml:space="preserve"> ekonomi</w:t>
      </w:r>
      <w:r w:rsidR="006A2BA7" w:rsidRPr="00050FA4">
        <w:rPr>
          <w:lang w:val="sq-AL"/>
        </w:rPr>
        <w:t>,</w:t>
      </w:r>
      <w:r w:rsidRPr="00050FA4">
        <w:rPr>
          <w:lang w:val="sq-AL"/>
        </w:rPr>
        <w:t xml:space="preserve"> si: nëndeklarimin e pagës reale apo mosdeklarim korrekt të numrit të punonjësve. Kjo do të b</w:t>
      </w:r>
      <w:r w:rsidR="006A2BA7" w:rsidRPr="00050FA4">
        <w:rPr>
          <w:lang w:val="sq-AL"/>
        </w:rPr>
        <w:t>ë</w:t>
      </w:r>
      <w:r w:rsidRPr="00050FA4">
        <w:rPr>
          <w:lang w:val="sq-AL"/>
        </w:rPr>
        <w:t>het nëpërmjet të dhënave q</w:t>
      </w:r>
      <w:r w:rsidR="00460ADB" w:rsidRPr="00050FA4">
        <w:rPr>
          <w:lang w:val="sq-AL"/>
        </w:rPr>
        <w:t>ë</w:t>
      </w:r>
      <w:r w:rsidRPr="00050FA4">
        <w:rPr>
          <w:lang w:val="sq-AL"/>
        </w:rPr>
        <w:t xml:space="preserve"> disponon administrata tatimore nga sistemet informatike tatimore, duke evidentuar ata tatimpagues q</w:t>
      </w:r>
      <w:r w:rsidR="00460ADB" w:rsidRPr="00050FA4">
        <w:rPr>
          <w:lang w:val="sq-AL"/>
        </w:rPr>
        <w:t>ë</w:t>
      </w:r>
      <w:r w:rsidRPr="00050FA4">
        <w:rPr>
          <w:lang w:val="sq-AL"/>
        </w:rPr>
        <w:t xml:space="preserve"> m</w:t>
      </w:r>
      <w:r w:rsidR="00460ADB" w:rsidRPr="00050FA4">
        <w:rPr>
          <w:lang w:val="sq-AL"/>
        </w:rPr>
        <w:t>ë</w:t>
      </w:r>
      <w:r w:rsidRPr="00050FA4">
        <w:rPr>
          <w:lang w:val="sq-AL"/>
        </w:rPr>
        <w:t xml:space="preserve"> par</w:t>
      </w:r>
      <w:r w:rsidR="00460ADB" w:rsidRPr="00050FA4">
        <w:rPr>
          <w:lang w:val="sq-AL"/>
        </w:rPr>
        <w:t>ë</w:t>
      </w:r>
      <w:r w:rsidRPr="00050FA4">
        <w:rPr>
          <w:lang w:val="sq-AL"/>
        </w:rPr>
        <w:t xml:space="preserve"> kan</w:t>
      </w:r>
      <w:r w:rsidR="00460ADB" w:rsidRPr="00050FA4">
        <w:rPr>
          <w:lang w:val="sq-AL"/>
        </w:rPr>
        <w:t>ë</w:t>
      </w:r>
      <w:r w:rsidRPr="00050FA4">
        <w:rPr>
          <w:lang w:val="sq-AL"/>
        </w:rPr>
        <w:t xml:space="preserve"> pa</w:t>
      </w:r>
      <w:r w:rsidR="00F26EA4" w:rsidRPr="00050FA4">
        <w:rPr>
          <w:lang w:val="sq-AL"/>
        </w:rPr>
        <w:t>s</w:t>
      </w:r>
      <w:r w:rsidRPr="00050FA4">
        <w:rPr>
          <w:lang w:val="sq-AL"/>
        </w:rPr>
        <w:t xml:space="preserve">ur një historik </w:t>
      </w:r>
      <w:r w:rsidR="006A2BA7" w:rsidRPr="00050FA4">
        <w:rPr>
          <w:lang w:val="sq-AL"/>
        </w:rPr>
        <w:t xml:space="preserve">mospërmbushjeje </w:t>
      </w:r>
      <w:r w:rsidRPr="00050FA4">
        <w:rPr>
          <w:lang w:val="sq-AL"/>
        </w:rPr>
        <w:t>të detyrimeve tatimore. Administrata tatimore synon përmirësimin e kuadrit bashkëpunues ndërinstitucional dhe sigurimin e planeve operacionale për të identifikuar punonjësit informale, duke u mbështetur n</w:t>
      </w:r>
      <w:r w:rsidR="00B76368" w:rsidRPr="00050FA4">
        <w:rPr>
          <w:lang w:val="sq-AL"/>
        </w:rPr>
        <w:t>ë</w:t>
      </w:r>
      <w:r w:rsidRPr="00050FA4">
        <w:rPr>
          <w:lang w:val="sq-AL"/>
        </w:rPr>
        <w:t xml:space="preserve"> një strategji të qart</w:t>
      </w:r>
      <w:r w:rsidR="006A2BA7" w:rsidRPr="00050FA4">
        <w:rPr>
          <w:lang w:val="sq-AL"/>
        </w:rPr>
        <w:t>ë</w:t>
      </w:r>
      <w:r w:rsidRPr="00050FA4">
        <w:rPr>
          <w:lang w:val="sq-AL"/>
        </w:rPr>
        <w:t>. Përgjegjësia për trajtimin e punës së padeklaruar është e përhapur n</w:t>
      </w:r>
      <w:r w:rsidR="00B76368" w:rsidRPr="00050FA4">
        <w:rPr>
          <w:lang w:val="sq-AL"/>
        </w:rPr>
        <w:t>ë</w:t>
      </w:r>
      <w:r w:rsidRPr="00050FA4">
        <w:rPr>
          <w:lang w:val="sq-AL"/>
        </w:rPr>
        <w:t xml:space="preserve"> disa institucione: mospërmbushja e detyrimeve tatimore me administratën tatimore, trajtimi i kontributeve me ISSH</w:t>
      </w:r>
      <w:r w:rsidR="007F730C" w:rsidRPr="00050FA4">
        <w:rPr>
          <w:lang w:val="sq-AL"/>
        </w:rPr>
        <w:t>-në</w:t>
      </w:r>
      <w:r w:rsidRPr="00050FA4">
        <w:rPr>
          <w:lang w:val="sq-AL"/>
        </w:rPr>
        <w:t xml:space="preserve"> dhe respektimi i Kodit të Punës nga Inspektorati i Punës. N</w:t>
      </w:r>
      <w:r w:rsidR="00B76368" w:rsidRPr="00050FA4">
        <w:rPr>
          <w:lang w:val="sq-AL"/>
        </w:rPr>
        <w:t>ë</w:t>
      </w:r>
      <w:r w:rsidRPr="00050FA4">
        <w:rPr>
          <w:lang w:val="sq-AL"/>
        </w:rPr>
        <w:t xml:space="preserve"> vijimësi parashikojmë të forcojmë bashkëpunimin me njësinë e riskut të Zyrës së Punës</w:t>
      </w:r>
      <w:r w:rsidR="007F730C" w:rsidRPr="00050FA4">
        <w:rPr>
          <w:lang w:val="sq-AL"/>
        </w:rPr>
        <w:t>,</w:t>
      </w:r>
      <w:r w:rsidRPr="00050FA4">
        <w:rPr>
          <w:lang w:val="sq-AL"/>
        </w:rPr>
        <w:t xml:space="preserve"> për të garantuar një marrëveshje bashkëpunimi</w:t>
      </w:r>
      <w:r w:rsidR="007F730C" w:rsidRPr="00050FA4">
        <w:rPr>
          <w:lang w:val="sq-AL"/>
        </w:rPr>
        <w:t>,</w:t>
      </w:r>
      <w:r w:rsidRPr="00050FA4">
        <w:rPr>
          <w:lang w:val="sq-AL"/>
        </w:rPr>
        <w:t xml:space="preserve"> me qëllim shkëmbimin e informacionit ndërmjet këtyre institucioneve. Administrata tatimore disponon të dhëna më cilësore për tatimpaguesit</w:t>
      </w:r>
      <w:r w:rsidR="007F730C" w:rsidRPr="00050FA4">
        <w:rPr>
          <w:lang w:val="sq-AL"/>
        </w:rPr>
        <w:t>,</w:t>
      </w:r>
      <w:r w:rsidRPr="00050FA4">
        <w:rPr>
          <w:lang w:val="sq-AL"/>
        </w:rPr>
        <w:t xml:space="preserve"> që më pas do t</w:t>
      </w:r>
      <w:r w:rsidR="00F56E92" w:rsidRPr="00050FA4">
        <w:rPr>
          <w:lang w:val="sq-AL"/>
        </w:rPr>
        <w:t>’</w:t>
      </w:r>
      <w:r w:rsidRPr="00050FA4">
        <w:rPr>
          <w:lang w:val="sq-AL"/>
        </w:rPr>
        <w:t xml:space="preserve">i vendosen në dispozicion dhe </w:t>
      </w:r>
      <w:r w:rsidR="007F730C" w:rsidRPr="00050FA4">
        <w:rPr>
          <w:lang w:val="sq-AL"/>
        </w:rPr>
        <w:t xml:space="preserve">zyrës së punës </w:t>
      </w:r>
      <w:r w:rsidRPr="00050FA4">
        <w:rPr>
          <w:lang w:val="sq-AL"/>
        </w:rPr>
        <w:t>apo dhe Institutit të Sigurimeve Shoqërore.</w:t>
      </w:r>
      <w:r w:rsidR="009B1D6B" w:rsidRPr="00050FA4">
        <w:rPr>
          <w:lang w:val="sq-AL"/>
        </w:rPr>
        <w:t xml:space="preserve"> </w:t>
      </w:r>
    </w:p>
    <w:p w14:paraId="06F3E6FB" w14:textId="6D0A2D48" w:rsidR="002F6FE6" w:rsidRPr="00050FA4" w:rsidRDefault="002F6FE6" w:rsidP="003F1DA7">
      <w:pPr>
        <w:pStyle w:val="CommentText"/>
        <w:ind w:firstLine="284"/>
        <w:jc w:val="both"/>
        <w:rPr>
          <w:rFonts w:ascii="Garamond" w:hAnsi="Garamond"/>
          <w:color w:val="0D0D0D" w:themeColor="text1" w:themeTint="F2"/>
          <w:sz w:val="24"/>
          <w:szCs w:val="24"/>
        </w:rPr>
      </w:pPr>
      <w:r w:rsidRPr="00050FA4">
        <w:rPr>
          <w:rFonts w:ascii="Garamond" w:hAnsi="Garamond"/>
          <w:color w:val="0D0D0D" w:themeColor="text1" w:themeTint="F2"/>
          <w:sz w:val="24"/>
          <w:szCs w:val="24"/>
        </w:rPr>
        <w:t>Disa nga hapat konkret</w:t>
      </w:r>
      <w:r w:rsidR="002774D7" w:rsidRPr="00050FA4">
        <w:rPr>
          <w:rFonts w:ascii="Garamond" w:hAnsi="Garamond"/>
          <w:color w:val="0D0D0D" w:themeColor="text1" w:themeTint="F2"/>
          <w:sz w:val="24"/>
          <w:szCs w:val="24"/>
        </w:rPr>
        <w:t>ë</w:t>
      </w:r>
      <w:r w:rsidRPr="00050FA4">
        <w:rPr>
          <w:rFonts w:ascii="Garamond" w:hAnsi="Garamond"/>
          <w:color w:val="0D0D0D" w:themeColor="text1" w:themeTint="F2"/>
          <w:sz w:val="24"/>
          <w:szCs w:val="24"/>
        </w:rPr>
        <w:t xml:space="preserve"> q</w:t>
      </w:r>
      <w:r w:rsidR="00460ADB" w:rsidRPr="00050FA4">
        <w:rPr>
          <w:rFonts w:ascii="Garamond" w:hAnsi="Garamond"/>
          <w:color w:val="0D0D0D"/>
        </w:rPr>
        <w:t>ë</w:t>
      </w:r>
      <w:r w:rsidRPr="00050FA4">
        <w:rPr>
          <w:rFonts w:ascii="Garamond" w:hAnsi="Garamond"/>
          <w:color w:val="0D0D0D" w:themeColor="text1" w:themeTint="F2"/>
          <w:sz w:val="24"/>
          <w:szCs w:val="24"/>
        </w:rPr>
        <w:t xml:space="preserve"> do të ndiqen në vijimësi</w:t>
      </w:r>
      <w:r w:rsidR="002774D7" w:rsidRPr="00050FA4">
        <w:rPr>
          <w:rFonts w:ascii="Garamond" w:hAnsi="Garamond"/>
          <w:color w:val="0D0D0D" w:themeColor="text1" w:themeTint="F2"/>
          <w:sz w:val="24"/>
          <w:szCs w:val="24"/>
        </w:rPr>
        <w:t>,</w:t>
      </w:r>
      <w:r w:rsidRPr="00050FA4">
        <w:rPr>
          <w:rFonts w:ascii="Garamond" w:hAnsi="Garamond"/>
          <w:color w:val="0D0D0D" w:themeColor="text1" w:themeTint="F2"/>
          <w:sz w:val="24"/>
          <w:szCs w:val="24"/>
        </w:rPr>
        <w:t xml:space="preserve"> në përputhje me Strategjinë Afatmesme të të Ardhurave, kanë të bëjnë me:</w:t>
      </w:r>
    </w:p>
    <w:p w14:paraId="5F1A1767" w14:textId="7CA52E9A" w:rsidR="00837498" w:rsidRPr="00050FA4" w:rsidRDefault="00837498" w:rsidP="003F1DA7">
      <w:pPr>
        <w:pStyle w:val="AAAAAAATEXXXX"/>
        <w:rPr>
          <w:lang w:val="sq-AL" w:eastAsia="sq-AL"/>
        </w:rPr>
      </w:pPr>
      <w:r w:rsidRPr="00050FA4">
        <w:rPr>
          <w:lang w:val="sq-AL" w:eastAsia="sq-AL"/>
        </w:rPr>
        <w:t>1</w:t>
      </w:r>
      <w:r w:rsidR="009A44F5" w:rsidRPr="00050FA4">
        <w:rPr>
          <w:lang w:val="sq-AL" w:eastAsia="sq-AL"/>
        </w:rPr>
        <w:t>.</w:t>
      </w:r>
      <w:r w:rsidRPr="00050FA4">
        <w:rPr>
          <w:lang w:val="sq-AL" w:eastAsia="sq-AL"/>
        </w:rPr>
        <w:t xml:space="preserve"> Zvogëlimi i hendekut të përmbushjes së TVSH</w:t>
      </w:r>
      <w:r w:rsidR="002774D7" w:rsidRPr="00050FA4">
        <w:rPr>
          <w:lang w:val="sq-AL" w:eastAsia="sq-AL"/>
        </w:rPr>
        <w:t>-së</w:t>
      </w:r>
      <w:r w:rsidRPr="00050FA4">
        <w:rPr>
          <w:lang w:val="sq-AL" w:eastAsia="sq-AL"/>
        </w:rPr>
        <w:t>. Indikatorët në zvogëlimin e hendekut të TVSH</w:t>
      </w:r>
      <w:r w:rsidR="002774D7" w:rsidRPr="00050FA4">
        <w:rPr>
          <w:lang w:val="sq-AL" w:eastAsia="sq-AL"/>
        </w:rPr>
        <w:t>-së</w:t>
      </w:r>
      <w:r w:rsidRPr="00050FA4">
        <w:rPr>
          <w:lang w:val="sq-AL" w:eastAsia="sq-AL"/>
        </w:rPr>
        <w:t xml:space="preserve"> konsiderohen: </w:t>
      </w:r>
      <w:r w:rsidR="002774D7" w:rsidRPr="00050FA4">
        <w:rPr>
          <w:lang w:val="sq-AL" w:eastAsia="sq-AL"/>
        </w:rPr>
        <w:t xml:space="preserve">rritja </w:t>
      </w:r>
      <w:r w:rsidRPr="00050FA4">
        <w:rPr>
          <w:lang w:val="sq-AL" w:eastAsia="sq-AL"/>
        </w:rPr>
        <w:t>e të ardhurave nga TVSH</w:t>
      </w:r>
      <w:r w:rsidR="002774D7" w:rsidRPr="00050FA4">
        <w:rPr>
          <w:lang w:val="sq-AL" w:eastAsia="sq-AL"/>
        </w:rPr>
        <w:t>-ja</w:t>
      </w:r>
      <w:r w:rsidRPr="00050FA4">
        <w:rPr>
          <w:lang w:val="sq-AL" w:eastAsia="sq-AL"/>
        </w:rPr>
        <w:t xml:space="preserve"> për të gjithë sektorët e ekonomisë; rritja e të ardhurave nga TVSH</w:t>
      </w:r>
      <w:r w:rsidR="002774D7" w:rsidRPr="00050FA4">
        <w:rPr>
          <w:lang w:val="sq-AL" w:eastAsia="sq-AL"/>
        </w:rPr>
        <w:t>-ja</w:t>
      </w:r>
      <w:r w:rsidRPr="00050FA4">
        <w:rPr>
          <w:lang w:val="sq-AL" w:eastAsia="sq-AL"/>
        </w:rPr>
        <w:t xml:space="preserve"> në sektorin e ndërtimit; koha e kontrollit të subjekteve; rritja e qarkullimit në baza mujore të sektorëve me risk.</w:t>
      </w:r>
    </w:p>
    <w:p w14:paraId="0700A17D" w14:textId="6C871BCE" w:rsidR="00837498" w:rsidRPr="00050FA4" w:rsidRDefault="00837498" w:rsidP="003F1DA7">
      <w:pPr>
        <w:pStyle w:val="AAAAAAATEXXXX"/>
        <w:rPr>
          <w:lang w:val="sq-AL" w:eastAsia="sq-AL"/>
        </w:rPr>
      </w:pPr>
      <w:r w:rsidRPr="00050FA4">
        <w:rPr>
          <w:lang w:val="sq-AL" w:eastAsia="sq-AL"/>
        </w:rPr>
        <w:t>2</w:t>
      </w:r>
      <w:r w:rsidR="009A44F5" w:rsidRPr="00050FA4">
        <w:rPr>
          <w:lang w:val="sq-AL" w:eastAsia="sq-AL"/>
        </w:rPr>
        <w:t>.</w:t>
      </w:r>
      <w:r w:rsidRPr="00050FA4">
        <w:rPr>
          <w:lang w:val="sq-AL" w:eastAsia="sq-AL"/>
        </w:rPr>
        <w:t xml:space="preserve"> Reduktimi i punës së padeklaruar dhe nëndeklarimet e ekonomisë </w:t>
      </w:r>
      <w:r w:rsidRPr="00050FA4">
        <w:rPr>
          <w:i/>
          <w:iCs/>
          <w:lang w:val="sq-AL" w:eastAsia="sq-AL"/>
        </w:rPr>
        <w:t>cash</w:t>
      </w:r>
      <w:r w:rsidRPr="00050FA4">
        <w:rPr>
          <w:lang w:val="sq-AL" w:eastAsia="sq-AL"/>
        </w:rPr>
        <w:t>.</w:t>
      </w:r>
    </w:p>
    <w:p w14:paraId="3E3FEE6F" w14:textId="17328659" w:rsidR="00837498" w:rsidRPr="00050FA4" w:rsidRDefault="00837498" w:rsidP="003F1DA7">
      <w:pPr>
        <w:pStyle w:val="AAAAAAATEXXXX"/>
        <w:rPr>
          <w:lang w:val="sq-AL" w:eastAsia="sq-AL"/>
        </w:rPr>
      </w:pPr>
      <w:r w:rsidRPr="00050FA4">
        <w:rPr>
          <w:lang w:val="sq-AL" w:eastAsia="sq-AL"/>
        </w:rPr>
        <w:t>3</w:t>
      </w:r>
      <w:r w:rsidR="009A44F5" w:rsidRPr="00050FA4">
        <w:rPr>
          <w:lang w:val="sq-AL" w:eastAsia="sq-AL"/>
        </w:rPr>
        <w:t>.</w:t>
      </w:r>
      <w:r w:rsidR="009B1D6B" w:rsidRPr="00050FA4">
        <w:rPr>
          <w:lang w:val="sq-AL" w:eastAsia="sq-AL"/>
        </w:rPr>
        <w:t xml:space="preserve"> </w:t>
      </w:r>
      <w:r w:rsidRPr="00050FA4">
        <w:rPr>
          <w:lang w:val="sq-AL" w:eastAsia="sq-AL"/>
        </w:rPr>
        <w:t xml:space="preserve">Tatimi i çdo pasurie të pajustifikuar brenda dhe jashtë vendit. </w:t>
      </w:r>
    </w:p>
    <w:p w14:paraId="35AAF0BE" w14:textId="50595D4F" w:rsidR="00837498" w:rsidRPr="00050FA4" w:rsidRDefault="00837498" w:rsidP="003F1DA7">
      <w:pPr>
        <w:pStyle w:val="AAAAAAATEXXXX"/>
        <w:rPr>
          <w:lang w:val="sq-AL" w:eastAsia="sq-AL"/>
        </w:rPr>
      </w:pPr>
      <w:r w:rsidRPr="00050FA4">
        <w:rPr>
          <w:lang w:val="sq-AL" w:eastAsia="sq-AL"/>
        </w:rPr>
        <w:t>4</w:t>
      </w:r>
      <w:r w:rsidR="009A44F5" w:rsidRPr="00050FA4">
        <w:rPr>
          <w:lang w:val="sq-AL" w:eastAsia="sq-AL"/>
        </w:rPr>
        <w:t>.</w:t>
      </w:r>
      <w:r w:rsidRPr="00050FA4">
        <w:rPr>
          <w:lang w:val="sq-AL" w:eastAsia="sq-AL"/>
        </w:rPr>
        <w:t xml:space="preserve"> Zvogëlimi i shmangies së taksave. </w:t>
      </w:r>
    </w:p>
    <w:p w14:paraId="79E26962" w14:textId="0F855AE3" w:rsidR="00837498" w:rsidRPr="00050FA4" w:rsidRDefault="00837498" w:rsidP="003F1DA7">
      <w:pPr>
        <w:pStyle w:val="AAAAAAATEXXXX"/>
        <w:rPr>
          <w:lang w:val="sq-AL" w:eastAsia="sq-AL"/>
        </w:rPr>
      </w:pPr>
      <w:r w:rsidRPr="00050FA4">
        <w:rPr>
          <w:lang w:val="sq-AL" w:eastAsia="sq-AL"/>
        </w:rPr>
        <w:t>5</w:t>
      </w:r>
      <w:r w:rsidR="009A44F5" w:rsidRPr="00050FA4">
        <w:rPr>
          <w:lang w:val="sq-AL" w:eastAsia="sq-AL"/>
        </w:rPr>
        <w:t>.</w:t>
      </w:r>
      <w:r w:rsidRPr="00050FA4">
        <w:rPr>
          <w:lang w:val="sq-AL" w:eastAsia="sq-AL"/>
        </w:rPr>
        <w:t xml:space="preserve"> Reduktimi i kostove të përmbushjes dhe rritja e sigurisë tatimore dhe besimit të administrate </w:t>
      </w:r>
      <w:r w:rsidRPr="00050FA4">
        <w:rPr>
          <w:lang w:val="sq-AL" w:eastAsia="sq-AL"/>
        </w:rPr>
        <w:lastRenderedPageBreak/>
        <w:t xml:space="preserve">tatimore. </w:t>
      </w:r>
    </w:p>
    <w:p w14:paraId="7DF1D5ED" w14:textId="33AFB1C4" w:rsidR="00837498" w:rsidRPr="00050FA4" w:rsidRDefault="00837498" w:rsidP="003F1DA7">
      <w:pPr>
        <w:pStyle w:val="AAAAAAATEXXXX"/>
        <w:rPr>
          <w:lang w:val="sq-AL" w:eastAsia="sq-AL"/>
        </w:rPr>
      </w:pPr>
      <w:r w:rsidRPr="00050FA4">
        <w:rPr>
          <w:lang w:val="sq-AL" w:eastAsia="sq-AL"/>
        </w:rPr>
        <w:t>6</w:t>
      </w:r>
      <w:r w:rsidR="009A44F5" w:rsidRPr="00050FA4">
        <w:rPr>
          <w:lang w:val="sq-AL" w:eastAsia="sq-AL"/>
        </w:rPr>
        <w:t>.</w:t>
      </w:r>
      <w:r w:rsidRPr="00050FA4">
        <w:rPr>
          <w:lang w:val="sq-AL" w:eastAsia="sq-AL"/>
        </w:rPr>
        <w:t xml:space="preserve"> Motivimi i qytetarëve për të qenë pjesë e luftës ndaj informalitetit. </w:t>
      </w:r>
    </w:p>
    <w:p w14:paraId="41A8D2B8" w14:textId="59379AF0" w:rsidR="00837498" w:rsidRPr="00050FA4" w:rsidRDefault="00837498" w:rsidP="003F1DA7">
      <w:pPr>
        <w:pStyle w:val="AAAAAAATEXXXX"/>
        <w:rPr>
          <w:lang w:val="sq-AL" w:eastAsia="sq-AL"/>
        </w:rPr>
      </w:pPr>
      <w:r w:rsidRPr="00050FA4">
        <w:rPr>
          <w:lang w:val="sq-AL" w:eastAsia="sq-AL"/>
        </w:rPr>
        <w:t>Gjithashtu</w:t>
      </w:r>
      <w:r w:rsidR="007B0A16" w:rsidRPr="00050FA4">
        <w:rPr>
          <w:lang w:val="sq-AL" w:eastAsia="sq-AL"/>
        </w:rPr>
        <w:t>,</w:t>
      </w:r>
      <w:r w:rsidRPr="00050FA4">
        <w:rPr>
          <w:lang w:val="sq-AL" w:eastAsia="sq-AL"/>
        </w:rPr>
        <w:t xml:space="preserve"> administrata tatimore ka implementuar një proces madhor</w:t>
      </w:r>
      <w:r w:rsidR="00E05CFF" w:rsidRPr="00050FA4">
        <w:rPr>
          <w:lang w:val="sq-AL" w:eastAsia="sq-AL"/>
        </w:rPr>
        <w:t>,</w:t>
      </w:r>
      <w:r w:rsidRPr="00050FA4">
        <w:rPr>
          <w:lang w:val="sq-AL" w:eastAsia="sq-AL"/>
        </w:rPr>
        <w:t xml:space="preserve"> si </w:t>
      </w:r>
      <w:r w:rsidR="00E05CFF" w:rsidRPr="00050FA4">
        <w:rPr>
          <w:lang w:val="sq-AL" w:eastAsia="sq-AL"/>
        </w:rPr>
        <w:t xml:space="preserve">fiskalizimi, </w:t>
      </w:r>
      <w:r w:rsidRPr="00050FA4">
        <w:rPr>
          <w:lang w:val="sq-AL" w:eastAsia="sq-AL"/>
        </w:rPr>
        <w:t>që do të ndikojë pozitivisht në uljen e informalitetit. Në zbatim të Drejtorisë së Menaxhimit të Riskut do të jenë 101 kritere risku</w:t>
      </w:r>
      <w:r w:rsidR="00E05CFF" w:rsidRPr="00050FA4">
        <w:rPr>
          <w:lang w:val="sq-AL" w:eastAsia="sq-AL"/>
        </w:rPr>
        <w:t>,</w:t>
      </w:r>
      <w:r w:rsidRPr="00050FA4">
        <w:rPr>
          <w:lang w:val="sq-AL" w:eastAsia="sq-AL"/>
        </w:rPr>
        <w:t xml:space="preserve"> q</w:t>
      </w:r>
      <w:r w:rsidR="00460ADB" w:rsidRPr="00050FA4">
        <w:rPr>
          <w:lang w:val="sq-AL"/>
        </w:rPr>
        <w:t>ë</w:t>
      </w:r>
      <w:r w:rsidRPr="00050FA4">
        <w:rPr>
          <w:lang w:val="sq-AL" w:eastAsia="sq-AL"/>
        </w:rPr>
        <w:t xml:space="preserve"> parashikojmë të zbatohen plotësisht brenda vitit 2024, me përditësimin e </w:t>
      </w:r>
      <w:r w:rsidR="00E05CFF" w:rsidRPr="00050FA4">
        <w:rPr>
          <w:lang w:val="sq-AL" w:eastAsia="sq-AL"/>
        </w:rPr>
        <w:t>modulit të riskut</w:t>
      </w:r>
      <w:r w:rsidRPr="00050FA4">
        <w:rPr>
          <w:lang w:val="sq-AL" w:eastAsia="sq-AL"/>
        </w:rPr>
        <w:t xml:space="preserve">, në bazë të </w:t>
      </w:r>
      <w:r w:rsidR="00E05CFF" w:rsidRPr="00050FA4">
        <w:rPr>
          <w:lang w:val="sq-AL" w:eastAsia="sq-AL"/>
        </w:rPr>
        <w:t xml:space="preserve">projektit të fiskalizimit </w:t>
      </w:r>
      <w:r w:rsidRPr="00050FA4">
        <w:rPr>
          <w:lang w:val="sq-AL" w:eastAsia="sq-AL"/>
        </w:rPr>
        <w:t xml:space="preserve">dhe </w:t>
      </w:r>
      <w:r w:rsidR="00E05CFF" w:rsidRPr="00050FA4">
        <w:rPr>
          <w:lang w:val="sq-AL" w:eastAsia="sq-AL"/>
        </w:rPr>
        <w:t xml:space="preserve">të </w:t>
      </w:r>
      <w:r w:rsidRPr="00050FA4">
        <w:rPr>
          <w:lang w:val="sq-AL" w:eastAsia="sq-AL"/>
        </w:rPr>
        <w:t>ndërthurjes me modulin aktual.</w:t>
      </w:r>
    </w:p>
    <w:p w14:paraId="04A8ACCC" w14:textId="453FC99F" w:rsidR="00837498" w:rsidRPr="00050FA4" w:rsidRDefault="00837498" w:rsidP="003F1DA7">
      <w:pPr>
        <w:pStyle w:val="AAAAAAATEXXXX"/>
        <w:rPr>
          <w:lang w:val="sq-AL" w:eastAsia="sq-AL"/>
        </w:rPr>
      </w:pPr>
      <w:r w:rsidRPr="00050FA4">
        <w:rPr>
          <w:lang w:val="sq-AL" w:eastAsia="sq-AL"/>
        </w:rPr>
        <w:t>Si fillim</w:t>
      </w:r>
      <w:r w:rsidR="00E05CFF" w:rsidRPr="00050FA4">
        <w:rPr>
          <w:lang w:val="sq-AL" w:eastAsia="sq-AL"/>
        </w:rPr>
        <w:t>,</w:t>
      </w:r>
      <w:r w:rsidRPr="00050FA4">
        <w:rPr>
          <w:lang w:val="sq-AL" w:eastAsia="sq-AL"/>
        </w:rPr>
        <w:t xml:space="preserve"> në vijimësi të punës së Drejtorisë së Menaxhimit të Riskut do të aplikohen vetëm 44 kritere.</w:t>
      </w:r>
    </w:p>
    <w:p w14:paraId="56F55895" w14:textId="77777777" w:rsidR="00837498" w:rsidRPr="00050FA4" w:rsidRDefault="00837498" w:rsidP="003F1DA7">
      <w:pPr>
        <w:pStyle w:val="AAAAAAATEXXXX"/>
        <w:rPr>
          <w:rFonts w:cs="Garamond"/>
          <w:b/>
          <w:bCs/>
          <w:lang w:val="sq-AL"/>
        </w:rPr>
      </w:pPr>
      <w:r w:rsidRPr="00050FA4">
        <w:rPr>
          <w:rFonts w:cs="Garamond"/>
          <w:b/>
          <w:bCs/>
          <w:lang w:val="sq-AL"/>
        </w:rPr>
        <w:t>Rekomandimi 5</w:t>
      </w:r>
    </w:p>
    <w:p w14:paraId="1D543DB9" w14:textId="632800EE" w:rsidR="00837498" w:rsidRPr="00050FA4" w:rsidRDefault="00837498" w:rsidP="003F1DA7">
      <w:pPr>
        <w:pStyle w:val="AAAAAAATEXXXX"/>
        <w:rPr>
          <w:rFonts w:cs="Garamond"/>
          <w:b/>
          <w:bCs/>
          <w:i/>
          <w:iCs/>
          <w:lang w:val="sq-AL"/>
        </w:rPr>
      </w:pPr>
      <w:r w:rsidRPr="00050FA4">
        <w:rPr>
          <w:rFonts w:cs="Garamond"/>
          <w:b/>
          <w:bCs/>
          <w:i/>
          <w:iCs/>
          <w:lang w:val="sq-AL"/>
        </w:rPr>
        <w:t>5.1 Krijimi i një task</w:t>
      </w:r>
      <w:r w:rsidR="00E05CFF" w:rsidRPr="00050FA4">
        <w:rPr>
          <w:rFonts w:cs="Garamond"/>
          <w:b/>
          <w:bCs/>
          <w:i/>
          <w:iCs/>
          <w:lang w:val="sq-AL"/>
        </w:rPr>
        <w:t>-</w:t>
      </w:r>
      <w:r w:rsidRPr="00050FA4">
        <w:rPr>
          <w:rFonts w:cs="Garamond"/>
          <w:b/>
          <w:bCs/>
          <w:i/>
          <w:iCs/>
          <w:lang w:val="sq-AL"/>
        </w:rPr>
        <w:t>force ndërministrore</w:t>
      </w:r>
      <w:r w:rsidR="00E05CFF" w:rsidRPr="00050FA4">
        <w:rPr>
          <w:rFonts w:cs="Garamond"/>
          <w:b/>
          <w:bCs/>
          <w:i/>
          <w:iCs/>
          <w:lang w:val="sq-AL"/>
        </w:rPr>
        <w:t>,</w:t>
      </w:r>
      <w:r w:rsidRPr="00050FA4">
        <w:rPr>
          <w:rFonts w:cs="Garamond"/>
          <w:b/>
          <w:bCs/>
          <w:i/>
          <w:iCs/>
          <w:lang w:val="sq-AL"/>
        </w:rPr>
        <w:t xml:space="preserve"> që përfshin ministritë përkatëse, agjencitë e tyre dhe palët e interesuara për të zhvilluar një </w:t>
      </w:r>
      <w:r w:rsidR="00E05CFF" w:rsidRPr="00050FA4">
        <w:rPr>
          <w:rFonts w:cs="Garamond"/>
          <w:b/>
          <w:bCs/>
          <w:i/>
          <w:iCs/>
          <w:lang w:val="sq-AL"/>
        </w:rPr>
        <w:t>plan zbatimi të garancisë rinore</w:t>
      </w:r>
      <w:r w:rsidRPr="00050FA4">
        <w:rPr>
          <w:rFonts w:cs="Garamond"/>
          <w:b/>
          <w:bCs/>
          <w:i/>
          <w:iCs/>
          <w:lang w:val="sq-AL"/>
        </w:rPr>
        <w:t>.</w:t>
      </w:r>
    </w:p>
    <w:p w14:paraId="43D0A3C5" w14:textId="2CAB8876" w:rsidR="00837498" w:rsidRPr="00050FA4" w:rsidRDefault="00837498" w:rsidP="003F1DA7">
      <w:pPr>
        <w:pStyle w:val="AAAAAAATEXXXX"/>
        <w:rPr>
          <w:rFonts w:cs="Garamond"/>
          <w:lang w:val="sq-AL"/>
        </w:rPr>
      </w:pPr>
      <w:r w:rsidRPr="00050FA4">
        <w:rPr>
          <w:rFonts w:cs="Garamond"/>
          <w:lang w:val="sq-AL"/>
        </w:rPr>
        <w:t xml:space="preserve">Ngritja i </w:t>
      </w:r>
      <w:r w:rsidR="007B0A16" w:rsidRPr="00050FA4">
        <w:rPr>
          <w:rFonts w:cs="Garamond"/>
          <w:lang w:val="sq-AL"/>
        </w:rPr>
        <w:t xml:space="preserve">grupit </w:t>
      </w:r>
      <w:r w:rsidRPr="00050FA4">
        <w:rPr>
          <w:rFonts w:cs="Garamond"/>
          <w:lang w:val="sq-AL"/>
        </w:rPr>
        <w:t>ndërinstitucional u vonua disi</w:t>
      </w:r>
      <w:r w:rsidR="007244FD" w:rsidRPr="00050FA4">
        <w:rPr>
          <w:rFonts w:cs="Garamond"/>
          <w:lang w:val="sq-AL"/>
        </w:rPr>
        <w:t>,</w:t>
      </w:r>
      <w:r w:rsidRPr="00050FA4">
        <w:rPr>
          <w:rFonts w:cs="Garamond"/>
          <w:lang w:val="sq-AL"/>
        </w:rPr>
        <w:t xml:space="preserve"> për shkak të krijimit të </w:t>
      </w:r>
      <w:r w:rsidR="00382F07" w:rsidRPr="00050FA4">
        <w:rPr>
          <w:rFonts w:cs="Garamond"/>
          <w:lang w:val="sq-AL"/>
        </w:rPr>
        <w:t xml:space="preserve">qeverisë </w:t>
      </w:r>
      <w:r w:rsidRPr="00050FA4">
        <w:rPr>
          <w:rFonts w:cs="Garamond"/>
          <w:lang w:val="sq-AL"/>
        </w:rPr>
        <w:t xml:space="preserve">së re të Shqipërisë, e cila ndodhi në mesin e shtatorit 2021. Bazuar në strukturën e re të ministrive kemi një listë paraprake të ministrive, agjencive dhe organizatave të shoqërisë civile të propozuara. Urdhri i Kryeministrit është përgatitur dhe është dërguar për miratim. Urdhri cakton </w:t>
      </w:r>
      <w:r w:rsidR="0057370B" w:rsidRPr="00050FA4">
        <w:rPr>
          <w:rFonts w:cs="Garamond"/>
          <w:lang w:val="sq-AL"/>
        </w:rPr>
        <w:t xml:space="preserve">koordinatorin kombëtar </w:t>
      </w:r>
      <w:r w:rsidRPr="00050FA4">
        <w:rPr>
          <w:rFonts w:cs="Garamond"/>
          <w:lang w:val="sq-AL"/>
        </w:rPr>
        <w:t>të GR-së (</w:t>
      </w:r>
      <w:r w:rsidR="00553F3C" w:rsidRPr="00050FA4">
        <w:rPr>
          <w:rFonts w:cs="Garamond"/>
          <w:lang w:val="sq-AL"/>
        </w:rPr>
        <w:t xml:space="preserve">zëvendësministrin </w:t>
      </w:r>
      <w:r w:rsidRPr="00050FA4">
        <w:rPr>
          <w:rFonts w:cs="Garamond"/>
          <w:lang w:val="sq-AL"/>
        </w:rPr>
        <w:t xml:space="preserve">përgjegjës për </w:t>
      </w:r>
      <w:r w:rsidR="00553F3C" w:rsidRPr="00050FA4">
        <w:rPr>
          <w:rFonts w:cs="Garamond"/>
          <w:lang w:val="sq-AL"/>
        </w:rPr>
        <w:t>punësimin dhe aftësitë</w:t>
      </w:r>
      <w:r w:rsidRPr="00050FA4">
        <w:rPr>
          <w:rFonts w:cs="Garamond"/>
          <w:lang w:val="sq-AL"/>
        </w:rPr>
        <w:t xml:space="preserve">), krijimin e </w:t>
      </w:r>
      <w:r w:rsidR="00553F3C" w:rsidRPr="00050FA4">
        <w:rPr>
          <w:rFonts w:cs="Garamond"/>
          <w:lang w:val="sq-AL"/>
        </w:rPr>
        <w:t xml:space="preserve">grupit ndërinstitucional </w:t>
      </w:r>
      <w:r w:rsidRPr="00050FA4">
        <w:rPr>
          <w:rFonts w:cs="Garamond"/>
          <w:lang w:val="sq-AL"/>
        </w:rPr>
        <w:t xml:space="preserve">dhe të Grupit </w:t>
      </w:r>
      <w:r w:rsidR="00553F3C" w:rsidRPr="00050FA4">
        <w:rPr>
          <w:rFonts w:cs="Garamond"/>
          <w:lang w:val="sq-AL"/>
        </w:rPr>
        <w:t>teknik</w:t>
      </w:r>
      <w:r w:rsidRPr="00050FA4">
        <w:rPr>
          <w:rFonts w:cs="Garamond"/>
          <w:lang w:val="sq-AL"/>
        </w:rPr>
        <w:t>.</w:t>
      </w:r>
    </w:p>
    <w:p w14:paraId="276309B9" w14:textId="2D9FDFA5" w:rsidR="00837498" w:rsidRPr="00050FA4" w:rsidRDefault="00837498" w:rsidP="003F1DA7">
      <w:pPr>
        <w:pStyle w:val="AAAAAAATEXXXX"/>
        <w:rPr>
          <w:rFonts w:cs="Garamond"/>
          <w:lang w:val="sq-AL"/>
        </w:rPr>
      </w:pPr>
      <w:r w:rsidRPr="00050FA4">
        <w:rPr>
          <w:rFonts w:cs="Garamond"/>
          <w:lang w:val="sq-AL"/>
        </w:rPr>
        <w:t xml:space="preserve">Grupi ndërinstitucional do të kryesohet nga </w:t>
      </w:r>
      <w:r w:rsidR="00553F3C" w:rsidRPr="00050FA4">
        <w:rPr>
          <w:rFonts w:cs="Garamond"/>
          <w:lang w:val="sq-AL"/>
        </w:rPr>
        <w:t xml:space="preserve">ministri </w:t>
      </w:r>
      <w:r w:rsidRPr="00050FA4">
        <w:rPr>
          <w:rFonts w:cs="Garamond"/>
          <w:lang w:val="sq-AL"/>
        </w:rPr>
        <w:t xml:space="preserve">i Financave dhe Ekonomisë dhe do të përbëhet nga institucione të ndryshme publike që do të jenë pjesë e skemës GR. Pjesë e grupit do të jenë edhe përfaqësues të partnerëve socialë dhe organizatave rinore. Grupi teknik i punës do të kryesohet nga </w:t>
      </w:r>
      <w:r w:rsidR="00553F3C" w:rsidRPr="00050FA4">
        <w:rPr>
          <w:rFonts w:cs="Garamond"/>
          <w:lang w:val="sq-AL"/>
        </w:rPr>
        <w:t xml:space="preserve">zëvendësministri </w:t>
      </w:r>
      <w:r w:rsidRPr="00050FA4">
        <w:rPr>
          <w:rFonts w:cs="Garamond"/>
          <w:lang w:val="sq-AL"/>
        </w:rPr>
        <w:t>i Financave dhe Ekonomisë, përgjegjës për punësimin dhe aftësitë dhe do të përbëhet nga përfaqësues të institucioneve dhe agjencive të ndryshme</w:t>
      </w:r>
      <w:r w:rsidR="00553F3C" w:rsidRPr="00050FA4">
        <w:rPr>
          <w:rFonts w:cs="Garamond"/>
          <w:lang w:val="sq-AL"/>
        </w:rPr>
        <w:t>,</w:t>
      </w:r>
      <w:r w:rsidRPr="00050FA4">
        <w:rPr>
          <w:rFonts w:cs="Garamond"/>
          <w:lang w:val="sq-AL"/>
        </w:rPr>
        <w:t xml:space="preserve"> që lidhen me futjen e skemës GR në Shqipëri.</w:t>
      </w:r>
    </w:p>
    <w:p w14:paraId="3D5614F1" w14:textId="360CBC51" w:rsidR="00837498" w:rsidRPr="00050FA4" w:rsidRDefault="00837498" w:rsidP="003F1DA7">
      <w:pPr>
        <w:pStyle w:val="AAAAAAATEXXXX"/>
        <w:rPr>
          <w:rFonts w:cs="Garamond"/>
          <w:b/>
          <w:bCs/>
          <w:i/>
          <w:iCs/>
          <w:lang w:val="sq-AL"/>
        </w:rPr>
      </w:pPr>
      <w:r w:rsidRPr="00050FA4">
        <w:rPr>
          <w:rFonts w:cs="Garamond"/>
          <w:b/>
          <w:bCs/>
          <w:i/>
          <w:iCs/>
          <w:lang w:val="sq-AL"/>
        </w:rPr>
        <w:t>5.2 Zhvilloni mjete të institucionalizuara për monitorimin e nevojave për aftësi në tregun e punës</w:t>
      </w:r>
      <w:r w:rsidR="00340B8C" w:rsidRPr="00050FA4">
        <w:rPr>
          <w:rFonts w:cs="Garamond"/>
          <w:b/>
          <w:bCs/>
          <w:i/>
          <w:iCs/>
          <w:lang w:val="sq-AL"/>
        </w:rPr>
        <w:t>,</w:t>
      </w:r>
      <w:r w:rsidRPr="00050FA4">
        <w:rPr>
          <w:rFonts w:cs="Garamond"/>
          <w:b/>
          <w:bCs/>
          <w:i/>
          <w:iCs/>
          <w:lang w:val="sq-AL"/>
        </w:rPr>
        <w:t xml:space="preserve"> me synimin për të ofruar udhëzime përkatëse për karrierë dhe për të përmirësuar ofertën e kurseve profesionale afatshk</w:t>
      </w:r>
      <w:r w:rsidR="00553F3C" w:rsidRPr="00050FA4">
        <w:rPr>
          <w:rFonts w:cs="Garamond"/>
          <w:b/>
          <w:bCs/>
          <w:i/>
          <w:iCs/>
          <w:lang w:val="sq-AL"/>
        </w:rPr>
        <w:t>urtra</w:t>
      </w:r>
      <w:r w:rsidR="00340B8C" w:rsidRPr="00050FA4">
        <w:rPr>
          <w:rFonts w:cs="Garamond"/>
          <w:b/>
          <w:bCs/>
          <w:i/>
          <w:iCs/>
          <w:lang w:val="sq-AL"/>
        </w:rPr>
        <w:t>,</w:t>
      </w:r>
      <w:r w:rsidR="00553F3C" w:rsidRPr="00050FA4">
        <w:rPr>
          <w:rFonts w:cs="Garamond"/>
          <w:b/>
          <w:bCs/>
          <w:i/>
          <w:iCs/>
          <w:lang w:val="sq-AL"/>
        </w:rPr>
        <w:t xml:space="preserve"> në përputhje me rrethanat</w:t>
      </w:r>
    </w:p>
    <w:p w14:paraId="2A6E2E6E" w14:textId="77777777" w:rsidR="00837498" w:rsidRPr="00050FA4" w:rsidRDefault="00837498" w:rsidP="003F1DA7">
      <w:pPr>
        <w:pStyle w:val="AAAAAAATEXXXX"/>
        <w:rPr>
          <w:rFonts w:cs="Garamond"/>
          <w:lang w:val="sq-AL"/>
        </w:rPr>
      </w:pPr>
      <w:r w:rsidRPr="00050FA4">
        <w:rPr>
          <w:rFonts w:cs="Garamond"/>
          <w:lang w:val="sq-AL"/>
        </w:rPr>
        <w:t>Analiza e nevojave për aftësi në nivel kombëtar është paraparë të bëhet në bashkëpunim me UNDP-në.</w:t>
      </w:r>
    </w:p>
    <w:p w14:paraId="5FF7F35F" w14:textId="2E38B09C" w:rsidR="00837498" w:rsidRPr="00050FA4" w:rsidRDefault="00837498" w:rsidP="003F1DA7">
      <w:pPr>
        <w:pStyle w:val="AAAAAAATEXXXX"/>
        <w:rPr>
          <w:rFonts w:cs="Garamond"/>
          <w:lang w:val="sq-AL"/>
        </w:rPr>
      </w:pPr>
      <w:r w:rsidRPr="00050FA4">
        <w:rPr>
          <w:rFonts w:cs="Garamond"/>
          <w:lang w:val="sq-AL"/>
        </w:rPr>
        <w:t>AKSHP</w:t>
      </w:r>
      <w:r w:rsidR="007B0A16" w:rsidRPr="00050FA4">
        <w:rPr>
          <w:rFonts w:cs="Garamond"/>
          <w:lang w:val="sq-AL"/>
        </w:rPr>
        <w:t>-ja,</w:t>
      </w:r>
      <w:r w:rsidRPr="00050FA4">
        <w:rPr>
          <w:rFonts w:cs="Garamond"/>
          <w:lang w:val="sq-AL"/>
        </w:rPr>
        <w:t xml:space="preserve"> në bashkëpunim me partnerët ka iniciuar kryerjen e analizave rajonale të tregut të punës</w:t>
      </w:r>
      <w:r w:rsidR="00340B8C" w:rsidRPr="00050FA4">
        <w:rPr>
          <w:rFonts w:cs="Garamond"/>
          <w:lang w:val="sq-AL"/>
        </w:rPr>
        <w:t>,</w:t>
      </w:r>
      <w:r w:rsidRPr="00050FA4">
        <w:rPr>
          <w:rFonts w:cs="Garamond"/>
          <w:lang w:val="sq-AL"/>
        </w:rPr>
        <w:t xml:space="preserve"> me qëllim planifikimin më të mirë të nevojave për trajnim dhe edukim. Ky instrument u pilotua në </w:t>
      </w:r>
      <w:r w:rsidR="00340B8C" w:rsidRPr="00050FA4">
        <w:rPr>
          <w:rFonts w:cs="Garamond"/>
          <w:lang w:val="sq-AL"/>
        </w:rPr>
        <w:t xml:space="preserve">qarkun </w:t>
      </w:r>
      <w:r w:rsidRPr="00050FA4">
        <w:rPr>
          <w:rFonts w:cs="Garamond"/>
          <w:lang w:val="sq-AL"/>
        </w:rPr>
        <w:t>e Elbasanit dhe së shpejti do të bëhet prezantimi i gjetjeve. Ndërkohë, SNA</w:t>
      </w:r>
      <w:r w:rsidR="00340B8C" w:rsidRPr="00050FA4">
        <w:rPr>
          <w:rFonts w:cs="Garamond"/>
          <w:lang w:val="sq-AL"/>
        </w:rPr>
        <w:t>-ja</w:t>
      </w:r>
      <w:r w:rsidRPr="00050FA4">
        <w:rPr>
          <w:rFonts w:cs="Garamond"/>
          <w:lang w:val="sq-AL"/>
        </w:rPr>
        <w:t xml:space="preserve"> në nivel kombëtar ende nuk është realizuar. Megjithatë, bashkëpunimi me UNDP-në ka filluar për realizimin e tij. Është planifikuar të zhvillohen takime me aktorë</w:t>
      </w:r>
      <w:r w:rsidR="00340B8C" w:rsidRPr="00050FA4">
        <w:rPr>
          <w:rFonts w:cs="Garamond"/>
          <w:lang w:val="sq-AL"/>
        </w:rPr>
        <w:t>,</w:t>
      </w:r>
      <w:r w:rsidRPr="00050FA4">
        <w:rPr>
          <w:rFonts w:cs="Garamond"/>
          <w:lang w:val="sq-AL"/>
        </w:rPr>
        <w:t xml:space="preserve"> që kanë punuar më parë për këtë instrument. Qëllimi është që metodologjia të kthehet në një instrument të qëndrueshëm</w:t>
      </w:r>
      <w:r w:rsidR="002D7088">
        <w:rPr>
          <w:rFonts w:cs="Garamond"/>
          <w:lang w:val="sq-AL"/>
        </w:rPr>
        <w:t>.</w:t>
      </w:r>
    </w:p>
    <w:p w14:paraId="4640734E" w14:textId="6A79BF73" w:rsidR="00837498" w:rsidRPr="00050FA4" w:rsidRDefault="00837498" w:rsidP="003F1DA7">
      <w:pPr>
        <w:pStyle w:val="AAAAAAATEXXXX"/>
        <w:rPr>
          <w:rFonts w:cs="Garamond"/>
          <w:lang w:val="sq-AL"/>
        </w:rPr>
      </w:pPr>
      <w:r w:rsidRPr="00050FA4">
        <w:rPr>
          <w:rFonts w:cs="Garamond"/>
          <w:lang w:val="sq-AL"/>
        </w:rPr>
        <w:t xml:space="preserve">Në fund të vitit 2020, projekti </w:t>
      </w:r>
      <w:r w:rsidRPr="00050FA4">
        <w:rPr>
          <w:rFonts w:cs="Garamond"/>
          <w:i/>
          <w:lang w:val="sq-AL"/>
        </w:rPr>
        <w:t>Skills 4 Jobs</w:t>
      </w:r>
      <w:r w:rsidRPr="00050FA4">
        <w:rPr>
          <w:rFonts w:cs="Garamond"/>
          <w:lang w:val="sq-AL"/>
        </w:rPr>
        <w:t xml:space="preserve"> organizoi 14 </w:t>
      </w:r>
      <w:r w:rsidRPr="00050FA4">
        <w:rPr>
          <w:rFonts w:cs="Garamond"/>
          <w:i/>
          <w:lang w:val="sq-AL"/>
        </w:rPr>
        <w:t>workshop</w:t>
      </w:r>
      <w:r w:rsidR="00DA618F" w:rsidRPr="00050FA4">
        <w:rPr>
          <w:rFonts w:cs="Garamond"/>
          <w:lang w:val="sq-AL"/>
        </w:rPr>
        <w:t>-</w:t>
      </w:r>
      <w:r w:rsidRPr="00050FA4">
        <w:rPr>
          <w:rFonts w:cs="Garamond"/>
          <w:lang w:val="sq-AL"/>
        </w:rPr>
        <w:t>e në 5 qarqe të vendit</w:t>
      </w:r>
      <w:r w:rsidR="00340B8C" w:rsidRPr="00050FA4">
        <w:rPr>
          <w:rFonts w:cs="Garamond"/>
          <w:lang w:val="sq-AL"/>
        </w:rPr>
        <w:t>,</w:t>
      </w:r>
      <w:r w:rsidRPr="00050FA4">
        <w:rPr>
          <w:rFonts w:cs="Garamond"/>
          <w:lang w:val="sq-AL"/>
        </w:rPr>
        <w:t xml:space="preserve"> ku operon projekti, përkatësisht në Vlorë, Lezhë, Elbasan, Shkodër dhe Berat. Qëllimi i këtyre tabelave të dialogut është të lehtësojë procesin e përshtatjes së programeve të studimit dhe trajnimit në rajon me nevojat e bizneseve lokale për punëtorë të kualifikuar. Objektivat e platformës së dialogut janë:</w:t>
      </w:r>
    </w:p>
    <w:p w14:paraId="3194517A" w14:textId="79301F46"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rritja </w:t>
      </w:r>
      <w:r w:rsidRPr="00050FA4">
        <w:rPr>
          <w:rFonts w:cs="Garamond"/>
          <w:lang w:val="sq-AL"/>
        </w:rPr>
        <w:t>e ndërgjegjësimit dhe shkëmbimit të informacionit në nivel qarku ndërmjet ofruesve të arsimit dhe trajnimit, dhe kompanive;</w:t>
      </w:r>
    </w:p>
    <w:p w14:paraId="22067C81" w14:textId="3EC9B276"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lehtësimi </w:t>
      </w:r>
      <w:r w:rsidRPr="00050FA4">
        <w:rPr>
          <w:rFonts w:cs="Garamond"/>
          <w:lang w:val="sq-AL"/>
        </w:rPr>
        <w:t xml:space="preserve">i koordinimit dhe </w:t>
      </w:r>
      <w:r w:rsidR="00340B8C" w:rsidRPr="00050FA4">
        <w:rPr>
          <w:rFonts w:cs="Garamond"/>
          <w:lang w:val="sq-AL"/>
        </w:rPr>
        <w:t xml:space="preserve">i </w:t>
      </w:r>
      <w:r w:rsidRPr="00050FA4">
        <w:rPr>
          <w:rFonts w:cs="Garamond"/>
          <w:lang w:val="sq-AL"/>
        </w:rPr>
        <w:t>partneritetit ndërmjet ofruesve dhe punëdhënësve</w:t>
      </w:r>
      <w:r w:rsidR="00340B8C" w:rsidRPr="00050FA4">
        <w:rPr>
          <w:rFonts w:cs="Garamond"/>
          <w:lang w:val="sq-AL"/>
        </w:rPr>
        <w:t>,</w:t>
      </w:r>
      <w:r w:rsidRPr="00050FA4">
        <w:rPr>
          <w:rFonts w:cs="Garamond"/>
          <w:lang w:val="sq-AL"/>
        </w:rPr>
        <w:t xml:space="preserve"> në mënyrë që të zvogëlohet hendeku midis arsimit dhe trajnimit, dhe botës së punës;</w:t>
      </w:r>
    </w:p>
    <w:p w14:paraId="6DE329C4" w14:textId="5BEE3FEB"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promovimi </w:t>
      </w:r>
      <w:r w:rsidRPr="00050FA4">
        <w:rPr>
          <w:rFonts w:cs="Garamond"/>
          <w:lang w:val="sq-AL"/>
        </w:rPr>
        <w:t>i zhvillimit të aftësive të kërkuara nga tregu i punës nëpërmjet një procesi të vlerësimit të nevojave pjesëmarrëse dhe gjithëpërfshirëse;</w:t>
      </w:r>
    </w:p>
    <w:p w14:paraId="3EC63A4A" w14:textId="288A441F"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lehtësimi </w:t>
      </w:r>
      <w:r w:rsidRPr="00050FA4">
        <w:rPr>
          <w:rFonts w:cs="Garamond"/>
          <w:lang w:val="sq-AL"/>
        </w:rPr>
        <w:t>i përfshirjes më të madhe dhe në rritje të kompanive si në identifikimin e aftësive ashtu edhe në ofrimin e aftësive të reja.</w:t>
      </w:r>
    </w:p>
    <w:p w14:paraId="55B70CE9" w14:textId="77777777" w:rsidR="00837498" w:rsidRPr="00050FA4" w:rsidRDefault="00837498" w:rsidP="003F1DA7">
      <w:pPr>
        <w:pStyle w:val="AAAAAAATEXXXX"/>
        <w:rPr>
          <w:rFonts w:cs="Garamond"/>
          <w:lang w:val="sq-AL"/>
        </w:rPr>
      </w:pPr>
      <w:r w:rsidRPr="00050FA4">
        <w:rPr>
          <w:rFonts w:cs="Garamond"/>
          <w:lang w:val="sq-AL"/>
        </w:rPr>
        <w:t>Ajo që u vu re dhe u konkludua nga këto takime ishte gatishmëria e lartë e sektorit privat për t’u përfshirë në krijimin e kurseve apo profileve afatshkurtra të prezantuara dhe pjesëmarrjen/frekuentimin e tyre nga punonjës të sektorëve përkatës.</w:t>
      </w:r>
    </w:p>
    <w:p w14:paraId="6A77334A" w14:textId="44A3DDFC" w:rsidR="00837498" w:rsidRPr="00050FA4" w:rsidRDefault="00837498" w:rsidP="003F1DA7">
      <w:pPr>
        <w:pStyle w:val="AAAAAAATEXXXX"/>
        <w:rPr>
          <w:rFonts w:cs="Garamond"/>
          <w:lang w:val="sq-AL"/>
        </w:rPr>
      </w:pPr>
      <w:r w:rsidRPr="00050FA4">
        <w:rPr>
          <w:rFonts w:cs="Garamond"/>
          <w:lang w:val="sq-AL"/>
        </w:rPr>
        <w:t>Ekziston</w:t>
      </w:r>
      <w:r w:rsidR="00CD256F" w:rsidRPr="00050FA4">
        <w:rPr>
          <w:rFonts w:cs="Garamond"/>
          <w:lang w:val="sq-AL"/>
        </w:rPr>
        <w:t>,</w:t>
      </w:r>
      <w:r w:rsidRPr="00050FA4">
        <w:rPr>
          <w:rFonts w:cs="Garamond"/>
          <w:lang w:val="sq-AL"/>
        </w:rPr>
        <w:t xml:space="preserve"> gjithashtu</w:t>
      </w:r>
      <w:r w:rsidR="00CD256F" w:rsidRPr="00050FA4">
        <w:rPr>
          <w:rFonts w:cs="Garamond"/>
          <w:lang w:val="sq-AL"/>
        </w:rPr>
        <w:t>,</w:t>
      </w:r>
      <w:r w:rsidRPr="00050FA4">
        <w:rPr>
          <w:rFonts w:cs="Garamond"/>
          <w:lang w:val="sq-AL"/>
        </w:rPr>
        <w:t xml:space="preserve"> një interes i shtuar i sektorit privat për të intensifikuar bashkëpunimin me institucionet e AFP-së dhe aktorë të tjerë; si rezultat i kërkesës në rritje për specialistë të kualifikuar në të gjitha industritë.</w:t>
      </w:r>
    </w:p>
    <w:p w14:paraId="79F78641" w14:textId="5534CCEB" w:rsidR="00837498" w:rsidRPr="00050FA4" w:rsidRDefault="00837498" w:rsidP="003F1DA7">
      <w:pPr>
        <w:pStyle w:val="AAAAAAATEXXXX"/>
        <w:rPr>
          <w:rFonts w:cs="Garamond"/>
          <w:lang w:val="sq-AL"/>
        </w:rPr>
      </w:pPr>
      <w:r w:rsidRPr="00050FA4">
        <w:rPr>
          <w:rFonts w:cs="Garamond"/>
          <w:lang w:val="sq-AL"/>
        </w:rPr>
        <w:t>Gatishmëria e sektorit privat për bashkëpunim në përmirësimin e kurrikulave dhe moduleve mësimore, si dhe realizimin e praktikës profesionale, me qëllim përshtatjen e aft</w:t>
      </w:r>
      <w:r w:rsidR="000A2EEC" w:rsidRPr="00050FA4">
        <w:rPr>
          <w:rFonts w:cs="Garamond"/>
          <w:lang w:val="sq-AL"/>
        </w:rPr>
        <w:t>ësive me kërkesat e industrisë.</w:t>
      </w:r>
    </w:p>
    <w:p w14:paraId="27E66CCB" w14:textId="7E27F26A" w:rsidR="00837498" w:rsidRPr="00050FA4" w:rsidRDefault="00837498" w:rsidP="003F1DA7">
      <w:pPr>
        <w:pStyle w:val="AAAAAAATEXXXX"/>
        <w:rPr>
          <w:rFonts w:cs="Garamond"/>
          <w:lang w:val="sq-AL"/>
        </w:rPr>
      </w:pPr>
      <w:r w:rsidRPr="00050FA4">
        <w:rPr>
          <w:rFonts w:cs="Garamond"/>
          <w:lang w:val="sq-AL"/>
        </w:rPr>
        <w:t>AKKSH</w:t>
      </w:r>
      <w:r w:rsidR="00DA618F" w:rsidRPr="00050FA4">
        <w:rPr>
          <w:rFonts w:cs="Garamond"/>
          <w:lang w:val="sq-AL"/>
        </w:rPr>
        <w:t>-ja</w:t>
      </w:r>
      <w:r w:rsidR="000A2EEC" w:rsidRPr="00050FA4">
        <w:rPr>
          <w:rFonts w:cs="Garamond"/>
          <w:lang w:val="sq-AL"/>
        </w:rPr>
        <w:t>,</w:t>
      </w:r>
      <w:r w:rsidRPr="00050FA4">
        <w:rPr>
          <w:rFonts w:cs="Garamond"/>
          <w:lang w:val="sq-AL"/>
        </w:rPr>
        <w:t xml:space="preserve"> në bashkëpunim me partnerët</w:t>
      </w:r>
      <w:r w:rsidR="000A2EEC" w:rsidRPr="00050FA4">
        <w:rPr>
          <w:rFonts w:cs="Garamond"/>
          <w:lang w:val="sq-AL"/>
        </w:rPr>
        <w:t>,</w:t>
      </w:r>
      <w:r w:rsidRPr="00050FA4">
        <w:rPr>
          <w:rFonts w:cs="Garamond"/>
          <w:lang w:val="sq-AL"/>
        </w:rPr>
        <w:t xml:space="preserve"> ka iniciuar kryerjen e analizave rajonale të tregut të punës për të planifikuar nevoja më të qarta për trajnim dhe trajnim. Ky instrument u pilotua në </w:t>
      </w:r>
      <w:r w:rsidR="000A2EEC" w:rsidRPr="00050FA4">
        <w:rPr>
          <w:rFonts w:cs="Garamond"/>
          <w:lang w:val="sq-AL"/>
        </w:rPr>
        <w:t xml:space="preserve">qarkun </w:t>
      </w:r>
      <w:r w:rsidRPr="00050FA4">
        <w:rPr>
          <w:rFonts w:cs="Garamond"/>
          <w:lang w:val="sq-AL"/>
        </w:rPr>
        <w:t xml:space="preserve">e </w:t>
      </w:r>
      <w:r w:rsidRPr="00050FA4">
        <w:rPr>
          <w:rFonts w:cs="Garamond"/>
          <w:lang w:val="sq-AL"/>
        </w:rPr>
        <w:lastRenderedPageBreak/>
        <w:t>Elbasanit dhe së shpejti do të bëhet prezantimi i gjetjeve</w:t>
      </w:r>
      <w:r w:rsidRPr="00050FA4">
        <w:rPr>
          <w:lang w:val="sq-AL"/>
        </w:rPr>
        <w:t>.</w:t>
      </w:r>
    </w:p>
    <w:p w14:paraId="66DAE18C" w14:textId="5F1E1767" w:rsidR="00837498" w:rsidRPr="00050FA4" w:rsidRDefault="00837498" w:rsidP="003F1DA7">
      <w:pPr>
        <w:pStyle w:val="AAAAAAATEXXXX"/>
        <w:rPr>
          <w:rFonts w:cs="Garamond"/>
          <w:b/>
          <w:bCs/>
          <w:i/>
          <w:iCs/>
          <w:lang w:val="sq-AL"/>
        </w:rPr>
      </w:pPr>
      <w:r w:rsidRPr="00050FA4">
        <w:rPr>
          <w:rFonts w:cs="Garamond"/>
          <w:b/>
          <w:bCs/>
          <w:i/>
          <w:iCs/>
          <w:lang w:val="sq-AL"/>
        </w:rPr>
        <w:t>5.3 Incentivoni lidhjen midis bizneseve inovative dhe akademisë në draftin e ardhshëm të Strategjisë për Zhvillimin e Biznesit dhe Investimeve 2021</w:t>
      </w:r>
      <w:r w:rsidR="000A2EEC" w:rsidRPr="00050FA4">
        <w:rPr>
          <w:rFonts w:cs="Garamond"/>
          <w:b/>
          <w:bCs/>
          <w:i/>
          <w:iCs/>
          <w:lang w:val="sq-AL"/>
        </w:rPr>
        <w:t>–</w:t>
      </w:r>
      <w:r w:rsidRPr="00050FA4">
        <w:rPr>
          <w:rFonts w:cs="Garamond"/>
          <w:b/>
          <w:bCs/>
          <w:i/>
          <w:iCs/>
          <w:lang w:val="sq-AL"/>
        </w:rPr>
        <w:t>2027</w:t>
      </w:r>
      <w:r w:rsidR="000A2EEC" w:rsidRPr="00050FA4">
        <w:rPr>
          <w:rFonts w:cs="Garamond"/>
          <w:b/>
          <w:bCs/>
          <w:i/>
          <w:iCs/>
          <w:lang w:val="sq-AL"/>
        </w:rPr>
        <w:t>,</w:t>
      </w:r>
      <w:r w:rsidRPr="00050FA4">
        <w:rPr>
          <w:rFonts w:cs="Garamond"/>
          <w:b/>
          <w:bCs/>
          <w:i/>
          <w:iCs/>
          <w:lang w:val="sq-AL"/>
        </w:rPr>
        <w:t xml:space="preserve"> duke përfshirë objektiva të qart</w:t>
      </w:r>
      <w:r w:rsidR="00BA32E8" w:rsidRPr="00050FA4">
        <w:rPr>
          <w:rFonts w:cs="Garamond"/>
          <w:b/>
          <w:bCs/>
          <w:i/>
          <w:iCs/>
          <w:lang w:val="sq-AL"/>
        </w:rPr>
        <w:t>ë</w:t>
      </w:r>
      <w:r w:rsidRPr="00050FA4">
        <w:rPr>
          <w:rFonts w:cs="Garamond"/>
          <w:b/>
          <w:bCs/>
          <w:i/>
          <w:iCs/>
          <w:lang w:val="sq-AL"/>
        </w:rPr>
        <w:t xml:space="preserve"> për të rritur financimin e shkencës dhe kërkimit dhe duke krijuar kushtet për zhvill</w:t>
      </w:r>
      <w:r w:rsidR="00F26EA4" w:rsidRPr="00050FA4">
        <w:rPr>
          <w:rFonts w:cs="Garamond"/>
          <w:b/>
          <w:bCs/>
          <w:i/>
          <w:iCs/>
          <w:lang w:val="sq-AL"/>
        </w:rPr>
        <w:t>imin e inkubatorëve të biznesit</w:t>
      </w:r>
    </w:p>
    <w:p w14:paraId="760BB151" w14:textId="146E4BEE" w:rsidR="00837498" w:rsidRPr="00050FA4" w:rsidRDefault="00837498" w:rsidP="003F1DA7">
      <w:pPr>
        <w:pStyle w:val="AAAAAAATEXXXX"/>
        <w:rPr>
          <w:rFonts w:cs="Garamond"/>
          <w:lang w:val="sq-AL"/>
        </w:rPr>
      </w:pPr>
      <w:r w:rsidRPr="00050FA4">
        <w:rPr>
          <w:rFonts w:cs="Garamond"/>
          <w:lang w:val="sq-AL"/>
        </w:rPr>
        <w:t>Inteligjenca e shkathtësive të shëndosha përbën pikën fillestare për sigurimin e arsimit dhe trajnimit modern dhe dinamik</w:t>
      </w:r>
      <w:r w:rsidR="000658FE" w:rsidRPr="00050FA4">
        <w:rPr>
          <w:rFonts w:cs="Garamond"/>
          <w:lang w:val="sq-AL"/>
        </w:rPr>
        <w:t>,</w:t>
      </w:r>
      <w:r w:rsidRPr="00050FA4">
        <w:rPr>
          <w:rFonts w:cs="Garamond"/>
          <w:lang w:val="sq-AL"/>
        </w:rPr>
        <w:t xml:space="preserve"> në përputhje me nevojat e tregut të punës dhe të shoqërisë. Bazuar në inteligjencën e aftësive të përditësuara dhe lehtësisht të arritshme, nevojiten përpjekje të bashkërenduara për të ndihmuar NVM-të në identifikimin e masave të duhura për përmirësimin e aftësive, për të zgjeruar ofertën e trajnimit dhe për të mbajtur ritmin me shpejtësinë e tranzicioneve dhe ndryshimeve në mjedisin konkurrues. Kjo përfshin forcimin e lidhjeve midis aktorëve të heliksit të trefishtë</w:t>
      </w:r>
      <w:r w:rsidR="009B5C49" w:rsidRPr="00050FA4">
        <w:rPr>
          <w:rFonts w:cs="Garamond"/>
          <w:lang w:val="sq-AL"/>
        </w:rPr>
        <w:t>,</w:t>
      </w:r>
      <w:r w:rsidRPr="00050FA4">
        <w:rPr>
          <w:rFonts w:cs="Garamond"/>
          <w:lang w:val="sq-AL"/>
        </w:rPr>
        <w:t xml:space="preserve"> që eksplorojnë qasje të reja për të promovuar bashkëpunimin dhe lëvizshmërinë midis akademisë dhe bizneseve.</w:t>
      </w:r>
    </w:p>
    <w:p w14:paraId="399E5B20" w14:textId="7BB156E2" w:rsidR="00837498" w:rsidRPr="00050FA4" w:rsidRDefault="00837498" w:rsidP="003F1DA7">
      <w:pPr>
        <w:pStyle w:val="AAAAAAATEXXXX"/>
        <w:rPr>
          <w:rFonts w:cs="Garamond"/>
          <w:lang w:val="sq-AL"/>
        </w:rPr>
      </w:pPr>
      <w:r w:rsidRPr="00050FA4">
        <w:rPr>
          <w:rFonts w:cs="Garamond"/>
          <w:lang w:val="sq-AL"/>
        </w:rPr>
        <w:t>Në këtë kontekst, ekziston</w:t>
      </w:r>
      <w:r w:rsidR="009B5C49" w:rsidRPr="00050FA4">
        <w:rPr>
          <w:rFonts w:cs="Garamond"/>
          <w:lang w:val="sq-AL"/>
        </w:rPr>
        <w:t>,</w:t>
      </w:r>
      <w:r w:rsidRPr="00050FA4">
        <w:rPr>
          <w:rFonts w:cs="Garamond"/>
          <w:lang w:val="sq-AL"/>
        </w:rPr>
        <w:t xml:space="preserve"> gjithashtu</w:t>
      </w:r>
      <w:r w:rsidR="009B5C49" w:rsidRPr="00050FA4">
        <w:rPr>
          <w:rFonts w:cs="Garamond"/>
          <w:lang w:val="sq-AL"/>
        </w:rPr>
        <w:t>,</w:t>
      </w:r>
      <w:r w:rsidRPr="00050FA4">
        <w:rPr>
          <w:rFonts w:cs="Garamond"/>
          <w:lang w:val="sq-AL"/>
        </w:rPr>
        <w:t xml:space="preserve"> një potencial premtues për të përdorur sinergjitë në ndërlidhjen midis zhvillimit të kapitalit njerëzor dhe fushave të tjera të ndërhyrjes së BIDS</w:t>
      </w:r>
      <w:r w:rsidR="00DA618F" w:rsidRPr="00050FA4">
        <w:rPr>
          <w:rFonts w:cs="Garamond"/>
          <w:lang w:val="sq-AL"/>
        </w:rPr>
        <w:t>-it,</w:t>
      </w:r>
      <w:r w:rsidRPr="00050FA4">
        <w:rPr>
          <w:rFonts w:cs="Garamond"/>
          <w:lang w:val="sq-AL"/>
        </w:rPr>
        <w:t xml:space="preserve"> në veçanti</w:t>
      </w:r>
      <w:r w:rsidR="00DA618F" w:rsidRPr="00050FA4">
        <w:rPr>
          <w:rFonts w:cs="Garamond"/>
          <w:lang w:val="sq-AL"/>
        </w:rPr>
        <w:t>,</w:t>
      </w:r>
      <w:r w:rsidRPr="00050FA4">
        <w:rPr>
          <w:rFonts w:cs="Garamond"/>
          <w:lang w:val="sq-AL"/>
        </w:rPr>
        <w:t xml:space="preserve"> në lidhje me:</w:t>
      </w:r>
    </w:p>
    <w:p w14:paraId="0B1AA748" w14:textId="0B2E1794"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fokusimi </w:t>
      </w:r>
      <w:r w:rsidRPr="00050FA4">
        <w:rPr>
          <w:rFonts w:cs="Garamond"/>
          <w:lang w:val="sq-AL"/>
        </w:rPr>
        <w:t>në nevojat e investitorëve dhe përfshirja e tyre në masat e zhvillimit të aftësive në të njëjtën kohë;</w:t>
      </w:r>
    </w:p>
    <w:p w14:paraId="189021AB" w14:textId="7356EC4F"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nxitja </w:t>
      </w:r>
      <w:r w:rsidRPr="00050FA4">
        <w:rPr>
          <w:rFonts w:cs="Garamond"/>
          <w:lang w:val="sq-AL"/>
        </w:rPr>
        <w:t>e të mësuarit sipërmarrës dhe intensifikimi i bashkëpunimit ndërmjet sipërmarrësve dhe institucioneve arsimore dhe trajnuese;</w:t>
      </w:r>
    </w:p>
    <w:p w14:paraId="6C684C8C" w14:textId="49F520E6" w:rsidR="00837498" w:rsidRPr="00050FA4" w:rsidRDefault="00837498" w:rsidP="003F1DA7">
      <w:pPr>
        <w:pStyle w:val="AAAAAAATEXXXX"/>
        <w:rPr>
          <w:rFonts w:cs="Garamond"/>
          <w:lang w:val="sq-AL"/>
        </w:rPr>
      </w:pPr>
      <w:r w:rsidRPr="00050FA4">
        <w:rPr>
          <w:rFonts w:cs="Garamond"/>
          <w:lang w:val="sq-AL"/>
        </w:rPr>
        <w:t xml:space="preserve">- </w:t>
      </w:r>
      <w:r w:rsidR="00DA618F" w:rsidRPr="00050FA4">
        <w:rPr>
          <w:rFonts w:cs="Garamond"/>
          <w:lang w:val="sq-AL"/>
        </w:rPr>
        <w:t xml:space="preserve">integrimi </w:t>
      </w:r>
      <w:r w:rsidRPr="00050FA4">
        <w:rPr>
          <w:rFonts w:cs="Garamond"/>
          <w:lang w:val="sq-AL"/>
        </w:rPr>
        <w:t>i zhvillimit të aftësive në masat dhe iniciativat mbështetëse të SME-ve për të përmirësuar zinxhirët premtues të vlerës në kontekstin e specializimit të zgjuar.</w:t>
      </w:r>
    </w:p>
    <w:p w14:paraId="784D963C" w14:textId="1D98DA9E" w:rsidR="00837498" w:rsidRPr="00050FA4" w:rsidRDefault="00837498" w:rsidP="003F1DA7">
      <w:pPr>
        <w:pStyle w:val="AAAAAAATEXXXX"/>
        <w:rPr>
          <w:rFonts w:cs="Garamond"/>
          <w:lang w:val="sq-AL"/>
        </w:rPr>
      </w:pPr>
      <w:r w:rsidRPr="00050FA4">
        <w:rPr>
          <w:rFonts w:cs="Garamond"/>
          <w:lang w:val="sq-AL"/>
        </w:rPr>
        <w:t xml:space="preserve">Në fushën e ndërhyrjes 3: Zhvillimi i kapitalit njerëzor, </w:t>
      </w:r>
      <w:r w:rsidR="009B5C49" w:rsidRPr="00050FA4">
        <w:rPr>
          <w:rFonts w:cs="Garamond"/>
          <w:lang w:val="sq-AL"/>
        </w:rPr>
        <w:t xml:space="preserve">ka </w:t>
      </w:r>
      <w:r w:rsidRPr="00050FA4">
        <w:rPr>
          <w:rFonts w:cs="Garamond"/>
          <w:lang w:val="sq-AL"/>
        </w:rPr>
        <w:t>disa parime të Strateg</w:t>
      </w:r>
      <w:r w:rsidR="009B5C49" w:rsidRPr="00050FA4">
        <w:rPr>
          <w:rFonts w:cs="Garamond"/>
          <w:lang w:val="sq-AL"/>
        </w:rPr>
        <w:t xml:space="preserve">jisë së BE-së për SME-të dhe agjendën </w:t>
      </w:r>
      <w:r w:rsidRPr="00050FA4">
        <w:rPr>
          <w:rFonts w:cs="Garamond"/>
          <w:lang w:val="sq-AL"/>
        </w:rPr>
        <w:t xml:space="preserve">e </w:t>
      </w:r>
      <w:r w:rsidR="009B5C49" w:rsidRPr="00050FA4">
        <w:rPr>
          <w:rFonts w:cs="Garamond"/>
          <w:lang w:val="sq-AL"/>
        </w:rPr>
        <w:t>aftësive</w:t>
      </w:r>
      <w:r w:rsidRPr="00050FA4">
        <w:rPr>
          <w:rFonts w:cs="Garamond"/>
          <w:lang w:val="sq-AL"/>
        </w:rPr>
        <w:t xml:space="preserve">, BIDS-i i ri thekson rëndësinë strategjike të </w:t>
      </w:r>
      <w:r w:rsidR="009B5C49" w:rsidRPr="00050FA4">
        <w:rPr>
          <w:rFonts w:cs="Garamond"/>
          <w:lang w:val="sq-AL"/>
        </w:rPr>
        <w:t xml:space="preserve">aftësive </w:t>
      </w:r>
      <w:r w:rsidRPr="00050FA4">
        <w:rPr>
          <w:rFonts w:cs="Garamond"/>
          <w:lang w:val="sq-AL"/>
        </w:rPr>
        <w:t xml:space="preserve">nga këndvështrimi i SME-ve, investitorëve të mëdhenj dhe </w:t>
      </w:r>
      <w:r w:rsidR="00E708DC" w:rsidRPr="00050FA4">
        <w:rPr>
          <w:rFonts w:cs="Garamond"/>
          <w:i/>
          <w:lang w:val="sq-AL"/>
        </w:rPr>
        <w:t>start-up</w:t>
      </w:r>
      <w:r w:rsidRPr="00050FA4">
        <w:rPr>
          <w:rFonts w:cs="Garamond"/>
          <w:lang w:val="sq-AL"/>
        </w:rPr>
        <w:t>-eve. Aftësitë dhe të mësuarit gjatë gjithë jetës janë thelbësore për rritjen e qëndrueshme, produktivitetin dhe inovacionin. Është vetëm me aftësitë e duhura që Shqipëria mund të forcojë pozicionin e saj në konkurrencën ndërkombëtare dhe zinxhirët e vlerave dhe të ketë një rinisje të qëndrueshme ekonomike pas krizës pandemike.</w:t>
      </w:r>
    </w:p>
    <w:p w14:paraId="538973E8" w14:textId="537FE575" w:rsidR="00837498" w:rsidRPr="00050FA4" w:rsidRDefault="00837498" w:rsidP="003F1DA7">
      <w:pPr>
        <w:pStyle w:val="AAAAAAATEXXXX"/>
        <w:rPr>
          <w:rFonts w:cs="Garamond"/>
          <w:lang w:val="sq-AL"/>
        </w:rPr>
      </w:pPr>
      <w:r w:rsidRPr="00050FA4">
        <w:rPr>
          <w:rFonts w:cs="Garamond"/>
          <w:lang w:val="sq-AL"/>
        </w:rPr>
        <w:t>Aktivitetet arsimore dhe të aftësive të larta janë thelbësore për t’i bërë firmat lokale të përshtatshme për transformimin e zinxhirëve ndërkombëtarë të vlerës, tregun e vetëm, për specializim të zgjuar</w:t>
      </w:r>
      <w:r w:rsidR="00465575" w:rsidRPr="00050FA4">
        <w:rPr>
          <w:rFonts w:cs="Garamond"/>
          <w:lang w:val="sq-AL"/>
        </w:rPr>
        <w:t>,</w:t>
      </w:r>
      <w:r w:rsidRPr="00050FA4">
        <w:rPr>
          <w:rFonts w:cs="Garamond"/>
          <w:lang w:val="sq-AL"/>
        </w:rPr>
        <w:t xml:space="preserve"> si dhe transformimin e gjelbër dhe </w:t>
      </w:r>
      <w:r w:rsidR="00C948AF" w:rsidRPr="00050FA4">
        <w:rPr>
          <w:rFonts w:cs="Garamond"/>
          <w:lang w:val="sq-AL"/>
        </w:rPr>
        <w:t>digjital</w:t>
      </w:r>
      <w:r w:rsidRPr="00050FA4">
        <w:rPr>
          <w:rFonts w:cs="Garamond"/>
          <w:lang w:val="sq-AL"/>
        </w:rPr>
        <w:t xml:space="preserve">. Në një mjedis konkurrues në ndryshim, </w:t>
      </w:r>
      <w:r w:rsidR="00E708DC" w:rsidRPr="00050FA4">
        <w:rPr>
          <w:rFonts w:cs="Garamond"/>
          <w:i/>
          <w:lang w:val="sq-AL"/>
        </w:rPr>
        <w:t>start-up</w:t>
      </w:r>
      <w:r w:rsidRPr="00050FA4">
        <w:rPr>
          <w:rFonts w:cs="Garamond"/>
          <w:lang w:val="sq-AL"/>
        </w:rPr>
        <w:t xml:space="preserve">-et dhe SME-të e krijuara njësoj shpesh sfidohen nga mungesa e punonjësve të kualifikuar. Ata shpesh nuk kanë të njëjtat burime si kompanitë e mëdha për të investuar në trajnimin e punonjësve të tyre. Në të njëjtën kohë, baza e aftësive ka fituar rëndësi në vendimet për vendndodhjen e investitorëve, </w:t>
      </w:r>
      <w:r w:rsidRPr="003570C4">
        <w:rPr>
          <w:rFonts w:cs="Garamond"/>
          <w:lang w:val="sq-AL"/>
        </w:rPr>
        <w:t>veçanërisht ng</w:t>
      </w:r>
      <w:r w:rsidR="00467F1F">
        <w:rPr>
          <w:rFonts w:cs="Garamond"/>
          <w:lang w:val="sq-AL"/>
        </w:rPr>
        <w:t>a grupe s</w:t>
      </w:r>
      <w:bookmarkStart w:id="1" w:name="_GoBack"/>
      <w:bookmarkEnd w:id="1"/>
      <w:r w:rsidRPr="003570C4">
        <w:rPr>
          <w:rFonts w:cs="Garamond"/>
          <w:lang w:val="sq-AL"/>
        </w:rPr>
        <w:t>ynimi të</w:t>
      </w:r>
      <w:r w:rsidRPr="00050FA4">
        <w:rPr>
          <w:rFonts w:cs="Garamond"/>
          <w:lang w:val="sq-AL"/>
        </w:rPr>
        <w:t xml:space="preserve"> drejtuara nga njohuritë dhe teknologjia.</w:t>
      </w:r>
    </w:p>
    <w:p w14:paraId="5B306BB6" w14:textId="6F39E7B0" w:rsidR="00837498" w:rsidRPr="00050FA4" w:rsidRDefault="00837498" w:rsidP="003F1DA7">
      <w:pPr>
        <w:pStyle w:val="AAAAAAATEXXXX"/>
        <w:rPr>
          <w:rFonts w:cs="Garamond"/>
          <w:lang w:val="sq-AL"/>
        </w:rPr>
      </w:pPr>
      <w:r w:rsidRPr="00050FA4">
        <w:rPr>
          <w:rFonts w:cs="Garamond"/>
          <w:lang w:val="sq-AL"/>
        </w:rPr>
        <w:t>Duke marrë parasysh situatën aktuale dhe burimet e disponueshme është e rëndësishme që të kontekstualizohet zhvillimi i kapitalit njerëzor me fushat e tjera të ndërhyrjes dhe të ndiqet një qasje e ardhshme dhe bashkëpunuese. Në këtë sfond, veprimet në këtë fushë ndërhyrje synojnë arritjen e objektivave dhe rezultateve të pritsh</w:t>
      </w:r>
      <w:r w:rsidR="00843149" w:rsidRPr="00050FA4">
        <w:rPr>
          <w:rFonts w:cs="Garamond"/>
          <w:lang w:val="sq-AL"/>
        </w:rPr>
        <w:t>ë</w:t>
      </w:r>
      <w:r w:rsidRPr="00050FA4">
        <w:rPr>
          <w:rFonts w:cs="Garamond"/>
          <w:lang w:val="sq-AL"/>
        </w:rPr>
        <w:t>m të paraqitur në figurën më poshtë</w:t>
      </w:r>
      <w:r w:rsidR="00843149" w:rsidRPr="00050FA4">
        <w:rPr>
          <w:rFonts w:cs="Garamond"/>
          <w:lang w:val="sq-AL"/>
        </w:rPr>
        <w:t>,</w:t>
      </w:r>
      <w:r w:rsidRPr="00050FA4">
        <w:rPr>
          <w:rFonts w:cs="Garamond"/>
          <w:lang w:val="sq-AL"/>
        </w:rPr>
        <w:t xml:space="preserve"> duke plotësuar dhe specifikuar qëllimin e përcaktuar të politikës.</w:t>
      </w:r>
    </w:p>
    <w:p w14:paraId="6BA11C8D" w14:textId="1B7A5076" w:rsidR="00837498" w:rsidRPr="00050FA4" w:rsidRDefault="00837498" w:rsidP="003F1DA7">
      <w:pPr>
        <w:pStyle w:val="AAAAAAATEXXXX"/>
        <w:rPr>
          <w:rFonts w:cs="Garamond"/>
          <w:lang w:val="sq-AL"/>
        </w:rPr>
      </w:pPr>
      <w:r w:rsidRPr="00050FA4">
        <w:rPr>
          <w:rFonts w:cs="Garamond"/>
          <w:lang w:val="sq-AL"/>
        </w:rPr>
        <w:t>Ka disa masa që synojnë të forcojnë lidhjet midis bizneseve inovative dhe akademisë</w:t>
      </w:r>
      <w:r w:rsidR="00843149" w:rsidRPr="00050FA4">
        <w:rPr>
          <w:rFonts w:cs="Garamond"/>
          <w:lang w:val="sq-AL"/>
        </w:rPr>
        <w:t>,</w:t>
      </w:r>
      <w:r w:rsidRPr="00050FA4">
        <w:rPr>
          <w:rFonts w:cs="Garamond"/>
          <w:lang w:val="sq-AL"/>
        </w:rPr>
        <w:t xml:space="preserve"> si:</w:t>
      </w:r>
    </w:p>
    <w:p w14:paraId="1ED13B98" w14:textId="3E6D8CB8" w:rsidR="00837498" w:rsidRPr="00050FA4" w:rsidRDefault="00837498" w:rsidP="003F1DA7">
      <w:pPr>
        <w:pStyle w:val="AAAAAAATEXXXX"/>
        <w:rPr>
          <w:rFonts w:cs="Garamond"/>
          <w:lang w:val="sq-AL"/>
        </w:rPr>
      </w:pPr>
      <w:r w:rsidRPr="00050FA4">
        <w:rPr>
          <w:rFonts w:cs="Garamond"/>
          <w:lang w:val="sq-AL"/>
        </w:rPr>
        <w:t>- Skema e mbështetjes së zhvillimit të kapitalit njerëzor bashkëpunues</w:t>
      </w:r>
      <w:r w:rsidR="00843149" w:rsidRPr="00050FA4">
        <w:rPr>
          <w:rFonts w:cs="Garamond"/>
          <w:lang w:val="sq-AL"/>
        </w:rPr>
        <w:t>.</w:t>
      </w:r>
    </w:p>
    <w:p w14:paraId="5BE7FF1F" w14:textId="186FE2B7" w:rsidR="00837498" w:rsidRPr="00050FA4" w:rsidRDefault="00837498" w:rsidP="003F1DA7">
      <w:pPr>
        <w:pStyle w:val="AAAAAAATEXXXX"/>
        <w:rPr>
          <w:rFonts w:cs="Garamond"/>
          <w:lang w:val="sq-AL"/>
        </w:rPr>
      </w:pPr>
      <w:r w:rsidRPr="00050FA4">
        <w:rPr>
          <w:rFonts w:cs="Garamond"/>
          <w:lang w:val="sq-AL"/>
        </w:rPr>
        <w:t>Si ndërmarrjet fillestare</w:t>
      </w:r>
      <w:r w:rsidR="00843149" w:rsidRPr="00050FA4">
        <w:rPr>
          <w:rFonts w:cs="Garamond"/>
          <w:lang w:val="sq-AL"/>
        </w:rPr>
        <w:t>,</w:t>
      </w:r>
      <w:r w:rsidRPr="00050FA4">
        <w:rPr>
          <w:rFonts w:cs="Garamond"/>
          <w:lang w:val="sq-AL"/>
        </w:rPr>
        <w:t xml:space="preserve"> ashtu edhe SME-të e themeluara</w:t>
      </w:r>
      <w:r w:rsidR="00843149" w:rsidRPr="00050FA4">
        <w:rPr>
          <w:rFonts w:cs="Garamond"/>
          <w:lang w:val="sq-AL"/>
        </w:rPr>
        <w:t>,</w:t>
      </w:r>
      <w:r w:rsidRPr="00050FA4">
        <w:rPr>
          <w:rFonts w:cs="Garamond"/>
          <w:lang w:val="sq-AL"/>
        </w:rPr>
        <w:t xml:space="preserve"> shpesh përballen me sfida nga mungesa e punonjësve të kualifikuar, veçanërisht për pozicionet e punës që kërkojnë më shumë aftësi. Bazuar në rekomandimet e </w:t>
      </w:r>
      <w:r w:rsidR="00843149" w:rsidRPr="00050FA4">
        <w:rPr>
          <w:rFonts w:cs="Garamond"/>
          <w:lang w:val="sq-AL"/>
        </w:rPr>
        <w:t xml:space="preserve">planit të veprimit </w:t>
      </w:r>
      <w:r w:rsidRPr="00050FA4">
        <w:rPr>
          <w:rFonts w:cs="Garamond"/>
          <w:i/>
          <w:lang w:val="sq-AL"/>
        </w:rPr>
        <w:t>Triple Helix</w:t>
      </w:r>
      <w:r w:rsidRPr="00050FA4">
        <w:rPr>
          <w:rFonts w:cs="Garamond"/>
          <w:lang w:val="sq-AL"/>
        </w:rPr>
        <w:t>, do të zhvillohet një skemë mbështetëse për të rritur bazën e aftësive dhe për të eksploruar qasje të reja për të nxitur bashkëpunimin dhe lëvizshmërinë midis shkollës dhe bizneseve. Kjo skemë do të ofrojë mbështetje financiare për punësimin e talenteve të kualifikuar në projektet e K&amp;ZH</w:t>
      </w:r>
      <w:r w:rsidR="00843149" w:rsidRPr="00050FA4">
        <w:rPr>
          <w:rFonts w:cs="Garamond"/>
          <w:lang w:val="sq-AL"/>
        </w:rPr>
        <w:t>-së</w:t>
      </w:r>
      <w:r w:rsidRPr="00050FA4">
        <w:rPr>
          <w:rFonts w:cs="Garamond"/>
          <w:lang w:val="sq-AL"/>
        </w:rPr>
        <w:t xml:space="preserve"> dhe </w:t>
      </w:r>
      <w:r w:rsidR="00843149" w:rsidRPr="00050FA4">
        <w:rPr>
          <w:rFonts w:cs="Garamond"/>
          <w:lang w:val="sq-AL"/>
        </w:rPr>
        <w:t xml:space="preserve">të </w:t>
      </w:r>
      <w:r w:rsidRPr="00050FA4">
        <w:rPr>
          <w:rFonts w:cs="Garamond"/>
          <w:lang w:val="sq-AL"/>
        </w:rPr>
        <w:t>inovacionit dhe mbulon dy komponentë:</w:t>
      </w:r>
    </w:p>
    <w:p w14:paraId="6E333E59" w14:textId="54789A4E" w:rsidR="00837498" w:rsidRPr="00050FA4" w:rsidRDefault="00837498" w:rsidP="003F1DA7">
      <w:pPr>
        <w:pStyle w:val="AAAAAAATEXXXX"/>
        <w:rPr>
          <w:rFonts w:cs="Garamond"/>
          <w:lang w:val="sq-AL"/>
        </w:rPr>
      </w:pPr>
      <w:r w:rsidRPr="00050FA4">
        <w:rPr>
          <w:rFonts w:cs="Garamond"/>
          <w:lang w:val="sq-AL"/>
        </w:rPr>
        <w:t>1. Asistencë për SME-të që punësojnë të sapodiplomuar të ta</w:t>
      </w:r>
      <w:r w:rsidR="00BB2ADD" w:rsidRPr="00050FA4">
        <w:rPr>
          <w:rFonts w:cs="Garamond"/>
          <w:lang w:val="sq-AL"/>
        </w:rPr>
        <w:t>lentuar për projekte inovacioni</w:t>
      </w:r>
    </w:p>
    <w:p w14:paraId="3EEBC05D" w14:textId="01E1AFA6" w:rsidR="00837498" w:rsidRPr="00050FA4" w:rsidRDefault="00837498" w:rsidP="003F1DA7">
      <w:pPr>
        <w:pStyle w:val="AAAAAAATEXXXX"/>
        <w:rPr>
          <w:rFonts w:cs="Garamond"/>
          <w:lang w:val="sq-AL"/>
        </w:rPr>
      </w:pPr>
      <w:r w:rsidRPr="00050FA4">
        <w:rPr>
          <w:rFonts w:cs="Garamond"/>
          <w:lang w:val="sq-AL"/>
        </w:rPr>
        <w:t xml:space="preserve">Të diplomuarit e rinj do të punësohen për detyra në fushat e kërkimit dhe </w:t>
      </w:r>
      <w:r w:rsidR="00AE7C86" w:rsidRPr="00050FA4">
        <w:rPr>
          <w:rFonts w:cs="Garamond"/>
          <w:lang w:val="sq-AL"/>
        </w:rPr>
        <w:t xml:space="preserve">të </w:t>
      </w:r>
      <w:r w:rsidRPr="00050FA4">
        <w:rPr>
          <w:rFonts w:cs="Garamond"/>
          <w:lang w:val="sq-AL"/>
        </w:rPr>
        <w:t>zhvillimit, zhvillimit/përmirësimit të produkteve dhe proceseve të reja, kërkimit të tregut dhe zhvillimit të biznesit për inovacion.</w:t>
      </w:r>
    </w:p>
    <w:p w14:paraId="753F7624" w14:textId="175949EB" w:rsidR="00837498" w:rsidRPr="00050FA4" w:rsidRDefault="00837498" w:rsidP="003F1DA7">
      <w:pPr>
        <w:pStyle w:val="AAAAAAATEXXXX"/>
        <w:rPr>
          <w:rFonts w:cs="Garamond"/>
          <w:lang w:val="sq-AL"/>
        </w:rPr>
      </w:pPr>
      <w:r w:rsidRPr="00050FA4">
        <w:rPr>
          <w:rFonts w:cs="Garamond"/>
          <w:lang w:val="sq-AL"/>
        </w:rPr>
        <w:t>Kjo skemë do të sigurojë një subvencion pagash</w:t>
      </w:r>
      <w:r w:rsidR="00843149" w:rsidRPr="00050FA4">
        <w:rPr>
          <w:rFonts w:cs="Garamond"/>
          <w:lang w:val="sq-AL"/>
        </w:rPr>
        <w:t>,</w:t>
      </w:r>
      <w:r w:rsidRPr="00050FA4">
        <w:rPr>
          <w:rFonts w:cs="Garamond"/>
          <w:lang w:val="sq-AL"/>
        </w:rPr>
        <w:t xml:space="preserve"> që mbulon deri në 50% të pagës bruto, si dhe shpenzimet e lidhura me punën (si trajnimi) të një të sapodiplomuari nga një SME për të punuar në projekte inovacioni, për një periudhë deri në 18 muaj. Kontributi maksimal do të arrijë vlerën 4500 euro për person (25 euro në muaj). Të diplomuarit e rinj do të punësohen sërish dhe për herë të parë. I </w:t>
      </w:r>
      <w:r w:rsidRPr="00050FA4">
        <w:rPr>
          <w:rFonts w:cs="Garamond"/>
          <w:lang w:val="sq-AL"/>
        </w:rPr>
        <w:lastRenderedPageBreak/>
        <w:t>sapodiplomuari nuk duhet të zëvendësojë një pozicion ekzistues.</w:t>
      </w:r>
    </w:p>
    <w:p w14:paraId="1EA4326D" w14:textId="12462967" w:rsidR="00837498" w:rsidRPr="00050FA4" w:rsidRDefault="00837498" w:rsidP="003F1DA7">
      <w:pPr>
        <w:pStyle w:val="AAAAAAATEXXXX"/>
        <w:rPr>
          <w:rFonts w:cs="Garamond"/>
          <w:lang w:val="sq-AL"/>
        </w:rPr>
      </w:pPr>
      <w:r w:rsidRPr="00050FA4">
        <w:rPr>
          <w:rFonts w:cs="Garamond"/>
          <w:lang w:val="sq-AL"/>
        </w:rPr>
        <w:t>2. Asisten</w:t>
      </w:r>
      <w:r w:rsidR="00DA618F" w:rsidRPr="00050FA4">
        <w:rPr>
          <w:rFonts w:cs="Garamond"/>
          <w:lang w:val="sq-AL"/>
        </w:rPr>
        <w:t>cë për studentët e doktoraturës</w:t>
      </w:r>
    </w:p>
    <w:p w14:paraId="1C2F3014" w14:textId="399ADF2B" w:rsidR="00837498" w:rsidRPr="00050FA4" w:rsidRDefault="00837498" w:rsidP="003F1DA7">
      <w:pPr>
        <w:pStyle w:val="AAAAAAATEXXXX"/>
        <w:rPr>
          <w:rFonts w:cs="Garamond"/>
          <w:lang w:val="sq-AL"/>
        </w:rPr>
      </w:pPr>
      <w:r w:rsidRPr="00050FA4">
        <w:rPr>
          <w:rFonts w:cs="Garamond"/>
          <w:lang w:val="sq-AL"/>
        </w:rPr>
        <w:t>Programi i doktoraturës industriale është një projekt kërkimor i fokusuar në industri dhe program PHD dhe zhvillohet së bashku nga një kompani e sektorit privat, një kandidat për PHD industriale dhe një institucion i arsimit të lartë. Kandidati për PHD industrial është i punësuar në kompani dhe në të njëjtën kohë është i regjistruar në institucionet e arsimit të lartë dhe punon për të njëjtin projekt në të dy</w:t>
      </w:r>
      <w:r w:rsidR="007808AC" w:rsidRPr="00050FA4">
        <w:rPr>
          <w:rFonts w:cs="Garamond"/>
          <w:lang w:val="sq-AL"/>
        </w:rPr>
        <w:t>ja</w:t>
      </w:r>
      <w:r w:rsidRPr="00050FA4">
        <w:rPr>
          <w:rFonts w:cs="Garamond"/>
          <w:lang w:val="sq-AL"/>
        </w:rPr>
        <w:t xml:space="preserve"> vendet. Kandidati duhet të kalojë gjithë kohën e punës duke punuar në projekt dhe nuk mund të kryejë detyra të tjera. Kompania merr një subvencion pagash për pagesën e kandidatit (p.sh. deri në 50% të pagës së plotë bruto</w:t>
      </w:r>
      <w:r w:rsidR="00535FB4" w:rsidRPr="00050FA4">
        <w:rPr>
          <w:rFonts w:cs="Garamond"/>
          <w:lang w:val="sq-AL"/>
        </w:rPr>
        <w:t>/</w:t>
      </w:r>
      <w:r w:rsidRPr="00050FA4">
        <w:rPr>
          <w:rFonts w:cs="Garamond"/>
          <w:lang w:val="sq-AL"/>
        </w:rPr>
        <w:t xml:space="preserve">deri në 200 euro në muaj) për një </w:t>
      </w:r>
      <w:r w:rsidRPr="002D7088">
        <w:rPr>
          <w:rFonts w:cs="Garamond"/>
          <w:lang w:val="sq-AL"/>
        </w:rPr>
        <w:t xml:space="preserve">periudhë deri në tre </w:t>
      </w:r>
      <w:r w:rsidR="00AE7C86" w:rsidRPr="002D7088">
        <w:rPr>
          <w:rFonts w:cs="Garamond"/>
          <w:lang w:val="sq-AL"/>
        </w:rPr>
        <w:t>vjet</w:t>
      </w:r>
      <w:r w:rsidRPr="002D7088">
        <w:rPr>
          <w:rFonts w:cs="Garamond"/>
          <w:lang w:val="sq-AL"/>
        </w:rPr>
        <w:t>.</w:t>
      </w:r>
      <w:r w:rsidRPr="00050FA4">
        <w:rPr>
          <w:rFonts w:cs="Garamond"/>
          <w:lang w:val="sq-AL"/>
        </w:rPr>
        <w:t xml:space="preserve"> Institucionet e arsimit të lartë marrin një subvencion për mbikëqyrje, pajisje dhe shpenzime të tjera për arsimimin e kandidatit (p.sh. deri në 2,000 euro për </w:t>
      </w:r>
      <w:r w:rsidR="00BB2ADD" w:rsidRPr="00050FA4">
        <w:rPr>
          <w:rFonts w:cs="Garamond"/>
          <w:lang w:val="sq-AL"/>
        </w:rPr>
        <w:t>vitin</w:t>
      </w:r>
      <w:r w:rsidRPr="00050FA4">
        <w:rPr>
          <w:rFonts w:cs="Garamond"/>
          <w:lang w:val="sq-AL"/>
        </w:rPr>
        <w:t>).</w:t>
      </w:r>
    </w:p>
    <w:p w14:paraId="595436BF" w14:textId="7D4F53D9" w:rsidR="00837498" w:rsidRPr="00050FA4" w:rsidRDefault="00837498" w:rsidP="003F1DA7">
      <w:pPr>
        <w:pStyle w:val="AAAAAAATEXXXX"/>
        <w:rPr>
          <w:rFonts w:cs="Garamond"/>
          <w:lang w:val="sq-AL"/>
        </w:rPr>
      </w:pPr>
      <w:r w:rsidRPr="00050FA4">
        <w:rPr>
          <w:rFonts w:cs="Garamond"/>
          <w:lang w:val="sq-AL"/>
        </w:rPr>
        <w:t>Nevojitet një pozicion shtesë i AIDA-s për të koordinuar skemën, e cila do të mbështesë edhe zbatimin e skemës së mbështetjes së sipërmarrjes (aksioni prioritar 2.1). Gjatë fazës së hartimit do të vlerësohet nëse është i nevojshëm ndryshimi i kuadrit ligjor/rregullator. Bazuar në vlerësimet e përvojës së fituar, programi mund të zgjerohet në grupe të targetuara të tjera. Hartimi dhe zbatimi i një skeme mbështetëse që përfshin:</w:t>
      </w:r>
    </w:p>
    <w:p w14:paraId="0EC5222B" w14:textId="74BFEB13" w:rsidR="00837498" w:rsidRPr="00050FA4" w:rsidRDefault="00837498" w:rsidP="003F1DA7">
      <w:pPr>
        <w:pStyle w:val="AAAAAAATEXXXX"/>
        <w:rPr>
          <w:rFonts w:cs="Garamond"/>
          <w:lang w:val="sq-AL"/>
        </w:rPr>
      </w:pPr>
      <w:r w:rsidRPr="00050FA4">
        <w:rPr>
          <w:lang w:val="sq-AL"/>
        </w:rPr>
        <w:t xml:space="preserve">- </w:t>
      </w:r>
      <w:r w:rsidR="00BB2ADD" w:rsidRPr="00050FA4">
        <w:rPr>
          <w:rFonts w:cs="Garamond"/>
          <w:lang w:val="sq-AL"/>
        </w:rPr>
        <w:t xml:space="preserve">asistencë </w:t>
      </w:r>
      <w:r w:rsidRPr="00050FA4">
        <w:rPr>
          <w:rFonts w:cs="Garamond"/>
          <w:lang w:val="sq-AL"/>
        </w:rPr>
        <w:t xml:space="preserve">për SME-të që punësojnë të sapodiplomuar për projekte </w:t>
      </w:r>
      <w:r w:rsidR="00F44B09" w:rsidRPr="00050FA4">
        <w:rPr>
          <w:rFonts w:cs="Garamond"/>
          <w:lang w:val="sq-AL"/>
        </w:rPr>
        <w:t>in</w:t>
      </w:r>
      <w:r w:rsidR="00BB2ADD" w:rsidRPr="00050FA4">
        <w:rPr>
          <w:rFonts w:cs="Garamond"/>
          <w:lang w:val="sq-AL"/>
        </w:rPr>
        <w:t>ovative;</w:t>
      </w:r>
    </w:p>
    <w:p w14:paraId="3BBC8ADC" w14:textId="2E9CD178" w:rsidR="00837498" w:rsidRPr="00050FA4" w:rsidRDefault="00837498" w:rsidP="003F1DA7">
      <w:pPr>
        <w:pStyle w:val="AAAAAAATEXXXX"/>
        <w:rPr>
          <w:rFonts w:cs="Garamond"/>
          <w:lang w:val="sq-AL"/>
        </w:rPr>
      </w:pPr>
      <w:r w:rsidRPr="00050FA4">
        <w:rPr>
          <w:lang w:val="sq-AL"/>
        </w:rPr>
        <w:t xml:space="preserve">- </w:t>
      </w:r>
      <w:r w:rsidR="00BB2ADD" w:rsidRPr="00050FA4">
        <w:rPr>
          <w:rFonts w:cs="Garamond"/>
          <w:lang w:val="sq-AL"/>
        </w:rPr>
        <w:t xml:space="preserve">asistencë </w:t>
      </w:r>
      <w:r w:rsidRPr="00050FA4">
        <w:rPr>
          <w:rFonts w:cs="Garamond"/>
          <w:lang w:val="sq-AL"/>
        </w:rPr>
        <w:t>për doktorantët që janë të punësuar në NVM dhe njëkohësisht të regjistruar në institucionet e arsimit të lartë, duke punuar në një projekt të përbashkët kërkimor</w:t>
      </w:r>
      <w:r w:rsidR="00BB2ADD" w:rsidRPr="00050FA4">
        <w:rPr>
          <w:rFonts w:cs="Garamond"/>
          <w:lang w:val="sq-AL"/>
        </w:rPr>
        <w:t>;</w:t>
      </w:r>
    </w:p>
    <w:p w14:paraId="4B27FF73" w14:textId="4ECF0CB2" w:rsidR="00837498" w:rsidRPr="00050FA4" w:rsidRDefault="00837498" w:rsidP="003F1DA7">
      <w:pPr>
        <w:pStyle w:val="AAAAAAATEXXXX"/>
        <w:rPr>
          <w:rFonts w:cs="Garamond"/>
          <w:lang w:val="sq-AL"/>
        </w:rPr>
      </w:pPr>
      <w:r w:rsidRPr="00050FA4">
        <w:rPr>
          <w:rFonts w:cs="Garamond"/>
          <w:lang w:val="sq-AL"/>
        </w:rPr>
        <w:t xml:space="preserve">- </w:t>
      </w:r>
      <w:r w:rsidR="00BB2ADD" w:rsidRPr="00050FA4">
        <w:rPr>
          <w:rFonts w:cs="Garamond"/>
          <w:lang w:val="sq-AL"/>
        </w:rPr>
        <w:t xml:space="preserve">programet </w:t>
      </w:r>
      <w:r w:rsidR="008A0E5B" w:rsidRPr="00050FA4">
        <w:rPr>
          <w:rFonts w:cs="Garamond"/>
          <w:lang w:val="sq-AL"/>
        </w:rPr>
        <w:t>“</w:t>
      </w:r>
      <w:r w:rsidRPr="00050FA4">
        <w:rPr>
          <w:rFonts w:cs="Garamond"/>
          <w:lang w:val="sq-AL"/>
        </w:rPr>
        <w:t>Inovacioni dhe ekselenca në prodhimtari</w:t>
      </w:r>
      <w:r w:rsidR="008A0E5B" w:rsidRPr="00050FA4">
        <w:rPr>
          <w:rFonts w:cs="Garamond"/>
          <w:lang w:val="sq-AL"/>
        </w:rPr>
        <w:t>”</w:t>
      </w:r>
      <w:r w:rsidRPr="00050FA4">
        <w:rPr>
          <w:rFonts w:cs="Garamond"/>
          <w:lang w:val="sq-AL"/>
        </w:rPr>
        <w:t xml:space="preserve"> dhe </w:t>
      </w:r>
      <w:r w:rsidR="008A0E5B" w:rsidRPr="00050FA4">
        <w:rPr>
          <w:rFonts w:cs="Garamond"/>
          <w:lang w:val="sq-AL"/>
        </w:rPr>
        <w:t>“</w:t>
      </w:r>
      <w:r w:rsidRPr="00050FA4">
        <w:rPr>
          <w:rFonts w:cs="Garamond"/>
          <w:lang w:val="sq-AL"/>
        </w:rPr>
        <w:t>Inovacioni dhe ekselenca në IT</w:t>
      </w:r>
      <w:r w:rsidR="008A0E5B" w:rsidRPr="00050FA4">
        <w:rPr>
          <w:rFonts w:cs="Garamond"/>
          <w:lang w:val="sq-AL"/>
        </w:rPr>
        <w:t>”</w:t>
      </w:r>
      <w:r w:rsidRPr="00050FA4">
        <w:rPr>
          <w:rFonts w:cs="Garamond"/>
          <w:lang w:val="sq-AL"/>
        </w:rPr>
        <w:t xml:space="preserve"> do të krijohen për trajnime në inovacion, di</w:t>
      </w:r>
      <w:r w:rsidR="00B839EF" w:rsidRPr="00050FA4">
        <w:rPr>
          <w:rFonts w:cs="Garamond"/>
          <w:lang w:val="sq-AL"/>
        </w:rPr>
        <w:t>senjim</w:t>
      </w:r>
      <w:r w:rsidRPr="00050FA4">
        <w:rPr>
          <w:rFonts w:cs="Garamond"/>
          <w:lang w:val="sq-AL"/>
        </w:rPr>
        <w:t>, marketing, kërkim dhe zhvillim</w:t>
      </w:r>
      <w:r w:rsidR="00B839EF" w:rsidRPr="00050FA4">
        <w:rPr>
          <w:rFonts w:cs="Garamond"/>
          <w:lang w:val="sq-AL"/>
        </w:rPr>
        <w:t>,</w:t>
      </w:r>
      <w:r w:rsidRPr="00050FA4">
        <w:rPr>
          <w:rFonts w:cs="Garamond"/>
          <w:lang w:val="sq-AL"/>
        </w:rPr>
        <w:t xml:space="preserve"> duke mbuluar 100% të kostove të trajnimit. Kostot do të rimbursohen 50% direkt dhe 50% si taksë e zbritshme</w:t>
      </w:r>
      <w:r w:rsidR="00B839EF" w:rsidRPr="00050FA4">
        <w:rPr>
          <w:rFonts w:cs="Garamond"/>
          <w:lang w:val="sq-AL"/>
        </w:rPr>
        <w:t>,</w:t>
      </w:r>
      <w:r w:rsidRPr="00050FA4">
        <w:rPr>
          <w:rFonts w:cs="Garamond"/>
          <w:lang w:val="sq-AL"/>
        </w:rPr>
        <w:t xml:space="preserve"> 2 herë për kompanitë ku përfituesi është i punësuar. Kostot e këtyre programeve do të përcaktohen gjatë përgatitjes së politikave fiskale të mëposhtme</w:t>
      </w:r>
      <w:r w:rsidR="00BB2ADD" w:rsidRPr="00050FA4">
        <w:rPr>
          <w:rFonts w:cs="Garamond"/>
          <w:lang w:val="sq-AL"/>
        </w:rPr>
        <w:t>;</w:t>
      </w:r>
    </w:p>
    <w:p w14:paraId="587FBD56" w14:textId="21431694" w:rsidR="00837498" w:rsidRPr="00050FA4" w:rsidRDefault="00837498" w:rsidP="003F1DA7">
      <w:pPr>
        <w:pStyle w:val="AAAAAAATEXXXX"/>
        <w:rPr>
          <w:rFonts w:cs="Garamond"/>
          <w:lang w:val="sq-AL"/>
        </w:rPr>
      </w:pPr>
      <w:r w:rsidRPr="00050FA4">
        <w:rPr>
          <w:rFonts w:cs="Garamond"/>
          <w:lang w:val="sq-AL"/>
        </w:rPr>
        <w:t xml:space="preserve">- </w:t>
      </w:r>
      <w:r w:rsidR="00BB2ADD" w:rsidRPr="00050FA4">
        <w:rPr>
          <w:rFonts w:cs="Garamond"/>
          <w:lang w:val="sq-AL"/>
        </w:rPr>
        <w:t xml:space="preserve">programi </w:t>
      </w:r>
      <w:r w:rsidRPr="00050FA4">
        <w:rPr>
          <w:rFonts w:cs="Garamond"/>
          <w:lang w:val="sq-AL"/>
        </w:rPr>
        <w:t>i zhvillimit të fuqisë punëtore për dhe me NVM-të dhe investitorët</w:t>
      </w:r>
      <w:r w:rsidR="00BB2ADD" w:rsidRPr="00050FA4">
        <w:rPr>
          <w:rFonts w:cs="Garamond"/>
          <w:lang w:val="sq-AL"/>
        </w:rPr>
        <w:t>.</w:t>
      </w:r>
    </w:p>
    <w:p w14:paraId="378F6EEC" w14:textId="535E35A1" w:rsidR="00837498" w:rsidRPr="00050FA4" w:rsidRDefault="00837498" w:rsidP="003F1DA7">
      <w:pPr>
        <w:pStyle w:val="AAAAAAATEXXXX"/>
        <w:rPr>
          <w:rFonts w:cs="Garamond"/>
          <w:lang w:val="sq-AL"/>
        </w:rPr>
      </w:pPr>
      <w:r w:rsidRPr="00050FA4">
        <w:rPr>
          <w:rFonts w:cs="Garamond"/>
          <w:lang w:val="sq-AL"/>
        </w:rPr>
        <w:t xml:space="preserve">Atraktiviteti i një destinacioni për investitorët varet shumë nga cilësia e bazës së aftësive, veçanërisht nga këndvështrimi i grupeve Synimi, bizneset e të cilëve mbështeten në njohuri dhe teknologji. Në të njëjtën kohë, përvoja ndërkombëtare tregon se investitorët dhe bizneset </w:t>
      </w:r>
      <w:r w:rsidR="00643BAF" w:rsidRPr="00050FA4">
        <w:rPr>
          <w:rFonts w:cs="Garamond"/>
          <w:lang w:val="sq-AL"/>
        </w:rPr>
        <w:t>vendës</w:t>
      </w:r>
      <w:r w:rsidRPr="00050FA4">
        <w:rPr>
          <w:rFonts w:cs="Garamond"/>
          <w:lang w:val="sq-AL"/>
        </w:rPr>
        <w:t>e mund të japin një kontribut të çmuar në forcimin e kapitalit njerëzor. Programi i zhvillimit të fuqisë punëtore do të përfshijë investitorët dhe SME-të në rritjen e bazës së aftësive</w:t>
      </w:r>
      <w:r w:rsidR="00B839EF" w:rsidRPr="00050FA4">
        <w:rPr>
          <w:rFonts w:cs="Garamond"/>
          <w:lang w:val="sq-AL"/>
        </w:rPr>
        <w:t>,</w:t>
      </w:r>
      <w:r w:rsidRPr="00050FA4">
        <w:rPr>
          <w:rFonts w:cs="Garamond"/>
          <w:lang w:val="sq-AL"/>
        </w:rPr>
        <w:t xml:space="preserve"> si dhe rritjen e aftësive </w:t>
      </w:r>
      <w:r w:rsidR="00C948AF" w:rsidRPr="00050FA4">
        <w:rPr>
          <w:rFonts w:cs="Garamond"/>
          <w:lang w:val="sq-AL"/>
        </w:rPr>
        <w:t>digjital</w:t>
      </w:r>
      <w:r w:rsidRPr="00050FA4">
        <w:rPr>
          <w:rFonts w:cs="Garamond"/>
          <w:lang w:val="sq-AL"/>
        </w:rPr>
        <w:t>e për fuqinë punëtore të SME-ve, përmes trajnimeve të specializuara për TIK</w:t>
      </w:r>
      <w:r w:rsidR="00B839EF" w:rsidRPr="00050FA4">
        <w:rPr>
          <w:rFonts w:cs="Garamond"/>
          <w:lang w:val="sq-AL"/>
        </w:rPr>
        <w:t>-un</w:t>
      </w:r>
      <w:r w:rsidRPr="00050FA4">
        <w:rPr>
          <w:rFonts w:cs="Garamond"/>
          <w:lang w:val="sq-AL"/>
        </w:rPr>
        <w:t>. Ky program përfshin tre komponentë të cilët do të zbatohen në faza.</w:t>
      </w:r>
    </w:p>
    <w:p w14:paraId="149F360B" w14:textId="77777777" w:rsidR="00837498" w:rsidRPr="00050FA4" w:rsidRDefault="00837498" w:rsidP="003F1DA7">
      <w:pPr>
        <w:pStyle w:val="AAAAAAATEXXXX"/>
        <w:rPr>
          <w:rFonts w:cs="Garamond"/>
          <w:b/>
          <w:i/>
          <w:iCs/>
          <w:lang w:val="sq-AL"/>
        </w:rPr>
      </w:pPr>
      <w:r w:rsidRPr="00050FA4">
        <w:rPr>
          <w:rFonts w:cs="Garamond"/>
          <w:b/>
          <w:i/>
          <w:iCs/>
          <w:lang w:val="sq-AL"/>
        </w:rPr>
        <w:t>Komponenti 1: Integrimi i zhvillimit të aftësive në shërbimet e kujdesit pasues</w:t>
      </w:r>
    </w:p>
    <w:p w14:paraId="3AE90376" w14:textId="2393A9A5" w:rsidR="00837498" w:rsidRPr="00050FA4" w:rsidRDefault="00837498" w:rsidP="003F1DA7">
      <w:pPr>
        <w:pStyle w:val="AAAAAAATEXXXX"/>
        <w:rPr>
          <w:rFonts w:cs="Garamond"/>
          <w:lang w:val="sq-AL"/>
        </w:rPr>
      </w:pPr>
      <w:r w:rsidRPr="00050FA4">
        <w:rPr>
          <w:rFonts w:cs="Garamond"/>
          <w:lang w:val="sq-AL"/>
        </w:rPr>
        <w:t>Ky komponent mund të bazohet në aktivitetet ekzistuese dhe mbështetjen e donatorëve</w:t>
      </w:r>
      <w:r w:rsidR="00B839EF" w:rsidRPr="00050FA4">
        <w:rPr>
          <w:rFonts w:cs="Garamond"/>
          <w:lang w:val="sq-AL"/>
        </w:rPr>
        <w:t>,</w:t>
      </w:r>
      <w:r w:rsidRPr="00050FA4">
        <w:rPr>
          <w:rFonts w:cs="Garamond"/>
          <w:lang w:val="sq-AL"/>
        </w:rPr>
        <w:t xml:space="preserve"> siç është asistenca nga GIZ</w:t>
      </w:r>
      <w:r w:rsidR="00B839EF" w:rsidRPr="00050FA4">
        <w:rPr>
          <w:rFonts w:cs="Garamond"/>
          <w:lang w:val="sq-AL"/>
        </w:rPr>
        <w:t>-i</w:t>
      </w:r>
      <w:r w:rsidRPr="00050FA4">
        <w:rPr>
          <w:rFonts w:cs="Garamond"/>
          <w:lang w:val="sq-AL"/>
        </w:rPr>
        <w:t xml:space="preserve"> për shërbime të mëtejshme të kujdesit. Fokusi do të jetë në lehtësimin e shërbimeve</w:t>
      </w:r>
      <w:r w:rsidR="00B839EF" w:rsidRPr="00050FA4">
        <w:rPr>
          <w:rFonts w:cs="Garamond"/>
          <w:lang w:val="sq-AL"/>
        </w:rPr>
        <w:t>,</w:t>
      </w:r>
      <w:r w:rsidRPr="00050FA4">
        <w:rPr>
          <w:rFonts w:cs="Garamond"/>
          <w:lang w:val="sq-AL"/>
        </w:rPr>
        <w:t xml:space="preserve"> duke mbështetur investitorët për të zhvilluar fuqinë e tyre punëtore përmes</w:t>
      </w:r>
      <w:r w:rsidR="00B839EF" w:rsidRPr="00050FA4">
        <w:rPr>
          <w:rFonts w:cs="Garamond"/>
          <w:lang w:val="sq-AL"/>
        </w:rPr>
        <w:t>,</w:t>
      </w:r>
      <w:r w:rsidRPr="00050FA4">
        <w:rPr>
          <w:rFonts w:cs="Garamond"/>
          <w:lang w:val="sq-AL"/>
        </w:rPr>
        <w:t xml:space="preserve"> strukturave dhe programeve ekzistuese, si trajnimi në vendin e punës dhe trajnimi profesional. Këto shërbime do të zhvillohen përmes bashkëpunimit të ngushtë ndërmjet AIDA-s, APK-së, qendrave të formimit profesional dhe palëve të tjera të interesuara si dhomat dhe organizatat. Ndarja e detyrave do të detajohet përmes MM</w:t>
      </w:r>
      <w:r w:rsidR="00B839EF" w:rsidRPr="00050FA4">
        <w:rPr>
          <w:rFonts w:cs="Garamond"/>
          <w:lang w:val="sq-AL"/>
        </w:rPr>
        <w:t>-së</w:t>
      </w:r>
      <w:r w:rsidRPr="00050FA4">
        <w:rPr>
          <w:rFonts w:cs="Garamond"/>
          <w:lang w:val="sq-AL"/>
        </w:rPr>
        <w:t>.</w:t>
      </w:r>
    </w:p>
    <w:p w14:paraId="183699F1" w14:textId="033C5BE0" w:rsidR="00837498" w:rsidRPr="00050FA4" w:rsidRDefault="00837498" w:rsidP="003F1DA7">
      <w:pPr>
        <w:pStyle w:val="AAAAAAATEXXXX"/>
        <w:rPr>
          <w:rFonts w:cs="Garamond"/>
          <w:lang w:val="sq-AL"/>
        </w:rPr>
      </w:pPr>
      <w:r w:rsidRPr="00050FA4">
        <w:rPr>
          <w:rFonts w:cs="Garamond"/>
          <w:lang w:val="sq-AL"/>
        </w:rPr>
        <w:t>Ky program do të koordinohet nga AIDA dhe do të zbatohet në bashkëpunim të ngushtë me ofruesit privatë të trajnimit dhe shoqatat e biznesit. Fokusi kryesor do të jetë në kurset afatshkurtra, p.sh.</w:t>
      </w:r>
      <w:r w:rsidR="004B47BC" w:rsidRPr="00050FA4">
        <w:rPr>
          <w:rFonts w:cs="Garamond"/>
          <w:lang w:val="sq-AL"/>
        </w:rPr>
        <w:t>,</w:t>
      </w:r>
      <w:r w:rsidRPr="00050FA4">
        <w:rPr>
          <w:rFonts w:cs="Garamond"/>
          <w:lang w:val="sq-AL"/>
        </w:rPr>
        <w:t xml:space="preserve"> kurse trajnimi afatshkurtër për saldator. Kurset e trajnimit do të mbahen nga ekspertë të jashtëm</w:t>
      </w:r>
      <w:r w:rsidR="00535FB4" w:rsidRPr="00050FA4">
        <w:rPr>
          <w:rFonts w:cs="Garamond"/>
          <w:lang w:val="sq-AL"/>
        </w:rPr>
        <w:t>/</w:t>
      </w:r>
      <w:r w:rsidRPr="00050FA4">
        <w:rPr>
          <w:rFonts w:cs="Garamond"/>
          <w:lang w:val="sq-AL"/>
        </w:rPr>
        <w:t>trajnerë privatë. Për të s</w:t>
      </w:r>
      <w:r w:rsidR="004B47BC" w:rsidRPr="00050FA4">
        <w:rPr>
          <w:rFonts w:cs="Garamond"/>
          <w:lang w:val="sq-AL"/>
        </w:rPr>
        <w:t>iguruar zbatimin efektiv, AIDA</w:t>
      </w:r>
      <w:r w:rsidRPr="00050FA4">
        <w:rPr>
          <w:rFonts w:cs="Garamond"/>
          <w:lang w:val="sq-AL"/>
        </w:rPr>
        <w:t xml:space="preserve"> do të ketë nevojë për burime dhe kapacitete të përshtatshme. Koordinimi i programit të zhvillimit të fuqisë punëtore do të bëhet nga sektori i trajnimit.</w:t>
      </w:r>
    </w:p>
    <w:p w14:paraId="01BC5E63" w14:textId="77777777" w:rsidR="00837498" w:rsidRPr="00050FA4" w:rsidRDefault="00837498" w:rsidP="003F1DA7">
      <w:pPr>
        <w:pStyle w:val="AAAAAAATEXXXX"/>
        <w:rPr>
          <w:rFonts w:cs="Garamond"/>
          <w:b/>
          <w:i/>
          <w:iCs/>
          <w:lang w:val="sq-AL"/>
        </w:rPr>
      </w:pPr>
      <w:r w:rsidRPr="00050FA4">
        <w:rPr>
          <w:rFonts w:cs="Garamond"/>
          <w:b/>
          <w:i/>
          <w:iCs/>
          <w:lang w:val="sq-AL"/>
        </w:rPr>
        <w:t>Komponenti 2: Studimi i fizibilitetit për një qendër zhvillimi aftësish sipas modelit PPP</w:t>
      </w:r>
    </w:p>
    <w:p w14:paraId="327DB968" w14:textId="4778E542" w:rsidR="00837498" w:rsidRPr="00050FA4" w:rsidRDefault="00837498" w:rsidP="003F1DA7">
      <w:pPr>
        <w:pStyle w:val="AAAAAAATEXXXX"/>
        <w:rPr>
          <w:rFonts w:cs="Garamond"/>
          <w:lang w:val="sq-AL"/>
        </w:rPr>
      </w:pPr>
      <w:r w:rsidRPr="00050FA4">
        <w:rPr>
          <w:rFonts w:cs="Garamond"/>
          <w:lang w:val="sq-AL"/>
        </w:rPr>
        <w:t>Përvoja ndërkombëtare tregon se ka një potencial premtues për bashkëpunim me investitorët</w:t>
      </w:r>
      <w:r w:rsidR="004B47BC" w:rsidRPr="00050FA4">
        <w:rPr>
          <w:rFonts w:cs="Garamond"/>
          <w:lang w:val="sq-AL"/>
        </w:rPr>
        <w:t>,</w:t>
      </w:r>
      <w:r w:rsidRPr="00050FA4">
        <w:rPr>
          <w:rFonts w:cs="Garamond"/>
          <w:lang w:val="sq-AL"/>
        </w:rPr>
        <w:t xml:space="preserve"> në lidhje me masat e zhvillimit të aftësive. Zbatimi i modeleve PPP për zhvillimin e aftësive konsiderohet një opsion strategjik premtues. Në përputhje me praktikat e mira ndërkombëtare, siç është Qendra e Zhvillimit të Aftësive </w:t>
      </w:r>
      <w:r w:rsidR="00937D51" w:rsidRPr="00050FA4">
        <w:rPr>
          <w:rFonts w:cs="Garamond"/>
          <w:lang w:val="sq-AL"/>
        </w:rPr>
        <w:t>“</w:t>
      </w:r>
      <w:r w:rsidRPr="00050FA4">
        <w:rPr>
          <w:rFonts w:cs="Garamond"/>
          <w:lang w:val="sq-AL"/>
        </w:rPr>
        <w:t>Penang</w:t>
      </w:r>
      <w:r w:rsidR="00937D51" w:rsidRPr="00050FA4">
        <w:rPr>
          <w:rFonts w:cs="Garamond"/>
          <w:lang w:val="sq-AL"/>
        </w:rPr>
        <w:t>”</w:t>
      </w:r>
      <w:r w:rsidRPr="00050FA4">
        <w:rPr>
          <w:rFonts w:cs="Garamond"/>
          <w:lang w:val="sq-AL"/>
        </w:rPr>
        <w:t xml:space="preserve">, do të kryhet një studim gjithëpërfshirës fizibiliteti për të vlerësuar fizibilitetin e një qendre trajnimi pilot bazuar në modelin PPP dhe në bashkëpunim me investitorët në një TEDA. Kjo qendër mund të përfshijë programe trajnimi të orientuara nga </w:t>
      </w:r>
      <w:r w:rsidR="00937D51" w:rsidRPr="00050FA4">
        <w:rPr>
          <w:rFonts w:cs="Garamond"/>
          <w:lang w:val="sq-AL"/>
        </w:rPr>
        <w:t>synimi</w:t>
      </w:r>
      <w:r w:rsidRPr="00050FA4">
        <w:rPr>
          <w:rFonts w:cs="Garamond"/>
          <w:lang w:val="sq-AL"/>
        </w:rPr>
        <w:t xml:space="preserve">, si kurse teknike, trajnime profesionale ose diploma </w:t>
      </w:r>
      <w:r w:rsidR="00937D51" w:rsidRPr="00050FA4">
        <w:rPr>
          <w:rFonts w:cs="Garamond"/>
          <w:i/>
          <w:lang w:val="sq-AL"/>
        </w:rPr>
        <w:t>Bachelor</w:t>
      </w:r>
      <w:r w:rsidRPr="00050FA4">
        <w:rPr>
          <w:rFonts w:cs="Garamond"/>
          <w:lang w:val="sq-AL"/>
        </w:rPr>
        <w:t>.</w:t>
      </w:r>
    </w:p>
    <w:p w14:paraId="1C3EA287" w14:textId="485A461E" w:rsidR="00837498" w:rsidRPr="00050FA4" w:rsidRDefault="00837498" w:rsidP="003F1DA7">
      <w:pPr>
        <w:pStyle w:val="AAAAAAATEXXXX"/>
        <w:rPr>
          <w:rFonts w:cs="Garamond"/>
          <w:lang w:val="sq-AL"/>
        </w:rPr>
      </w:pPr>
      <w:r w:rsidRPr="00050FA4">
        <w:rPr>
          <w:rFonts w:cs="Garamond"/>
          <w:lang w:val="sq-AL"/>
        </w:rPr>
        <w:t>Si KPI në Strategji është paraparë</w:t>
      </w:r>
      <w:r w:rsidR="00BB2ADD" w:rsidRPr="00050FA4">
        <w:rPr>
          <w:rFonts w:cs="Garamond"/>
          <w:lang w:val="sq-AL"/>
        </w:rPr>
        <w:t>:</w:t>
      </w:r>
    </w:p>
    <w:p w14:paraId="29EDD40F" w14:textId="36B46C5D" w:rsidR="00837498" w:rsidRPr="00050FA4" w:rsidRDefault="00837498" w:rsidP="003F1DA7">
      <w:pPr>
        <w:pStyle w:val="AAAAAAATEXXXX"/>
        <w:rPr>
          <w:rFonts w:cs="Garamond"/>
          <w:lang w:val="sq-AL"/>
        </w:rPr>
      </w:pPr>
      <w:r w:rsidRPr="00050FA4">
        <w:rPr>
          <w:rFonts w:cs="Garamond"/>
          <w:lang w:val="sq-AL"/>
        </w:rPr>
        <w:t xml:space="preserve">- </w:t>
      </w:r>
      <w:r w:rsidR="00BB2ADD" w:rsidRPr="00050FA4">
        <w:rPr>
          <w:rFonts w:cs="Garamond"/>
          <w:lang w:val="sq-AL"/>
        </w:rPr>
        <w:t xml:space="preserve">rritja </w:t>
      </w:r>
      <w:r w:rsidRPr="00050FA4">
        <w:rPr>
          <w:rFonts w:cs="Garamond"/>
          <w:lang w:val="sq-AL"/>
        </w:rPr>
        <w:t>e përqindjes së punësimeve në profesionet që kërkojnë njohuri të thelluara nga 17.5% në 19.5%</w:t>
      </w:r>
      <w:r w:rsidR="00BB2ADD" w:rsidRPr="00050FA4">
        <w:rPr>
          <w:rFonts w:cs="Garamond"/>
          <w:lang w:val="sq-AL"/>
        </w:rPr>
        <w:t>;</w:t>
      </w:r>
    </w:p>
    <w:p w14:paraId="23ED1413" w14:textId="4AA6FD38" w:rsidR="00837498" w:rsidRPr="00050FA4" w:rsidRDefault="00837498" w:rsidP="003F1DA7">
      <w:pPr>
        <w:pStyle w:val="AAAAAAATEXXXX"/>
        <w:rPr>
          <w:rFonts w:cs="Garamond"/>
          <w:lang w:val="sq-AL"/>
        </w:rPr>
      </w:pPr>
      <w:r w:rsidRPr="00050FA4">
        <w:rPr>
          <w:rFonts w:cs="Garamond"/>
          <w:lang w:val="sq-AL"/>
        </w:rPr>
        <w:lastRenderedPageBreak/>
        <w:t xml:space="preserve">- </w:t>
      </w:r>
      <w:r w:rsidR="00937D51" w:rsidRPr="00050FA4">
        <w:rPr>
          <w:rFonts w:cs="Garamond"/>
          <w:lang w:val="sq-AL"/>
        </w:rPr>
        <w:t xml:space="preserve">rritja </w:t>
      </w:r>
      <w:r w:rsidRPr="00050FA4">
        <w:rPr>
          <w:rFonts w:cs="Garamond"/>
          <w:lang w:val="sq-AL"/>
        </w:rPr>
        <w:t xml:space="preserve">e vlerësimit në </w:t>
      </w:r>
      <w:r w:rsidR="00937D51" w:rsidRPr="00050FA4">
        <w:rPr>
          <w:rFonts w:cs="Garamond"/>
          <w:lang w:val="sq-AL"/>
        </w:rPr>
        <w:t xml:space="preserve">indeksin e politikave </w:t>
      </w:r>
      <w:r w:rsidRPr="00050FA4">
        <w:rPr>
          <w:rFonts w:cs="Garamond"/>
          <w:lang w:val="sq-AL"/>
        </w:rPr>
        <w:t>për SME-të (aftësitë sipërmarrëse) nga 4.3 në 3.9.</w:t>
      </w:r>
    </w:p>
    <w:p w14:paraId="4F04151B" w14:textId="77777777" w:rsidR="00837498" w:rsidRPr="00171325" w:rsidRDefault="00837498" w:rsidP="003F1DA7">
      <w:pPr>
        <w:pStyle w:val="AAAAAAATEXXXX"/>
        <w:rPr>
          <w:rFonts w:cs="Garamond"/>
          <w:b/>
          <w:bCs/>
          <w:lang w:val="sq-AL"/>
        </w:rPr>
      </w:pPr>
      <w:r w:rsidRPr="00171325">
        <w:rPr>
          <w:rFonts w:cs="Garamond"/>
          <w:b/>
          <w:bCs/>
          <w:lang w:val="sq-AL"/>
        </w:rPr>
        <w:t>Rekomandimi 6</w:t>
      </w:r>
    </w:p>
    <w:p w14:paraId="6AAA83B9" w14:textId="307483C1" w:rsidR="00837498" w:rsidRPr="00050FA4" w:rsidRDefault="00837498" w:rsidP="003F1DA7">
      <w:pPr>
        <w:pStyle w:val="AAAAAAATEXXXX"/>
        <w:rPr>
          <w:rFonts w:cs="Garamond"/>
          <w:b/>
          <w:bCs/>
          <w:i/>
          <w:iCs/>
          <w:lang w:val="sq-AL"/>
        </w:rPr>
      </w:pPr>
      <w:r w:rsidRPr="00050FA4">
        <w:rPr>
          <w:rFonts w:cs="Garamond"/>
          <w:b/>
          <w:bCs/>
          <w:i/>
          <w:iCs/>
          <w:lang w:val="sq-AL"/>
        </w:rPr>
        <w:t xml:space="preserve">6.1 Kryeni një vlerësim të mjaftueshmërisë së përfitimeve sipas skemës së </w:t>
      </w:r>
      <w:r w:rsidR="009E0713" w:rsidRPr="00050FA4">
        <w:rPr>
          <w:rFonts w:cs="Garamond"/>
          <w:b/>
          <w:bCs/>
          <w:i/>
          <w:iCs/>
          <w:lang w:val="sq-AL"/>
        </w:rPr>
        <w:t>“</w:t>
      </w:r>
      <w:r w:rsidRPr="00050FA4">
        <w:rPr>
          <w:rFonts w:cs="Garamond"/>
          <w:b/>
          <w:bCs/>
          <w:i/>
          <w:iCs/>
          <w:lang w:val="sq-AL"/>
        </w:rPr>
        <w:t xml:space="preserve">Ndihmës </w:t>
      </w:r>
      <w:r w:rsidR="009E0713" w:rsidRPr="00050FA4">
        <w:rPr>
          <w:rFonts w:cs="Garamond"/>
          <w:b/>
          <w:bCs/>
          <w:i/>
          <w:iCs/>
          <w:lang w:val="sq-AL"/>
        </w:rPr>
        <w:t>ekonomike”</w:t>
      </w:r>
      <w:r w:rsidRPr="00050FA4">
        <w:rPr>
          <w:rFonts w:cs="Garamond"/>
          <w:b/>
          <w:bCs/>
          <w:i/>
          <w:iCs/>
          <w:lang w:val="sq-AL"/>
        </w:rPr>
        <w:t xml:space="preserve">, duke marrë parasysh të dhënat e anketës për </w:t>
      </w:r>
      <w:r w:rsidR="00CB4838" w:rsidRPr="00050FA4">
        <w:rPr>
          <w:rFonts w:cs="Garamond"/>
          <w:b/>
          <w:bCs/>
          <w:i/>
          <w:iCs/>
          <w:lang w:val="sq-AL"/>
        </w:rPr>
        <w:t>“</w:t>
      </w:r>
      <w:r w:rsidRPr="00050FA4">
        <w:rPr>
          <w:rFonts w:cs="Garamond"/>
          <w:b/>
          <w:bCs/>
          <w:i/>
          <w:iCs/>
          <w:lang w:val="sq-AL"/>
        </w:rPr>
        <w:t xml:space="preserve">Statistikat e të </w:t>
      </w:r>
      <w:r w:rsidR="00CB4838" w:rsidRPr="00050FA4">
        <w:rPr>
          <w:rFonts w:cs="Garamond"/>
          <w:b/>
          <w:bCs/>
          <w:i/>
          <w:iCs/>
          <w:lang w:val="sq-AL"/>
        </w:rPr>
        <w:t xml:space="preserve">ardhurave </w:t>
      </w:r>
      <w:r w:rsidRPr="00050FA4">
        <w:rPr>
          <w:rFonts w:cs="Garamond"/>
          <w:b/>
          <w:bCs/>
          <w:i/>
          <w:iCs/>
          <w:lang w:val="sq-AL"/>
        </w:rPr>
        <w:t xml:space="preserve">dhe Kushtet e </w:t>
      </w:r>
      <w:r w:rsidR="00CB4838" w:rsidRPr="00050FA4">
        <w:rPr>
          <w:rFonts w:cs="Garamond"/>
          <w:b/>
          <w:bCs/>
          <w:i/>
          <w:iCs/>
          <w:lang w:val="sq-AL"/>
        </w:rPr>
        <w:t>jetesës”</w:t>
      </w:r>
      <w:r w:rsidRPr="00050FA4">
        <w:rPr>
          <w:rFonts w:cs="Garamond"/>
          <w:b/>
          <w:bCs/>
          <w:i/>
          <w:iCs/>
          <w:lang w:val="sq-AL"/>
        </w:rPr>
        <w:t>, në këndvështrimin e rregullimit në mënyrë sistematike</w:t>
      </w:r>
    </w:p>
    <w:p w14:paraId="2A8C4506" w14:textId="52BF5707" w:rsidR="00837498" w:rsidRPr="00050FA4" w:rsidRDefault="00837498" w:rsidP="003F1DA7">
      <w:pPr>
        <w:pStyle w:val="AAAAAAATEXXXX"/>
        <w:rPr>
          <w:rFonts w:cs="Garamond"/>
          <w:lang w:val="sq-AL"/>
        </w:rPr>
      </w:pPr>
      <w:r w:rsidRPr="00050FA4">
        <w:rPr>
          <w:rFonts w:cs="Garamond"/>
          <w:lang w:val="sq-AL"/>
        </w:rPr>
        <w:t>Qeveria ndërmori masa të përkohshme për të zgjeruar përshtatshmërinë e përfitimeve të ndihmës sociale dhe për të zgjeruar mbështetjen me të ardhura gjatë pandemisë. Buxheti i skemës së ndihmës ekonomike për vitin 2021 u rrit dhe si rrjedhojë, përfitimet u dyfishuan në gjashtëmujorin e parë të vitit 2021. Lidhur më këtë, është përgatitur tashmë udhërrëfyesi me hapat dhe afatet kohore për rregullimin e përfitimeve të ndihmës ekonomike dhe vendosjen e një mekanizmi transparent për rishikime të rregullta vjetore</w:t>
      </w:r>
      <w:r w:rsidR="00FD1140" w:rsidRPr="00050FA4">
        <w:rPr>
          <w:rFonts w:cs="Garamond"/>
          <w:lang w:val="sq-AL"/>
        </w:rPr>
        <w:t>,</w:t>
      </w:r>
      <w:r w:rsidRPr="00050FA4">
        <w:rPr>
          <w:rFonts w:cs="Garamond"/>
          <w:lang w:val="sq-AL"/>
        </w:rPr>
        <w:t xml:space="preserve"> në përputhje me kushtin e </w:t>
      </w:r>
      <w:r w:rsidR="00FD1140" w:rsidRPr="00050FA4">
        <w:rPr>
          <w:rFonts w:cs="Garamond"/>
          <w:lang w:val="sq-AL"/>
        </w:rPr>
        <w:t xml:space="preserve">asistencës makrofinanciare </w:t>
      </w:r>
      <w:r w:rsidRPr="00050FA4">
        <w:rPr>
          <w:rFonts w:cs="Garamond"/>
          <w:lang w:val="sq-AL"/>
        </w:rPr>
        <w:t>të BE-së për Shqipërinë.</w:t>
      </w:r>
    </w:p>
    <w:p w14:paraId="6240B179" w14:textId="0932F717" w:rsidR="00837498" w:rsidRPr="00050FA4" w:rsidRDefault="00837498" w:rsidP="003F1DA7">
      <w:pPr>
        <w:pStyle w:val="AAAAAAATEXXXX"/>
        <w:rPr>
          <w:rFonts w:cs="Garamond"/>
          <w:lang w:val="sq-AL"/>
        </w:rPr>
      </w:pPr>
      <w:r w:rsidRPr="00050FA4">
        <w:rPr>
          <w:rFonts w:cs="Garamond"/>
          <w:lang w:val="sq-AL"/>
        </w:rPr>
        <w:t>Për hapat e udhërrëfyesit angazhimi është të zbatohen deri në fund të vitit 2024. Hapat përfshijnë analizën e performancës së përfitimit të ndihmës ekonomike</w:t>
      </w:r>
      <w:r w:rsidR="00956632" w:rsidRPr="00050FA4">
        <w:rPr>
          <w:rFonts w:cs="Garamond"/>
          <w:lang w:val="sq-AL"/>
        </w:rPr>
        <w:t>,</w:t>
      </w:r>
      <w:r w:rsidRPr="00050FA4">
        <w:rPr>
          <w:rFonts w:cs="Garamond"/>
          <w:lang w:val="sq-AL"/>
        </w:rPr>
        <w:t xml:space="preserve"> duke përdorur të dhënat më të fundit të HBS</w:t>
      </w:r>
      <w:r w:rsidR="00956632" w:rsidRPr="00050FA4">
        <w:rPr>
          <w:rFonts w:cs="Garamond"/>
          <w:lang w:val="sq-AL"/>
        </w:rPr>
        <w:t>-së</w:t>
      </w:r>
      <w:r w:rsidRPr="00050FA4">
        <w:rPr>
          <w:rFonts w:cs="Garamond"/>
          <w:lang w:val="sq-AL"/>
        </w:rPr>
        <w:t xml:space="preserve"> dhe EU-SILC dhe krijimin e një mekanizmi për të përditësuar rregullisht nivelin e përfitimeve të ndihmës ekonomike.</w:t>
      </w:r>
    </w:p>
    <w:p w14:paraId="06F836D6" w14:textId="14E8B7EE" w:rsidR="00837498" w:rsidRPr="00050FA4" w:rsidRDefault="00837498" w:rsidP="003F1DA7">
      <w:pPr>
        <w:pStyle w:val="AAAAAAATEXXXX"/>
        <w:rPr>
          <w:rFonts w:cs="Garamond"/>
          <w:b/>
          <w:bCs/>
          <w:i/>
          <w:iCs/>
          <w:lang w:val="sq-AL"/>
        </w:rPr>
      </w:pPr>
      <w:r w:rsidRPr="00050FA4">
        <w:rPr>
          <w:rFonts w:cs="Garamond"/>
          <w:b/>
          <w:bCs/>
          <w:i/>
          <w:iCs/>
          <w:lang w:val="sq-AL"/>
        </w:rPr>
        <w:t xml:space="preserve">6.2 Ndërtoni kapacitete në qeverisjen vendore për të aplikuar për mbështetje nga </w:t>
      </w:r>
      <w:r w:rsidR="00956632" w:rsidRPr="00050FA4">
        <w:rPr>
          <w:rFonts w:cs="Garamond"/>
          <w:b/>
          <w:bCs/>
          <w:i/>
          <w:iCs/>
          <w:lang w:val="sq-AL"/>
        </w:rPr>
        <w:t xml:space="preserve">fondi social </w:t>
      </w:r>
      <w:r w:rsidRPr="00050FA4">
        <w:rPr>
          <w:rFonts w:cs="Garamond"/>
          <w:b/>
          <w:bCs/>
          <w:i/>
          <w:iCs/>
          <w:lang w:val="sq-AL"/>
        </w:rPr>
        <w:t>dhe për të planifikuar, administruar dhe ofruar shërbime të kujdesit social</w:t>
      </w:r>
    </w:p>
    <w:p w14:paraId="7B5C5354" w14:textId="31896728" w:rsidR="00837498" w:rsidRPr="00050FA4" w:rsidRDefault="00837498" w:rsidP="003F1DA7">
      <w:pPr>
        <w:pStyle w:val="AAAAAAATEXXXX"/>
        <w:rPr>
          <w:rFonts w:cs="Garamond"/>
          <w:lang w:val="sq-AL"/>
        </w:rPr>
      </w:pPr>
      <w:r w:rsidRPr="00050FA4">
        <w:rPr>
          <w:rFonts w:cs="Garamond"/>
          <w:lang w:val="sq-AL"/>
        </w:rPr>
        <w:t xml:space="preserve">Bazuar në Programin e Shërbimit Social Shtetëror </w:t>
      </w:r>
      <w:r w:rsidR="005E3871" w:rsidRPr="00050FA4">
        <w:rPr>
          <w:rFonts w:cs="Garamond"/>
          <w:lang w:val="sq-AL"/>
        </w:rPr>
        <w:t>nr</w:t>
      </w:r>
      <w:r w:rsidRPr="00050FA4">
        <w:rPr>
          <w:rFonts w:cs="Garamond"/>
          <w:lang w:val="sq-AL"/>
        </w:rPr>
        <w:t>. 1756 prot.</w:t>
      </w:r>
      <w:r w:rsidR="005E3871" w:rsidRPr="00050FA4">
        <w:rPr>
          <w:rFonts w:cs="Garamond"/>
          <w:lang w:val="sq-AL"/>
        </w:rPr>
        <w:t xml:space="preserve">, datë </w:t>
      </w:r>
      <w:r w:rsidRPr="00050FA4">
        <w:rPr>
          <w:rFonts w:cs="Garamond"/>
          <w:lang w:val="sq-AL"/>
        </w:rPr>
        <w:t>6.11.2019</w:t>
      </w:r>
      <w:r w:rsidR="005E3871" w:rsidRPr="00050FA4">
        <w:rPr>
          <w:rFonts w:cs="Garamond"/>
          <w:lang w:val="sq-AL"/>
        </w:rPr>
        <w:t>,</w:t>
      </w:r>
      <w:r w:rsidRPr="00050FA4">
        <w:rPr>
          <w:rFonts w:cs="Garamond"/>
          <w:lang w:val="sq-AL"/>
        </w:rPr>
        <w:t xml:space="preserve"> </w:t>
      </w:r>
      <w:r w:rsidR="008A0E5B" w:rsidRPr="00050FA4">
        <w:rPr>
          <w:rFonts w:cs="Garamond"/>
          <w:lang w:val="sq-AL"/>
        </w:rPr>
        <w:t>“</w:t>
      </w:r>
      <w:r w:rsidRPr="00050FA4">
        <w:rPr>
          <w:rFonts w:cs="Garamond"/>
          <w:lang w:val="sq-AL"/>
        </w:rPr>
        <w:t>Për bashkërendimin e procesit të hartimit dhe zbatimit të planeve sociale</w:t>
      </w:r>
      <w:r w:rsidR="008A0E5B" w:rsidRPr="00050FA4">
        <w:rPr>
          <w:rFonts w:cs="Garamond"/>
          <w:lang w:val="sq-AL"/>
        </w:rPr>
        <w:t>”</w:t>
      </w:r>
      <w:r w:rsidRPr="00050FA4">
        <w:rPr>
          <w:rFonts w:cs="Garamond"/>
          <w:lang w:val="sq-AL"/>
        </w:rPr>
        <w:t>, gjatë vitit 2021, 37 bashki të qarqeve Kukës, Dibër, Berat, Gjirokastër, Fier, Korçë dhe Vlorë janë asistuar në hartimin dhe zbatimin e planeve sociale. Së pari, ndihma u fokusua në identifikimin e çështjeve kyçe që duhet të</w:t>
      </w:r>
      <w:r w:rsidR="009B1D6B" w:rsidRPr="00050FA4">
        <w:rPr>
          <w:rFonts w:cs="Garamond"/>
          <w:lang w:val="sq-AL"/>
        </w:rPr>
        <w:t xml:space="preserve"> </w:t>
      </w:r>
      <w:r w:rsidRPr="00050FA4">
        <w:rPr>
          <w:rFonts w:cs="Garamond"/>
          <w:lang w:val="sq-AL"/>
        </w:rPr>
        <w:t>adresohen,</w:t>
      </w:r>
      <w:r w:rsidR="009B1D6B" w:rsidRPr="00050FA4">
        <w:rPr>
          <w:rFonts w:cs="Garamond"/>
          <w:lang w:val="sq-AL"/>
        </w:rPr>
        <w:t xml:space="preserve"> </w:t>
      </w:r>
      <w:r w:rsidRPr="00050FA4">
        <w:rPr>
          <w:rFonts w:cs="Garamond"/>
          <w:lang w:val="sq-AL"/>
        </w:rPr>
        <w:t>për të vlerësuar nevojat për shërbime sociale dhe së dyti, u prezantua një model</w:t>
      </w:r>
      <w:r w:rsidR="009B1D6B" w:rsidRPr="00050FA4">
        <w:rPr>
          <w:rFonts w:cs="Garamond"/>
          <w:lang w:val="sq-AL"/>
        </w:rPr>
        <w:t xml:space="preserve"> </w:t>
      </w:r>
      <w:r w:rsidRPr="00050FA4">
        <w:rPr>
          <w:rFonts w:cs="Garamond"/>
          <w:lang w:val="sq-AL"/>
        </w:rPr>
        <w:t>për hartimin e një plani social, bazuar në prioritetet e secilës bashki, përkthyer në projekte konkrete për aplikim në Fondin social. Për vitin 2021, ndër të tjera, 3 shërbime emergjente për viktimat e dhunës në familje (Gjirokastër, Berat, Kukës); 1 shërbim ditor për fëmijët me aftësi të kufizuar</w:t>
      </w:r>
      <w:r w:rsidR="008577A8" w:rsidRPr="00050FA4">
        <w:rPr>
          <w:rFonts w:cs="Garamond"/>
          <w:lang w:val="sq-AL"/>
        </w:rPr>
        <w:t>a</w:t>
      </w:r>
      <w:r w:rsidRPr="00050FA4">
        <w:rPr>
          <w:rFonts w:cs="Garamond"/>
          <w:lang w:val="sq-AL"/>
        </w:rPr>
        <w:t xml:space="preserve"> (Lushnj</w:t>
      </w:r>
      <w:r w:rsidR="008577A8" w:rsidRPr="00050FA4">
        <w:rPr>
          <w:rFonts w:cs="Garamond"/>
          <w:lang w:val="sq-AL"/>
        </w:rPr>
        <w:t>ë</w:t>
      </w:r>
      <w:r w:rsidRPr="00050FA4">
        <w:rPr>
          <w:rFonts w:cs="Garamond"/>
          <w:lang w:val="sq-AL"/>
        </w:rPr>
        <w:t xml:space="preserve">) dhe 2 </w:t>
      </w:r>
      <w:r w:rsidR="008577A8" w:rsidRPr="00050FA4">
        <w:rPr>
          <w:rFonts w:cs="Garamond"/>
          <w:lang w:val="sq-AL"/>
        </w:rPr>
        <w:t>qendra fëmijë dhe familje</w:t>
      </w:r>
      <w:r w:rsidRPr="00050FA4">
        <w:rPr>
          <w:rFonts w:cs="Garamond"/>
          <w:lang w:val="sq-AL"/>
        </w:rPr>
        <w:t xml:space="preserve">, në reformën De-I (Korçë dhe Vlorë) u mbështetën nga </w:t>
      </w:r>
      <w:r w:rsidR="008577A8" w:rsidRPr="00050FA4">
        <w:rPr>
          <w:rFonts w:cs="Garamond"/>
          <w:lang w:val="sq-AL"/>
        </w:rPr>
        <w:t>fondi social</w:t>
      </w:r>
      <w:r w:rsidRPr="00050FA4">
        <w:rPr>
          <w:rFonts w:cs="Garamond"/>
          <w:lang w:val="sq-AL"/>
        </w:rPr>
        <w:t>. Deri më tani</w:t>
      </w:r>
      <w:r w:rsidR="008577A8" w:rsidRPr="00050FA4">
        <w:rPr>
          <w:rFonts w:cs="Garamond"/>
          <w:lang w:val="sq-AL"/>
        </w:rPr>
        <w:t>,</w:t>
      </w:r>
      <w:r w:rsidRPr="00050FA4">
        <w:rPr>
          <w:rFonts w:cs="Garamond"/>
          <w:lang w:val="sq-AL"/>
        </w:rPr>
        <w:t xml:space="preserve"> 60 nga 61 bashki kanë miratuar planet e kujdesit social.</w:t>
      </w:r>
    </w:p>
    <w:p w14:paraId="33171B2C" w14:textId="7E8A44CC" w:rsidR="00837498" w:rsidRPr="00050FA4" w:rsidRDefault="00837498" w:rsidP="003F1DA7">
      <w:pPr>
        <w:pStyle w:val="AAAAAAATEXXXX"/>
        <w:rPr>
          <w:rFonts w:cs="Garamond"/>
          <w:b/>
          <w:bCs/>
          <w:i/>
          <w:iCs/>
          <w:lang w:val="sq-AL"/>
        </w:rPr>
      </w:pPr>
      <w:r w:rsidRPr="00050FA4">
        <w:rPr>
          <w:rFonts w:cs="Garamond"/>
          <w:b/>
          <w:bCs/>
          <w:i/>
          <w:iCs/>
          <w:lang w:val="sq-AL"/>
        </w:rPr>
        <w:t>6.3 Ridi</w:t>
      </w:r>
      <w:r w:rsidR="008577A8" w:rsidRPr="00050FA4">
        <w:rPr>
          <w:rFonts w:cs="Garamond"/>
          <w:b/>
          <w:bCs/>
          <w:i/>
          <w:iCs/>
          <w:lang w:val="sq-AL"/>
        </w:rPr>
        <w:t>senjo</w:t>
      </w:r>
      <w:r w:rsidRPr="00050FA4">
        <w:rPr>
          <w:rFonts w:cs="Garamond"/>
          <w:b/>
          <w:bCs/>
          <w:i/>
          <w:iCs/>
          <w:lang w:val="sq-AL"/>
        </w:rPr>
        <w:t>ni politikën e mbulimit, duke përfshirë mjekësinë ambulatore, për të reduktuar nevojën e paplotësuar për kujdes mjekësor dhe vështirësi financiare, veçanërisht midis personave me aftësi të kufizuara dhe sëmundjeve kronike, familjeve të varfra, njerëzve të moshës 65 vjeç e lart dhe minoriteteve</w:t>
      </w:r>
    </w:p>
    <w:p w14:paraId="187A4074" w14:textId="5DB0BB6A" w:rsidR="00837498" w:rsidRPr="00050FA4" w:rsidRDefault="00837498" w:rsidP="003F1DA7">
      <w:pPr>
        <w:pStyle w:val="AAAAAAATEXXXX"/>
        <w:rPr>
          <w:lang w:val="sq-AL"/>
        </w:rPr>
      </w:pPr>
      <w:r w:rsidRPr="00050FA4">
        <w:rPr>
          <w:lang w:val="sq-AL"/>
        </w:rPr>
        <w:t xml:space="preserve">Në përputhje me </w:t>
      </w:r>
      <w:r w:rsidR="00BB2ADD" w:rsidRPr="00050FA4">
        <w:rPr>
          <w:lang w:val="sq-AL"/>
        </w:rPr>
        <w:t xml:space="preserve">vendimin </w:t>
      </w:r>
      <w:r w:rsidRPr="00050FA4">
        <w:rPr>
          <w:lang w:val="sq-AL"/>
        </w:rPr>
        <w:t>e Këshillit të Ministrave nr. 489, datë 30.7.2021</w:t>
      </w:r>
      <w:r w:rsidR="00BB2ADD" w:rsidRPr="00050FA4">
        <w:rPr>
          <w:lang w:val="sq-AL"/>
        </w:rPr>
        <w:t>,</w:t>
      </w:r>
      <w:r w:rsidRPr="00050FA4">
        <w:rPr>
          <w:lang w:val="sq-AL"/>
        </w:rPr>
        <w:t xml:space="preserve"> </w:t>
      </w:r>
      <w:r w:rsidR="008A0E5B" w:rsidRPr="00050FA4">
        <w:rPr>
          <w:lang w:val="sq-AL"/>
        </w:rPr>
        <w:t>“</w:t>
      </w:r>
      <w:r w:rsidRPr="00050FA4">
        <w:rPr>
          <w:lang w:val="sq-AL"/>
        </w:rPr>
        <w:t>Për miratimin e listës së rimbursimit të barnave (LRB)</w:t>
      </w:r>
      <w:r w:rsidR="008A0E5B" w:rsidRPr="00050FA4">
        <w:rPr>
          <w:lang w:val="sq-AL"/>
        </w:rPr>
        <w:t>”</w:t>
      </w:r>
      <w:r w:rsidRPr="00050FA4">
        <w:rPr>
          <w:lang w:val="sq-AL"/>
        </w:rPr>
        <w:t>, lista e re përmban 1,191 barna</w:t>
      </w:r>
      <w:r w:rsidR="00B5558F" w:rsidRPr="00050FA4">
        <w:rPr>
          <w:lang w:val="sq-AL"/>
        </w:rPr>
        <w:t>,</w:t>
      </w:r>
      <w:r w:rsidRPr="00050FA4">
        <w:rPr>
          <w:lang w:val="sq-AL"/>
        </w:rPr>
        <w:t xml:space="preserve"> nga të cilat numri i përgjithshëm i përfituesve, përfshirë fëmijët, të moshuarit dhe pacientët me sëmundje kronike, është 400,000. Lista e re e barnave të rimbursueshme përfshin barna që trajtojnë dhe mbajnë nën kontroll diagnozat më të zakonshme të sëmundjeve kronike</w:t>
      </w:r>
      <w:r w:rsidR="00B5558F" w:rsidRPr="00050FA4">
        <w:rPr>
          <w:lang w:val="sq-AL"/>
        </w:rPr>
        <w:t>,</w:t>
      </w:r>
      <w:r w:rsidRPr="00050FA4">
        <w:rPr>
          <w:lang w:val="sq-AL"/>
        </w:rPr>
        <w:t xml:space="preserve"> si</w:t>
      </w:r>
      <w:r w:rsidR="00B5558F" w:rsidRPr="00050FA4">
        <w:rPr>
          <w:lang w:val="sq-AL"/>
        </w:rPr>
        <w:t>:</w:t>
      </w:r>
      <w:r w:rsidRPr="00050FA4">
        <w:rPr>
          <w:lang w:val="sq-AL"/>
        </w:rPr>
        <w:t xml:space="preserve"> diabeti, HTA</w:t>
      </w:r>
      <w:r w:rsidR="00B5558F" w:rsidRPr="00050FA4">
        <w:rPr>
          <w:lang w:val="sq-AL"/>
        </w:rPr>
        <w:t>-ja</w:t>
      </w:r>
      <w:r w:rsidRPr="00050FA4">
        <w:rPr>
          <w:lang w:val="sq-AL"/>
        </w:rPr>
        <w:t xml:space="preserve"> dhe sëmundjet kardiovaskulare. Për më tepër, në listë përfshihen edhe barna inovative për trajtimin e patologjive të ndryshme të kancerit si kanceri i mushkërive, kanceri i gjirit si dhe pacientët post-COVID.</w:t>
      </w:r>
    </w:p>
    <w:p w14:paraId="250750F9" w14:textId="77777777" w:rsidR="00837498" w:rsidRPr="00050FA4" w:rsidRDefault="00837498" w:rsidP="003F1DA7">
      <w:pPr>
        <w:pStyle w:val="AAAAAAATEXXXX"/>
        <w:rPr>
          <w:lang w:val="sq-AL"/>
        </w:rPr>
      </w:pPr>
      <w:r w:rsidRPr="00050FA4">
        <w:rPr>
          <w:lang w:val="sq-AL"/>
        </w:rPr>
        <w:t>Pacientët me dializë janë një tjetër grup që janë përfitues të drejtpërdrejtë të LRB-së nëpërmjet rimbursimit të barnave të reja që janë shtuar në listë. Buxheti i përgjithshëm i LRB-së së re është 107 milionë USD.</w:t>
      </w:r>
    </w:p>
    <w:p w14:paraId="24BA2817" w14:textId="21BADF2D" w:rsidR="00837498" w:rsidRPr="00050FA4" w:rsidRDefault="00837498" w:rsidP="003F1DA7">
      <w:pPr>
        <w:pStyle w:val="AAAAAAATEXXXX"/>
        <w:rPr>
          <w:lang w:val="sq-AL"/>
        </w:rPr>
      </w:pPr>
      <w:r w:rsidRPr="00050FA4">
        <w:rPr>
          <w:lang w:val="sq-AL"/>
        </w:rPr>
        <w:t>Për më tepër personat me aftësi të kufizuara përfitojnë paketën sanitare në para. Rreth 6500 persona me aftësi të kufizuar</w:t>
      </w:r>
      <w:r w:rsidR="00540345" w:rsidRPr="00050FA4">
        <w:rPr>
          <w:lang w:val="sq-AL"/>
        </w:rPr>
        <w:t>a</w:t>
      </w:r>
      <w:r w:rsidRPr="00050FA4">
        <w:rPr>
          <w:lang w:val="sq-AL"/>
        </w:rPr>
        <w:t xml:space="preserve"> përfitojnë një pagesë mujore për paketën sanitare në shumën 160 USD.</w:t>
      </w:r>
    </w:p>
    <w:p w14:paraId="50E17471" w14:textId="6323085D" w:rsidR="00DF1828" w:rsidRPr="00050FA4" w:rsidRDefault="00837498" w:rsidP="003F1DA7">
      <w:pPr>
        <w:pStyle w:val="AAAAAAATEXXXX"/>
        <w:rPr>
          <w:rFonts w:cstheme="majorBidi"/>
          <w:color w:val="0D0D0D" w:themeColor="text1" w:themeTint="F2"/>
          <w:lang w:val="sq-AL"/>
        </w:rPr>
      </w:pPr>
      <w:bookmarkStart w:id="2" w:name="_Toc62805577"/>
      <w:bookmarkStart w:id="3" w:name="_Toc93325748"/>
      <w:r w:rsidRPr="00050FA4">
        <w:rPr>
          <w:rFonts w:cstheme="majorBidi"/>
          <w:color w:val="0D0D0D" w:themeColor="text1" w:themeTint="F2"/>
          <w:lang w:val="sq-AL"/>
        </w:rPr>
        <w:t>3</w:t>
      </w:r>
      <w:r w:rsidR="00007136" w:rsidRPr="00050FA4">
        <w:rPr>
          <w:rFonts w:cstheme="majorBidi"/>
          <w:color w:val="0D0D0D" w:themeColor="text1" w:themeTint="F2"/>
          <w:lang w:val="sq-AL"/>
        </w:rPr>
        <w:t>.</w:t>
      </w:r>
      <w:r w:rsidRPr="00050FA4">
        <w:rPr>
          <w:rFonts w:cstheme="majorBidi"/>
          <w:color w:val="0D0D0D" w:themeColor="text1" w:themeTint="F2"/>
          <w:lang w:val="sq-AL"/>
        </w:rPr>
        <w:t xml:space="preserve"> </w:t>
      </w:r>
      <w:r w:rsidR="0051534E" w:rsidRPr="00050FA4">
        <w:rPr>
          <w:rFonts w:cstheme="majorBidi"/>
          <w:color w:val="0D0D0D" w:themeColor="text1" w:themeTint="F2"/>
          <w:lang w:val="sq-AL"/>
        </w:rPr>
        <w:t>Kuadri makroekonomik</w:t>
      </w:r>
      <w:bookmarkEnd w:id="0"/>
      <w:bookmarkEnd w:id="2"/>
      <w:bookmarkEnd w:id="3"/>
    </w:p>
    <w:p w14:paraId="213EA66C" w14:textId="2D8C6877" w:rsidR="00432175" w:rsidRPr="00050FA4" w:rsidRDefault="00BB2ADD" w:rsidP="003F1DA7">
      <w:pPr>
        <w:pStyle w:val="AAAAAAATEXXXX"/>
        <w:rPr>
          <w:b/>
          <w:lang w:val="sq-AL"/>
        </w:rPr>
      </w:pPr>
      <w:bookmarkStart w:id="4" w:name="_Toc62805578"/>
      <w:bookmarkStart w:id="5" w:name="_Toc93325749"/>
      <w:bookmarkStart w:id="6" w:name="_Toc484076169"/>
      <w:r w:rsidRPr="00050FA4">
        <w:rPr>
          <w:b/>
          <w:lang w:val="sq-AL"/>
        </w:rPr>
        <w:t>3.1</w:t>
      </w:r>
      <w:r w:rsidR="00837498" w:rsidRPr="00050FA4">
        <w:rPr>
          <w:b/>
          <w:lang w:val="sq-AL"/>
        </w:rPr>
        <w:t xml:space="preserve"> </w:t>
      </w:r>
      <w:r w:rsidR="00E751F1" w:rsidRPr="00050FA4">
        <w:rPr>
          <w:b/>
          <w:lang w:val="sq-AL"/>
        </w:rPr>
        <w:t>Zhvillimet e fundit ekonomike</w:t>
      </w:r>
      <w:bookmarkEnd w:id="4"/>
      <w:bookmarkEnd w:id="5"/>
    </w:p>
    <w:p w14:paraId="46C72DCE" w14:textId="05B00866" w:rsidR="00BC0117" w:rsidRPr="00050FA4" w:rsidRDefault="00BC0117" w:rsidP="003F1DA7">
      <w:pPr>
        <w:pStyle w:val="AAAAAAATEXXXX"/>
        <w:rPr>
          <w:color w:val="0D0D0D" w:themeColor="text1" w:themeTint="F2"/>
          <w:lang w:val="sq-AL"/>
        </w:rPr>
      </w:pPr>
      <w:r w:rsidRPr="00050FA4">
        <w:rPr>
          <w:color w:val="0D0D0D" w:themeColor="text1" w:themeTint="F2"/>
          <w:lang w:val="sq-AL"/>
        </w:rPr>
        <w:t>Ekonomia shqiptare u rekuperua ndjeshëm gjatë vitit 2021 pas recesionit të vitit të kaluar. Efektet e pandemisë ishin të përmbajtura si pasojë e mbështetjes nga poli</w:t>
      </w:r>
      <w:r w:rsidR="00571E7C" w:rsidRPr="00050FA4">
        <w:rPr>
          <w:color w:val="0D0D0D" w:themeColor="text1" w:themeTint="F2"/>
          <w:lang w:val="sq-AL"/>
        </w:rPr>
        <w:t>tikat fiskale e monetare ndërthu</w:t>
      </w:r>
      <w:r w:rsidRPr="00050FA4">
        <w:rPr>
          <w:color w:val="0D0D0D" w:themeColor="text1" w:themeTint="F2"/>
          <w:lang w:val="sq-AL"/>
        </w:rPr>
        <w:t>rur me masat rregullative. Rritja ekonomike rezultoi më e fortë dhe me bazë më të gjerë krahasuar me atë që pritej. Rritja reale e PBB-së ishte 11.9% gjatë gjysmës së parë të vitit 2021 nxitur nga investimet, konsumi familjar dhe eksportet. Efekti bazë dhe ndikimi nga prodhimi i energjisë elektrike ishin</w:t>
      </w:r>
      <w:r w:rsidR="00571E7C" w:rsidRPr="00050FA4">
        <w:rPr>
          <w:color w:val="0D0D0D" w:themeColor="text1" w:themeTint="F2"/>
          <w:lang w:val="sq-AL"/>
        </w:rPr>
        <w:t>,</w:t>
      </w:r>
      <w:r w:rsidRPr="00050FA4">
        <w:rPr>
          <w:color w:val="0D0D0D" w:themeColor="text1" w:themeTint="F2"/>
          <w:lang w:val="sq-AL"/>
        </w:rPr>
        <w:t xml:space="preserve"> gjithashtu</w:t>
      </w:r>
      <w:r w:rsidR="00571E7C" w:rsidRPr="00050FA4">
        <w:rPr>
          <w:color w:val="0D0D0D" w:themeColor="text1" w:themeTint="F2"/>
          <w:lang w:val="sq-AL"/>
        </w:rPr>
        <w:t>,</w:t>
      </w:r>
      <w:r w:rsidRPr="00050FA4">
        <w:rPr>
          <w:color w:val="0D0D0D" w:themeColor="text1" w:themeTint="F2"/>
          <w:lang w:val="sq-AL"/>
        </w:rPr>
        <w:t xml:space="preserve"> faktorë të veçantë që dhanë kontribut në rritje. </w:t>
      </w:r>
      <w:r w:rsidR="00571E7C" w:rsidRPr="00050FA4">
        <w:rPr>
          <w:color w:val="0D0D0D" w:themeColor="text1" w:themeTint="F2"/>
          <w:lang w:val="sq-AL"/>
        </w:rPr>
        <w:t>Rikuperimi</w:t>
      </w:r>
      <w:r w:rsidRPr="00050FA4">
        <w:rPr>
          <w:color w:val="0D0D0D" w:themeColor="text1" w:themeTint="F2"/>
          <w:lang w:val="sq-AL"/>
        </w:rPr>
        <w:t xml:space="preserve"> i kërkesës ka qenë i shpejtë dhe prodh</w:t>
      </w:r>
      <w:r w:rsidR="00F33482" w:rsidRPr="00050FA4">
        <w:rPr>
          <w:color w:val="0D0D0D" w:themeColor="text1" w:themeTint="F2"/>
          <w:lang w:val="sq-AL"/>
        </w:rPr>
        <w:t>imi ka tejkaluar nivelet e paratërmetit dhe të para</w:t>
      </w:r>
      <w:r w:rsidRPr="00050FA4">
        <w:rPr>
          <w:color w:val="0D0D0D" w:themeColor="text1" w:themeTint="F2"/>
          <w:lang w:val="sq-AL"/>
        </w:rPr>
        <w:t>pandemisë. Edhe tregu i punës paraqet përmirësim me rritje të punësimit dhe rënie të normës së papunësisë në nivelin 11.6% në tremujorin e dytë të vitit.</w:t>
      </w:r>
    </w:p>
    <w:p w14:paraId="6718DDE0" w14:textId="77777777" w:rsidR="00A250C1" w:rsidRPr="00050FA4" w:rsidRDefault="00A250C1" w:rsidP="003F1DA7">
      <w:pPr>
        <w:pStyle w:val="AAAAAAATEXXXX"/>
        <w:rPr>
          <w:color w:val="0D0D0D" w:themeColor="text1" w:themeTint="F2"/>
          <w:lang w:val="sq-AL"/>
        </w:rPr>
      </w:pPr>
    </w:p>
    <w:p w14:paraId="3CDF4C1D" w14:textId="77777777" w:rsidR="001B4FB1" w:rsidRPr="00050FA4" w:rsidRDefault="001B4FB1" w:rsidP="003F1DA7">
      <w:pPr>
        <w:pStyle w:val="AAAAAAATEXXXX"/>
        <w:rPr>
          <w:color w:val="0D0D0D" w:themeColor="text1" w:themeTint="F2"/>
          <w:lang w:val="sq-AL"/>
        </w:rPr>
      </w:pPr>
    </w:p>
    <w:p w14:paraId="5D77C2AF" w14:textId="77777777" w:rsidR="001B4FB1" w:rsidRPr="00050FA4" w:rsidRDefault="001B4FB1" w:rsidP="003F1DA7">
      <w:pPr>
        <w:pStyle w:val="AAAAAAATEXXXX"/>
        <w:rPr>
          <w:color w:val="0D0D0D" w:themeColor="text1" w:themeTint="F2"/>
          <w:lang w:val="sq-AL"/>
        </w:rPr>
      </w:pPr>
    </w:p>
    <w:p w14:paraId="29F69FE2" w14:textId="4CEAFA4E" w:rsidR="00BC0117" w:rsidRPr="00050FA4" w:rsidRDefault="00BC0117" w:rsidP="003F1DA7">
      <w:pPr>
        <w:autoSpaceDE w:val="0"/>
        <w:autoSpaceDN w:val="0"/>
        <w:adjustRightInd w:val="0"/>
        <w:ind w:firstLine="284"/>
        <w:jc w:val="center"/>
        <w:rPr>
          <w:rFonts w:ascii="Garamond" w:hAnsi="Garamond"/>
          <w:b/>
          <w:i/>
          <w:color w:val="0D0D0D" w:themeColor="text1" w:themeTint="F2"/>
          <w:sz w:val="20"/>
        </w:rPr>
      </w:pPr>
      <w:r w:rsidRPr="00050FA4">
        <w:rPr>
          <w:rFonts w:ascii="Garamond" w:hAnsi="Garamond"/>
          <w:b/>
          <w:i/>
          <w:color w:val="0D0D0D" w:themeColor="text1" w:themeTint="F2"/>
          <w:sz w:val="20"/>
        </w:rPr>
        <w:t>Grafik 3.1.1</w:t>
      </w:r>
      <w:r w:rsidR="00BB2ADD" w:rsidRPr="00050FA4">
        <w:rPr>
          <w:rFonts w:ascii="Garamond" w:hAnsi="Garamond"/>
          <w:b/>
          <w:i/>
          <w:color w:val="0D0D0D" w:themeColor="text1" w:themeTint="F2"/>
          <w:sz w:val="20"/>
        </w:rPr>
        <w:t xml:space="preserve"> Rritja vjetore e PBB-së 2010–</w:t>
      </w:r>
      <w:r w:rsidRPr="00050FA4">
        <w:rPr>
          <w:rFonts w:ascii="Garamond" w:hAnsi="Garamond"/>
          <w:b/>
          <w:i/>
          <w:color w:val="0D0D0D" w:themeColor="text1" w:themeTint="F2"/>
          <w:sz w:val="20"/>
        </w:rPr>
        <w:t>2021-GJ1</w:t>
      </w:r>
    </w:p>
    <w:p w14:paraId="756060DD" w14:textId="2FF67ED6" w:rsidR="00BC0117" w:rsidRPr="00050FA4" w:rsidRDefault="00BC0117" w:rsidP="003F1DA7">
      <w:pPr>
        <w:autoSpaceDE w:val="0"/>
        <w:autoSpaceDN w:val="0"/>
        <w:adjustRightInd w:val="0"/>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67A6AC2C" wp14:editId="338412B8">
            <wp:extent cx="5173212" cy="2478651"/>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5849" cy="2489497"/>
                    </a:xfrm>
                    <a:prstGeom prst="rect">
                      <a:avLst/>
                    </a:prstGeom>
                    <a:noFill/>
                    <a:ln>
                      <a:noFill/>
                    </a:ln>
                  </pic:spPr>
                </pic:pic>
              </a:graphicData>
            </a:graphic>
          </wp:inline>
        </w:drawing>
      </w:r>
    </w:p>
    <w:p w14:paraId="0D70EE3B" w14:textId="47A319FB" w:rsidR="00BC0117" w:rsidRPr="00050FA4" w:rsidRDefault="00197F61" w:rsidP="003F1DA7">
      <w:pPr>
        <w:pStyle w:val="AAAAAAATEXXXX"/>
        <w:jc w:val="center"/>
        <w:rPr>
          <w:sz w:val="20"/>
          <w:szCs w:val="20"/>
          <w:lang w:val="sq-AL"/>
        </w:rPr>
      </w:pPr>
      <w:r w:rsidRPr="00050FA4">
        <w:rPr>
          <w:sz w:val="20"/>
          <w:szCs w:val="20"/>
          <w:lang w:val="sq-AL"/>
        </w:rPr>
        <w:t>Burimi: INSTAT</w:t>
      </w:r>
      <w:r w:rsidR="00BC0117" w:rsidRPr="00050FA4">
        <w:rPr>
          <w:sz w:val="20"/>
          <w:szCs w:val="20"/>
          <w:lang w:val="sq-AL"/>
        </w:rPr>
        <w:t xml:space="preserve"> *gjys</w:t>
      </w:r>
      <w:r w:rsidR="00BB2ADD" w:rsidRPr="00050FA4">
        <w:rPr>
          <w:sz w:val="20"/>
          <w:szCs w:val="20"/>
          <w:lang w:val="sq-AL"/>
        </w:rPr>
        <w:t>m</w:t>
      </w:r>
      <w:r w:rsidR="00BC0117" w:rsidRPr="00050FA4">
        <w:rPr>
          <w:sz w:val="20"/>
          <w:szCs w:val="20"/>
          <w:lang w:val="sq-AL"/>
        </w:rPr>
        <w:t>ëpërfundimtare **paraprake</w:t>
      </w:r>
    </w:p>
    <w:p w14:paraId="49BA5C10" w14:textId="77777777" w:rsidR="00A12258" w:rsidRPr="00050FA4" w:rsidRDefault="00A12258" w:rsidP="003F1DA7">
      <w:pPr>
        <w:pStyle w:val="AAAAAAATEXXXX"/>
        <w:rPr>
          <w:sz w:val="20"/>
          <w:szCs w:val="20"/>
          <w:lang w:val="sq-AL"/>
        </w:rPr>
      </w:pPr>
    </w:p>
    <w:p w14:paraId="2607A37D" w14:textId="0FABF016" w:rsidR="00BC0117" w:rsidRPr="00050FA4" w:rsidRDefault="00BC0117" w:rsidP="003F1DA7">
      <w:pPr>
        <w:pStyle w:val="AAAAAAATEXXXX"/>
        <w:rPr>
          <w:lang w:val="sq-AL"/>
        </w:rPr>
      </w:pPr>
      <w:r w:rsidRPr="00050FA4">
        <w:rPr>
          <w:i/>
          <w:lang w:val="sq-AL"/>
        </w:rPr>
        <w:t>Nga pikëpamja e prodhimit</w:t>
      </w:r>
      <w:r w:rsidRPr="00050FA4">
        <w:rPr>
          <w:lang w:val="sq-AL"/>
        </w:rPr>
        <w:t>, rritja ekonomike është nxitur nga sektori prodhues i cili dha një kontribut 5.6 pikë përqindje gjatë gjysmës së parë të vitit. Aktiviteti ka qenë veçanërisht intensiv në ndërtim, industri nxjerrëse dhe përpunuese</w:t>
      </w:r>
      <w:r w:rsidR="008D716D" w:rsidRPr="00050FA4">
        <w:rPr>
          <w:lang w:val="sq-AL"/>
        </w:rPr>
        <w:t>,</w:t>
      </w:r>
      <w:r w:rsidRPr="00050FA4">
        <w:rPr>
          <w:lang w:val="sq-AL"/>
        </w:rPr>
        <w:t xml:space="preserve"> si dhe në prodhimin e energjisë elektrike. Në rastin e fundit, kushtet e favorshme atmosferike kanë qenë faktor mbështetës. Nga ana tjetër, rënie vjetore është vënë re në rastin e bujqësisë. </w:t>
      </w:r>
      <w:r w:rsidRPr="00050FA4">
        <w:rPr>
          <w:i/>
          <w:lang w:val="sq-AL"/>
        </w:rPr>
        <w:t>Sektori i shërbimeve</w:t>
      </w:r>
      <w:r w:rsidRPr="00050FA4">
        <w:rPr>
          <w:lang w:val="sq-AL"/>
        </w:rPr>
        <w:t xml:space="preserve"> dha një kontribut prej 5.4 pikë përqindje</w:t>
      </w:r>
      <w:r w:rsidR="00904ECF" w:rsidRPr="00050FA4">
        <w:rPr>
          <w:lang w:val="sq-AL"/>
        </w:rPr>
        <w:t>je</w:t>
      </w:r>
      <w:r w:rsidRPr="00050FA4">
        <w:rPr>
          <w:lang w:val="sq-AL"/>
        </w:rPr>
        <w:t xml:space="preserve"> në rritje gjatë gjysmës së parë të vitit 2021. Performanca e mirë ishte më e dukshme gjatë tremujorit të dytë të vitit</w:t>
      </w:r>
      <w:r w:rsidR="008D716D" w:rsidRPr="00050FA4">
        <w:rPr>
          <w:lang w:val="sq-AL"/>
        </w:rPr>
        <w:t>,</w:t>
      </w:r>
      <w:r w:rsidRPr="00050FA4">
        <w:rPr>
          <w:lang w:val="sq-AL"/>
        </w:rPr>
        <w:t xml:space="preserve"> kur kufizimet ndaj lëvizjes së udhëtarëve u lehtësuan dhe sektori turistik u rigjallërua.</w:t>
      </w:r>
    </w:p>
    <w:p w14:paraId="25AB6CA1" w14:textId="77777777" w:rsidR="00A12258" w:rsidRPr="00050FA4" w:rsidRDefault="00A12258" w:rsidP="003F1DA7">
      <w:pPr>
        <w:pStyle w:val="AAAAAAATEXXXX"/>
        <w:rPr>
          <w:lang w:val="sq-AL"/>
        </w:rPr>
      </w:pPr>
    </w:p>
    <w:p w14:paraId="3E5A6F15" w14:textId="0FEC6B36" w:rsidR="00BC0117" w:rsidRPr="00050FA4" w:rsidRDefault="00197F61" w:rsidP="003F1DA7">
      <w:pPr>
        <w:ind w:firstLine="284"/>
        <w:jc w:val="center"/>
        <w:rPr>
          <w:rFonts w:ascii="Garamond" w:hAnsi="Garamond"/>
          <w:b/>
          <w:i/>
          <w:color w:val="0D0D0D" w:themeColor="text1" w:themeTint="F2"/>
          <w:sz w:val="20"/>
        </w:rPr>
      </w:pPr>
      <w:r w:rsidRPr="00050FA4">
        <w:rPr>
          <w:rFonts w:ascii="Garamond" w:hAnsi="Garamond"/>
          <w:b/>
          <w:i/>
          <w:color w:val="0D0D0D" w:themeColor="text1" w:themeTint="F2"/>
          <w:sz w:val="20"/>
        </w:rPr>
        <w:t xml:space="preserve">Tabelë 3.1.1 </w:t>
      </w:r>
      <w:r w:rsidR="00BC0117" w:rsidRPr="00050FA4">
        <w:rPr>
          <w:rFonts w:ascii="Garamond" w:hAnsi="Garamond"/>
          <w:b/>
          <w:i/>
          <w:color w:val="0D0D0D" w:themeColor="text1" w:themeTint="F2"/>
          <w:sz w:val="20"/>
        </w:rPr>
        <w:t>Kontributet në rritjen e PBB-së</w:t>
      </w:r>
      <w:r w:rsidR="008D716D" w:rsidRPr="00050FA4">
        <w:rPr>
          <w:rFonts w:ascii="Garamond" w:hAnsi="Garamond"/>
          <w:b/>
          <w:i/>
          <w:color w:val="0D0D0D" w:themeColor="text1" w:themeTint="F2"/>
          <w:sz w:val="20"/>
        </w:rPr>
        <w:t>,</w:t>
      </w:r>
      <w:r w:rsidR="00BC0117" w:rsidRPr="00050FA4">
        <w:rPr>
          <w:rFonts w:ascii="Garamond" w:hAnsi="Garamond"/>
          <w:b/>
          <w:i/>
          <w:color w:val="0D0D0D" w:themeColor="text1" w:themeTint="F2"/>
          <w:sz w:val="20"/>
        </w:rPr>
        <w:t xml:space="preserve"> sipas prodhimit dhe kërkesës agregate në pikë përqindje</w:t>
      </w:r>
      <w:r w:rsidR="008D716D" w:rsidRPr="00050FA4">
        <w:rPr>
          <w:rFonts w:ascii="Garamond" w:hAnsi="Garamond"/>
          <w:b/>
          <w:i/>
          <w:color w:val="0D0D0D" w:themeColor="text1" w:themeTint="F2"/>
          <w:sz w:val="20"/>
        </w:rPr>
        <w:t>je</w:t>
      </w:r>
    </w:p>
    <w:tbl>
      <w:tblPr>
        <w:tblStyle w:val="TableGrid31"/>
        <w:tblW w:w="9540" w:type="dxa"/>
        <w:jc w:val="center"/>
        <w:tblLayout w:type="fixed"/>
        <w:tblLook w:val="04A0" w:firstRow="1" w:lastRow="0" w:firstColumn="1" w:lastColumn="0" w:noHBand="0" w:noVBand="1"/>
      </w:tblPr>
      <w:tblGrid>
        <w:gridCol w:w="4108"/>
        <w:gridCol w:w="835"/>
        <w:gridCol w:w="899"/>
        <w:gridCol w:w="899"/>
        <w:gridCol w:w="902"/>
        <w:gridCol w:w="899"/>
        <w:gridCol w:w="998"/>
      </w:tblGrid>
      <w:tr w:rsidR="00FA29AB" w:rsidRPr="00050FA4" w14:paraId="44A9D8C1" w14:textId="77777777" w:rsidTr="00A12258">
        <w:trPr>
          <w:trHeight w:val="253"/>
          <w:jc w:val="center"/>
        </w:trPr>
        <w:tc>
          <w:tcPr>
            <w:tcW w:w="4106" w:type="dxa"/>
            <w:vMerge w:val="restart"/>
            <w:tcBorders>
              <w:top w:val="single" w:sz="4" w:space="0" w:color="auto"/>
              <w:left w:val="single" w:sz="4" w:space="0" w:color="auto"/>
              <w:bottom w:val="single" w:sz="4" w:space="0" w:color="auto"/>
              <w:right w:val="single" w:sz="4" w:space="0" w:color="auto"/>
            </w:tcBorders>
          </w:tcPr>
          <w:p w14:paraId="2E6452C5" w14:textId="77777777" w:rsidR="00BC0117" w:rsidRPr="00050FA4" w:rsidRDefault="00BC0117" w:rsidP="008D716D">
            <w:pPr>
              <w:widowControl w:val="0"/>
              <w:rPr>
                <w:rFonts w:ascii="Garamond" w:hAnsi="Garamond"/>
                <w:color w:val="0D0D0D" w:themeColor="text1" w:themeTint="F2"/>
                <w:sz w:val="20"/>
                <w:szCs w:val="20"/>
                <w:lang w:val="sq-AL"/>
              </w:rPr>
            </w:pPr>
          </w:p>
        </w:tc>
        <w:tc>
          <w:tcPr>
            <w:tcW w:w="3533" w:type="dxa"/>
            <w:gridSpan w:val="4"/>
            <w:tcBorders>
              <w:top w:val="single" w:sz="4" w:space="0" w:color="auto"/>
              <w:left w:val="single" w:sz="4" w:space="0" w:color="auto"/>
              <w:bottom w:val="single" w:sz="4" w:space="0" w:color="auto"/>
              <w:right w:val="single" w:sz="4" w:space="0" w:color="auto"/>
            </w:tcBorders>
            <w:hideMark/>
          </w:tcPr>
          <w:p w14:paraId="59C816BF"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2020**</w:t>
            </w:r>
          </w:p>
        </w:tc>
        <w:tc>
          <w:tcPr>
            <w:tcW w:w="1895" w:type="dxa"/>
            <w:gridSpan w:val="2"/>
            <w:tcBorders>
              <w:top w:val="single" w:sz="4" w:space="0" w:color="auto"/>
              <w:left w:val="single" w:sz="4" w:space="0" w:color="auto"/>
              <w:bottom w:val="single" w:sz="4" w:space="0" w:color="auto"/>
              <w:right w:val="single" w:sz="4" w:space="0" w:color="auto"/>
            </w:tcBorders>
            <w:hideMark/>
          </w:tcPr>
          <w:p w14:paraId="6C1D8CA7"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2021**</w:t>
            </w:r>
          </w:p>
        </w:tc>
      </w:tr>
      <w:tr w:rsidR="00FA29AB" w:rsidRPr="00050FA4" w14:paraId="7BD86BF6" w14:textId="77777777" w:rsidTr="00A12258">
        <w:trPr>
          <w:trHeight w:val="288"/>
          <w:jc w:val="center"/>
        </w:trPr>
        <w:tc>
          <w:tcPr>
            <w:tcW w:w="9534" w:type="dxa"/>
            <w:vMerge/>
            <w:tcBorders>
              <w:top w:val="single" w:sz="4" w:space="0" w:color="auto"/>
              <w:left w:val="single" w:sz="4" w:space="0" w:color="auto"/>
              <w:bottom w:val="single" w:sz="4" w:space="0" w:color="auto"/>
              <w:right w:val="single" w:sz="4" w:space="0" w:color="auto"/>
            </w:tcBorders>
            <w:vAlign w:val="center"/>
            <w:hideMark/>
          </w:tcPr>
          <w:p w14:paraId="42ED4825" w14:textId="77777777" w:rsidR="00BC0117" w:rsidRPr="00050FA4" w:rsidRDefault="00BC0117" w:rsidP="008D716D">
            <w:pPr>
              <w:rPr>
                <w:rFonts w:ascii="Garamond" w:hAnsi="Garamond"/>
                <w:color w:val="0D0D0D" w:themeColor="text1" w:themeTint="F2"/>
                <w:sz w:val="20"/>
                <w:szCs w:val="20"/>
                <w:lang w:val="sq-AL"/>
              </w:rPr>
            </w:pPr>
          </w:p>
        </w:tc>
        <w:tc>
          <w:tcPr>
            <w:tcW w:w="835" w:type="dxa"/>
            <w:tcBorders>
              <w:top w:val="single" w:sz="4" w:space="0" w:color="auto"/>
              <w:left w:val="single" w:sz="4" w:space="0" w:color="auto"/>
              <w:bottom w:val="single" w:sz="4" w:space="0" w:color="auto"/>
              <w:right w:val="single" w:sz="4" w:space="0" w:color="auto"/>
            </w:tcBorders>
            <w:hideMark/>
          </w:tcPr>
          <w:p w14:paraId="23F579BA"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T1</w:t>
            </w:r>
          </w:p>
        </w:tc>
        <w:tc>
          <w:tcPr>
            <w:tcW w:w="899" w:type="dxa"/>
            <w:tcBorders>
              <w:top w:val="single" w:sz="4" w:space="0" w:color="auto"/>
              <w:left w:val="single" w:sz="4" w:space="0" w:color="auto"/>
              <w:bottom w:val="single" w:sz="4" w:space="0" w:color="auto"/>
              <w:right w:val="single" w:sz="4" w:space="0" w:color="auto"/>
            </w:tcBorders>
            <w:hideMark/>
          </w:tcPr>
          <w:p w14:paraId="1B4B9696"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T2</w:t>
            </w:r>
          </w:p>
        </w:tc>
        <w:tc>
          <w:tcPr>
            <w:tcW w:w="898" w:type="dxa"/>
            <w:tcBorders>
              <w:top w:val="single" w:sz="4" w:space="0" w:color="auto"/>
              <w:left w:val="single" w:sz="4" w:space="0" w:color="auto"/>
              <w:bottom w:val="single" w:sz="4" w:space="0" w:color="auto"/>
              <w:right w:val="single" w:sz="4" w:space="0" w:color="auto"/>
            </w:tcBorders>
            <w:hideMark/>
          </w:tcPr>
          <w:p w14:paraId="3DDCACF1"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T3</w:t>
            </w:r>
          </w:p>
        </w:tc>
        <w:tc>
          <w:tcPr>
            <w:tcW w:w="901" w:type="dxa"/>
            <w:tcBorders>
              <w:top w:val="single" w:sz="4" w:space="0" w:color="auto"/>
              <w:left w:val="single" w:sz="4" w:space="0" w:color="auto"/>
              <w:bottom w:val="single" w:sz="4" w:space="0" w:color="auto"/>
              <w:right w:val="single" w:sz="4" w:space="0" w:color="auto"/>
            </w:tcBorders>
            <w:hideMark/>
          </w:tcPr>
          <w:p w14:paraId="55E37915"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T4</w:t>
            </w:r>
          </w:p>
        </w:tc>
        <w:tc>
          <w:tcPr>
            <w:tcW w:w="898" w:type="dxa"/>
            <w:tcBorders>
              <w:top w:val="single" w:sz="4" w:space="0" w:color="auto"/>
              <w:left w:val="single" w:sz="4" w:space="0" w:color="auto"/>
              <w:bottom w:val="single" w:sz="4" w:space="0" w:color="auto"/>
              <w:right w:val="single" w:sz="4" w:space="0" w:color="auto"/>
            </w:tcBorders>
            <w:hideMark/>
          </w:tcPr>
          <w:p w14:paraId="12A90B2D"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T1</w:t>
            </w:r>
          </w:p>
        </w:tc>
        <w:tc>
          <w:tcPr>
            <w:tcW w:w="997" w:type="dxa"/>
            <w:tcBorders>
              <w:top w:val="single" w:sz="4" w:space="0" w:color="auto"/>
              <w:left w:val="single" w:sz="4" w:space="0" w:color="auto"/>
              <w:bottom w:val="single" w:sz="4" w:space="0" w:color="auto"/>
              <w:right w:val="single" w:sz="4" w:space="0" w:color="auto"/>
            </w:tcBorders>
            <w:hideMark/>
          </w:tcPr>
          <w:p w14:paraId="7A1E6A14" w14:textId="77777777" w:rsidR="00BC0117" w:rsidRPr="00050FA4" w:rsidRDefault="00BC0117" w:rsidP="008D716D">
            <w:pPr>
              <w:jc w:val="center"/>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T2</w:t>
            </w:r>
          </w:p>
        </w:tc>
      </w:tr>
      <w:tr w:rsidR="00FA29AB" w:rsidRPr="00050FA4" w14:paraId="39FF158C" w14:textId="77777777" w:rsidTr="00A12258">
        <w:trPr>
          <w:trHeight w:val="253"/>
          <w:jc w:val="center"/>
        </w:trPr>
        <w:tc>
          <w:tcPr>
            <w:tcW w:w="9534" w:type="dxa"/>
            <w:gridSpan w:val="7"/>
            <w:tcBorders>
              <w:top w:val="single" w:sz="4" w:space="0" w:color="auto"/>
              <w:left w:val="single" w:sz="4" w:space="0" w:color="auto"/>
              <w:bottom w:val="single" w:sz="4" w:space="0" w:color="auto"/>
              <w:right w:val="single" w:sz="4" w:space="0" w:color="auto"/>
            </w:tcBorders>
            <w:hideMark/>
          </w:tcPr>
          <w:p w14:paraId="38B2AF62" w14:textId="77777777" w:rsidR="00BC0117" w:rsidRPr="00050FA4" w:rsidRDefault="00BC0117" w:rsidP="008D716D">
            <w:pPr>
              <w:rPr>
                <w:rFonts w:ascii="Garamond" w:hAnsi="Garamond"/>
                <w:b/>
                <w:i/>
                <w:color w:val="0D0D0D" w:themeColor="text1" w:themeTint="F2"/>
                <w:sz w:val="20"/>
                <w:szCs w:val="20"/>
                <w:lang w:val="sq-AL"/>
              </w:rPr>
            </w:pPr>
            <w:r w:rsidRPr="00050FA4">
              <w:rPr>
                <w:rFonts w:ascii="Garamond" w:hAnsi="Garamond"/>
                <w:b/>
                <w:i/>
                <w:color w:val="0D0D0D" w:themeColor="text1" w:themeTint="F2"/>
                <w:sz w:val="20"/>
                <w:szCs w:val="20"/>
                <w:lang w:val="sq-AL"/>
              </w:rPr>
              <w:t>sipas sektorëve:</w:t>
            </w:r>
          </w:p>
        </w:tc>
      </w:tr>
      <w:tr w:rsidR="00FA29AB" w:rsidRPr="00050FA4" w14:paraId="6CE59856" w14:textId="77777777" w:rsidTr="00A12258">
        <w:trPr>
          <w:trHeight w:val="271"/>
          <w:jc w:val="center"/>
        </w:trPr>
        <w:tc>
          <w:tcPr>
            <w:tcW w:w="4106" w:type="dxa"/>
            <w:tcBorders>
              <w:top w:val="single" w:sz="4" w:space="0" w:color="auto"/>
              <w:left w:val="single" w:sz="4" w:space="0" w:color="auto"/>
              <w:bottom w:val="single" w:sz="4" w:space="0" w:color="auto"/>
              <w:right w:val="single" w:sz="4" w:space="0" w:color="auto"/>
            </w:tcBorders>
            <w:hideMark/>
          </w:tcPr>
          <w:p w14:paraId="09EA78A0" w14:textId="77777777" w:rsidR="00BC0117" w:rsidRPr="00050FA4" w:rsidRDefault="00BC0117" w:rsidP="008D716D">
            <w:pPr>
              <w:jc w:val="both"/>
              <w:rPr>
                <w:rFonts w:ascii="Garamond" w:hAnsi="Garamond"/>
                <w:i/>
                <w:color w:val="0D0D0D" w:themeColor="text1" w:themeTint="F2"/>
                <w:sz w:val="20"/>
                <w:szCs w:val="20"/>
                <w:lang w:val="sq-AL"/>
              </w:rPr>
            </w:pPr>
            <w:r w:rsidRPr="00050FA4">
              <w:rPr>
                <w:rFonts w:ascii="Garamond" w:hAnsi="Garamond"/>
                <w:i/>
                <w:color w:val="0D0D0D" w:themeColor="text1" w:themeTint="F2"/>
                <w:sz w:val="20"/>
                <w:szCs w:val="20"/>
                <w:lang w:val="sq-AL"/>
              </w:rPr>
              <w:t>Bujqësi, pyje, peshkim</w:t>
            </w:r>
          </w:p>
        </w:tc>
        <w:tc>
          <w:tcPr>
            <w:tcW w:w="835" w:type="dxa"/>
            <w:tcBorders>
              <w:top w:val="single" w:sz="4" w:space="0" w:color="auto"/>
              <w:left w:val="single" w:sz="4" w:space="0" w:color="auto"/>
              <w:bottom w:val="single" w:sz="4" w:space="0" w:color="auto"/>
              <w:right w:val="single" w:sz="4" w:space="0" w:color="auto"/>
            </w:tcBorders>
            <w:vAlign w:val="center"/>
            <w:hideMark/>
          </w:tcPr>
          <w:p w14:paraId="032240A9"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0.5</w:t>
            </w:r>
          </w:p>
        </w:tc>
        <w:tc>
          <w:tcPr>
            <w:tcW w:w="899" w:type="dxa"/>
            <w:tcBorders>
              <w:top w:val="single" w:sz="4" w:space="0" w:color="auto"/>
              <w:left w:val="single" w:sz="4" w:space="0" w:color="auto"/>
              <w:bottom w:val="single" w:sz="4" w:space="0" w:color="auto"/>
              <w:right w:val="single" w:sz="4" w:space="0" w:color="auto"/>
            </w:tcBorders>
            <w:vAlign w:val="center"/>
            <w:hideMark/>
          </w:tcPr>
          <w:p w14:paraId="54173F27"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0.5</w:t>
            </w:r>
          </w:p>
        </w:tc>
        <w:tc>
          <w:tcPr>
            <w:tcW w:w="898" w:type="dxa"/>
            <w:tcBorders>
              <w:top w:val="single" w:sz="4" w:space="0" w:color="auto"/>
              <w:left w:val="single" w:sz="4" w:space="0" w:color="auto"/>
              <w:bottom w:val="single" w:sz="4" w:space="0" w:color="auto"/>
              <w:right w:val="single" w:sz="4" w:space="0" w:color="auto"/>
            </w:tcBorders>
            <w:vAlign w:val="center"/>
            <w:hideMark/>
          </w:tcPr>
          <w:p w14:paraId="1ADE980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-0.2</w:t>
            </w:r>
          </w:p>
        </w:tc>
        <w:tc>
          <w:tcPr>
            <w:tcW w:w="901" w:type="dxa"/>
            <w:tcBorders>
              <w:top w:val="single" w:sz="4" w:space="0" w:color="auto"/>
              <w:left w:val="single" w:sz="4" w:space="0" w:color="auto"/>
              <w:bottom w:val="single" w:sz="4" w:space="0" w:color="auto"/>
              <w:right w:val="single" w:sz="4" w:space="0" w:color="auto"/>
            </w:tcBorders>
            <w:vAlign w:val="center"/>
            <w:hideMark/>
          </w:tcPr>
          <w:p w14:paraId="687A513A"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-0.5</w:t>
            </w:r>
          </w:p>
        </w:tc>
        <w:tc>
          <w:tcPr>
            <w:tcW w:w="898" w:type="dxa"/>
            <w:tcBorders>
              <w:top w:val="single" w:sz="4" w:space="0" w:color="auto"/>
              <w:left w:val="single" w:sz="4" w:space="0" w:color="auto"/>
              <w:bottom w:val="single" w:sz="4" w:space="0" w:color="auto"/>
              <w:right w:val="single" w:sz="4" w:space="0" w:color="auto"/>
            </w:tcBorders>
            <w:vAlign w:val="center"/>
            <w:hideMark/>
          </w:tcPr>
          <w:p w14:paraId="378B095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0.0</w:t>
            </w:r>
          </w:p>
        </w:tc>
        <w:tc>
          <w:tcPr>
            <w:tcW w:w="997" w:type="dxa"/>
            <w:tcBorders>
              <w:top w:val="single" w:sz="4" w:space="0" w:color="auto"/>
              <w:left w:val="single" w:sz="4" w:space="0" w:color="auto"/>
              <w:bottom w:val="single" w:sz="4" w:space="0" w:color="auto"/>
              <w:right w:val="single" w:sz="4" w:space="0" w:color="auto"/>
            </w:tcBorders>
            <w:vAlign w:val="center"/>
            <w:hideMark/>
          </w:tcPr>
          <w:p w14:paraId="6BF3392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-0.2</w:t>
            </w:r>
          </w:p>
        </w:tc>
      </w:tr>
      <w:tr w:rsidR="00FA29AB" w:rsidRPr="00050FA4" w14:paraId="0E4020B5"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3F121A8C" w14:textId="77777777" w:rsidR="00BC0117" w:rsidRPr="00050FA4" w:rsidRDefault="00BC0117" w:rsidP="008D716D">
            <w:pPr>
              <w:jc w:val="both"/>
              <w:rPr>
                <w:rFonts w:ascii="Garamond" w:hAnsi="Garamond"/>
                <w:i/>
                <w:color w:val="0D0D0D" w:themeColor="text1" w:themeTint="F2"/>
                <w:sz w:val="20"/>
                <w:szCs w:val="20"/>
                <w:lang w:val="sq-AL"/>
              </w:rPr>
            </w:pPr>
            <w:r w:rsidRPr="00050FA4">
              <w:rPr>
                <w:rFonts w:ascii="Garamond" w:hAnsi="Garamond"/>
                <w:i/>
                <w:color w:val="0D0D0D" w:themeColor="text1" w:themeTint="F2"/>
                <w:sz w:val="20"/>
                <w:szCs w:val="20"/>
                <w:lang w:val="sq-AL"/>
              </w:rPr>
              <w:t>Industri, energji, ujë</w:t>
            </w:r>
          </w:p>
        </w:tc>
        <w:tc>
          <w:tcPr>
            <w:tcW w:w="835" w:type="dxa"/>
            <w:tcBorders>
              <w:top w:val="single" w:sz="4" w:space="0" w:color="auto"/>
              <w:left w:val="single" w:sz="4" w:space="0" w:color="auto"/>
              <w:bottom w:val="single" w:sz="4" w:space="0" w:color="auto"/>
              <w:right w:val="single" w:sz="4" w:space="0" w:color="auto"/>
            </w:tcBorders>
            <w:vAlign w:val="center"/>
            <w:hideMark/>
          </w:tcPr>
          <w:p w14:paraId="349137B7"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-0.9</w:t>
            </w:r>
          </w:p>
        </w:tc>
        <w:tc>
          <w:tcPr>
            <w:tcW w:w="899" w:type="dxa"/>
            <w:tcBorders>
              <w:top w:val="single" w:sz="4" w:space="0" w:color="auto"/>
              <w:left w:val="single" w:sz="4" w:space="0" w:color="auto"/>
              <w:bottom w:val="single" w:sz="4" w:space="0" w:color="auto"/>
              <w:right w:val="single" w:sz="4" w:space="0" w:color="auto"/>
            </w:tcBorders>
            <w:vAlign w:val="center"/>
            <w:hideMark/>
          </w:tcPr>
          <w:p w14:paraId="42132C9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-1.9</w:t>
            </w:r>
          </w:p>
        </w:tc>
        <w:tc>
          <w:tcPr>
            <w:tcW w:w="898" w:type="dxa"/>
            <w:tcBorders>
              <w:top w:val="single" w:sz="4" w:space="0" w:color="auto"/>
              <w:left w:val="single" w:sz="4" w:space="0" w:color="auto"/>
              <w:bottom w:val="single" w:sz="4" w:space="0" w:color="auto"/>
              <w:right w:val="single" w:sz="4" w:space="0" w:color="auto"/>
            </w:tcBorders>
            <w:vAlign w:val="center"/>
            <w:hideMark/>
          </w:tcPr>
          <w:p w14:paraId="74A17C48"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-0.5</w:t>
            </w:r>
          </w:p>
        </w:tc>
        <w:tc>
          <w:tcPr>
            <w:tcW w:w="901" w:type="dxa"/>
            <w:tcBorders>
              <w:top w:val="single" w:sz="4" w:space="0" w:color="auto"/>
              <w:left w:val="single" w:sz="4" w:space="0" w:color="auto"/>
              <w:bottom w:val="single" w:sz="4" w:space="0" w:color="auto"/>
              <w:right w:val="single" w:sz="4" w:space="0" w:color="auto"/>
            </w:tcBorders>
            <w:vAlign w:val="center"/>
            <w:hideMark/>
          </w:tcPr>
          <w:p w14:paraId="7229CC8A"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0.0</w:t>
            </w:r>
          </w:p>
        </w:tc>
        <w:tc>
          <w:tcPr>
            <w:tcW w:w="898" w:type="dxa"/>
            <w:tcBorders>
              <w:top w:val="single" w:sz="4" w:space="0" w:color="auto"/>
              <w:left w:val="single" w:sz="4" w:space="0" w:color="auto"/>
              <w:bottom w:val="single" w:sz="4" w:space="0" w:color="auto"/>
              <w:right w:val="single" w:sz="4" w:space="0" w:color="auto"/>
            </w:tcBorders>
            <w:vAlign w:val="center"/>
            <w:hideMark/>
          </w:tcPr>
          <w:p w14:paraId="4898CA09"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2.6</w:t>
            </w:r>
          </w:p>
        </w:tc>
        <w:tc>
          <w:tcPr>
            <w:tcW w:w="997" w:type="dxa"/>
            <w:tcBorders>
              <w:top w:val="single" w:sz="4" w:space="0" w:color="auto"/>
              <w:left w:val="single" w:sz="4" w:space="0" w:color="auto"/>
              <w:bottom w:val="single" w:sz="4" w:space="0" w:color="auto"/>
              <w:right w:val="single" w:sz="4" w:space="0" w:color="auto"/>
            </w:tcBorders>
            <w:vAlign w:val="center"/>
            <w:hideMark/>
          </w:tcPr>
          <w:p w14:paraId="288B978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4.2</w:t>
            </w:r>
          </w:p>
        </w:tc>
      </w:tr>
      <w:tr w:rsidR="00FA29AB" w:rsidRPr="00050FA4" w14:paraId="4F7C528F"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4D33885C" w14:textId="77777777" w:rsidR="00BC0117" w:rsidRPr="00050FA4" w:rsidRDefault="00BC0117" w:rsidP="008D716D">
            <w:pPr>
              <w:jc w:val="both"/>
              <w:rPr>
                <w:rFonts w:ascii="Garamond" w:hAnsi="Garamond"/>
                <w:i/>
                <w:color w:val="0D0D0D" w:themeColor="text1" w:themeTint="F2"/>
                <w:sz w:val="20"/>
                <w:szCs w:val="20"/>
                <w:lang w:val="sq-AL"/>
              </w:rPr>
            </w:pPr>
            <w:r w:rsidRPr="00050FA4">
              <w:rPr>
                <w:rFonts w:ascii="Garamond" w:hAnsi="Garamond"/>
                <w:i/>
                <w:color w:val="0D0D0D" w:themeColor="text1" w:themeTint="F2"/>
                <w:sz w:val="20"/>
                <w:szCs w:val="20"/>
                <w:lang w:val="sq-AL"/>
              </w:rPr>
              <w:t>Ndërtim</w:t>
            </w:r>
          </w:p>
        </w:tc>
        <w:tc>
          <w:tcPr>
            <w:tcW w:w="835" w:type="dxa"/>
            <w:tcBorders>
              <w:top w:val="single" w:sz="4" w:space="0" w:color="auto"/>
              <w:left w:val="single" w:sz="4" w:space="0" w:color="auto"/>
              <w:bottom w:val="single" w:sz="4" w:space="0" w:color="auto"/>
              <w:right w:val="single" w:sz="4" w:space="0" w:color="auto"/>
            </w:tcBorders>
            <w:vAlign w:val="center"/>
            <w:hideMark/>
          </w:tcPr>
          <w:p w14:paraId="4D030BA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-1.3</w:t>
            </w:r>
          </w:p>
        </w:tc>
        <w:tc>
          <w:tcPr>
            <w:tcW w:w="899" w:type="dxa"/>
            <w:tcBorders>
              <w:top w:val="single" w:sz="4" w:space="0" w:color="auto"/>
              <w:left w:val="single" w:sz="4" w:space="0" w:color="auto"/>
              <w:bottom w:val="single" w:sz="4" w:space="0" w:color="auto"/>
              <w:right w:val="single" w:sz="4" w:space="0" w:color="auto"/>
            </w:tcBorders>
            <w:vAlign w:val="center"/>
            <w:hideMark/>
          </w:tcPr>
          <w:p w14:paraId="08E23A5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-0.9</w:t>
            </w:r>
          </w:p>
        </w:tc>
        <w:tc>
          <w:tcPr>
            <w:tcW w:w="898" w:type="dxa"/>
            <w:tcBorders>
              <w:top w:val="single" w:sz="4" w:space="0" w:color="auto"/>
              <w:left w:val="single" w:sz="4" w:space="0" w:color="auto"/>
              <w:bottom w:val="single" w:sz="4" w:space="0" w:color="auto"/>
              <w:right w:val="single" w:sz="4" w:space="0" w:color="auto"/>
            </w:tcBorders>
            <w:vAlign w:val="center"/>
            <w:hideMark/>
          </w:tcPr>
          <w:p w14:paraId="69E5ECE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0.9</w:t>
            </w:r>
          </w:p>
        </w:tc>
        <w:tc>
          <w:tcPr>
            <w:tcW w:w="901" w:type="dxa"/>
            <w:tcBorders>
              <w:top w:val="single" w:sz="4" w:space="0" w:color="auto"/>
              <w:left w:val="single" w:sz="4" w:space="0" w:color="auto"/>
              <w:bottom w:val="single" w:sz="4" w:space="0" w:color="auto"/>
              <w:right w:val="single" w:sz="4" w:space="0" w:color="auto"/>
            </w:tcBorders>
            <w:vAlign w:val="center"/>
            <w:hideMark/>
          </w:tcPr>
          <w:p w14:paraId="34BF5CEC"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1.8</w:t>
            </w:r>
          </w:p>
        </w:tc>
        <w:tc>
          <w:tcPr>
            <w:tcW w:w="898" w:type="dxa"/>
            <w:tcBorders>
              <w:top w:val="single" w:sz="4" w:space="0" w:color="auto"/>
              <w:left w:val="single" w:sz="4" w:space="0" w:color="auto"/>
              <w:bottom w:val="single" w:sz="4" w:space="0" w:color="auto"/>
              <w:right w:val="single" w:sz="4" w:space="0" w:color="auto"/>
            </w:tcBorders>
            <w:vAlign w:val="center"/>
            <w:hideMark/>
          </w:tcPr>
          <w:p w14:paraId="2C5CAA3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1.2</w:t>
            </w:r>
          </w:p>
        </w:tc>
        <w:tc>
          <w:tcPr>
            <w:tcW w:w="997" w:type="dxa"/>
            <w:tcBorders>
              <w:top w:val="single" w:sz="4" w:space="0" w:color="auto"/>
              <w:left w:val="single" w:sz="4" w:space="0" w:color="auto"/>
              <w:bottom w:val="single" w:sz="4" w:space="0" w:color="auto"/>
              <w:right w:val="single" w:sz="4" w:space="0" w:color="auto"/>
            </w:tcBorders>
            <w:vAlign w:val="center"/>
            <w:hideMark/>
          </w:tcPr>
          <w:p w14:paraId="79FBE490"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3.4</w:t>
            </w:r>
          </w:p>
        </w:tc>
      </w:tr>
      <w:tr w:rsidR="00FA29AB" w:rsidRPr="00050FA4" w14:paraId="3567DE95" w14:textId="77777777" w:rsidTr="00A12258">
        <w:trPr>
          <w:trHeight w:val="271"/>
          <w:jc w:val="center"/>
        </w:trPr>
        <w:tc>
          <w:tcPr>
            <w:tcW w:w="4106" w:type="dxa"/>
            <w:tcBorders>
              <w:top w:val="single" w:sz="4" w:space="0" w:color="auto"/>
              <w:left w:val="single" w:sz="4" w:space="0" w:color="auto"/>
              <w:bottom w:val="single" w:sz="4" w:space="0" w:color="auto"/>
              <w:right w:val="single" w:sz="4" w:space="0" w:color="auto"/>
            </w:tcBorders>
            <w:hideMark/>
          </w:tcPr>
          <w:p w14:paraId="6F7827AA" w14:textId="77777777" w:rsidR="00BC0117" w:rsidRPr="00050FA4" w:rsidRDefault="00BC0117" w:rsidP="008D716D">
            <w:pPr>
              <w:jc w:val="both"/>
              <w:rPr>
                <w:rFonts w:ascii="Garamond" w:hAnsi="Garamond"/>
                <w:i/>
                <w:color w:val="0D0D0D" w:themeColor="text1" w:themeTint="F2"/>
                <w:sz w:val="20"/>
                <w:szCs w:val="20"/>
                <w:lang w:val="sq-AL"/>
              </w:rPr>
            </w:pPr>
            <w:r w:rsidRPr="00050FA4">
              <w:rPr>
                <w:rFonts w:ascii="Garamond" w:hAnsi="Garamond"/>
                <w:i/>
                <w:color w:val="0D0D0D" w:themeColor="text1" w:themeTint="F2"/>
                <w:sz w:val="20"/>
                <w:szCs w:val="20"/>
                <w:lang w:val="sq-AL"/>
              </w:rPr>
              <w:t>Shërbime</w:t>
            </w:r>
          </w:p>
        </w:tc>
        <w:tc>
          <w:tcPr>
            <w:tcW w:w="835" w:type="dxa"/>
            <w:tcBorders>
              <w:top w:val="single" w:sz="4" w:space="0" w:color="auto"/>
              <w:left w:val="single" w:sz="4" w:space="0" w:color="auto"/>
              <w:bottom w:val="single" w:sz="4" w:space="0" w:color="auto"/>
              <w:right w:val="single" w:sz="4" w:space="0" w:color="auto"/>
            </w:tcBorders>
            <w:vAlign w:val="center"/>
            <w:hideMark/>
          </w:tcPr>
          <w:p w14:paraId="6F969E4A"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-0.8</w:t>
            </w:r>
          </w:p>
        </w:tc>
        <w:tc>
          <w:tcPr>
            <w:tcW w:w="899" w:type="dxa"/>
            <w:tcBorders>
              <w:top w:val="single" w:sz="4" w:space="0" w:color="auto"/>
              <w:left w:val="single" w:sz="4" w:space="0" w:color="auto"/>
              <w:bottom w:val="single" w:sz="4" w:space="0" w:color="auto"/>
              <w:right w:val="single" w:sz="4" w:space="0" w:color="auto"/>
            </w:tcBorders>
            <w:vAlign w:val="center"/>
            <w:hideMark/>
          </w:tcPr>
          <w:p w14:paraId="00436EB4"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-7.0</w:t>
            </w:r>
          </w:p>
        </w:tc>
        <w:tc>
          <w:tcPr>
            <w:tcW w:w="898" w:type="dxa"/>
            <w:tcBorders>
              <w:top w:val="single" w:sz="4" w:space="0" w:color="auto"/>
              <w:left w:val="single" w:sz="4" w:space="0" w:color="auto"/>
              <w:bottom w:val="single" w:sz="4" w:space="0" w:color="auto"/>
              <w:right w:val="single" w:sz="4" w:space="0" w:color="auto"/>
            </w:tcBorders>
            <w:vAlign w:val="center"/>
            <w:hideMark/>
          </w:tcPr>
          <w:p w14:paraId="35FA9F9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-2.7</w:t>
            </w:r>
          </w:p>
        </w:tc>
        <w:tc>
          <w:tcPr>
            <w:tcW w:w="901" w:type="dxa"/>
            <w:tcBorders>
              <w:top w:val="single" w:sz="4" w:space="0" w:color="auto"/>
              <w:left w:val="single" w:sz="4" w:space="0" w:color="auto"/>
              <w:bottom w:val="single" w:sz="4" w:space="0" w:color="auto"/>
              <w:right w:val="single" w:sz="4" w:space="0" w:color="auto"/>
            </w:tcBorders>
            <w:vAlign w:val="center"/>
            <w:hideMark/>
          </w:tcPr>
          <w:p w14:paraId="6AC8760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1.5</w:t>
            </w:r>
          </w:p>
        </w:tc>
        <w:tc>
          <w:tcPr>
            <w:tcW w:w="898" w:type="dxa"/>
            <w:tcBorders>
              <w:top w:val="single" w:sz="4" w:space="0" w:color="auto"/>
              <w:left w:val="single" w:sz="4" w:space="0" w:color="auto"/>
              <w:bottom w:val="single" w:sz="4" w:space="0" w:color="auto"/>
              <w:right w:val="single" w:sz="4" w:space="0" w:color="auto"/>
            </w:tcBorders>
            <w:vAlign w:val="center"/>
            <w:hideMark/>
          </w:tcPr>
          <w:p w14:paraId="27642E6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1.9</w:t>
            </w:r>
          </w:p>
        </w:tc>
        <w:tc>
          <w:tcPr>
            <w:tcW w:w="997" w:type="dxa"/>
            <w:tcBorders>
              <w:top w:val="single" w:sz="4" w:space="0" w:color="auto"/>
              <w:left w:val="single" w:sz="4" w:space="0" w:color="auto"/>
              <w:bottom w:val="single" w:sz="4" w:space="0" w:color="auto"/>
              <w:right w:val="single" w:sz="4" w:space="0" w:color="auto"/>
            </w:tcBorders>
            <w:vAlign w:val="center"/>
            <w:hideMark/>
          </w:tcPr>
          <w:p w14:paraId="4953F84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8.8</w:t>
            </w:r>
          </w:p>
        </w:tc>
      </w:tr>
      <w:tr w:rsidR="00FA29AB" w:rsidRPr="00050FA4" w14:paraId="7F4BF864"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6CD2D577" w14:textId="77777777" w:rsidR="00BC0117" w:rsidRPr="00050FA4" w:rsidRDefault="00BC0117" w:rsidP="008D716D">
            <w:pPr>
              <w:jc w:val="both"/>
              <w:rPr>
                <w:rFonts w:ascii="Garamond" w:hAnsi="Garamond"/>
                <w:i/>
                <w:color w:val="0D0D0D" w:themeColor="text1" w:themeTint="F2"/>
                <w:sz w:val="20"/>
                <w:szCs w:val="20"/>
                <w:lang w:val="sq-AL"/>
              </w:rPr>
            </w:pPr>
            <w:r w:rsidRPr="00050FA4">
              <w:rPr>
                <w:rFonts w:ascii="Garamond" w:hAnsi="Garamond"/>
                <w:i/>
                <w:color w:val="0D0D0D" w:themeColor="text1" w:themeTint="F2"/>
                <w:sz w:val="20"/>
                <w:szCs w:val="20"/>
                <w:lang w:val="sq-AL"/>
              </w:rPr>
              <w:t>Taksa minus subvencione</w:t>
            </w:r>
          </w:p>
        </w:tc>
        <w:tc>
          <w:tcPr>
            <w:tcW w:w="835" w:type="dxa"/>
            <w:tcBorders>
              <w:top w:val="single" w:sz="4" w:space="0" w:color="auto"/>
              <w:left w:val="single" w:sz="4" w:space="0" w:color="auto"/>
              <w:bottom w:val="single" w:sz="4" w:space="0" w:color="auto"/>
              <w:right w:val="single" w:sz="4" w:space="0" w:color="auto"/>
            </w:tcBorders>
            <w:vAlign w:val="center"/>
            <w:hideMark/>
          </w:tcPr>
          <w:p w14:paraId="6F54202D"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-0.2</w:t>
            </w:r>
          </w:p>
        </w:tc>
        <w:tc>
          <w:tcPr>
            <w:tcW w:w="899" w:type="dxa"/>
            <w:tcBorders>
              <w:top w:val="single" w:sz="4" w:space="0" w:color="auto"/>
              <w:left w:val="single" w:sz="4" w:space="0" w:color="auto"/>
              <w:bottom w:val="single" w:sz="4" w:space="0" w:color="auto"/>
              <w:right w:val="single" w:sz="4" w:space="0" w:color="auto"/>
            </w:tcBorders>
            <w:vAlign w:val="center"/>
            <w:hideMark/>
          </w:tcPr>
          <w:p w14:paraId="0963588F"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-2.0</w:t>
            </w:r>
          </w:p>
        </w:tc>
        <w:tc>
          <w:tcPr>
            <w:tcW w:w="898" w:type="dxa"/>
            <w:tcBorders>
              <w:top w:val="single" w:sz="4" w:space="0" w:color="auto"/>
              <w:left w:val="single" w:sz="4" w:space="0" w:color="auto"/>
              <w:bottom w:val="single" w:sz="4" w:space="0" w:color="auto"/>
              <w:right w:val="single" w:sz="4" w:space="0" w:color="auto"/>
            </w:tcBorders>
            <w:vAlign w:val="center"/>
            <w:hideMark/>
          </w:tcPr>
          <w:p w14:paraId="4349235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-1.1</w:t>
            </w:r>
          </w:p>
        </w:tc>
        <w:tc>
          <w:tcPr>
            <w:tcW w:w="901" w:type="dxa"/>
            <w:tcBorders>
              <w:top w:val="single" w:sz="4" w:space="0" w:color="auto"/>
              <w:left w:val="single" w:sz="4" w:space="0" w:color="auto"/>
              <w:bottom w:val="single" w:sz="4" w:space="0" w:color="auto"/>
              <w:right w:val="single" w:sz="4" w:space="0" w:color="auto"/>
            </w:tcBorders>
            <w:vAlign w:val="center"/>
            <w:hideMark/>
          </w:tcPr>
          <w:p w14:paraId="67DCAB3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-0.4</w:t>
            </w:r>
          </w:p>
        </w:tc>
        <w:tc>
          <w:tcPr>
            <w:tcW w:w="898" w:type="dxa"/>
            <w:tcBorders>
              <w:top w:val="single" w:sz="4" w:space="0" w:color="auto"/>
              <w:left w:val="single" w:sz="4" w:space="0" w:color="auto"/>
              <w:bottom w:val="single" w:sz="4" w:space="0" w:color="auto"/>
              <w:right w:val="single" w:sz="4" w:space="0" w:color="auto"/>
            </w:tcBorders>
            <w:vAlign w:val="center"/>
            <w:hideMark/>
          </w:tcPr>
          <w:p w14:paraId="17A09607"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-0.2</w:t>
            </w:r>
          </w:p>
        </w:tc>
        <w:tc>
          <w:tcPr>
            <w:tcW w:w="997" w:type="dxa"/>
            <w:tcBorders>
              <w:top w:val="single" w:sz="4" w:space="0" w:color="auto"/>
              <w:left w:val="single" w:sz="4" w:space="0" w:color="auto"/>
              <w:bottom w:val="single" w:sz="4" w:space="0" w:color="auto"/>
              <w:right w:val="single" w:sz="4" w:space="0" w:color="auto"/>
            </w:tcBorders>
            <w:vAlign w:val="center"/>
            <w:hideMark/>
          </w:tcPr>
          <w:p w14:paraId="06A83D7F"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1.7</w:t>
            </w:r>
          </w:p>
        </w:tc>
      </w:tr>
      <w:tr w:rsidR="00FA29AB" w:rsidRPr="00050FA4" w14:paraId="19357E1A" w14:textId="77777777" w:rsidTr="00A12258">
        <w:trPr>
          <w:trHeight w:val="271"/>
          <w:jc w:val="center"/>
        </w:trPr>
        <w:tc>
          <w:tcPr>
            <w:tcW w:w="4106" w:type="dxa"/>
            <w:tcBorders>
              <w:top w:val="single" w:sz="4" w:space="0" w:color="auto"/>
              <w:left w:val="single" w:sz="4" w:space="0" w:color="auto"/>
              <w:bottom w:val="single" w:sz="4" w:space="0" w:color="auto"/>
              <w:right w:val="single" w:sz="4" w:space="0" w:color="auto"/>
            </w:tcBorders>
            <w:hideMark/>
          </w:tcPr>
          <w:p w14:paraId="20850A91" w14:textId="77777777" w:rsidR="00BC0117" w:rsidRPr="00050FA4" w:rsidRDefault="00BC0117" w:rsidP="008D716D">
            <w:pPr>
              <w:jc w:val="both"/>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Rritja reale e PBB-së (vjetore në %)</w:t>
            </w:r>
          </w:p>
        </w:tc>
        <w:tc>
          <w:tcPr>
            <w:tcW w:w="835" w:type="dxa"/>
            <w:tcBorders>
              <w:top w:val="single" w:sz="4" w:space="0" w:color="auto"/>
              <w:left w:val="single" w:sz="4" w:space="0" w:color="auto"/>
              <w:bottom w:val="single" w:sz="4" w:space="0" w:color="auto"/>
              <w:right w:val="single" w:sz="4" w:space="0" w:color="auto"/>
            </w:tcBorders>
            <w:vAlign w:val="center"/>
            <w:hideMark/>
          </w:tcPr>
          <w:p w14:paraId="2AF3286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-2.8</w:t>
            </w:r>
          </w:p>
        </w:tc>
        <w:tc>
          <w:tcPr>
            <w:tcW w:w="899" w:type="dxa"/>
            <w:tcBorders>
              <w:top w:val="single" w:sz="4" w:space="0" w:color="auto"/>
              <w:left w:val="single" w:sz="4" w:space="0" w:color="auto"/>
              <w:bottom w:val="single" w:sz="4" w:space="0" w:color="auto"/>
              <w:right w:val="single" w:sz="4" w:space="0" w:color="auto"/>
            </w:tcBorders>
            <w:vAlign w:val="center"/>
            <w:hideMark/>
          </w:tcPr>
          <w:p w14:paraId="4D62CFF0"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-11.3</w:t>
            </w:r>
          </w:p>
        </w:tc>
        <w:tc>
          <w:tcPr>
            <w:tcW w:w="898" w:type="dxa"/>
            <w:tcBorders>
              <w:top w:val="single" w:sz="4" w:space="0" w:color="auto"/>
              <w:left w:val="single" w:sz="4" w:space="0" w:color="auto"/>
              <w:bottom w:val="single" w:sz="4" w:space="0" w:color="auto"/>
              <w:right w:val="single" w:sz="4" w:space="0" w:color="auto"/>
            </w:tcBorders>
            <w:vAlign w:val="center"/>
            <w:hideMark/>
          </w:tcPr>
          <w:p w14:paraId="62D00B1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-3.5</w:t>
            </w:r>
          </w:p>
        </w:tc>
        <w:tc>
          <w:tcPr>
            <w:tcW w:w="901" w:type="dxa"/>
            <w:tcBorders>
              <w:top w:val="single" w:sz="4" w:space="0" w:color="auto"/>
              <w:left w:val="single" w:sz="4" w:space="0" w:color="auto"/>
              <w:bottom w:val="single" w:sz="4" w:space="0" w:color="auto"/>
              <w:right w:val="single" w:sz="4" w:space="0" w:color="auto"/>
            </w:tcBorders>
            <w:vAlign w:val="center"/>
            <w:hideMark/>
          </w:tcPr>
          <w:p w14:paraId="6245860E"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2.4</w:t>
            </w:r>
          </w:p>
        </w:tc>
        <w:tc>
          <w:tcPr>
            <w:tcW w:w="898" w:type="dxa"/>
            <w:tcBorders>
              <w:top w:val="single" w:sz="4" w:space="0" w:color="auto"/>
              <w:left w:val="single" w:sz="4" w:space="0" w:color="auto"/>
              <w:bottom w:val="single" w:sz="4" w:space="0" w:color="auto"/>
              <w:right w:val="single" w:sz="4" w:space="0" w:color="auto"/>
            </w:tcBorders>
            <w:vAlign w:val="center"/>
            <w:hideMark/>
          </w:tcPr>
          <w:p w14:paraId="2034C318"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5.5</w:t>
            </w:r>
          </w:p>
        </w:tc>
        <w:tc>
          <w:tcPr>
            <w:tcW w:w="997" w:type="dxa"/>
            <w:tcBorders>
              <w:top w:val="single" w:sz="4" w:space="0" w:color="auto"/>
              <w:left w:val="single" w:sz="4" w:space="0" w:color="auto"/>
              <w:bottom w:val="single" w:sz="4" w:space="0" w:color="auto"/>
              <w:right w:val="single" w:sz="4" w:space="0" w:color="auto"/>
            </w:tcBorders>
            <w:vAlign w:val="center"/>
            <w:hideMark/>
          </w:tcPr>
          <w:p w14:paraId="232D3ACD"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17.9</w:t>
            </w:r>
          </w:p>
        </w:tc>
      </w:tr>
      <w:tr w:rsidR="00FA29AB" w:rsidRPr="00050FA4" w14:paraId="32AAAB73" w14:textId="77777777" w:rsidTr="00A12258">
        <w:trPr>
          <w:trHeight w:val="271"/>
          <w:jc w:val="center"/>
        </w:trPr>
        <w:tc>
          <w:tcPr>
            <w:tcW w:w="9534" w:type="dxa"/>
            <w:gridSpan w:val="7"/>
            <w:tcBorders>
              <w:top w:val="single" w:sz="4" w:space="0" w:color="auto"/>
              <w:left w:val="single" w:sz="4" w:space="0" w:color="auto"/>
              <w:bottom w:val="single" w:sz="4" w:space="0" w:color="auto"/>
              <w:right w:val="single" w:sz="4" w:space="0" w:color="auto"/>
            </w:tcBorders>
            <w:hideMark/>
          </w:tcPr>
          <w:p w14:paraId="343364B1" w14:textId="77777777" w:rsidR="00BC0117" w:rsidRPr="00050FA4" w:rsidRDefault="00BC0117" w:rsidP="008D716D">
            <w:pPr>
              <w:rPr>
                <w:rFonts w:ascii="Garamond" w:hAnsi="Garamond"/>
                <w:b/>
                <w:i/>
                <w:color w:val="0D0D0D" w:themeColor="text1" w:themeTint="F2"/>
                <w:sz w:val="20"/>
                <w:szCs w:val="20"/>
                <w:lang w:val="sq-AL"/>
              </w:rPr>
            </w:pPr>
            <w:r w:rsidRPr="00050FA4">
              <w:rPr>
                <w:rFonts w:ascii="Garamond" w:hAnsi="Garamond"/>
                <w:b/>
                <w:i/>
                <w:color w:val="0D0D0D" w:themeColor="text1" w:themeTint="F2"/>
                <w:sz w:val="20"/>
                <w:szCs w:val="20"/>
                <w:lang w:val="sq-AL"/>
              </w:rPr>
              <w:t>sipas shpenzimeve:</w:t>
            </w:r>
          </w:p>
        </w:tc>
      </w:tr>
      <w:tr w:rsidR="00FA29AB" w:rsidRPr="00050FA4" w14:paraId="45D04E84"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588029C0" w14:textId="77777777" w:rsidR="00BC0117" w:rsidRPr="00050FA4" w:rsidRDefault="00BC0117" w:rsidP="008D716D">
            <w:pPr>
              <w:jc w:val="both"/>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Konsumi privat</w:t>
            </w:r>
          </w:p>
        </w:tc>
        <w:tc>
          <w:tcPr>
            <w:tcW w:w="835" w:type="dxa"/>
            <w:tcBorders>
              <w:top w:val="single" w:sz="4" w:space="0" w:color="auto"/>
              <w:left w:val="single" w:sz="4" w:space="0" w:color="auto"/>
              <w:bottom w:val="single" w:sz="4" w:space="0" w:color="auto"/>
              <w:right w:val="single" w:sz="4" w:space="0" w:color="auto"/>
            </w:tcBorders>
            <w:vAlign w:val="center"/>
            <w:hideMark/>
          </w:tcPr>
          <w:p w14:paraId="47CE95D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1.4</w:t>
            </w:r>
          </w:p>
        </w:tc>
        <w:tc>
          <w:tcPr>
            <w:tcW w:w="899" w:type="dxa"/>
            <w:tcBorders>
              <w:top w:val="single" w:sz="4" w:space="0" w:color="auto"/>
              <w:left w:val="single" w:sz="4" w:space="0" w:color="auto"/>
              <w:bottom w:val="single" w:sz="4" w:space="0" w:color="auto"/>
              <w:right w:val="single" w:sz="4" w:space="0" w:color="auto"/>
            </w:tcBorders>
            <w:vAlign w:val="center"/>
            <w:hideMark/>
          </w:tcPr>
          <w:p w14:paraId="5B5688C8"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-6.8</w:t>
            </w:r>
          </w:p>
        </w:tc>
        <w:tc>
          <w:tcPr>
            <w:tcW w:w="898" w:type="dxa"/>
            <w:tcBorders>
              <w:top w:val="single" w:sz="4" w:space="0" w:color="auto"/>
              <w:left w:val="single" w:sz="4" w:space="0" w:color="auto"/>
              <w:bottom w:val="single" w:sz="4" w:space="0" w:color="auto"/>
              <w:right w:val="single" w:sz="4" w:space="0" w:color="auto"/>
            </w:tcBorders>
            <w:vAlign w:val="center"/>
            <w:hideMark/>
          </w:tcPr>
          <w:p w14:paraId="21CA454A"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-2.6</w:t>
            </w:r>
          </w:p>
        </w:tc>
        <w:tc>
          <w:tcPr>
            <w:tcW w:w="901" w:type="dxa"/>
            <w:tcBorders>
              <w:top w:val="single" w:sz="4" w:space="0" w:color="auto"/>
              <w:left w:val="single" w:sz="4" w:space="0" w:color="auto"/>
              <w:bottom w:val="single" w:sz="4" w:space="0" w:color="auto"/>
              <w:right w:val="single" w:sz="4" w:space="0" w:color="auto"/>
            </w:tcBorders>
            <w:vAlign w:val="center"/>
            <w:hideMark/>
          </w:tcPr>
          <w:p w14:paraId="67D0D92F"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1.4</w:t>
            </w:r>
          </w:p>
        </w:tc>
        <w:tc>
          <w:tcPr>
            <w:tcW w:w="898" w:type="dxa"/>
            <w:tcBorders>
              <w:top w:val="single" w:sz="4" w:space="0" w:color="auto"/>
              <w:left w:val="single" w:sz="4" w:space="0" w:color="auto"/>
              <w:bottom w:val="single" w:sz="4" w:space="0" w:color="auto"/>
              <w:right w:val="single" w:sz="4" w:space="0" w:color="auto"/>
            </w:tcBorders>
            <w:vAlign w:val="center"/>
            <w:hideMark/>
          </w:tcPr>
          <w:p w14:paraId="5228CDD8"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1.3</w:t>
            </w:r>
          </w:p>
        </w:tc>
        <w:tc>
          <w:tcPr>
            <w:tcW w:w="997" w:type="dxa"/>
            <w:tcBorders>
              <w:top w:val="single" w:sz="4" w:space="0" w:color="auto"/>
              <w:left w:val="single" w:sz="4" w:space="0" w:color="auto"/>
              <w:bottom w:val="single" w:sz="4" w:space="0" w:color="auto"/>
              <w:right w:val="single" w:sz="4" w:space="0" w:color="auto"/>
            </w:tcBorders>
            <w:vAlign w:val="center"/>
            <w:hideMark/>
          </w:tcPr>
          <w:p w14:paraId="026DB548"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8.5</w:t>
            </w:r>
          </w:p>
        </w:tc>
      </w:tr>
      <w:tr w:rsidR="00FA29AB" w:rsidRPr="00050FA4" w14:paraId="2443FEC2"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6361031B" w14:textId="77777777" w:rsidR="00BC0117" w:rsidRPr="00050FA4" w:rsidRDefault="00BC0117" w:rsidP="008D716D">
            <w:pPr>
              <w:jc w:val="both"/>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Konsumi publik</w:t>
            </w:r>
          </w:p>
        </w:tc>
        <w:tc>
          <w:tcPr>
            <w:tcW w:w="835" w:type="dxa"/>
            <w:tcBorders>
              <w:top w:val="single" w:sz="4" w:space="0" w:color="auto"/>
              <w:left w:val="single" w:sz="4" w:space="0" w:color="auto"/>
              <w:bottom w:val="single" w:sz="4" w:space="0" w:color="auto"/>
              <w:right w:val="single" w:sz="4" w:space="0" w:color="auto"/>
            </w:tcBorders>
            <w:vAlign w:val="center"/>
            <w:hideMark/>
          </w:tcPr>
          <w:p w14:paraId="1BC11BE5"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0.2</w:t>
            </w:r>
          </w:p>
        </w:tc>
        <w:tc>
          <w:tcPr>
            <w:tcW w:w="899" w:type="dxa"/>
            <w:tcBorders>
              <w:top w:val="single" w:sz="4" w:space="0" w:color="auto"/>
              <w:left w:val="single" w:sz="4" w:space="0" w:color="auto"/>
              <w:bottom w:val="single" w:sz="4" w:space="0" w:color="auto"/>
              <w:right w:val="single" w:sz="4" w:space="0" w:color="auto"/>
            </w:tcBorders>
            <w:vAlign w:val="center"/>
            <w:hideMark/>
          </w:tcPr>
          <w:p w14:paraId="5A57E80C"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0.1</w:t>
            </w:r>
          </w:p>
        </w:tc>
        <w:tc>
          <w:tcPr>
            <w:tcW w:w="898" w:type="dxa"/>
            <w:tcBorders>
              <w:top w:val="single" w:sz="4" w:space="0" w:color="auto"/>
              <w:left w:val="single" w:sz="4" w:space="0" w:color="auto"/>
              <w:bottom w:val="single" w:sz="4" w:space="0" w:color="auto"/>
              <w:right w:val="single" w:sz="4" w:space="0" w:color="auto"/>
            </w:tcBorders>
            <w:vAlign w:val="center"/>
            <w:hideMark/>
          </w:tcPr>
          <w:p w14:paraId="796DF59D"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-0.1</w:t>
            </w:r>
          </w:p>
        </w:tc>
        <w:tc>
          <w:tcPr>
            <w:tcW w:w="901" w:type="dxa"/>
            <w:tcBorders>
              <w:top w:val="single" w:sz="4" w:space="0" w:color="auto"/>
              <w:left w:val="single" w:sz="4" w:space="0" w:color="auto"/>
              <w:bottom w:val="single" w:sz="4" w:space="0" w:color="auto"/>
              <w:right w:val="single" w:sz="4" w:space="0" w:color="auto"/>
            </w:tcBorders>
            <w:vAlign w:val="center"/>
            <w:hideMark/>
          </w:tcPr>
          <w:p w14:paraId="0A747F66"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0.5</w:t>
            </w:r>
          </w:p>
        </w:tc>
        <w:tc>
          <w:tcPr>
            <w:tcW w:w="898" w:type="dxa"/>
            <w:tcBorders>
              <w:top w:val="single" w:sz="4" w:space="0" w:color="auto"/>
              <w:left w:val="single" w:sz="4" w:space="0" w:color="auto"/>
              <w:bottom w:val="single" w:sz="4" w:space="0" w:color="auto"/>
              <w:right w:val="single" w:sz="4" w:space="0" w:color="auto"/>
            </w:tcBorders>
            <w:vAlign w:val="center"/>
            <w:hideMark/>
          </w:tcPr>
          <w:p w14:paraId="32482D2B"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0.8</w:t>
            </w:r>
          </w:p>
        </w:tc>
        <w:tc>
          <w:tcPr>
            <w:tcW w:w="997" w:type="dxa"/>
            <w:tcBorders>
              <w:top w:val="single" w:sz="4" w:space="0" w:color="auto"/>
              <w:left w:val="single" w:sz="4" w:space="0" w:color="auto"/>
              <w:bottom w:val="single" w:sz="4" w:space="0" w:color="auto"/>
              <w:right w:val="single" w:sz="4" w:space="0" w:color="auto"/>
            </w:tcBorders>
            <w:vAlign w:val="center"/>
            <w:hideMark/>
          </w:tcPr>
          <w:p w14:paraId="15F99E8B"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1.3</w:t>
            </w:r>
          </w:p>
        </w:tc>
      </w:tr>
      <w:tr w:rsidR="00FA29AB" w:rsidRPr="00050FA4" w14:paraId="1DF46C85" w14:textId="77777777" w:rsidTr="00A12258">
        <w:trPr>
          <w:trHeight w:val="271"/>
          <w:jc w:val="center"/>
        </w:trPr>
        <w:tc>
          <w:tcPr>
            <w:tcW w:w="4106" w:type="dxa"/>
            <w:tcBorders>
              <w:top w:val="single" w:sz="4" w:space="0" w:color="auto"/>
              <w:left w:val="single" w:sz="4" w:space="0" w:color="auto"/>
              <w:bottom w:val="single" w:sz="4" w:space="0" w:color="auto"/>
              <w:right w:val="single" w:sz="4" w:space="0" w:color="auto"/>
            </w:tcBorders>
            <w:hideMark/>
          </w:tcPr>
          <w:p w14:paraId="5F911E29" w14:textId="77777777" w:rsidR="00BC0117" w:rsidRPr="00050FA4" w:rsidRDefault="00BC0117" w:rsidP="008D716D">
            <w:pPr>
              <w:jc w:val="both"/>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Investimet</w:t>
            </w:r>
          </w:p>
        </w:tc>
        <w:tc>
          <w:tcPr>
            <w:tcW w:w="835" w:type="dxa"/>
            <w:tcBorders>
              <w:top w:val="single" w:sz="4" w:space="0" w:color="auto"/>
              <w:left w:val="single" w:sz="4" w:space="0" w:color="auto"/>
              <w:bottom w:val="single" w:sz="4" w:space="0" w:color="auto"/>
              <w:right w:val="single" w:sz="4" w:space="0" w:color="auto"/>
            </w:tcBorders>
            <w:vAlign w:val="center"/>
            <w:hideMark/>
          </w:tcPr>
          <w:p w14:paraId="5D3EE1E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-3.2</w:t>
            </w:r>
          </w:p>
        </w:tc>
        <w:tc>
          <w:tcPr>
            <w:tcW w:w="899" w:type="dxa"/>
            <w:tcBorders>
              <w:top w:val="single" w:sz="4" w:space="0" w:color="auto"/>
              <w:left w:val="single" w:sz="4" w:space="0" w:color="auto"/>
              <w:bottom w:val="single" w:sz="4" w:space="0" w:color="auto"/>
              <w:right w:val="single" w:sz="4" w:space="0" w:color="auto"/>
            </w:tcBorders>
            <w:vAlign w:val="center"/>
            <w:hideMark/>
          </w:tcPr>
          <w:p w14:paraId="506C96E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-2.6</w:t>
            </w:r>
          </w:p>
        </w:tc>
        <w:tc>
          <w:tcPr>
            <w:tcW w:w="898" w:type="dxa"/>
            <w:tcBorders>
              <w:top w:val="single" w:sz="4" w:space="0" w:color="auto"/>
              <w:left w:val="single" w:sz="4" w:space="0" w:color="auto"/>
              <w:bottom w:val="single" w:sz="4" w:space="0" w:color="auto"/>
              <w:right w:val="single" w:sz="4" w:space="0" w:color="auto"/>
            </w:tcBorders>
            <w:vAlign w:val="center"/>
            <w:hideMark/>
          </w:tcPr>
          <w:p w14:paraId="70E538A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1.2</w:t>
            </w:r>
          </w:p>
        </w:tc>
        <w:tc>
          <w:tcPr>
            <w:tcW w:w="901" w:type="dxa"/>
            <w:tcBorders>
              <w:top w:val="single" w:sz="4" w:space="0" w:color="auto"/>
              <w:left w:val="single" w:sz="4" w:space="0" w:color="auto"/>
              <w:bottom w:val="single" w:sz="4" w:space="0" w:color="auto"/>
              <w:right w:val="single" w:sz="4" w:space="0" w:color="auto"/>
            </w:tcBorders>
            <w:vAlign w:val="center"/>
            <w:hideMark/>
          </w:tcPr>
          <w:p w14:paraId="24BAAB9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2.7</w:t>
            </w:r>
          </w:p>
        </w:tc>
        <w:tc>
          <w:tcPr>
            <w:tcW w:w="898" w:type="dxa"/>
            <w:tcBorders>
              <w:top w:val="single" w:sz="4" w:space="0" w:color="auto"/>
              <w:left w:val="single" w:sz="4" w:space="0" w:color="auto"/>
              <w:bottom w:val="single" w:sz="4" w:space="0" w:color="auto"/>
              <w:right w:val="single" w:sz="4" w:space="0" w:color="auto"/>
            </w:tcBorders>
            <w:vAlign w:val="center"/>
            <w:hideMark/>
          </w:tcPr>
          <w:p w14:paraId="2854B850"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3.7</w:t>
            </w:r>
          </w:p>
        </w:tc>
        <w:tc>
          <w:tcPr>
            <w:tcW w:w="997" w:type="dxa"/>
            <w:tcBorders>
              <w:top w:val="single" w:sz="4" w:space="0" w:color="auto"/>
              <w:left w:val="single" w:sz="4" w:space="0" w:color="auto"/>
              <w:bottom w:val="single" w:sz="4" w:space="0" w:color="auto"/>
              <w:right w:val="single" w:sz="4" w:space="0" w:color="auto"/>
            </w:tcBorders>
            <w:vAlign w:val="center"/>
            <w:hideMark/>
          </w:tcPr>
          <w:p w14:paraId="552F9859"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7.8</w:t>
            </w:r>
          </w:p>
        </w:tc>
      </w:tr>
      <w:tr w:rsidR="00FA29AB" w:rsidRPr="00050FA4" w14:paraId="0D00583F"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44F3EA28" w14:textId="77777777" w:rsidR="00BC0117" w:rsidRPr="00050FA4" w:rsidRDefault="00BC0117" w:rsidP="008D716D">
            <w:pPr>
              <w:jc w:val="both"/>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Eksporte neto</w:t>
            </w:r>
          </w:p>
        </w:tc>
        <w:tc>
          <w:tcPr>
            <w:tcW w:w="835" w:type="dxa"/>
            <w:tcBorders>
              <w:top w:val="single" w:sz="4" w:space="0" w:color="auto"/>
              <w:left w:val="single" w:sz="4" w:space="0" w:color="auto"/>
              <w:bottom w:val="single" w:sz="4" w:space="0" w:color="auto"/>
              <w:right w:val="single" w:sz="4" w:space="0" w:color="auto"/>
            </w:tcBorders>
            <w:vAlign w:val="center"/>
            <w:hideMark/>
          </w:tcPr>
          <w:p w14:paraId="5C6AD114"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1.5</w:t>
            </w:r>
          </w:p>
        </w:tc>
        <w:tc>
          <w:tcPr>
            <w:tcW w:w="899" w:type="dxa"/>
            <w:tcBorders>
              <w:top w:val="single" w:sz="4" w:space="0" w:color="auto"/>
              <w:left w:val="single" w:sz="4" w:space="0" w:color="auto"/>
              <w:bottom w:val="single" w:sz="4" w:space="0" w:color="auto"/>
              <w:right w:val="single" w:sz="4" w:space="0" w:color="auto"/>
            </w:tcBorders>
            <w:vAlign w:val="center"/>
            <w:hideMark/>
          </w:tcPr>
          <w:p w14:paraId="08E3D039"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1.2</w:t>
            </w:r>
          </w:p>
        </w:tc>
        <w:tc>
          <w:tcPr>
            <w:tcW w:w="898" w:type="dxa"/>
            <w:tcBorders>
              <w:top w:val="single" w:sz="4" w:space="0" w:color="auto"/>
              <w:left w:val="single" w:sz="4" w:space="0" w:color="auto"/>
              <w:bottom w:val="single" w:sz="4" w:space="0" w:color="auto"/>
              <w:right w:val="single" w:sz="4" w:space="0" w:color="auto"/>
            </w:tcBorders>
            <w:vAlign w:val="center"/>
            <w:hideMark/>
          </w:tcPr>
          <w:p w14:paraId="26B7DA06"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-0.2</w:t>
            </w:r>
          </w:p>
        </w:tc>
        <w:tc>
          <w:tcPr>
            <w:tcW w:w="901" w:type="dxa"/>
            <w:tcBorders>
              <w:top w:val="single" w:sz="4" w:space="0" w:color="auto"/>
              <w:left w:val="single" w:sz="4" w:space="0" w:color="auto"/>
              <w:bottom w:val="single" w:sz="4" w:space="0" w:color="auto"/>
              <w:right w:val="single" w:sz="4" w:space="0" w:color="auto"/>
            </w:tcBorders>
            <w:vAlign w:val="center"/>
            <w:hideMark/>
          </w:tcPr>
          <w:p w14:paraId="7633DE4F"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1.3</w:t>
            </w:r>
          </w:p>
        </w:tc>
        <w:tc>
          <w:tcPr>
            <w:tcW w:w="898" w:type="dxa"/>
            <w:tcBorders>
              <w:top w:val="single" w:sz="4" w:space="0" w:color="auto"/>
              <w:left w:val="single" w:sz="4" w:space="0" w:color="auto"/>
              <w:bottom w:val="single" w:sz="4" w:space="0" w:color="auto"/>
              <w:right w:val="single" w:sz="4" w:space="0" w:color="auto"/>
            </w:tcBorders>
            <w:vAlign w:val="center"/>
            <w:hideMark/>
          </w:tcPr>
          <w:p w14:paraId="3EE47D80"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-2.7</w:t>
            </w:r>
          </w:p>
        </w:tc>
        <w:tc>
          <w:tcPr>
            <w:tcW w:w="997" w:type="dxa"/>
            <w:tcBorders>
              <w:top w:val="single" w:sz="4" w:space="0" w:color="auto"/>
              <w:left w:val="single" w:sz="4" w:space="0" w:color="auto"/>
              <w:bottom w:val="single" w:sz="4" w:space="0" w:color="auto"/>
              <w:right w:val="single" w:sz="4" w:space="0" w:color="auto"/>
            </w:tcBorders>
            <w:vAlign w:val="center"/>
            <w:hideMark/>
          </w:tcPr>
          <w:p w14:paraId="5EAF7AA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4.1</w:t>
            </w:r>
          </w:p>
        </w:tc>
      </w:tr>
      <w:tr w:rsidR="00FA29AB" w:rsidRPr="00050FA4" w14:paraId="32885F1C" w14:textId="77777777" w:rsidTr="00A12258">
        <w:trPr>
          <w:trHeight w:val="271"/>
          <w:jc w:val="center"/>
        </w:trPr>
        <w:tc>
          <w:tcPr>
            <w:tcW w:w="4106" w:type="dxa"/>
            <w:tcBorders>
              <w:top w:val="single" w:sz="4" w:space="0" w:color="auto"/>
              <w:left w:val="single" w:sz="4" w:space="0" w:color="auto"/>
              <w:bottom w:val="single" w:sz="4" w:space="0" w:color="auto"/>
              <w:right w:val="single" w:sz="4" w:space="0" w:color="auto"/>
            </w:tcBorders>
            <w:hideMark/>
          </w:tcPr>
          <w:p w14:paraId="61460F9F" w14:textId="77777777" w:rsidR="00BC0117" w:rsidRPr="00050FA4" w:rsidRDefault="00BC0117" w:rsidP="008D716D">
            <w:pPr>
              <w:jc w:val="both"/>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Inventarë dhe mospërputhje statistikore</w:t>
            </w:r>
          </w:p>
        </w:tc>
        <w:tc>
          <w:tcPr>
            <w:tcW w:w="835" w:type="dxa"/>
            <w:tcBorders>
              <w:top w:val="single" w:sz="4" w:space="0" w:color="auto"/>
              <w:left w:val="single" w:sz="4" w:space="0" w:color="auto"/>
              <w:bottom w:val="single" w:sz="4" w:space="0" w:color="auto"/>
              <w:right w:val="single" w:sz="4" w:space="0" w:color="auto"/>
            </w:tcBorders>
            <w:vAlign w:val="center"/>
            <w:hideMark/>
          </w:tcPr>
          <w:p w14:paraId="57D2437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-2.8</w:t>
            </w:r>
          </w:p>
        </w:tc>
        <w:tc>
          <w:tcPr>
            <w:tcW w:w="899" w:type="dxa"/>
            <w:tcBorders>
              <w:top w:val="single" w:sz="4" w:space="0" w:color="auto"/>
              <w:left w:val="single" w:sz="4" w:space="0" w:color="auto"/>
              <w:bottom w:val="single" w:sz="4" w:space="0" w:color="auto"/>
              <w:right w:val="single" w:sz="4" w:space="0" w:color="auto"/>
            </w:tcBorders>
            <w:vAlign w:val="center"/>
            <w:hideMark/>
          </w:tcPr>
          <w:p w14:paraId="3872297B"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-3.0</w:t>
            </w:r>
          </w:p>
        </w:tc>
        <w:tc>
          <w:tcPr>
            <w:tcW w:w="898" w:type="dxa"/>
            <w:tcBorders>
              <w:top w:val="single" w:sz="4" w:space="0" w:color="auto"/>
              <w:left w:val="single" w:sz="4" w:space="0" w:color="auto"/>
              <w:bottom w:val="single" w:sz="4" w:space="0" w:color="auto"/>
              <w:right w:val="single" w:sz="4" w:space="0" w:color="auto"/>
            </w:tcBorders>
            <w:vAlign w:val="center"/>
            <w:hideMark/>
          </w:tcPr>
          <w:p w14:paraId="0EAE2EF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-1.7</w:t>
            </w:r>
          </w:p>
        </w:tc>
        <w:tc>
          <w:tcPr>
            <w:tcW w:w="901" w:type="dxa"/>
            <w:tcBorders>
              <w:top w:val="single" w:sz="4" w:space="0" w:color="auto"/>
              <w:left w:val="single" w:sz="4" w:space="0" w:color="auto"/>
              <w:bottom w:val="single" w:sz="4" w:space="0" w:color="auto"/>
              <w:right w:val="single" w:sz="4" w:space="0" w:color="auto"/>
            </w:tcBorders>
            <w:vAlign w:val="center"/>
            <w:hideMark/>
          </w:tcPr>
          <w:p w14:paraId="4B4BDCE5"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-3.5</w:t>
            </w:r>
          </w:p>
        </w:tc>
        <w:tc>
          <w:tcPr>
            <w:tcW w:w="898" w:type="dxa"/>
            <w:tcBorders>
              <w:top w:val="single" w:sz="4" w:space="0" w:color="auto"/>
              <w:left w:val="single" w:sz="4" w:space="0" w:color="auto"/>
              <w:bottom w:val="single" w:sz="4" w:space="0" w:color="auto"/>
              <w:right w:val="single" w:sz="4" w:space="0" w:color="auto"/>
            </w:tcBorders>
            <w:vAlign w:val="center"/>
            <w:hideMark/>
          </w:tcPr>
          <w:p w14:paraId="3866150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2.5</w:t>
            </w:r>
          </w:p>
        </w:tc>
        <w:tc>
          <w:tcPr>
            <w:tcW w:w="997" w:type="dxa"/>
            <w:tcBorders>
              <w:top w:val="single" w:sz="4" w:space="0" w:color="auto"/>
              <w:left w:val="single" w:sz="4" w:space="0" w:color="auto"/>
              <w:bottom w:val="single" w:sz="4" w:space="0" w:color="auto"/>
              <w:right w:val="single" w:sz="4" w:space="0" w:color="auto"/>
            </w:tcBorders>
            <w:vAlign w:val="center"/>
            <w:hideMark/>
          </w:tcPr>
          <w:p w14:paraId="3F40C312"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-4.0</w:t>
            </w:r>
          </w:p>
        </w:tc>
      </w:tr>
      <w:tr w:rsidR="00FA29AB" w:rsidRPr="00050FA4" w14:paraId="16FB5BD8" w14:textId="77777777" w:rsidTr="00A12258">
        <w:trPr>
          <w:trHeight w:val="253"/>
          <w:jc w:val="center"/>
        </w:trPr>
        <w:tc>
          <w:tcPr>
            <w:tcW w:w="4106" w:type="dxa"/>
            <w:tcBorders>
              <w:top w:val="single" w:sz="4" w:space="0" w:color="auto"/>
              <w:left w:val="single" w:sz="4" w:space="0" w:color="auto"/>
              <w:bottom w:val="single" w:sz="4" w:space="0" w:color="auto"/>
              <w:right w:val="single" w:sz="4" w:space="0" w:color="auto"/>
            </w:tcBorders>
            <w:hideMark/>
          </w:tcPr>
          <w:p w14:paraId="34B57948" w14:textId="77777777" w:rsidR="00BC0117" w:rsidRPr="00050FA4" w:rsidRDefault="00BC0117" w:rsidP="008D716D">
            <w:pPr>
              <w:jc w:val="both"/>
              <w:rPr>
                <w:rFonts w:ascii="Garamond" w:hAnsi="Garamond"/>
                <w:b/>
                <w:color w:val="0D0D0D" w:themeColor="text1" w:themeTint="F2"/>
                <w:sz w:val="20"/>
                <w:szCs w:val="20"/>
                <w:lang w:val="sq-AL"/>
              </w:rPr>
            </w:pPr>
            <w:r w:rsidRPr="00050FA4">
              <w:rPr>
                <w:rFonts w:ascii="Garamond" w:hAnsi="Garamond"/>
                <w:b/>
                <w:color w:val="0D0D0D" w:themeColor="text1" w:themeTint="F2"/>
                <w:sz w:val="20"/>
                <w:szCs w:val="20"/>
                <w:lang w:val="sq-AL"/>
              </w:rPr>
              <w:t>Rritja reale e PBB-së (vjetore në %)</w:t>
            </w:r>
          </w:p>
        </w:tc>
        <w:tc>
          <w:tcPr>
            <w:tcW w:w="835" w:type="dxa"/>
            <w:tcBorders>
              <w:top w:val="single" w:sz="4" w:space="0" w:color="auto"/>
              <w:left w:val="single" w:sz="4" w:space="0" w:color="auto"/>
              <w:bottom w:val="single" w:sz="4" w:space="0" w:color="auto"/>
              <w:right w:val="single" w:sz="4" w:space="0" w:color="auto"/>
            </w:tcBorders>
            <w:vAlign w:val="center"/>
            <w:hideMark/>
          </w:tcPr>
          <w:p w14:paraId="30FA9D44"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-2.8</w:t>
            </w:r>
          </w:p>
        </w:tc>
        <w:tc>
          <w:tcPr>
            <w:tcW w:w="899" w:type="dxa"/>
            <w:tcBorders>
              <w:top w:val="single" w:sz="4" w:space="0" w:color="auto"/>
              <w:left w:val="single" w:sz="4" w:space="0" w:color="auto"/>
              <w:bottom w:val="single" w:sz="4" w:space="0" w:color="auto"/>
              <w:right w:val="single" w:sz="4" w:space="0" w:color="auto"/>
            </w:tcBorders>
            <w:vAlign w:val="center"/>
            <w:hideMark/>
          </w:tcPr>
          <w:p w14:paraId="197018F1"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-11.3</w:t>
            </w:r>
          </w:p>
        </w:tc>
        <w:tc>
          <w:tcPr>
            <w:tcW w:w="898" w:type="dxa"/>
            <w:tcBorders>
              <w:top w:val="single" w:sz="4" w:space="0" w:color="auto"/>
              <w:left w:val="single" w:sz="4" w:space="0" w:color="auto"/>
              <w:bottom w:val="single" w:sz="4" w:space="0" w:color="auto"/>
              <w:right w:val="single" w:sz="4" w:space="0" w:color="auto"/>
            </w:tcBorders>
            <w:vAlign w:val="center"/>
            <w:hideMark/>
          </w:tcPr>
          <w:p w14:paraId="7C7983DA"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-3.5</w:t>
            </w:r>
          </w:p>
        </w:tc>
        <w:tc>
          <w:tcPr>
            <w:tcW w:w="901" w:type="dxa"/>
            <w:tcBorders>
              <w:top w:val="single" w:sz="4" w:space="0" w:color="auto"/>
              <w:left w:val="single" w:sz="4" w:space="0" w:color="auto"/>
              <w:bottom w:val="single" w:sz="4" w:space="0" w:color="auto"/>
              <w:right w:val="single" w:sz="4" w:space="0" w:color="auto"/>
            </w:tcBorders>
            <w:vAlign w:val="center"/>
            <w:hideMark/>
          </w:tcPr>
          <w:p w14:paraId="5CC44C23"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2.4</w:t>
            </w:r>
          </w:p>
        </w:tc>
        <w:tc>
          <w:tcPr>
            <w:tcW w:w="898" w:type="dxa"/>
            <w:tcBorders>
              <w:top w:val="single" w:sz="4" w:space="0" w:color="auto"/>
              <w:left w:val="single" w:sz="4" w:space="0" w:color="auto"/>
              <w:bottom w:val="single" w:sz="4" w:space="0" w:color="auto"/>
              <w:right w:val="single" w:sz="4" w:space="0" w:color="auto"/>
            </w:tcBorders>
            <w:vAlign w:val="center"/>
            <w:hideMark/>
          </w:tcPr>
          <w:p w14:paraId="71A9C3FD"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5.5</w:t>
            </w:r>
          </w:p>
        </w:tc>
        <w:tc>
          <w:tcPr>
            <w:tcW w:w="997" w:type="dxa"/>
            <w:tcBorders>
              <w:top w:val="single" w:sz="4" w:space="0" w:color="auto"/>
              <w:left w:val="single" w:sz="4" w:space="0" w:color="auto"/>
              <w:bottom w:val="single" w:sz="4" w:space="0" w:color="auto"/>
              <w:right w:val="single" w:sz="4" w:space="0" w:color="auto"/>
            </w:tcBorders>
            <w:vAlign w:val="center"/>
            <w:hideMark/>
          </w:tcPr>
          <w:p w14:paraId="18D0A29F" w14:textId="77777777" w:rsidR="00BC0117" w:rsidRPr="00050FA4" w:rsidRDefault="00BC0117" w:rsidP="008D716D">
            <w:pPr>
              <w:jc w:val="center"/>
              <w:rPr>
                <w:rFonts w:ascii="Garamond" w:hAnsi="Garamond"/>
                <w:color w:val="0D0D0D" w:themeColor="text1" w:themeTint="F2"/>
                <w:sz w:val="20"/>
                <w:szCs w:val="20"/>
                <w:lang w:val="sq-AL"/>
              </w:rPr>
            </w:pPr>
            <w:r w:rsidRPr="00050FA4">
              <w:rPr>
                <w:rFonts w:ascii="Garamond" w:hAnsi="Garamond"/>
                <w:color w:val="0D0D0D" w:themeColor="text1" w:themeTint="F2"/>
                <w:sz w:val="20"/>
                <w:szCs w:val="20"/>
                <w:lang w:val="sq-AL"/>
              </w:rPr>
              <w:t>17.9</w:t>
            </w:r>
          </w:p>
        </w:tc>
      </w:tr>
    </w:tbl>
    <w:p w14:paraId="43FF3C25" w14:textId="65F1EFDB" w:rsidR="00BC0117" w:rsidRPr="00050FA4" w:rsidRDefault="00BC0117" w:rsidP="003F1DA7">
      <w:pPr>
        <w:autoSpaceDE w:val="0"/>
        <w:autoSpaceDN w:val="0"/>
        <w:adjustRightInd w:val="0"/>
        <w:ind w:firstLine="284"/>
        <w:jc w:val="center"/>
        <w:rPr>
          <w:rFonts w:ascii="Garamond" w:hAnsi="Garamond"/>
          <w:color w:val="0D0D0D" w:themeColor="text1" w:themeTint="F2"/>
          <w:sz w:val="20"/>
        </w:rPr>
      </w:pPr>
      <w:r w:rsidRPr="00050FA4">
        <w:rPr>
          <w:rFonts w:ascii="Garamond" w:hAnsi="Garamond"/>
          <w:color w:val="0D0D0D" w:themeColor="text1" w:themeTint="F2"/>
          <w:sz w:val="20"/>
        </w:rPr>
        <w:t>Burimi: INSTAT</w:t>
      </w:r>
      <w:r w:rsidR="00197F61" w:rsidRPr="00050FA4">
        <w:rPr>
          <w:rFonts w:ascii="Garamond" w:hAnsi="Garamond"/>
          <w:color w:val="0D0D0D" w:themeColor="text1" w:themeTint="F2"/>
          <w:sz w:val="20"/>
        </w:rPr>
        <w:t xml:space="preserve"> *gjysmëpërfundimtare **paraprake</w:t>
      </w:r>
    </w:p>
    <w:p w14:paraId="4F53A255" w14:textId="77777777" w:rsidR="00A12258" w:rsidRPr="00050FA4" w:rsidRDefault="00A12258" w:rsidP="003F1DA7">
      <w:pPr>
        <w:pStyle w:val="AAAAAAATEXXXX"/>
        <w:rPr>
          <w:i/>
          <w:sz w:val="20"/>
          <w:lang w:val="sq-AL"/>
        </w:rPr>
      </w:pPr>
    </w:p>
    <w:p w14:paraId="40DE3B31" w14:textId="07CB334F" w:rsidR="00BC0117" w:rsidRPr="00050FA4" w:rsidRDefault="00BC0117" w:rsidP="003F1DA7">
      <w:pPr>
        <w:pStyle w:val="AAAAAAATEXXXX"/>
        <w:rPr>
          <w:lang w:val="sq-AL"/>
        </w:rPr>
      </w:pPr>
      <w:r w:rsidRPr="00050FA4">
        <w:rPr>
          <w:i/>
          <w:lang w:val="sq-AL"/>
        </w:rPr>
        <w:t>Nga pikëpamja e kërkesës agregate</w:t>
      </w:r>
      <w:r w:rsidRPr="00050FA4">
        <w:rPr>
          <w:lang w:val="sq-AL"/>
        </w:rPr>
        <w:t>, kërkesa e brendshme dha kontributet kryesore me një rritje vjetore prej 10.1% gjatë gjysmës së parë 2021. Ndikimi themelor ka buruar nga investimet, me një kontribut 5.7 pikë përqindje. Si investimet private</w:t>
      </w:r>
      <w:r w:rsidR="00A61B58" w:rsidRPr="00050FA4">
        <w:rPr>
          <w:lang w:val="sq-AL"/>
        </w:rPr>
        <w:t>,</w:t>
      </w:r>
      <w:r w:rsidRPr="00050FA4">
        <w:rPr>
          <w:lang w:val="sq-AL"/>
        </w:rPr>
        <w:t xml:space="preserve"> ashtu edhe ato publike janë zgjeruar, me ndikim edhe nga shpenzimet për rindërtimin nga tërmeti në rastin e dytë. Të dhënat indirekte sugjerojnë një impakt të fortë nga ndërtesat rezidenciale. Nga ana tjetër, r</w:t>
      </w:r>
      <w:r w:rsidR="00A61B58" w:rsidRPr="00050FA4">
        <w:rPr>
          <w:lang w:val="sq-AL"/>
        </w:rPr>
        <w:t>i</w:t>
      </w:r>
      <w:r w:rsidRPr="00050FA4">
        <w:rPr>
          <w:lang w:val="sq-AL"/>
        </w:rPr>
        <w:t>kuperimi i konsumit privat ishte më i ngadaltë, me një rritje prej 1.4% në tremujorin e parë të vitit. Por, me lehtësimin e masave kufizuese në tremujorin e dytë, konsumi i popullatës u rrit me 9.8%. Edhe konsumi p</w:t>
      </w:r>
      <w:r w:rsidR="00577E94" w:rsidRPr="00050FA4">
        <w:rPr>
          <w:lang w:val="sq-AL"/>
        </w:rPr>
        <w:t>ublik u zgjerua ndjeshëm në saje</w:t>
      </w:r>
      <w:r w:rsidRPr="00050FA4">
        <w:rPr>
          <w:lang w:val="sq-AL"/>
        </w:rPr>
        <w:t xml:space="preserve"> të rritjes së shpenzimeve të lidhura me pandeminë (sikurse shëndetësia dhe shërbime të tjera mbështetëse). Së fundi, </w:t>
      </w:r>
      <w:r w:rsidR="00A61B58" w:rsidRPr="00050FA4">
        <w:rPr>
          <w:lang w:val="sq-AL"/>
        </w:rPr>
        <w:t>rikuperimi</w:t>
      </w:r>
      <w:r w:rsidRPr="00050FA4">
        <w:rPr>
          <w:lang w:val="sq-AL"/>
        </w:rPr>
        <w:t xml:space="preserve"> global </w:t>
      </w:r>
      <w:r w:rsidRPr="00050FA4">
        <w:rPr>
          <w:lang w:val="sq-AL"/>
        </w:rPr>
        <w:lastRenderedPageBreak/>
        <w:t xml:space="preserve">gjallëroi edhe kërkesën për mallra </w:t>
      </w:r>
      <w:r w:rsidR="00643BAF" w:rsidRPr="00050FA4">
        <w:rPr>
          <w:lang w:val="sq-AL"/>
        </w:rPr>
        <w:t>vendës</w:t>
      </w:r>
      <w:r w:rsidRPr="00050FA4">
        <w:rPr>
          <w:lang w:val="sq-AL"/>
        </w:rPr>
        <w:t>e, eksportet e të cilave dhanë ndikim në rritjen e PBB-së. Në rastin e shërbimeve, zhvillimet ishin ende të dobëta gjatë tremujorit të parë të vitit kur kufizimet në lëvizjen ndërkombëtare ishin ende të pranishme. Tremujori i dytë shënoi pikën e kthesës</w:t>
      </w:r>
      <w:r w:rsidR="009A7892" w:rsidRPr="00050FA4">
        <w:rPr>
          <w:lang w:val="sq-AL"/>
        </w:rPr>
        <w:t>,</w:t>
      </w:r>
      <w:r w:rsidRPr="00050FA4">
        <w:rPr>
          <w:lang w:val="sq-AL"/>
        </w:rPr>
        <w:t xml:space="preserve"> kur masat u lehtësuan ndjeshëm dhe turizmi u zgjerua në mënyrë të q</w:t>
      </w:r>
      <w:r w:rsidR="009A7892" w:rsidRPr="00050FA4">
        <w:rPr>
          <w:lang w:val="sq-AL"/>
        </w:rPr>
        <w:t>e</w:t>
      </w:r>
      <w:r w:rsidRPr="00050FA4">
        <w:rPr>
          <w:lang w:val="sq-AL"/>
        </w:rPr>
        <w:t>nësishme. Kontributi i eksporteve neto rezultoi pozitiv gjatë tremujorit të dytë – me 4.1 pikë përqindje</w:t>
      </w:r>
      <w:r w:rsidR="009A7892" w:rsidRPr="00050FA4">
        <w:rPr>
          <w:lang w:val="sq-AL"/>
        </w:rPr>
        <w:t>je</w:t>
      </w:r>
      <w:r w:rsidRPr="00050FA4">
        <w:rPr>
          <w:lang w:val="sq-AL"/>
        </w:rPr>
        <w:t>.</w:t>
      </w:r>
    </w:p>
    <w:p w14:paraId="2891A9EF" w14:textId="77777777" w:rsidR="00BC0117" w:rsidRPr="00050FA4" w:rsidRDefault="00BC0117" w:rsidP="003F1DA7">
      <w:pPr>
        <w:ind w:firstLine="284"/>
        <w:jc w:val="both"/>
        <w:rPr>
          <w:rFonts w:ascii="Garamond" w:hAnsi="Garamond"/>
          <w:b/>
          <w:i/>
          <w:color w:val="0D0D0D" w:themeColor="text1" w:themeTint="F2"/>
          <w:sz w:val="16"/>
        </w:rPr>
      </w:pPr>
    </w:p>
    <w:p w14:paraId="7730F536" w14:textId="338F4F4D" w:rsidR="00BC0117" w:rsidRPr="00050FA4" w:rsidRDefault="00197F61" w:rsidP="003F1DA7">
      <w:pPr>
        <w:pStyle w:val="AAAAAAATEXXXX"/>
        <w:jc w:val="center"/>
        <w:rPr>
          <w:b/>
          <w:i/>
          <w:sz w:val="20"/>
          <w:szCs w:val="20"/>
          <w:lang w:val="sq-AL"/>
        </w:rPr>
      </w:pPr>
      <w:r w:rsidRPr="00050FA4">
        <w:rPr>
          <w:b/>
          <w:i/>
          <w:sz w:val="20"/>
          <w:szCs w:val="20"/>
          <w:lang w:val="sq-AL"/>
        </w:rPr>
        <w:t>Grafik 3.1.2</w:t>
      </w:r>
      <w:r w:rsidR="00BC0117" w:rsidRPr="00050FA4">
        <w:rPr>
          <w:b/>
          <w:i/>
          <w:sz w:val="20"/>
          <w:szCs w:val="20"/>
          <w:lang w:val="sq-AL"/>
        </w:rPr>
        <w:t xml:space="preserve"> Rritja reale e PBB-së </w:t>
      </w:r>
      <w:r w:rsidR="003F0AA6" w:rsidRPr="00050FA4">
        <w:rPr>
          <w:b/>
          <w:i/>
          <w:sz w:val="20"/>
          <w:szCs w:val="20"/>
          <w:lang w:val="sq-AL"/>
        </w:rPr>
        <w:t>,</w:t>
      </w:r>
      <w:r w:rsidR="00BC0117" w:rsidRPr="00050FA4">
        <w:rPr>
          <w:b/>
          <w:i/>
          <w:sz w:val="20"/>
          <w:szCs w:val="20"/>
          <w:lang w:val="sq-AL"/>
        </w:rPr>
        <w:t>sipas qasjes së shpenzimeve</w:t>
      </w:r>
    </w:p>
    <w:p w14:paraId="2C3C0C15" w14:textId="74FC6A6E" w:rsidR="00BC0117" w:rsidRPr="00050FA4" w:rsidRDefault="00BC0117" w:rsidP="003F1DA7">
      <w:pPr>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00280CB3" wp14:editId="7D568C53">
            <wp:extent cx="5496635" cy="290405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7402" cy="2915027"/>
                    </a:xfrm>
                    <a:prstGeom prst="rect">
                      <a:avLst/>
                    </a:prstGeom>
                    <a:noFill/>
                    <a:ln>
                      <a:noFill/>
                    </a:ln>
                  </pic:spPr>
                </pic:pic>
              </a:graphicData>
            </a:graphic>
          </wp:inline>
        </w:drawing>
      </w:r>
    </w:p>
    <w:p w14:paraId="16A85806" w14:textId="7367F2CE" w:rsidR="00BC0117" w:rsidRPr="00050FA4" w:rsidRDefault="00BC0117" w:rsidP="003F1DA7">
      <w:pPr>
        <w:pStyle w:val="AAAAAAATEXXXX"/>
        <w:jc w:val="center"/>
        <w:rPr>
          <w:sz w:val="20"/>
          <w:szCs w:val="20"/>
          <w:lang w:val="sq-AL"/>
        </w:rPr>
      </w:pPr>
      <w:r w:rsidRPr="00050FA4">
        <w:rPr>
          <w:sz w:val="20"/>
          <w:szCs w:val="20"/>
          <w:lang w:val="sq-AL"/>
        </w:rPr>
        <w:t>Burimi: INSTAT *</w:t>
      </w:r>
      <w:r w:rsidR="00197F61" w:rsidRPr="00050FA4">
        <w:rPr>
          <w:sz w:val="20"/>
          <w:szCs w:val="20"/>
          <w:lang w:val="sq-AL"/>
        </w:rPr>
        <w:t>gjysmëpërfundimtare</w:t>
      </w:r>
      <w:r w:rsidRPr="00050FA4">
        <w:rPr>
          <w:sz w:val="20"/>
          <w:szCs w:val="20"/>
          <w:lang w:val="sq-AL"/>
        </w:rPr>
        <w:t xml:space="preserve"> **paraprake</w:t>
      </w:r>
    </w:p>
    <w:p w14:paraId="5345A237" w14:textId="77777777" w:rsidR="00BC0117" w:rsidRPr="00050FA4" w:rsidRDefault="00BC0117" w:rsidP="003F1DA7">
      <w:pPr>
        <w:pStyle w:val="AAAAAAATEXXXX"/>
        <w:rPr>
          <w:lang w:val="sq-AL"/>
        </w:rPr>
      </w:pPr>
    </w:p>
    <w:p w14:paraId="316CEF20" w14:textId="73E94393" w:rsidR="00BC0117" w:rsidRPr="00050FA4" w:rsidRDefault="00BC0117" w:rsidP="003F1DA7">
      <w:pPr>
        <w:pStyle w:val="AAAAAAATEXXXX"/>
        <w:rPr>
          <w:lang w:val="sq-AL"/>
        </w:rPr>
      </w:pPr>
      <w:r w:rsidRPr="00050FA4">
        <w:rPr>
          <w:lang w:val="sq-AL"/>
        </w:rPr>
        <w:t xml:space="preserve">Tregu i punës shfaqi rezistencë përballë goditjes nga pandemia, mbështetur edhe nga masat qeveritare. Pas </w:t>
      </w:r>
      <w:r w:rsidR="003F0AA6" w:rsidRPr="00050FA4">
        <w:rPr>
          <w:lang w:val="sq-AL"/>
        </w:rPr>
        <w:t>rikuperimit</w:t>
      </w:r>
      <w:r w:rsidRPr="00050FA4">
        <w:rPr>
          <w:lang w:val="sq-AL"/>
        </w:rPr>
        <w:t xml:space="preserve"> të kërkesës, edhe punësimi kaloi në trend përmirësues gjatë tremujorit të dytë 2021, me një rritje prej 1.1%. Rritja e punësimit rezultoi me bazë të gjerë mbështetur nga industria, ndërtimi dhe shërbimet. Norma e papunësisë ra në 11.6%, nga 11.9% në 2020T2. Gjatë vitit të kaluar, rritja e normës së papunësisë nuk ishte proporcionale me rënien e punësimit. Masat qeveritare</w:t>
      </w:r>
      <w:r w:rsidR="003D4CF1" w:rsidRPr="00050FA4">
        <w:rPr>
          <w:lang w:val="sq-AL"/>
        </w:rPr>
        <w:t>,</w:t>
      </w:r>
      <w:r w:rsidRPr="00050FA4">
        <w:rPr>
          <w:lang w:val="sq-AL"/>
        </w:rPr>
        <w:t xml:space="preserve"> ndërth</w:t>
      </w:r>
      <w:r w:rsidR="003D4CF1" w:rsidRPr="00050FA4">
        <w:rPr>
          <w:lang w:val="sq-AL"/>
        </w:rPr>
        <w:t>u</w:t>
      </w:r>
      <w:r w:rsidRPr="00050FA4">
        <w:rPr>
          <w:lang w:val="sq-AL"/>
        </w:rPr>
        <w:t>rur me pritshmëritë se situata do të ishte e përkohshme, nxit</w:t>
      </w:r>
      <w:r w:rsidR="003D4CF1" w:rsidRPr="00050FA4">
        <w:rPr>
          <w:lang w:val="sq-AL"/>
        </w:rPr>
        <w:t>ën</w:t>
      </w:r>
      <w:r w:rsidRPr="00050FA4">
        <w:rPr>
          <w:lang w:val="sq-AL"/>
        </w:rPr>
        <w:t xml:space="preserve"> shumë individë të regjistroheshin si </w:t>
      </w:r>
      <w:r w:rsidR="008A0E5B" w:rsidRPr="00050FA4">
        <w:rPr>
          <w:lang w:val="sq-AL"/>
        </w:rPr>
        <w:t>“</w:t>
      </w:r>
      <w:r w:rsidRPr="00050FA4">
        <w:rPr>
          <w:lang w:val="sq-AL"/>
        </w:rPr>
        <w:t>inaktivë</w:t>
      </w:r>
      <w:r w:rsidR="008A0E5B" w:rsidRPr="00050FA4">
        <w:rPr>
          <w:lang w:val="sq-AL"/>
        </w:rPr>
        <w:t>”</w:t>
      </w:r>
      <w:r w:rsidR="003D4CF1" w:rsidRPr="00050FA4">
        <w:rPr>
          <w:lang w:val="sq-AL"/>
        </w:rPr>
        <w:t>,</w:t>
      </w:r>
      <w:r w:rsidRPr="00050FA4">
        <w:rPr>
          <w:lang w:val="sq-AL"/>
        </w:rPr>
        <w:t xml:space="preserve"> duke mos u përfshirë kështu në shifrën e papunësisë. </w:t>
      </w:r>
    </w:p>
    <w:p w14:paraId="3B1E5B9E" w14:textId="5BAFFE3B" w:rsidR="00BC0117" w:rsidRPr="00050FA4" w:rsidRDefault="00BC0117" w:rsidP="003F1DA7">
      <w:pPr>
        <w:pStyle w:val="AAAAAAATEXXXX"/>
        <w:rPr>
          <w:lang w:val="sq-AL"/>
        </w:rPr>
      </w:pPr>
      <w:r w:rsidRPr="00050FA4">
        <w:rPr>
          <w:lang w:val="sq-AL"/>
        </w:rPr>
        <w:t xml:space="preserve">Pavarësisht përmirësimeve të fundit, punësimi </w:t>
      </w:r>
      <w:r w:rsidR="002D5B6B" w:rsidRPr="00050FA4">
        <w:rPr>
          <w:lang w:val="sq-AL"/>
        </w:rPr>
        <w:t>mbetet ende nën nivelin e para</w:t>
      </w:r>
      <w:r w:rsidRPr="00050FA4">
        <w:rPr>
          <w:lang w:val="sq-AL"/>
        </w:rPr>
        <w:t>pandemisë dhe nor</w:t>
      </w:r>
      <w:r w:rsidR="002D5B6B" w:rsidRPr="00050FA4">
        <w:rPr>
          <w:lang w:val="sq-AL"/>
        </w:rPr>
        <w:t>ma e papunësisë mbi atë të para</w:t>
      </w:r>
      <w:r w:rsidRPr="00050FA4">
        <w:rPr>
          <w:lang w:val="sq-AL"/>
        </w:rPr>
        <w:t xml:space="preserve">pandemisë. Rënia e punësimit në bujqësi po pengon </w:t>
      </w:r>
      <w:r w:rsidR="003D4CF1" w:rsidRPr="00050FA4">
        <w:rPr>
          <w:lang w:val="sq-AL"/>
        </w:rPr>
        <w:t>rikuperimin</w:t>
      </w:r>
      <w:r w:rsidRPr="00050FA4">
        <w:rPr>
          <w:lang w:val="sq-AL"/>
        </w:rPr>
        <w:t xml:space="preserve"> e plotë në tregun e punës.</w:t>
      </w:r>
    </w:p>
    <w:p w14:paraId="16AD90B2" w14:textId="5BEBC686" w:rsidR="00BC0117" w:rsidRPr="00050FA4" w:rsidRDefault="00BC0117" w:rsidP="003F1DA7">
      <w:pPr>
        <w:pStyle w:val="AAAAAAATEXXXX"/>
        <w:rPr>
          <w:lang w:val="sq-AL"/>
        </w:rPr>
      </w:pPr>
      <w:r w:rsidRPr="00050FA4">
        <w:rPr>
          <w:lang w:val="sq-AL"/>
        </w:rPr>
        <w:t xml:space="preserve">Rritja e pagës qëndroi në norma pozitive (si në terma nominalë ashtu edhe realë) pavarësisht pandemisë. Paga mesatare u rrit me 5.0% gjatë gjysmës së parë 2021, me norma më të larta rritjeje në sektorin publik (7.4%) krahasuar me atë privat (4.1%). Kjo ecuri ka reflektuar edhe rritjen e pagës minimale me 15.1% në </w:t>
      </w:r>
      <w:r w:rsidR="003D4CF1" w:rsidRPr="00050FA4">
        <w:rPr>
          <w:lang w:val="sq-AL"/>
        </w:rPr>
        <w:t xml:space="preserve">janar </w:t>
      </w:r>
      <w:r w:rsidRPr="00050FA4">
        <w:rPr>
          <w:lang w:val="sq-AL"/>
        </w:rPr>
        <w:t>2021. Axhustuar për inflacion, rritja reale e pagës</w:t>
      </w:r>
      <w:r w:rsidR="003D4CF1" w:rsidRPr="00050FA4">
        <w:rPr>
          <w:lang w:val="sq-AL"/>
        </w:rPr>
        <w:t>,</w:t>
      </w:r>
      <w:r w:rsidRPr="00050FA4">
        <w:rPr>
          <w:lang w:val="sq-AL"/>
        </w:rPr>
        <w:t xml:space="preserve"> për gjysmën e parë të vitit 2021, llogaritet në 3.6%.</w:t>
      </w:r>
    </w:p>
    <w:p w14:paraId="7BD9D4C5" w14:textId="77777777" w:rsidR="00837498" w:rsidRPr="00050FA4" w:rsidRDefault="00837498" w:rsidP="003F1DA7">
      <w:pPr>
        <w:pStyle w:val="AAAAAAATEXXXX"/>
        <w:rPr>
          <w:sz w:val="18"/>
          <w:lang w:val="sq-AL"/>
        </w:rPr>
      </w:pPr>
    </w:p>
    <w:p w14:paraId="7F2BFA26" w14:textId="77777777" w:rsidR="003D4CF1" w:rsidRPr="00050FA4" w:rsidRDefault="003D4CF1" w:rsidP="003F1DA7">
      <w:pPr>
        <w:pStyle w:val="AAAAAAATEXXXX"/>
        <w:jc w:val="center"/>
        <w:rPr>
          <w:b/>
          <w:i/>
          <w:sz w:val="20"/>
          <w:szCs w:val="20"/>
          <w:lang w:val="sq-AL"/>
        </w:rPr>
      </w:pPr>
    </w:p>
    <w:p w14:paraId="552871E0" w14:textId="77777777" w:rsidR="003D4CF1" w:rsidRPr="00050FA4" w:rsidRDefault="003D4CF1" w:rsidP="003F1DA7">
      <w:pPr>
        <w:pStyle w:val="AAAAAAATEXXXX"/>
        <w:jc w:val="center"/>
        <w:rPr>
          <w:b/>
          <w:i/>
          <w:sz w:val="20"/>
          <w:szCs w:val="20"/>
          <w:lang w:val="sq-AL"/>
        </w:rPr>
      </w:pPr>
    </w:p>
    <w:p w14:paraId="0BA571C6" w14:textId="77777777" w:rsidR="003D4CF1" w:rsidRPr="00050FA4" w:rsidRDefault="003D4CF1" w:rsidP="003F1DA7">
      <w:pPr>
        <w:pStyle w:val="AAAAAAATEXXXX"/>
        <w:jc w:val="center"/>
        <w:rPr>
          <w:b/>
          <w:i/>
          <w:sz w:val="20"/>
          <w:szCs w:val="20"/>
          <w:lang w:val="sq-AL"/>
        </w:rPr>
      </w:pPr>
    </w:p>
    <w:p w14:paraId="650A72C6" w14:textId="77777777" w:rsidR="003D4CF1" w:rsidRPr="00050FA4" w:rsidRDefault="003D4CF1" w:rsidP="003F1DA7">
      <w:pPr>
        <w:pStyle w:val="AAAAAAATEXXXX"/>
        <w:jc w:val="center"/>
        <w:rPr>
          <w:b/>
          <w:i/>
          <w:sz w:val="20"/>
          <w:szCs w:val="20"/>
          <w:lang w:val="sq-AL"/>
        </w:rPr>
      </w:pPr>
    </w:p>
    <w:p w14:paraId="5CE1F875" w14:textId="77777777" w:rsidR="003D4CF1" w:rsidRPr="00050FA4" w:rsidRDefault="003D4CF1" w:rsidP="003F1DA7">
      <w:pPr>
        <w:pStyle w:val="AAAAAAATEXXXX"/>
        <w:jc w:val="center"/>
        <w:rPr>
          <w:b/>
          <w:i/>
          <w:sz w:val="20"/>
          <w:szCs w:val="20"/>
          <w:lang w:val="sq-AL"/>
        </w:rPr>
      </w:pPr>
    </w:p>
    <w:p w14:paraId="64059B3C" w14:textId="77777777" w:rsidR="003D4CF1" w:rsidRPr="00050FA4" w:rsidRDefault="003D4CF1" w:rsidP="003F1DA7">
      <w:pPr>
        <w:pStyle w:val="AAAAAAATEXXXX"/>
        <w:jc w:val="center"/>
        <w:rPr>
          <w:b/>
          <w:i/>
          <w:sz w:val="20"/>
          <w:szCs w:val="20"/>
          <w:lang w:val="sq-AL"/>
        </w:rPr>
      </w:pPr>
    </w:p>
    <w:p w14:paraId="46213ADE" w14:textId="77777777" w:rsidR="003D4CF1" w:rsidRPr="00050FA4" w:rsidRDefault="003D4CF1" w:rsidP="003F1DA7">
      <w:pPr>
        <w:pStyle w:val="AAAAAAATEXXXX"/>
        <w:jc w:val="center"/>
        <w:rPr>
          <w:b/>
          <w:i/>
          <w:sz w:val="20"/>
          <w:szCs w:val="20"/>
          <w:lang w:val="sq-AL"/>
        </w:rPr>
      </w:pPr>
    </w:p>
    <w:p w14:paraId="03DC29F9" w14:textId="77777777" w:rsidR="003D4CF1" w:rsidRPr="00050FA4" w:rsidRDefault="003D4CF1" w:rsidP="003F1DA7">
      <w:pPr>
        <w:pStyle w:val="AAAAAAATEXXXX"/>
        <w:jc w:val="center"/>
        <w:rPr>
          <w:b/>
          <w:i/>
          <w:sz w:val="20"/>
          <w:szCs w:val="20"/>
          <w:lang w:val="sq-AL"/>
        </w:rPr>
      </w:pPr>
    </w:p>
    <w:p w14:paraId="3042E856" w14:textId="77777777" w:rsidR="003D4CF1" w:rsidRPr="00050FA4" w:rsidRDefault="003D4CF1" w:rsidP="003F1DA7">
      <w:pPr>
        <w:pStyle w:val="AAAAAAATEXXXX"/>
        <w:jc w:val="center"/>
        <w:rPr>
          <w:b/>
          <w:i/>
          <w:sz w:val="20"/>
          <w:szCs w:val="20"/>
          <w:lang w:val="sq-AL"/>
        </w:rPr>
      </w:pPr>
    </w:p>
    <w:p w14:paraId="11D7EB89" w14:textId="77777777" w:rsidR="003D4CF1" w:rsidRPr="00050FA4" w:rsidRDefault="003D4CF1" w:rsidP="003F1DA7">
      <w:pPr>
        <w:pStyle w:val="AAAAAAATEXXXX"/>
        <w:jc w:val="center"/>
        <w:rPr>
          <w:b/>
          <w:i/>
          <w:sz w:val="20"/>
          <w:szCs w:val="20"/>
          <w:lang w:val="sq-AL"/>
        </w:rPr>
      </w:pPr>
    </w:p>
    <w:p w14:paraId="23739467" w14:textId="77777777" w:rsidR="003D4CF1" w:rsidRPr="00050FA4" w:rsidRDefault="003D4CF1" w:rsidP="003F1DA7">
      <w:pPr>
        <w:pStyle w:val="AAAAAAATEXXXX"/>
        <w:jc w:val="center"/>
        <w:rPr>
          <w:b/>
          <w:i/>
          <w:sz w:val="20"/>
          <w:szCs w:val="20"/>
          <w:lang w:val="sq-AL"/>
        </w:rPr>
      </w:pPr>
    </w:p>
    <w:p w14:paraId="2410FEA6" w14:textId="77777777" w:rsidR="003D4CF1" w:rsidRPr="00050FA4" w:rsidRDefault="003D4CF1" w:rsidP="003F1DA7">
      <w:pPr>
        <w:pStyle w:val="AAAAAAATEXXXX"/>
        <w:jc w:val="center"/>
        <w:rPr>
          <w:b/>
          <w:i/>
          <w:sz w:val="20"/>
          <w:szCs w:val="20"/>
          <w:lang w:val="sq-AL"/>
        </w:rPr>
      </w:pPr>
    </w:p>
    <w:p w14:paraId="3B05E7DE" w14:textId="77777777" w:rsidR="003D4CF1" w:rsidRPr="00050FA4" w:rsidRDefault="003D4CF1" w:rsidP="003F1DA7">
      <w:pPr>
        <w:pStyle w:val="AAAAAAATEXXXX"/>
        <w:jc w:val="center"/>
        <w:rPr>
          <w:b/>
          <w:i/>
          <w:sz w:val="20"/>
          <w:szCs w:val="20"/>
          <w:lang w:val="sq-AL"/>
        </w:rPr>
      </w:pPr>
    </w:p>
    <w:p w14:paraId="6C9D0703" w14:textId="77777777" w:rsidR="003D4CF1" w:rsidRPr="00050FA4" w:rsidRDefault="003D4CF1" w:rsidP="003F1DA7">
      <w:pPr>
        <w:pStyle w:val="AAAAAAATEXXXX"/>
        <w:jc w:val="center"/>
        <w:rPr>
          <w:b/>
          <w:i/>
          <w:sz w:val="20"/>
          <w:szCs w:val="20"/>
          <w:lang w:val="sq-AL"/>
        </w:rPr>
      </w:pPr>
    </w:p>
    <w:p w14:paraId="5F22F659" w14:textId="77777777" w:rsidR="003D4CF1" w:rsidRPr="00050FA4" w:rsidRDefault="003D4CF1" w:rsidP="003F1DA7">
      <w:pPr>
        <w:pStyle w:val="AAAAAAATEXXXX"/>
        <w:jc w:val="center"/>
        <w:rPr>
          <w:b/>
          <w:i/>
          <w:sz w:val="20"/>
          <w:szCs w:val="20"/>
          <w:lang w:val="sq-AL"/>
        </w:rPr>
      </w:pPr>
    </w:p>
    <w:p w14:paraId="5B51A2B3" w14:textId="77777777" w:rsidR="003D4CF1" w:rsidRPr="00050FA4" w:rsidRDefault="003D4CF1" w:rsidP="003F1DA7">
      <w:pPr>
        <w:pStyle w:val="AAAAAAATEXXXX"/>
        <w:jc w:val="center"/>
        <w:rPr>
          <w:b/>
          <w:i/>
          <w:sz w:val="20"/>
          <w:szCs w:val="20"/>
          <w:lang w:val="sq-AL"/>
        </w:rPr>
      </w:pPr>
    </w:p>
    <w:p w14:paraId="1B94BD68" w14:textId="70004BC7" w:rsidR="00BC0117" w:rsidRPr="00050FA4" w:rsidRDefault="00BC0117" w:rsidP="003F1DA7">
      <w:pPr>
        <w:pStyle w:val="AAAAAAATEXXXX"/>
        <w:jc w:val="center"/>
        <w:rPr>
          <w:b/>
          <w:i/>
          <w:sz w:val="20"/>
          <w:szCs w:val="20"/>
          <w:lang w:val="sq-AL"/>
        </w:rPr>
      </w:pPr>
      <w:r w:rsidRPr="00050FA4">
        <w:rPr>
          <w:b/>
          <w:i/>
          <w:sz w:val="20"/>
          <w:szCs w:val="20"/>
          <w:lang w:val="sq-AL"/>
        </w:rPr>
        <w:lastRenderedPageBreak/>
        <w:t>Grafik 3.1.3 Treguesit e tregut të punës</w:t>
      </w:r>
    </w:p>
    <w:p w14:paraId="3432EFDC" w14:textId="65D83959" w:rsidR="00BC0117" w:rsidRPr="00050FA4" w:rsidRDefault="00BC0117" w:rsidP="003F1DA7">
      <w:pPr>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1B7BD40B" wp14:editId="04C071BE">
            <wp:extent cx="28575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2286000"/>
                    </a:xfrm>
                    <a:prstGeom prst="rect">
                      <a:avLst/>
                    </a:prstGeom>
                    <a:noFill/>
                    <a:ln>
                      <a:noFill/>
                    </a:ln>
                  </pic:spPr>
                </pic:pic>
              </a:graphicData>
            </a:graphic>
          </wp:inline>
        </w:drawing>
      </w:r>
      <w:r w:rsidRPr="00050FA4">
        <w:rPr>
          <w:rFonts w:ascii="Garamond" w:hAnsi="Garamond"/>
          <w:noProof/>
          <w:color w:val="0D0D0D" w:themeColor="text1" w:themeTint="F2"/>
          <w:lang w:val="en-US"/>
        </w:rPr>
        <w:drawing>
          <wp:inline distT="0" distB="0" distL="0" distR="0" wp14:anchorId="7882797E" wp14:editId="35CEABF8">
            <wp:extent cx="2857500" cy="2276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2276475"/>
                    </a:xfrm>
                    <a:prstGeom prst="rect">
                      <a:avLst/>
                    </a:prstGeom>
                    <a:noFill/>
                    <a:ln>
                      <a:noFill/>
                    </a:ln>
                  </pic:spPr>
                </pic:pic>
              </a:graphicData>
            </a:graphic>
          </wp:inline>
        </w:drawing>
      </w:r>
    </w:p>
    <w:p w14:paraId="2128A3CA" w14:textId="71826629" w:rsidR="00BC0117" w:rsidRPr="00050FA4" w:rsidRDefault="007366D6" w:rsidP="003F1DA7">
      <w:pPr>
        <w:pStyle w:val="AAAAAAATEXXXX"/>
        <w:jc w:val="center"/>
        <w:rPr>
          <w:sz w:val="20"/>
          <w:szCs w:val="20"/>
          <w:lang w:val="sq-AL"/>
        </w:rPr>
      </w:pPr>
      <w:r w:rsidRPr="00050FA4">
        <w:rPr>
          <w:sz w:val="20"/>
          <w:szCs w:val="20"/>
          <w:lang w:val="sq-AL"/>
        </w:rPr>
        <w:t>Burimi: INSTAT</w:t>
      </w:r>
    </w:p>
    <w:p w14:paraId="2F204032" w14:textId="77777777" w:rsidR="00BC0117" w:rsidRPr="00050FA4" w:rsidRDefault="00BC0117" w:rsidP="003F1DA7">
      <w:pPr>
        <w:autoSpaceDE w:val="0"/>
        <w:autoSpaceDN w:val="0"/>
        <w:adjustRightInd w:val="0"/>
        <w:ind w:firstLine="284"/>
        <w:rPr>
          <w:rFonts w:ascii="Garamond" w:hAnsi="Garamond"/>
          <w:color w:val="0D0D0D" w:themeColor="text1" w:themeTint="F2"/>
        </w:rPr>
      </w:pPr>
    </w:p>
    <w:p w14:paraId="034B8068" w14:textId="1B7FBA80" w:rsidR="00BC0117" w:rsidRPr="00050FA4" w:rsidRDefault="00BC0117" w:rsidP="003F1DA7">
      <w:pPr>
        <w:pStyle w:val="AAAAAAATEXXXX"/>
        <w:rPr>
          <w:lang w:val="sq-AL"/>
        </w:rPr>
      </w:pPr>
      <w:r w:rsidRPr="00050FA4">
        <w:rPr>
          <w:lang w:val="sq-AL"/>
        </w:rPr>
        <w:t xml:space="preserve">Gjysma e parë e vitit 2021, reflektoi një rënie të shpejtë të </w:t>
      </w:r>
      <w:r w:rsidRPr="00050FA4">
        <w:rPr>
          <w:i/>
          <w:lang w:val="sq-AL"/>
        </w:rPr>
        <w:t>kostos së punës për njësi</w:t>
      </w:r>
      <w:r w:rsidRPr="00050FA4">
        <w:rPr>
          <w:vertAlign w:val="superscript"/>
          <w:lang w:val="sq-AL"/>
        </w:rPr>
        <w:footnoteReference w:id="3"/>
      </w:r>
      <w:r w:rsidRPr="00050FA4">
        <w:rPr>
          <w:lang w:val="sq-AL"/>
        </w:rPr>
        <w:t xml:space="preserve"> (5.0% mesatarisht në ndryshim vjetor). Kjo përbën një përmbysje krahasuar me vitin e kaluar</w:t>
      </w:r>
      <w:r w:rsidR="00460104" w:rsidRPr="00050FA4">
        <w:rPr>
          <w:lang w:val="sq-AL"/>
        </w:rPr>
        <w:t>,</w:t>
      </w:r>
      <w:r w:rsidRPr="00050FA4">
        <w:rPr>
          <w:lang w:val="sq-AL"/>
        </w:rPr>
        <w:t xml:space="preserve"> kur kostoja e punës për njësi u rrit me 1.1% mesatarisht. Ecuria e </w:t>
      </w:r>
      <w:r w:rsidRPr="00050FA4">
        <w:rPr>
          <w:i/>
          <w:lang w:val="sq-AL"/>
        </w:rPr>
        <w:t>produktivitetit të punës</w:t>
      </w:r>
      <w:r w:rsidRPr="00050FA4">
        <w:rPr>
          <w:lang w:val="sq-AL"/>
        </w:rPr>
        <w:t xml:space="preserve"> ishte faktori përcaktues në ecurinë e kostos së punës për njësi për të dy</w:t>
      </w:r>
      <w:r w:rsidR="007808AC" w:rsidRPr="00050FA4">
        <w:rPr>
          <w:lang w:val="sq-AL"/>
        </w:rPr>
        <w:t>ja</w:t>
      </w:r>
      <w:r w:rsidRPr="00050FA4">
        <w:rPr>
          <w:lang w:val="sq-AL"/>
        </w:rPr>
        <w:t xml:space="preserve"> vitet. Gjatë vitit 2020, produktiviteti u pakësua ndjeshëm me frenimin e aktivitetit ekonomik. Gjatë gjysmës së parë të vitit 2021, </w:t>
      </w:r>
      <w:r w:rsidR="001B4FB1" w:rsidRPr="00050FA4">
        <w:rPr>
          <w:lang w:val="sq-AL"/>
        </w:rPr>
        <w:t>rikuperimi</w:t>
      </w:r>
      <w:r w:rsidRPr="00050FA4">
        <w:rPr>
          <w:lang w:val="sq-AL"/>
        </w:rPr>
        <w:t xml:space="preserve"> i ekonomisë nxiti edhe rritjen e produktivitetit.</w:t>
      </w:r>
    </w:p>
    <w:p w14:paraId="0289B8C7" w14:textId="5CF2E208" w:rsidR="00BC0117" w:rsidRPr="00050FA4" w:rsidRDefault="00BC0117" w:rsidP="003F1DA7">
      <w:pPr>
        <w:pStyle w:val="AAAAAAATEXXXX"/>
        <w:rPr>
          <w:lang w:val="sq-AL"/>
        </w:rPr>
      </w:pPr>
      <w:r w:rsidRPr="00050FA4">
        <w:rPr>
          <w:lang w:val="sq-AL"/>
        </w:rPr>
        <w:t>Norma mesatare e inflacionit për 10 muajt e parë të vitit 2021 rezultoi 1.8%, duke qëndruar 0.2 pikë përqindje</w:t>
      </w:r>
      <w:r w:rsidR="00460104" w:rsidRPr="00050FA4">
        <w:rPr>
          <w:lang w:val="sq-AL"/>
        </w:rPr>
        <w:t>je</w:t>
      </w:r>
      <w:r w:rsidRPr="00050FA4">
        <w:rPr>
          <w:lang w:val="sq-AL"/>
        </w:rPr>
        <w:t xml:space="preserve"> më lart se ajo e një vit më parë. Inflacioni u rrit mjaft shpejt nga tremujori i parë në tremujorin e dytë, përkatësisht nga 0.9% në 1.8%, ndërkohë që u vu re një rritje më graduale gjatë katër muajve të fundit, në rreth 2.4%. Rritja e infla</w:t>
      </w:r>
      <w:r w:rsidR="007366D6" w:rsidRPr="00050FA4">
        <w:rPr>
          <w:lang w:val="sq-AL"/>
        </w:rPr>
        <w:t xml:space="preserve">cionit i atribuohet kryesisht: </w:t>
      </w:r>
      <w:r w:rsidRPr="00050FA4">
        <w:rPr>
          <w:lang w:val="sq-AL"/>
        </w:rPr>
        <w:t>i</w:t>
      </w:r>
      <w:r w:rsidR="007366D6" w:rsidRPr="00050FA4">
        <w:rPr>
          <w:lang w:val="sq-AL"/>
        </w:rPr>
        <w:t>.</w:t>
      </w:r>
      <w:r w:rsidRPr="00050FA4">
        <w:rPr>
          <w:lang w:val="sq-AL"/>
        </w:rPr>
        <w:t xml:space="preserve"> rritjes së çmimit të naftës, duke reflektuar ndër faktorët e tjerë edhe efektin bazë nga rënia e vitit të kaluar. Megjithatë, në tetor 2021, vlera e indeksit të nëngrupit tejkaloi nivelin e para pandemisë, duke sugj</w:t>
      </w:r>
      <w:r w:rsidR="007366D6" w:rsidRPr="00050FA4">
        <w:rPr>
          <w:lang w:val="sq-AL"/>
        </w:rPr>
        <w:t xml:space="preserve">eruar shuarjen e efektit bazë; </w:t>
      </w:r>
      <w:r w:rsidRPr="00050FA4">
        <w:rPr>
          <w:lang w:val="sq-AL"/>
        </w:rPr>
        <w:t>ii</w:t>
      </w:r>
      <w:r w:rsidR="007366D6" w:rsidRPr="00050FA4">
        <w:rPr>
          <w:lang w:val="sq-AL"/>
        </w:rPr>
        <w:t>.</w:t>
      </w:r>
      <w:r w:rsidRPr="00050FA4">
        <w:rPr>
          <w:lang w:val="sq-AL"/>
        </w:rPr>
        <w:t xml:space="preserve"> rritja e çmimeve të ushqimeve të pap</w:t>
      </w:r>
      <w:r w:rsidR="007366D6" w:rsidRPr="00050FA4">
        <w:rPr>
          <w:lang w:val="sq-AL"/>
        </w:rPr>
        <w:t xml:space="preserve">ërpunuara, kryesisht perimeve; </w:t>
      </w:r>
      <w:r w:rsidRPr="00050FA4">
        <w:rPr>
          <w:lang w:val="sq-AL"/>
        </w:rPr>
        <w:t>iii</w:t>
      </w:r>
      <w:r w:rsidR="007366D6" w:rsidRPr="00050FA4">
        <w:rPr>
          <w:lang w:val="sq-AL"/>
        </w:rPr>
        <w:t>.</w:t>
      </w:r>
      <w:r w:rsidRPr="00050FA4">
        <w:rPr>
          <w:lang w:val="sq-AL"/>
        </w:rPr>
        <w:t xml:space="preserve"> rritja e çmimeve të ushqimeve të përpunuara – veçanërisht që prej muajit qershor – e nxitur kryesisht nga çmimet e larta të ushqimeve bazë në tregun ndërkombëtar.</w:t>
      </w:r>
    </w:p>
    <w:p w14:paraId="78825719" w14:textId="165457CB" w:rsidR="00BC0117" w:rsidRPr="00050FA4" w:rsidRDefault="00BC0117" w:rsidP="003F1DA7">
      <w:pPr>
        <w:pStyle w:val="AAAAAAATEXXXX"/>
        <w:rPr>
          <w:lang w:val="sq-AL"/>
        </w:rPr>
      </w:pPr>
      <w:r w:rsidRPr="00050FA4">
        <w:rPr>
          <w:lang w:val="sq-AL"/>
        </w:rPr>
        <w:t>Lehtësimi i masave anti-</w:t>
      </w:r>
      <w:r w:rsidR="001B4FB1" w:rsidRPr="00050FA4">
        <w:rPr>
          <w:lang w:val="sq-AL"/>
        </w:rPr>
        <w:t xml:space="preserve">COVID </w:t>
      </w:r>
      <w:r w:rsidRPr="00050FA4">
        <w:rPr>
          <w:lang w:val="sq-AL"/>
        </w:rPr>
        <w:t xml:space="preserve">zgjeroi kërkesën për shërbime, duke ushtruar presione në rritje në çmimet e tyre. Presione të tilla janë parë në rritjen e inflacionit të kategorisë </w:t>
      </w:r>
      <w:r w:rsidR="008A0E5B" w:rsidRPr="00050FA4">
        <w:rPr>
          <w:lang w:val="sq-AL"/>
        </w:rPr>
        <w:t>“</w:t>
      </w:r>
      <w:r w:rsidRPr="00050FA4">
        <w:rPr>
          <w:lang w:val="sq-AL"/>
        </w:rPr>
        <w:t>Argëtim dhe kulturë</w:t>
      </w:r>
      <w:r w:rsidR="008A0E5B" w:rsidRPr="00050FA4">
        <w:rPr>
          <w:lang w:val="sq-AL"/>
        </w:rPr>
        <w:t>”</w:t>
      </w:r>
      <w:r w:rsidRPr="00050FA4">
        <w:rPr>
          <w:lang w:val="sq-AL"/>
        </w:rPr>
        <w:t xml:space="preserve"> – veçanërisht gjatë tremujorit të tretë – të </w:t>
      </w:r>
      <w:r w:rsidR="008A0E5B" w:rsidRPr="00050FA4">
        <w:rPr>
          <w:lang w:val="sq-AL"/>
        </w:rPr>
        <w:t>“</w:t>
      </w:r>
      <w:r w:rsidRPr="00050FA4">
        <w:rPr>
          <w:lang w:val="sq-AL"/>
        </w:rPr>
        <w:t>Hotele, bare dhe restorante</w:t>
      </w:r>
      <w:r w:rsidR="008A0E5B" w:rsidRPr="00050FA4">
        <w:rPr>
          <w:lang w:val="sq-AL"/>
        </w:rPr>
        <w:t>”</w:t>
      </w:r>
      <w:r w:rsidRPr="00050FA4">
        <w:rPr>
          <w:lang w:val="sq-AL"/>
        </w:rPr>
        <w:t xml:space="preserve">, gjatë muajve të verës dhe të </w:t>
      </w:r>
      <w:r w:rsidR="008A0E5B" w:rsidRPr="00050FA4">
        <w:rPr>
          <w:lang w:val="sq-AL"/>
        </w:rPr>
        <w:t>“</w:t>
      </w:r>
      <w:r w:rsidRPr="00050FA4">
        <w:rPr>
          <w:lang w:val="sq-AL"/>
        </w:rPr>
        <w:t>Transportit</w:t>
      </w:r>
      <w:r w:rsidR="008A0E5B" w:rsidRPr="00050FA4">
        <w:rPr>
          <w:lang w:val="sq-AL"/>
        </w:rPr>
        <w:t>”</w:t>
      </w:r>
      <w:r w:rsidRPr="00050FA4">
        <w:rPr>
          <w:lang w:val="sq-AL"/>
        </w:rPr>
        <w:t xml:space="preserve">, </w:t>
      </w:r>
      <w:r w:rsidR="008A0E5B" w:rsidRPr="00050FA4">
        <w:rPr>
          <w:lang w:val="sq-AL"/>
        </w:rPr>
        <w:t>“</w:t>
      </w:r>
      <w:r w:rsidRPr="00050FA4">
        <w:rPr>
          <w:lang w:val="sq-AL"/>
        </w:rPr>
        <w:t>Shëndetësisë</w:t>
      </w:r>
      <w:r w:rsidR="008A0E5B" w:rsidRPr="00050FA4">
        <w:rPr>
          <w:lang w:val="sq-AL"/>
        </w:rPr>
        <w:t>”</w:t>
      </w:r>
      <w:r w:rsidRPr="00050FA4">
        <w:rPr>
          <w:lang w:val="sq-AL"/>
        </w:rPr>
        <w:t xml:space="preserve"> dhe </w:t>
      </w:r>
      <w:r w:rsidR="008A0E5B" w:rsidRPr="00050FA4">
        <w:rPr>
          <w:lang w:val="sq-AL"/>
        </w:rPr>
        <w:t>“</w:t>
      </w:r>
      <w:r w:rsidRPr="00050FA4">
        <w:rPr>
          <w:lang w:val="sq-AL"/>
        </w:rPr>
        <w:t>Komunikimit</w:t>
      </w:r>
      <w:r w:rsidR="008A0E5B" w:rsidRPr="00050FA4">
        <w:rPr>
          <w:lang w:val="sq-AL"/>
        </w:rPr>
        <w:t>”</w:t>
      </w:r>
      <w:r w:rsidR="00C42957" w:rsidRPr="00050FA4">
        <w:rPr>
          <w:lang w:val="sq-AL"/>
        </w:rPr>
        <w:t>,</w:t>
      </w:r>
      <w:r w:rsidRPr="00050FA4">
        <w:rPr>
          <w:lang w:val="sq-AL"/>
        </w:rPr>
        <w:t xml:space="preserve"> duke filluar nga tremujori i dytë.</w:t>
      </w:r>
    </w:p>
    <w:p w14:paraId="3B5462BF" w14:textId="6BE2DD7E" w:rsidR="00BC0117" w:rsidRPr="00050FA4" w:rsidRDefault="00BC0117" w:rsidP="003F1DA7">
      <w:pPr>
        <w:pStyle w:val="AAAAAAATEXXXX"/>
        <w:rPr>
          <w:lang w:val="sq-AL"/>
        </w:rPr>
      </w:pPr>
      <w:r w:rsidRPr="00050FA4">
        <w:rPr>
          <w:lang w:val="sq-AL"/>
        </w:rPr>
        <w:t>Nga pikëpamja e faktorëve makroekonomikë, rritja e inflacionit është ndikuar kryesisht nga rritja e shpejtë e çmimeve të energjisë dhe ushqimeve në tregun ndërkombëtar. Gjithashtu</w:t>
      </w:r>
      <w:r w:rsidR="00922D0E" w:rsidRPr="00050FA4">
        <w:rPr>
          <w:lang w:val="sq-AL"/>
        </w:rPr>
        <w:t>,</w:t>
      </w:r>
      <w:r w:rsidRPr="00050FA4">
        <w:rPr>
          <w:lang w:val="sq-AL"/>
        </w:rPr>
        <w:t xml:space="preserve"> edhe presionet e brendshme inflacioniste kanë ardhur në rritje pas rimëkëmbjes së kërkesës. Inflacioni bazë rezultoi 1.5% gjatë 10 muajve të parë të 2021</w:t>
      </w:r>
      <w:r w:rsidR="00922D0E" w:rsidRPr="00050FA4">
        <w:rPr>
          <w:lang w:val="sq-AL"/>
        </w:rPr>
        <w:t>-shit</w:t>
      </w:r>
      <w:r w:rsidRPr="00050FA4">
        <w:rPr>
          <w:lang w:val="sq-AL"/>
        </w:rPr>
        <w:t>, pak më i lartë se vitin e kaluar. Kontributi i tij në inflacionin total ishte relativisht i qëndrueshëm në rreth 1.1 pikë përqindje</w:t>
      </w:r>
      <w:r w:rsidR="00922D0E" w:rsidRPr="00050FA4">
        <w:rPr>
          <w:lang w:val="sq-AL"/>
        </w:rPr>
        <w:t>je</w:t>
      </w:r>
      <w:r w:rsidRPr="00050FA4">
        <w:rPr>
          <w:lang w:val="sq-AL"/>
        </w:rPr>
        <w:t>. Gjatë dy muajve të fundit, në shtator dhe tetor, ai u përshpejtua përkatësisht në 1.8% dhe 2.2%. Rritja në muaj</w:t>
      </w:r>
      <w:r w:rsidR="00922D0E" w:rsidRPr="00050FA4">
        <w:rPr>
          <w:lang w:val="sq-AL"/>
        </w:rPr>
        <w:t>t</w:t>
      </w:r>
      <w:r w:rsidRPr="00050FA4">
        <w:rPr>
          <w:lang w:val="sq-AL"/>
        </w:rPr>
        <w:t xml:space="preserve"> </w:t>
      </w:r>
      <w:r w:rsidR="00922D0E" w:rsidRPr="00050FA4">
        <w:rPr>
          <w:lang w:val="sq-AL"/>
        </w:rPr>
        <w:t xml:space="preserve">e </w:t>
      </w:r>
      <w:r w:rsidRPr="00050FA4">
        <w:rPr>
          <w:lang w:val="sq-AL"/>
        </w:rPr>
        <w:t xml:space="preserve">fundit vjen si pasojë e inflacionit më të lartë të shërbimeve dhe inflacionit më të lartë të nëngrupit </w:t>
      </w:r>
      <w:r w:rsidR="008A0E5B" w:rsidRPr="00050FA4">
        <w:rPr>
          <w:lang w:val="sq-AL"/>
        </w:rPr>
        <w:t>“</w:t>
      </w:r>
      <w:r w:rsidRPr="00050FA4">
        <w:rPr>
          <w:lang w:val="sq-AL"/>
        </w:rPr>
        <w:t>Bukë dhe drithëra</w:t>
      </w:r>
      <w:r w:rsidR="008A0E5B" w:rsidRPr="00050FA4">
        <w:rPr>
          <w:lang w:val="sq-AL"/>
        </w:rPr>
        <w:t>”</w:t>
      </w:r>
      <w:r w:rsidRPr="00050FA4">
        <w:rPr>
          <w:lang w:val="sq-AL"/>
        </w:rPr>
        <w:t xml:space="preserve"> – i cili ka një peshë të konsiderueshme në shportën e IÇK-së, por luhatshmëri të ulët të çmimeve ndër vite.</w:t>
      </w:r>
    </w:p>
    <w:p w14:paraId="2F5D17B9" w14:textId="698C4A65" w:rsidR="00BC0117" w:rsidRPr="00050FA4" w:rsidRDefault="00BC0117" w:rsidP="003F1DA7">
      <w:pPr>
        <w:pStyle w:val="AAAAAAATEXXXX"/>
        <w:rPr>
          <w:lang w:val="sq-AL"/>
        </w:rPr>
      </w:pPr>
      <w:r w:rsidRPr="00050FA4">
        <w:rPr>
          <w:lang w:val="sq-AL"/>
        </w:rPr>
        <w:t>Pavarësisht ngushtimit të hendekut të prodhimit dhe rritjes së presioneve të brendshme inflacioniste, këto të fundit janë ende të frenuara, siç dëshmohet nga nivelet e ulëta të inflacionit bazë. Rritja e punësimit dhe e pagave është ende e pamjaftueshme, ndërkohë që pritjet inflacioniste mbeten nën objektivin e inflacionit. Pritjet për inflacionin nga agjentët financiarë dhe bizneset gjatë 10 muajve të parë të 2021 janë pothuajse të pandryshuara nga viti i kaluar. Ndërkohë</w:t>
      </w:r>
      <w:r w:rsidR="005744DF" w:rsidRPr="00050FA4">
        <w:rPr>
          <w:lang w:val="sq-AL"/>
        </w:rPr>
        <w:t>,</w:t>
      </w:r>
      <w:r w:rsidRPr="00050FA4">
        <w:rPr>
          <w:lang w:val="sq-AL"/>
        </w:rPr>
        <w:t xml:space="preserve"> pritjet e konsumatorëve për inflacionin janë rritur disi, veçanërisht në dy muajt e fundit.</w:t>
      </w:r>
    </w:p>
    <w:p w14:paraId="2163E1FC" w14:textId="0B52AF5C" w:rsidR="00BC0117" w:rsidRPr="00050FA4" w:rsidRDefault="00BC0117" w:rsidP="003F1DA7">
      <w:pPr>
        <w:pStyle w:val="AAAAAAATEXXXX"/>
        <w:rPr>
          <w:lang w:val="sq-AL"/>
        </w:rPr>
      </w:pPr>
      <w:r w:rsidRPr="00050FA4">
        <w:rPr>
          <w:lang w:val="sq-AL"/>
        </w:rPr>
        <w:lastRenderedPageBreak/>
        <w:t xml:space="preserve">Në terma afatshkurtër, presionet e huaja inflacioniste pritet të mbeten të larta, të nxitura kryesisht nga çmimet e larta të lëndëve të para në tregjet ndërkombëtare. Këto të fundit pritet të normalizohen gjatë vitit 2022. Nga ana tjetër, presionet e brendshme inflacioniste pritet të rriten gradualisht pas zgjerimit të vazhdueshëm të ekonomisë shqiptare dhe ngushtimit të hendekut negativ të prodhimit. Kjo do të çojë në një rritje më dinamike të pagave dhe </w:t>
      </w:r>
      <w:r w:rsidR="00045B9B" w:rsidRPr="00050FA4">
        <w:rPr>
          <w:lang w:val="sq-AL"/>
        </w:rPr>
        <w:t xml:space="preserve">të </w:t>
      </w:r>
      <w:r w:rsidRPr="00050FA4">
        <w:rPr>
          <w:lang w:val="sq-AL"/>
        </w:rPr>
        <w:t xml:space="preserve">kostove të tjera të prodhimit, duke nxitur konvergimin gradual të inflacionit drejt objektivit deri në fund të vitit 2022. </w:t>
      </w:r>
    </w:p>
    <w:p w14:paraId="0FE148DB" w14:textId="77777777" w:rsidR="00BC0117" w:rsidRPr="00050FA4" w:rsidRDefault="00BC0117" w:rsidP="003F1DA7">
      <w:pPr>
        <w:pStyle w:val="AAAAAAATEXXXX"/>
        <w:rPr>
          <w:color w:val="0D0D0D" w:themeColor="text1" w:themeTint="F2"/>
          <w:sz w:val="8"/>
          <w:lang w:val="sq-AL"/>
        </w:rPr>
      </w:pPr>
    </w:p>
    <w:p w14:paraId="50B4B7E6" w14:textId="448C2E2F" w:rsidR="00BC0117" w:rsidRPr="00050FA4" w:rsidRDefault="00BC0117" w:rsidP="003F1DA7">
      <w:pPr>
        <w:pStyle w:val="AAAAAAATEXXXX"/>
        <w:jc w:val="center"/>
        <w:rPr>
          <w:b/>
          <w:i/>
          <w:color w:val="0D0D0D" w:themeColor="text1" w:themeTint="F2"/>
          <w:sz w:val="20"/>
          <w:lang w:val="sq-AL"/>
        </w:rPr>
      </w:pPr>
      <w:r w:rsidRPr="00050FA4">
        <w:rPr>
          <w:b/>
          <w:i/>
          <w:color w:val="0D0D0D" w:themeColor="text1" w:themeTint="F2"/>
          <w:sz w:val="20"/>
          <w:lang w:val="sq-AL"/>
        </w:rPr>
        <w:t>Grafik 3.1.4 Inflacioni sipas IÇK-së dhe kontributet nga kategoritë kryesore</w:t>
      </w:r>
    </w:p>
    <w:p w14:paraId="3FFFD130" w14:textId="656CDCE5" w:rsidR="00BC0117" w:rsidRPr="00050FA4" w:rsidRDefault="00BC0117" w:rsidP="003F1DA7">
      <w:pPr>
        <w:autoSpaceDE w:val="0"/>
        <w:autoSpaceDN w:val="0"/>
        <w:adjustRightInd w:val="0"/>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407BDAA6" wp14:editId="75E7DC46">
            <wp:extent cx="5429393" cy="283426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34328" cy="2836843"/>
                    </a:xfrm>
                    <a:prstGeom prst="rect">
                      <a:avLst/>
                    </a:prstGeom>
                    <a:noFill/>
                    <a:ln>
                      <a:noFill/>
                    </a:ln>
                  </pic:spPr>
                </pic:pic>
              </a:graphicData>
            </a:graphic>
          </wp:inline>
        </w:drawing>
      </w:r>
    </w:p>
    <w:p w14:paraId="54090816" w14:textId="1C092D1E" w:rsidR="00BC0117" w:rsidRPr="00050FA4" w:rsidRDefault="00BC0117" w:rsidP="003F1DA7">
      <w:pPr>
        <w:pStyle w:val="AAAAAAATEXXXX"/>
        <w:jc w:val="center"/>
        <w:rPr>
          <w:sz w:val="20"/>
          <w:lang w:val="sq-AL"/>
        </w:rPr>
      </w:pPr>
      <w:r w:rsidRPr="00050FA4">
        <w:rPr>
          <w:sz w:val="20"/>
          <w:lang w:val="sq-AL"/>
        </w:rPr>
        <w:t>Burim</w:t>
      </w:r>
      <w:r w:rsidR="007366D6" w:rsidRPr="00050FA4">
        <w:rPr>
          <w:sz w:val="20"/>
          <w:lang w:val="sq-AL"/>
        </w:rPr>
        <w:t>i: INSTAT dhe llogaritjet e BSH-së</w:t>
      </w:r>
    </w:p>
    <w:p w14:paraId="7988122D" w14:textId="77777777" w:rsidR="00BC0117" w:rsidRPr="00050FA4" w:rsidRDefault="00BC0117" w:rsidP="003F1DA7">
      <w:pPr>
        <w:autoSpaceDE w:val="0"/>
        <w:autoSpaceDN w:val="0"/>
        <w:adjustRightInd w:val="0"/>
        <w:ind w:firstLine="284"/>
        <w:rPr>
          <w:rFonts w:ascii="Garamond" w:hAnsi="Garamond"/>
          <w:color w:val="0D0D0D" w:themeColor="text1" w:themeTint="F2"/>
        </w:rPr>
      </w:pPr>
    </w:p>
    <w:p w14:paraId="742E2E8C" w14:textId="69AFBEB3" w:rsidR="00BC0117" w:rsidRPr="00050FA4" w:rsidRDefault="00BC0117" w:rsidP="003F1DA7">
      <w:pPr>
        <w:pStyle w:val="AAAAAAATEXXXX"/>
        <w:rPr>
          <w:lang w:val="sq-AL"/>
        </w:rPr>
      </w:pPr>
      <w:r w:rsidRPr="00050FA4">
        <w:rPr>
          <w:i/>
          <w:lang w:val="sq-AL"/>
        </w:rPr>
        <w:t xml:space="preserve">Deficiti korrent është ngushtuar me </w:t>
      </w:r>
      <w:r w:rsidRPr="00050FA4">
        <w:rPr>
          <w:lang w:val="sq-AL"/>
        </w:rPr>
        <w:t xml:space="preserve">9.6% në terma vjetorë gjatë gjysmës së parë 2021, pasi u zgjerua ndjeshëm vitin e kaluar. Zhvillimet pozitive në rastin e shërbimeve dhe të </w:t>
      </w:r>
      <w:r w:rsidR="00E6591A" w:rsidRPr="00050FA4">
        <w:rPr>
          <w:lang w:val="sq-AL"/>
        </w:rPr>
        <w:t xml:space="preserve">të </w:t>
      </w:r>
      <w:r w:rsidRPr="00050FA4">
        <w:rPr>
          <w:lang w:val="sq-AL"/>
        </w:rPr>
        <w:t>ardhurave dytësore dhanë ndikimet kryesore.</w:t>
      </w:r>
    </w:p>
    <w:p w14:paraId="2ABCA7C6" w14:textId="1A6B2080" w:rsidR="00BC0117" w:rsidRPr="00050FA4" w:rsidRDefault="00BC0117" w:rsidP="003F1DA7">
      <w:pPr>
        <w:pStyle w:val="AAAAAAATEXXXX"/>
        <w:rPr>
          <w:lang w:val="sq-AL"/>
        </w:rPr>
      </w:pPr>
      <w:r w:rsidRPr="00050FA4">
        <w:rPr>
          <w:lang w:val="sq-AL"/>
        </w:rPr>
        <w:t xml:space="preserve">Borxhi i jashtëm bruto i Shqipërisë ra në 62.6% të PBB-së në tremujorin e dytë 2021, nga 68.1% që ishte një vit më parë. Përveç efektit të lidhur me rritjen e PBB-së, rënia e raportit pasqyron edhe pakësimin e borxhit të </w:t>
      </w:r>
      <w:r w:rsidR="006256C3" w:rsidRPr="00050FA4">
        <w:rPr>
          <w:lang w:val="sq-AL"/>
        </w:rPr>
        <w:t xml:space="preserve">qeverisë së përgjithshme </w:t>
      </w:r>
      <w:r w:rsidRPr="00050FA4">
        <w:rPr>
          <w:lang w:val="sq-AL"/>
        </w:rPr>
        <w:t>lidhur kjo me ripagesat e detyrimeve të mëparshme të Eurobondit, kryesisht në tremujorin e fundit 2020.</w:t>
      </w:r>
    </w:p>
    <w:p w14:paraId="227D1499" w14:textId="20F59E2F" w:rsidR="00BC0117" w:rsidRPr="00050FA4" w:rsidRDefault="00BC0117" w:rsidP="003F1DA7">
      <w:pPr>
        <w:pStyle w:val="AAAAAAATEXXXX"/>
        <w:rPr>
          <w:lang w:val="sq-AL"/>
        </w:rPr>
      </w:pPr>
      <w:r w:rsidRPr="00050FA4">
        <w:rPr>
          <w:lang w:val="sq-AL"/>
        </w:rPr>
        <w:t>Tregu valutor ka funksionuar në kushte normale tregtimi dhe parametra rreziku</w:t>
      </w:r>
      <w:r w:rsidR="00535FB4" w:rsidRPr="00050FA4">
        <w:rPr>
          <w:lang w:val="sq-AL"/>
        </w:rPr>
        <w:t>,</w:t>
      </w:r>
      <w:r w:rsidRPr="00050FA4">
        <w:rPr>
          <w:lang w:val="sq-AL"/>
        </w:rPr>
        <w:t xml:space="preserve"> duke reflektuar balancën e ofertës dhe kërkesës për valutë në treg. Në tremujorin e parë të vitit monedha </w:t>
      </w:r>
      <w:r w:rsidR="00643BAF" w:rsidRPr="00050FA4">
        <w:rPr>
          <w:lang w:val="sq-AL"/>
        </w:rPr>
        <w:t>vendës</w:t>
      </w:r>
      <w:r w:rsidRPr="00050FA4">
        <w:rPr>
          <w:lang w:val="sq-AL"/>
        </w:rPr>
        <w:t>e ka qenë e qëndrueshme kundrejt euros me një mesatare prej 123.5 lekë</w:t>
      </w:r>
      <w:r w:rsidR="00904ECF" w:rsidRPr="00050FA4">
        <w:rPr>
          <w:lang w:val="sq-AL"/>
        </w:rPr>
        <w:t>sh</w:t>
      </w:r>
      <w:r w:rsidRPr="00050FA4">
        <w:rPr>
          <w:lang w:val="sq-AL"/>
        </w:rPr>
        <w:t>/euro</w:t>
      </w:r>
      <w:r w:rsidR="00904ECF" w:rsidRPr="00050FA4">
        <w:rPr>
          <w:lang w:val="sq-AL"/>
        </w:rPr>
        <w:t>sh</w:t>
      </w:r>
      <w:r w:rsidRPr="00050FA4">
        <w:rPr>
          <w:lang w:val="sq-AL"/>
        </w:rPr>
        <w:t xml:space="preserve">. Në muajt në vijim, hapja e ekonomisë pas lehtësimit të kufizimeve të </w:t>
      </w:r>
      <w:r w:rsidR="00E6591A" w:rsidRPr="00050FA4">
        <w:rPr>
          <w:lang w:val="sq-AL"/>
        </w:rPr>
        <w:t>COVID</w:t>
      </w:r>
      <w:r w:rsidRPr="00050FA4">
        <w:rPr>
          <w:lang w:val="sq-AL"/>
        </w:rPr>
        <w:t>-19 dhe rigjallërimi i aktivitetit turistik, përcaktuan një mbiçmim gradual të lekut</w:t>
      </w:r>
      <w:r w:rsidR="00E6591A" w:rsidRPr="00050FA4">
        <w:rPr>
          <w:lang w:val="sq-AL"/>
        </w:rPr>
        <w:t>,</w:t>
      </w:r>
      <w:r w:rsidRPr="00050FA4">
        <w:rPr>
          <w:lang w:val="sq-AL"/>
        </w:rPr>
        <w:t xml:space="preserve"> duke kulmuar në tremujorin e tretë me mesatarisht 1.7% në terma vjetorë. Aktualisht</w:t>
      </w:r>
      <w:r w:rsidR="00301BDF" w:rsidRPr="00050FA4">
        <w:rPr>
          <w:lang w:val="sq-AL"/>
        </w:rPr>
        <w:t>,</w:t>
      </w:r>
      <w:r w:rsidRPr="00050FA4">
        <w:rPr>
          <w:lang w:val="sq-AL"/>
        </w:rPr>
        <w:t xml:space="preserve"> kursi i këmbimit të lekut ndaj euros luhatet lehtas mbi 121 lekë/euro. Mbiçmimi i lekut në terma efektivë ka ardhur duke u ngadalësuar në muajin tetor (me 2.8%)</w:t>
      </w:r>
      <w:r w:rsidR="008054C7" w:rsidRPr="00050FA4">
        <w:rPr>
          <w:lang w:val="sq-AL"/>
        </w:rPr>
        <w:t>,</w:t>
      </w:r>
      <w:r w:rsidRPr="00050FA4">
        <w:rPr>
          <w:lang w:val="sq-AL"/>
        </w:rPr>
        <w:t xml:space="preserve"> pasi arriti kulmin në muajin prill (me 5.4%). Kjo sjellje ka reflektuar nënçmimin e lekut kundrejt monedhës kineze dhe ngadalësimin e mbiçmimit të tij ndaj lirës turke.</w:t>
      </w:r>
    </w:p>
    <w:p w14:paraId="338BF7DE" w14:textId="0770ECCF" w:rsidR="00BC0117" w:rsidRPr="00050FA4" w:rsidRDefault="00BC0117" w:rsidP="003F1DA7">
      <w:pPr>
        <w:pStyle w:val="AAAAAAATEXXXX"/>
        <w:rPr>
          <w:lang w:val="sq-AL"/>
        </w:rPr>
      </w:pPr>
      <w:r w:rsidRPr="00050FA4">
        <w:rPr>
          <w:lang w:val="sq-AL"/>
        </w:rPr>
        <w:t>Tregjet financiare janë</w:t>
      </w:r>
      <w:r w:rsidR="009B1D6B" w:rsidRPr="00050FA4">
        <w:rPr>
          <w:lang w:val="sq-AL"/>
        </w:rPr>
        <w:t xml:space="preserve"> </w:t>
      </w:r>
      <w:r w:rsidRPr="00050FA4">
        <w:rPr>
          <w:lang w:val="sq-AL"/>
        </w:rPr>
        <w:t>karakterizuar nga kushte të përshtatshme likuiditeti, prime të përmbajtura të rrezikut dhe norma të ulëta interesi. Politika monetare stimuluese e Bankës së Shqipërisë i ka ofruar ekonomisë kushte të favorshme monetare, ndërkohë që bilancet e shëndetshme të bankave kanë mundësuar transmetimin e duhur të këtij stimuli në treg. Normat e interesit të kredisë për bizneset kanë mbetur pranë niveleve të tyre të vitit 2020 (mesatarisht 5.6%) dhe pak më të ulëta për individët (mesatarisht 6.1%)</w:t>
      </w:r>
      <w:r w:rsidR="006F3F3C" w:rsidRPr="00050FA4">
        <w:rPr>
          <w:lang w:val="sq-AL"/>
        </w:rPr>
        <w:t>,</w:t>
      </w:r>
      <w:r w:rsidRPr="00050FA4">
        <w:rPr>
          <w:lang w:val="sq-AL"/>
        </w:rPr>
        <w:t xml:space="preserve"> duke reflektuar kushtet mbështetëse të financimit për investime dhe konsum. Kërkesa më e lartë për financim e qeverisë këtë vit është përthithur lehtësisht nga tregu</w:t>
      </w:r>
      <w:r w:rsidR="006F3F3C" w:rsidRPr="00050FA4">
        <w:rPr>
          <w:lang w:val="sq-AL"/>
        </w:rPr>
        <w:t>,</w:t>
      </w:r>
      <w:r w:rsidRPr="00050FA4">
        <w:rPr>
          <w:lang w:val="sq-AL"/>
        </w:rPr>
        <w:t xml:space="preserve"> pa frenuar rritjen e kredisë ndaj sektorit privat dhe pa shtuar presione. </w:t>
      </w:r>
      <w:r w:rsidRPr="00050FA4">
        <w:rPr>
          <w:i/>
          <w:lang w:val="sq-AL"/>
        </w:rPr>
        <w:t>Yield</w:t>
      </w:r>
      <w:r w:rsidRPr="00050FA4">
        <w:rPr>
          <w:lang w:val="sq-AL"/>
        </w:rPr>
        <w:t xml:space="preserve">-et e letrave të borxhit të qeverisë janë luhatur afër mesatares së tyre të vitit 2020. </w:t>
      </w:r>
    </w:p>
    <w:p w14:paraId="67024B35" w14:textId="2C862071" w:rsidR="00BC0117" w:rsidRPr="00050FA4" w:rsidRDefault="00BC0117" w:rsidP="003F1DA7">
      <w:pPr>
        <w:pStyle w:val="AAAAAAATEXXXX"/>
        <w:rPr>
          <w:lang w:val="sq-AL"/>
        </w:rPr>
      </w:pPr>
      <w:r w:rsidRPr="00050FA4">
        <w:rPr>
          <w:lang w:val="sq-AL"/>
        </w:rPr>
        <w:t xml:space="preserve">Kushtet e favorshme financiare po kontribuojnë në rritjen e kredisë. Kredia për ekonominë ka qenë e rëndësishme në sigurimin e likuiditetit të bizneseve dhe ka ndihmuar në financimin e rritjes së investimeve dhe konsumit privat. Kredia për sektorin privat u rrit në 8.1% në tetor nga 6.7% në vitin 2020. </w:t>
      </w:r>
      <w:r w:rsidRPr="00050FA4">
        <w:rPr>
          <w:lang w:val="sq-AL"/>
        </w:rPr>
        <w:lastRenderedPageBreak/>
        <w:t>Rimëkëmbja e aktivitetit ekonomik dhe përmirësimi i besimit kanë nxitur kërkesën për kredi, veçanërisht nga individët. Në të njëjtën kohë bankat kanë lehtësuar standardet e kreditimit. Rritja e kredisë është mbështetur nga zgjerimi i kredisë në lekë e cila shënoi rritje 10.5% deri në muajin tetor. Politika monetare lehtësuese ka mbështetur zgjerimin e vazhdueshëm të këtij portofoli</w:t>
      </w:r>
      <w:r w:rsidR="000252E9" w:rsidRPr="00050FA4">
        <w:rPr>
          <w:lang w:val="sq-AL"/>
        </w:rPr>
        <w:t>,</w:t>
      </w:r>
      <w:r w:rsidRPr="00050FA4">
        <w:rPr>
          <w:lang w:val="sq-AL"/>
        </w:rPr>
        <w:t xml:space="preserve"> ku pesha e kredisë në lekë arriti 50.2% ose 1 pikë përqindjeje më e lartë se mesatarja e vitit 2020. Gjatë vitit 2021 edhe kreditimi në valutë ka regjistruar rritje</w:t>
      </w:r>
      <w:r w:rsidR="000252E9" w:rsidRPr="00050FA4">
        <w:rPr>
          <w:lang w:val="sq-AL"/>
        </w:rPr>
        <w:t>,</w:t>
      </w:r>
      <w:r w:rsidRPr="00050FA4">
        <w:rPr>
          <w:lang w:val="sq-AL"/>
        </w:rPr>
        <w:t xml:space="preserve"> duke shënuar norma rritjeje prej 6%. Kredia në valutë u kanalizua kryesisht në tregti, turizëm dhe ndërtim. Kredia për individë</w:t>
      </w:r>
      <w:r w:rsidR="00BB0D8A" w:rsidRPr="00050FA4">
        <w:rPr>
          <w:lang w:val="sq-AL"/>
        </w:rPr>
        <w:t>,</w:t>
      </w:r>
      <w:r w:rsidRPr="00050FA4">
        <w:rPr>
          <w:lang w:val="sq-AL"/>
        </w:rPr>
        <w:t xml:space="preserve"> gjithashtu</w:t>
      </w:r>
      <w:r w:rsidR="00BB0D8A" w:rsidRPr="00050FA4">
        <w:rPr>
          <w:lang w:val="sq-AL"/>
        </w:rPr>
        <w:t>,</w:t>
      </w:r>
      <w:r w:rsidRPr="00050FA4">
        <w:rPr>
          <w:lang w:val="sq-AL"/>
        </w:rPr>
        <w:t xml:space="preserve"> është rritur këtë vit</w:t>
      </w:r>
      <w:r w:rsidR="00BB0D8A" w:rsidRPr="00050FA4">
        <w:rPr>
          <w:lang w:val="sq-AL"/>
        </w:rPr>
        <w:t>,</w:t>
      </w:r>
      <w:r w:rsidRPr="00050FA4">
        <w:rPr>
          <w:lang w:val="sq-AL"/>
        </w:rPr>
        <w:t xml:space="preserve"> duke reflektuar rigjallërimin e konsumit dhe kërkesën e individëve për blerje banesash. Zgjerimi i kësaj kredie shënoi 10.4% deri në muajin tetor</w:t>
      </w:r>
      <w:r w:rsidR="00BB0D8A" w:rsidRPr="00050FA4">
        <w:rPr>
          <w:lang w:val="sq-AL"/>
        </w:rPr>
        <w:t>,</w:t>
      </w:r>
      <w:r w:rsidRPr="00050FA4">
        <w:rPr>
          <w:lang w:val="sq-AL"/>
        </w:rPr>
        <w:t xml:space="preserve"> duke qenë afërsisht sa dyfishi i rritjes së një viti më parë.</w:t>
      </w:r>
    </w:p>
    <w:p w14:paraId="5E0C0FC9" w14:textId="77777777" w:rsidR="00BC0117" w:rsidRPr="00050FA4" w:rsidRDefault="00BC0117" w:rsidP="003F1DA7">
      <w:pPr>
        <w:pStyle w:val="AAAAAAATEXXXX"/>
        <w:rPr>
          <w:lang w:val="sq-AL"/>
        </w:rPr>
      </w:pPr>
    </w:p>
    <w:p w14:paraId="0FC68291" w14:textId="514BA087" w:rsidR="00BC0117" w:rsidRPr="00050FA4" w:rsidRDefault="00BC0117" w:rsidP="003F1DA7">
      <w:pPr>
        <w:pStyle w:val="AAAAAAATEXXXX"/>
        <w:jc w:val="center"/>
        <w:rPr>
          <w:b/>
          <w:i/>
          <w:sz w:val="20"/>
          <w:lang w:val="sq-AL"/>
        </w:rPr>
      </w:pPr>
      <w:r w:rsidRPr="00050FA4">
        <w:rPr>
          <w:b/>
          <w:i/>
          <w:sz w:val="20"/>
          <w:lang w:val="sq-AL"/>
        </w:rPr>
        <w:t xml:space="preserve">Grafik 3.1.5 Treguesit </w:t>
      </w:r>
      <w:r w:rsidR="007366D6" w:rsidRPr="00050FA4">
        <w:rPr>
          <w:b/>
          <w:i/>
          <w:sz w:val="20"/>
          <w:lang w:val="sq-AL"/>
        </w:rPr>
        <w:t>monetarë</w:t>
      </w:r>
    </w:p>
    <w:p w14:paraId="4D8BA168" w14:textId="1CC75A9B" w:rsidR="00BC0117" w:rsidRPr="00050FA4" w:rsidRDefault="00BC0117" w:rsidP="003F1DA7">
      <w:pPr>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6A7FE027" wp14:editId="36E2258D">
            <wp:extent cx="5734050" cy="1724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1724025"/>
                    </a:xfrm>
                    <a:prstGeom prst="rect">
                      <a:avLst/>
                    </a:prstGeom>
                    <a:noFill/>
                    <a:ln>
                      <a:noFill/>
                    </a:ln>
                  </pic:spPr>
                </pic:pic>
              </a:graphicData>
            </a:graphic>
          </wp:inline>
        </w:drawing>
      </w:r>
    </w:p>
    <w:p w14:paraId="00BBFD7C" w14:textId="77777777" w:rsidR="00BC0117" w:rsidRPr="00050FA4" w:rsidRDefault="00BC0117" w:rsidP="003F1DA7">
      <w:pPr>
        <w:ind w:firstLine="284"/>
        <w:jc w:val="both"/>
        <w:rPr>
          <w:rFonts w:ascii="Garamond" w:hAnsi="Garamond"/>
          <w:color w:val="0D0D0D" w:themeColor="text1" w:themeTint="F2"/>
        </w:rPr>
      </w:pPr>
    </w:p>
    <w:p w14:paraId="46F82456" w14:textId="7C876269" w:rsidR="00BC0117" w:rsidRPr="00050FA4" w:rsidRDefault="00BC0117" w:rsidP="003F1DA7">
      <w:pPr>
        <w:pStyle w:val="AAAAAAATEXXXX"/>
        <w:rPr>
          <w:lang w:val="sq-AL" w:eastAsia="sq-AL" w:bidi="he-IL"/>
        </w:rPr>
      </w:pPr>
      <w:r w:rsidRPr="00050FA4">
        <w:rPr>
          <w:lang w:val="sq-AL"/>
        </w:rPr>
        <w:t>Stoku total i depozitave në sistemin bankar</w:t>
      </w:r>
      <w:r w:rsidRPr="00050FA4">
        <w:rPr>
          <w:bCs/>
          <w:lang w:val="sq-AL"/>
        </w:rPr>
        <w:t xml:space="preserve"> ka vijuar të </w:t>
      </w:r>
      <w:r w:rsidRPr="00050FA4">
        <w:rPr>
          <w:lang w:val="sq-AL"/>
        </w:rPr>
        <w:t>zgjerohet në vitin 2021</w:t>
      </w:r>
      <w:r w:rsidR="00BB0D8A" w:rsidRPr="00050FA4">
        <w:rPr>
          <w:lang w:val="sq-AL"/>
        </w:rPr>
        <w:t>,</w:t>
      </w:r>
      <w:r w:rsidRPr="00050FA4">
        <w:rPr>
          <w:lang w:val="sq-AL"/>
        </w:rPr>
        <w:t xml:space="preserve"> duke reflektuar kursime më të larta të familjeve dhe likuiditet të bollshëm të biznesit. Deri në muajin tetor depozitat janë rritur me 8.2%</w:t>
      </w:r>
      <w:r w:rsidR="00BB0D8A" w:rsidRPr="00050FA4">
        <w:rPr>
          <w:lang w:val="sq-AL"/>
        </w:rPr>
        <w:t>,</w:t>
      </w:r>
      <w:r w:rsidRPr="00050FA4">
        <w:rPr>
          <w:lang w:val="sq-AL"/>
        </w:rPr>
        <w:t xml:space="preserve"> duke treguar një ritëm rritjeje 2.4 pikë përqindjeje më të lartë se vitin e kaluar. Shtimi i depozitave është mbështetur si nga ato në lekë ashtu edhe nga ato në valutë duke u rritur respektivisht me 7.7% dhe 8.7%. Rritja e depozitave në valutë reflekton flukse më të larta nga jashtë</w:t>
      </w:r>
      <w:r w:rsidR="00BB0D8A" w:rsidRPr="00050FA4">
        <w:rPr>
          <w:lang w:val="sq-AL"/>
        </w:rPr>
        <w:t>,</w:t>
      </w:r>
      <w:r w:rsidRPr="00050FA4">
        <w:rPr>
          <w:lang w:val="sq-AL"/>
        </w:rPr>
        <w:t xml:space="preserve"> si dhe oferta promocionale të bankave gjatë verës. Në terma të strukturës kohore, depozitat pa afat vazhdojnë të dominojnë stokun e depozitave. Pesha e tyre ndaj totalit ka arritur në 55%. Gjithsesi</w:t>
      </w:r>
      <w:r w:rsidR="00BB0D8A" w:rsidRPr="00050FA4">
        <w:rPr>
          <w:lang w:val="sq-AL"/>
        </w:rPr>
        <w:t>,</w:t>
      </w:r>
      <w:r w:rsidRPr="00050FA4">
        <w:rPr>
          <w:lang w:val="sq-AL"/>
        </w:rPr>
        <w:t xml:space="preserve"> ndryshe nga një vit më parë, duke nisur prej verës depozitat me afat kanë rritur kontributin e tyre në rritjen totale</w:t>
      </w:r>
      <w:r w:rsidRPr="00050FA4">
        <w:rPr>
          <w:lang w:val="sq-AL" w:eastAsia="sq-AL" w:bidi="he-IL"/>
        </w:rPr>
        <w:t>.</w:t>
      </w:r>
    </w:p>
    <w:p w14:paraId="638913C5" w14:textId="31467A7D" w:rsidR="00DF1828" w:rsidRPr="00050FA4" w:rsidRDefault="00A12258" w:rsidP="003F1DA7">
      <w:pPr>
        <w:pStyle w:val="AAAAAAATEXXXX"/>
        <w:rPr>
          <w:b/>
          <w:lang w:val="sq-AL"/>
        </w:rPr>
      </w:pPr>
      <w:bookmarkStart w:id="7" w:name="_Toc62805579"/>
      <w:bookmarkStart w:id="8" w:name="_Toc93325750"/>
      <w:r w:rsidRPr="00050FA4">
        <w:rPr>
          <w:b/>
          <w:lang w:val="sq-AL"/>
        </w:rPr>
        <w:t xml:space="preserve">3.2. </w:t>
      </w:r>
      <w:r w:rsidR="00E751F1" w:rsidRPr="00050FA4">
        <w:rPr>
          <w:b/>
          <w:lang w:val="sq-AL"/>
        </w:rPr>
        <w:t>Skenari m</w:t>
      </w:r>
      <w:bookmarkEnd w:id="6"/>
      <w:r w:rsidR="00E751F1" w:rsidRPr="00050FA4">
        <w:rPr>
          <w:b/>
          <w:lang w:val="sq-AL"/>
        </w:rPr>
        <w:t>ak</w:t>
      </w:r>
      <w:r w:rsidR="003F634C" w:rsidRPr="00050FA4">
        <w:rPr>
          <w:b/>
          <w:lang w:val="sq-AL"/>
        </w:rPr>
        <w:t>roe</w:t>
      </w:r>
      <w:r w:rsidR="00E751F1" w:rsidRPr="00050FA4">
        <w:rPr>
          <w:b/>
          <w:lang w:val="sq-AL"/>
        </w:rPr>
        <w:t>k</w:t>
      </w:r>
      <w:r w:rsidR="003F634C" w:rsidRPr="00050FA4">
        <w:rPr>
          <w:b/>
          <w:lang w:val="sq-AL"/>
        </w:rPr>
        <w:t>onomi</w:t>
      </w:r>
      <w:r w:rsidR="00E751F1" w:rsidRPr="00050FA4">
        <w:rPr>
          <w:b/>
          <w:lang w:val="sq-AL"/>
        </w:rPr>
        <w:t>k afatmesëm</w:t>
      </w:r>
      <w:bookmarkEnd w:id="7"/>
      <w:bookmarkEnd w:id="8"/>
    </w:p>
    <w:p w14:paraId="3159491C" w14:textId="07BD19BE" w:rsidR="00BC0117" w:rsidRPr="00050FA4" w:rsidRDefault="00A65EAE" w:rsidP="003F1DA7">
      <w:pPr>
        <w:pStyle w:val="AAAAAAATEXXXX"/>
        <w:rPr>
          <w:lang w:val="sq-AL"/>
        </w:rPr>
      </w:pPr>
      <w:r w:rsidRPr="00050FA4">
        <w:rPr>
          <w:lang w:val="sq-AL"/>
        </w:rPr>
        <w:t>Sektori real</w:t>
      </w:r>
    </w:p>
    <w:p w14:paraId="175F64C7" w14:textId="70D74C01" w:rsidR="00BC0117" w:rsidRPr="00050FA4" w:rsidRDefault="00BC0117" w:rsidP="003F1DA7">
      <w:pPr>
        <w:pStyle w:val="AAAAAAATEXXXX"/>
        <w:rPr>
          <w:lang w:val="sq-AL"/>
        </w:rPr>
      </w:pPr>
      <w:r w:rsidRPr="00050FA4">
        <w:rPr>
          <w:lang w:val="sq-AL"/>
        </w:rPr>
        <w:t>Performanca e vitit 2020</w:t>
      </w:r>
      <w:r w:rsidR="00BB0D8A" w:rsidRPr="00050FA4">
        <w:rPr>
          <w:lang w:val="sq-AL"/>
        </w:rPr>
        <w:t>,</w:t>
      </w:r>
      <w:r w:rsidRPr="00050FA4">
        <w:rPr>
          <w:lang w:val="sq-AL"/>
        </w:rPr>
        <w:t xml:space="preserve"> për</w:t>
      </w:r>
      <w:r w:rsidR="007366D6" w:rsidRPr="00050FA4">
        <w:rPr>
          <w:lang w:val="sq-AL"/>
        </w:rPr>
        <w:t xml:space="preserve"> </w:t>
      </w:r>
      <w:r w:rsidRPr="00050FA4">
        <w:rPr>
          <w:lang w:val="sq-AL"/>
        </w:rPr>
        <w:t>sa i përket aktivitetit ekonomik dhe financave publike, ishte një</w:t>
      </w:r>
      <w:r w:rsidR="00535FB4" w:rsidRPr="00050FA4">
        <w:rPr>
          <w:lang w:val="sq-AL"/>
        </w:rPr>
        <w:t xml:space="preserve"> nga vitet më të vështira në tri</w:t>
      </w:r>
      <w:r w:rsidRPr="00050FA4">
        <w:rPr>
          <w:lang w:val="sq-AL"/>
        </w:rPr>
        <w:t xml:space="preserve"> dekada. Shqipëria, përveç tronditjes nga pandemia që vuajti e gjithë bota, pak përpara saj u godit edhe nga tërmeti, e sigurisht efekti negativ në ekonomi është i amplifikuar. </w:t>
      </w:r>
    </w:p>
    <w:p w14:paraId="41A9D14D" w14:textId="4458811E" w:rsidR="00BC0117" w:rsidRPr="00050FA4" w:rsidRDefault="00BC0117" w:rsidP="003F1DA7">
      <w:pPr>
        <w:pStyle w:val="AAAAAAATEXXXX"/>
        <w:rPr>
          <w:lang w:val="sq-AL"/>
        </w:rPr>
      </w:pPr>
      <w:r w:rsidRPr="00050FA4">
        <w:rPr>
          <w:lang w:val="sq-AL"/>
        </w:rPr>
        <w:t>Viti 2020 regjistroi një reçesion prej 4 përqind</w:t>
      </w:r>
      <w:r w:rsidR="00904ECF" w:rsidRPr="00050FA4">
        <w:rPr>
          <w:lang w:val="sq-AL"/>
        </w:rPr>
        <w:t>ësh</w:t>
      </w:r>
      <w:r w:rsidRPr="00050FA4">
        <w:rPr>
          <w:lang w:val="sq-AL"/>
        </w:rPr>
        <w:t>, i cili</w:t>
      </w:r>
      <w:r w:rsidR="00904ECF" w:rsidRPr="00050FA4">
        <w:rPr>
          <w:lang w:val="sq-AL"/>
        </w:rPr>
        <w:t>,</w:t>
      </w:r>
      <w:r w:rsidRPr="00050FA4">
        <w:rPr>
          <w:lang w:val="sq-AL"/>
        </w:rPr>
        <w:t xml:space="preserve"> për shkak të pandemisë arriti kulmin e tkurrjes së PBB-së në tremujorin e dytë në rreth -11.3 për</w:t>
      </w:r>
      <w:r w:rsidR="00BB0D8A" w:rsidRPr="00050FA4">
        <w:rPr>
          <w:lang w:val="sq-AL"/>
        </w:rPr>
        <w:t xml:space="preserve"> </w:t>
      </w:r>
      <w:r w:rsidRPr="00050FA4">
        <w:rPr>
          <w:lang w:val="sq-AL"/>
        </w:rPr>
        <w:t>qind, por duke shfaqur shenja rimëkëmbje e duke u rikthyer përsëri në terren pozitiv në tremujorin e fundit të vitit e në vijim. Megjithatë, pavarësisht ndikimit të rëndë që kanë pasur të dy</w:t>
      </w:r>
      <w:r w:rsidR="007808AC" w:rsidRPr="00050FA4">
        <w:rPr>
          <w:lang w:val="sq-AL"/>
        </w:rPr>
        <w:t>ja</w:t>
      </w:r>
      <w:r w:rsidRPr="00050FA4">
        <w:rPr>
          <w:lang w:val="sq-AL"/>
        </w:rPr>
        <w:t xml:space="preserve"> goditjet, në saj</w:t>
      </w:r>
      <w:r w:rsidR="007808AC" w:rsidRPr="00050FA4">
        <w:rPr>
          <w:lang w:val="sq-AL"/>
        </w:rPr>
        <w:t>e</w:t>
      </w:r>
      <w:r w:rsidRPr="00050FA4">
        <w:rPr>
          <w:lang w:val="sq-AL"/>
        </w:rPr>
        <w:t xml:space="preserve"> të përgjigjeve relativisht mjaft të mira të politikës ekonomike (fiskale dhe monetare), të dhënat e fundit statistikore të disponueshme tregojnë se situata e përgjithshme në mbyllje të vitit 2020 ishte konsiderueshëm më pak e rëndë nga sa pritej në fillim të pandemisë, duke filluar nga rreth -6 për</w:t>
      </w:r>
      <w:r w:rsidR="00BB0D8A" w:rsidRPr="00050FA4">
        <w:rPr>
          <w:lang w:val="sq-AL"/>
        </w:rPr>
        <w:t xml:space="preserve"> </w:t>
      </w:r>
      <w:r w:rsidRPr="00050FA4">
        <w:rPr>
          <w:lang w:val="sq-AL"/>
        </w:rPr>
        <w:t>qind (parashikim i Ministrisë së Financave dhe Ekonomisë) në rreth -8 për</w:t>
      </w:r>
      <w:r w:rsidR="00BB0D8A" w:rsidRPr="00050FA4">
        <w:rPr>
          <w:lang w:val="sq-AL"/>
        </w:rPr>
        <w:t xml:space="preserve"> </w:t>
      </w:r>
      <w:r w:rsidRPr="00050FA4">
        <w:rPr>
          <w:lang w:val="sq-AL"/>
        </w:rPr>
        <w:t xml:space="preserve">qind nga institucionet e tjera </w:t>
      </w:r>
      <w:r w:rsidR="00643BAF" w:rsidRPr="00050FA4">
        <w:rPr>
          <w:lang w:val="sq-AL"/>
        </w:rPr>
        <w:t>vendës</w:t>
      </w:r>
      <w:r w:rsidRPr="00050FA4">
        <w:rPr>
          <w:lang w:val="sq-AL"/>
        </w:rPr>
        <w:t>e dhe ndërkombëtare. Gjatë gjithë vitit 2021, rimarrja e ritmit të ekonomisë është konsiderueshëm më e shpejtë se</w:t>
      </w:r>
      <w:r w:rsidR="007808AC" w:rsidRPr="00050FA4">
        <w:rPr>
          <w:lang w:val="sq-AL"/>
        </w:rPr>
        <w:t xml:space="preserve"> </w:t>
      </w:r>
      <w:r w:rsidRPr="00050FA4">
        <w:rPr>
          <w:lang w:val="sq-AL"/>
        </w:rPr>
        <w:t xml:space="preserve">sa pritshmëritë fillestare. Deri më tani, duket se fondamentet kryesore ekonomike dhe financiare dhe stabiliteti i përgjithshëm makroekonomik i vendit i kanë rezistuar relativisht mirë këtyre goditjeve. </w:t>
      </w:r>
    </w:p>
    <w:p w14:paraId="2ACF5ADB" w14:textId="33B7CD73" w:rsidR="00BC0117" w:rsidRPr="00050FA4" w:rsidRDefault="00BC0117" w:rsidP="003F1DA7">
      <w:pPr>
        <w:pStyle w:val="AAAAAAATEXXXX"/>
        <w:rPr>
          <w:lang w:val="sq-AL"/>
        </w:rPr>
      </w:pPr>
      <w:r w:rsidRPr="00050FA4">
        <w:rPr>
          <w:lang w:val="sq-AL"/>
        </w:rPr>
        <w:t>Gjatë nëntëmujorit të parë të vitit 2021, ekonomia e vendit shfaqi shenja mjaft inkurajuese</w:t>
      </w:r>
      <w:r w:rsidR="00BB0D8A" w:rsidRPr="00050FA4">
        <w:rPr>
          <w:lang w:val="sq-AL"/>
        </w:rPr>
        <w:t>,</w:t>
      </w:r>
      <w:r w:rsidRPr="00050FA4">
        <w:rPr>
          <w:lang w:val="sq-AL"/>
        </w:rPr>
        <w:t xml:space="preserve"> duke shënuar rikuperim të shpejtë të aktivitetit ekonomik. Produkti i Brendshëm Bruto (PBB) për nëntëmujorin e parë të vitit 2021 është rritur me rreth 10.38 për</w:t>
      </w:r>
      <w:r w:rsidR="001E7016" w:rsidRPr="00050FA4">
        <w:rPr>
          <w:lang w:val="sq-AL"/>
        </w:rPr>
        <w:t xml:space="preserve"> </w:t>
      </w:r>
      <w:r w:rsidRPr="00050FA4">
        <w:rPr>
          <w:lang w:val="sq-AL"/>
        </w:rPr>
        <w:t>qind krahasuar me të njëjtën periudhë të vitit 2020, sipas vlerësimit të fundit të disponueshëm nga INSTAT</w:t>
      </w:r>
      <w:r w:rsidR="001E7016" w:rsidRPr="00050FA4">
        <w:rPr>
          <w:lang w:val="sq-AL"/>
        </w:rPr>
        <w:t>-i</w:t>
      </w:r>
      <w:r w:rsidRPr="00050FA4">
        <w:rPr>
          <w:lang w:val="sq-AL"/>
        </w:rPr>
        <w:t>. Kjo rimëkëmbje mbështetet në një gamë të gjerë faktorësh dhe është e pranishme</w:t>
      </w:r>
      <w:r w:rsidR="001E7016" w:rsidRPr="00050FA4">
        <w:rPr>
          <w:lang w:val="sq-AL"/>
        </w:rPr>
        <w:t>,</w:t>
      </w:r>
      <w:r w:rsidRPr="00050FA4">
        <w:rPr>
          <w:lang w:val="sq-AL"/>
        </w:rPr>
        <w:t xml:space="preserve"> pothuajse në të gjithë sektorët e ekonomisë. Ulja (pothuajse heqja) </w:t>
      </w:r>
      <w:r w:rsidR="001E7016" w:rsidRPr="00050FA4">
        <w:rPr>
          <w:lang w:val="sq-AL"/>
        </w:rPr>
        <w:t>e</w:t>
      </w:r>
      <w:r w:rsidRPr="00050FA4">
        <w:rPr>
          <w:lang w:val="sq-AL"/>
        </w:rPr>
        <w:t xml:space="preserve"> kufizimeve pas rënies së infeksioneve, ku një rol kyç ka luajtur edhe procesi i vaksinimit, rritja e besimit të biznesit dhe konsumatorit, përmirësimi i ekonomive partnere, si dhe politikat mbështetëse fiskale dhe monetare, kanë ndikuar në rritjen e konsumit, investimeve publike dhe private, si dhe eksporteve. Sektori i </w:t>
      </w:r>
      <w:r w:rsidRPr="00050FA4">
        <w:rPr>
          <w:lang w:val="sq-AL"/>
        </w:rPr>
        <w:lastRenderedPageBreak/>
        <w:t>prodhimit</w:t>
      </w:r>
      <w:r w:rsidR="001E7016" w:rsidRPr="00050FA4">
        <w:rPr>
          <w:lang w:val="sq-AL"/>
        </w:rPr>
        <w:t>,</w:t>
      </w:r>
      <w:r w:rsidRPr="00050FA4">
        <w:rPr>
          <w:lang w:val="sq-AL"/>
        </w:rPr>
        <w:t xml:space="preserve"> ashtu edhe ai i shërbimeve</w:t>
      </w:r>
      <w:r w:rsidR="001E7016" w:rsidRPr="00050FA4">
        <w:rPr>
          <w:lang w:val="sq-AL"/>
        </w:rPr>
        <w:t>,</w:t>
      </w:r>
      <w:r w:rsidRPr="00050FA4">
        <w:rPr>
          <w:lang w:val="sq-AL"/>
        </w:rPr>
        <w:t xml:space="preserve"> kanë përfituar nga këto zhvillime, duke siguruar rimëkëmbje për biznesin dhe punësimin</w:t>
      </w:r>
      <w:r w:rsidR="001E7016" w:rsidRPr="00050FA4">
        <w:rPr>
          <w:lang w:val="sq-AL"/>
        </w:rPr>
        <w:t>,</w:t>
      </w:r>
      <w:r w:rsidRPr="00050FA4">
        <w:rPr>
          <w:lang w:val="sq-AL"/>
        </w:rPr>
        <w:t xml:space="preserve"> si dhe duke krijuar premisa të mira për perspektivën afatmesme. </w:t>
      </w:r>
    </w:p>
    <w:p w14:paraId="6FDD3BE7" w14:textId="513E0038" w:rsidR="00BC0117" w:rsidRPr="00050FA4" w:rsidRDefault="00BC0117" w:rsidP="003F1DA7">
      <w:pPr>
        <w:pStyle w:val="AAAAAAATEXXXX"/>
        <w:rPr>
          <w:lang w:val="sq-AL"/>
        </w:rPr>
      </w:pPr>
      <w:r w:rsidRPr="00050FA4">
        <w:rPr>
          <w:lang w:val="sq-AL"/>
        </w:rPr>
        <w:t>Sipas optikës së kërkesës agregate, në nëntëmujorin e parë të vitit 2021 vlerësohet se të gjithë komponentët e kërkesës agregate kanë shënuar rritje të fortë, duke reflektuar kështu rifillimin e aktivitetit normal ekonomik, pas pasojave të forta nga bllokimi gjatë vitit 2020. Rritja gjatë nëntëmujorit të parë të vitit 2021 u gjenerua kryesisht nga kërkesa e brendshme, si nga konsumi privat ashtu edhe nga investimet. Ndërkohë, kërkesa e huaj neto vlerësohet të ketë edhe një efekt neto të moderuar ndaj rritjes totale. Kjo</w:t>
      </w:r>
      <w:r w:rsidR="00C754E6" w:rsidRPr="00050FA4">
        <w:rPr>
          <w:lang w:val="sq-AL"/>
        </w:rPr>
        <w:t>,</w:t>
      </w:r>
      <w:r w:rsidRPr="00050FA4">
        <w:rPr>
          <w:lang w:val="sq-AL"/>
        </w:rPr>
        <w:t xml:space="preserve"> për shkak se kontributi i lartë pozitiv nga rritja e fortë e eksporteve të mallrave dhe shërbimeve u balancua pothuajse tërësisht nga kontributi negativ gjithashtu i forte nga rritja e importeve të mallrave dhe shërbimeve.</w:t>
      </w:r>
    </w:p>
    <w:p w14:paraId="154FFD8A" w14:textId="529B321E" w:rsidR="00BC0117" w:rsidRPr="00050FA4" w:rsidRDefault="00BC0117" w:rsidP="003F1DA7">
      <w:pPr>
        <w:pStyle w:val="AAAAAAATEXXXX"/>
        <w:rPr>
          <w:lang w:val="sq-AL"/>
        </w:rPr>
      </w:pPr>
      <w:r w:rsidRPr="00050FA4">
        <w:rPr>
          <w:lang w:val="sq-AL"/>
        </w:rPr>
        <w:t>Në këtë kontekst, konsumi final, që është komponenti më i madh i ekonomisë, është ulur me rreth 1.9 për</w:t>
      </w:r>
      <w:r w:rsidR="00C754E6" w:rsidRPr="00050FA4">
        <w:rPr>
          <w:lang w:val="sq-AL"/>
        </w:rPr>
        <w:t xml:space="preserve"> </w:t>
      </w:r>
      <w:r w:rsidRPr="00050FA4">
        <w:rPr>
          <w:lang w:val="sq-AL"/>
        </w:rPr>
        <w:t>qind në terma real</w:t>
      </w:r>
      <w:r w:rsidR="00A7354F" w:rsidRPr="00050FA4">
        <w:rPr>
          <w:lang w:val="sq-AL"/>
        </w:rPr>
        <w:t>ë</w:t>
      </w:r>
      <w:r w:rsidRPr="00050FA4">
        <w:rPr>
          <w:lang w:val="sq-AL"/>
        </w:rPr>
        <w:t xml:space="preserve"> gjatë vitit 2020 dhe konsumi final i popullatës është ulur me rreth 2.3 për</w:t>
      </w:r>
      <w:r w:rsidR="00A7354F" w:rsidRPr="00050FA4">
        <w:rPr>
          <w:lang w:val="sq-AL"/>
        </w:rPr>
        <w:t xml:space="preserve"> </w:t>
      </w:r>
      <w:r w:rsidRPr="00050FA4">
        <w:rPr>
          <w:lang w:val="sq-AL"/>
        </w:rPr>
        <w:t>qind. Ndërkohë, për nëntëmujorin e parë të vitit 2021, konsumi final shënoi rritje të ndjeshme prej 5.67 përqind</w:t>
      </w:r>
      <w:r w:rsidR="00A7354F" w:rsidRPr="00050FA4">
        <w:rPr>
          <w:lang w:val="sq-AL"/>
        </w:rPr>
        <w:t>ësh</w:t>
      </w:r>
      <w:r w:rsidRPr="00050FA4">
        <w:rPr>
          <w:lang w:val="sq-AL"/>
        </w:rPr>
        <w:t>, ndërsa konsumi pri</w:t>
      </w:r>
      <w:r w:rsidR="00904ECF" w:rsidRPr="00050FA4">
        <w:rPr>
          <w:lang w:val="sq-AL"/>
        </w:rPr>
        <w:t>vat shënoi rritje prej 5.30 për</w:t>
      </w:r>
      <w:r w:rsidRPr="00050FA4">
        <w:rPr>
          <w:lang w:val="sq-AL"/>
        </w:rPr>
        <w:t>qind</w:t>
      </w:r>
      <w:r w:rsidR="00904ECF" w:rsidRPr="00050FA4">
        <w:rPr>
          <w:lang w:val="sq-AL"/>
        </w:rPr>
        <w:t>ësh</w:t>
      </w:r>
      <w:r w:rsidRPr="00050FA4">
        <w:rPr>
          <w:lang w:val="sq-AL"/>
        </w:rPr>
        <w:t xml:space="preserve"> krahasuar me të njëjtën periudhë të një viti më parë. </w:t>
      </w:r>
    </w:p>
    <w:p w14:paraId="38BE4AE9" w14:textId="2D87CCD9" w:rsidR="00BC0117" w:rsidRPr="00050FA4" w:rsidRDefault="00BC0117" w:rsidP="003F1DA7">
      <w:pPr>
        <w:pStyle w:val="AAAAAAATEXXXX"/>
        <w:rPr>
          <w:lang w:val="sq-AL"/>
        </w:rPr>
      </w:pPr>
      <w:r w:rsidRPr="00050FA4">
        <w:rPr>
          <w:lang w:val="sq-AL"/>
        </w:rPr>
        <w:t>Formimi i kapitalit fiks bruto (investimet totale) u ul me rreth 2 për</w:t>
      </w:r>
      <w:r w:rsidR="00A7354F" w:rsidRPr="00050FA4">
        <w:rPr>
          <w:lang w:val="sq-AL"/>
        </w:rPr>
        <w:t xml:space="preserve"> </w:t>
      </w:r>
      <w:r w:rsidRPr="00050FA4">
        <w:rPr>
          <w:lang w:val="sq-AL"/>
        </w:rPr>
        <w:t>qind në terma real</w:t>
      </w:r>
      <w:r w:rsidR="00A7354F" w:rsidRPr="00050FA4">
        <w:rPr>
          <w:lang w:val="sq-AL"/>
        </w:rPr>
        <w:t>ë</w:t>
      </w:r>
      <w:r w:rsidRPr="00050FA4">
        <w:rPr>
          <w:lang w:val="sq-AL"/>
        </w:rPr>
        <w:t xml:space="preserve"> gjatë vitit 2020, ndërsa për nëntëmujorin e parë të 2021</w:t>
      </w:r>
      <w:r w:rsidR="000E69E0" w:rsidRPr="00050FA4">
        <w:rPr>
          <w:lang w:val="sq-AL"/>
        </w:rPr>
        <w:t>-shit</w:t>
      </w:r>
      <w:r w:rsidRPr="00050FA4">
        <w:rPr>
          <w:lang w:val="sq-AL"/>
        </w:rPr>
        <w:t xml:space="preserve"> kjo normë u rrit me rreth 20.15 për</w:t>
      </w:r>
      <w:r w:rsidR="00A7354F" w:rsidRPr="00050FA4">
        <w:rPr>
          <w:lang w:val="sq-AL"/>
        </w:rPr>
        <w:t xml:space="preserve"> </w:t>
      </w:r>
      <w:r w:rsidRPr="00050FA4">
        <w:rPr>
          <w:lang w:val="sq-AL"/>
        </w:rPr>
        <w:t xml:space="preserve">qind. Kjo rritje i atribuohet në një masë të konsiderueshme rritjes së investimeve publike gjatë kësaj periudhe, përfshirë ato për rindërtimin pas tërmetit. </w:t>
      </w:r>
    </w:p>
    <w:p w14:paraId="774C93D3" w14:textId="26DE9792" w:rsidR="00BC0117" w:rsidRPr="00050FA4" w:rsidRDefault="00BC0117" w:rsidP="003F1DA7">
      <w:pPr>
        <w:pStyle w:val="AAAAAAATEXXXX"/>
        <w:rPr>
          <w:lang w:val="sq-AL"/>
        </w:rPr>
      </w:pPr>
      <w:r w:rsidRPr="00050FA4">
        <w:rPr>
          <w:lang w:val="sq-AL"/>
        </w:rPr>
        <w:t>Për</w:t>
      </w:r>
      <w:r w:rsidR="00C754E6" w:rsidRPr="00050FA4">
        <w:rPr>
          <w:lang w:val="sq-AL"/>
        </w:rPr>
        <w:t xml:space="preserve"> </w:t>
      </w:r>
      <w:r w:rsidRPr="00050FA4">
        <w:rPr>
          <w:lang w:val="sq-AL"/>
        </w:rPr>
        <w:t>sa i përket perspektivës ekonomike, duke supozuar se evolucioni i pandemisë do të qëndrojë brenda disa kufijve të moderuar gjatë muajve në vijim, dhe së dyti, duke marrë parasysh se fondamentet kryesore ekonomike dhe financiare</w:t>
      </w:r>
      <w:r w:rsidR="009B1D6B" w:rsidRPr="00050FA4">
        <w:rPr>
          <w:lang w:val="sq-AL"/>
        </w:rPr>
        <w:t xml:space="preserve"> </w:t>
      </w:r>
      <w:r w:rsidRPr="00050FA4">
        <w:rPr>
          <w:lang w:val="sq-AL"/>
        </w:rPr>
        <w:t xml:space="preserve">nuk kanë pësuar asnjë goditje problematike dhe normalisht pritet të vazhdojnë të mbeten relativisht solide, për periudhën afatmesme në vazhdim parashikohet që rritja të kthehet në nivele pozitive relativisht të qëndrueshme. </w:t>
      </w:r>
    </w:p>
    <w:p w14:paraId="4FCFF4EC" w14:textId="67925B0A" w:rsidR="00BC0117" w:rsidRPr="00050FA4" w:rsidRDefault="00BC0117" w:rsidP="003F1DA7">
      <w:pPr>
        <w:pStyle w:val="AAAAAAATEXXXX"/>
        <w:rPr>
          <w:lang w:val="sq-AL"/>
        </w:rPr>
      </w:pPr>
      <w:r w:rsidRPr="00050FA4">
        <w:rPr>
          <w:lang w:val="sq-AL"/>
        </w:rPr>
        <w:t xml:space="preserve">Rritja për vitin 2021 pritet të jetë rreth 8.7%, një rikthim shumë i fortë, dukshëm mbi parashikimin fillestar. Në periudhën afatmesme rritja parashikohet të konvergojë dhe të stabilizohet rreth nivelit 4%, që është edhe niveli i vlerësuar i rritjes potenciale nga Ministria e </w:t>
      </w:r>
      <w:r w:rsidR="000E69E0" w:rsidRPr="00050FA4">
        <w:rPr>
          <w:lang w:val="sq-AL"/>
        </w:rPr>
        <w:t>Financave</w:t>
      </w:r>
      <w:r w:rsidRPr="00050FA4">
        <w:rPr>
          <w:lang w:val="sq-AL"/>
        </w:rPr>
        <w:t xml:space="preserve"> dhe Ekonomisë. Më konkretisht, rritja ekonomike afatmesme e Shqipërisë parashikohet në 4.1% në vitin 2022, 4.2% në 2023 dhe 3.9% në 2024.</w:t>
      </w:r>
    </w:p>
    <w:p w14:paraId="77F3D188" w14:textId="580D9450" w:rsidR="00BC0117" w:rsidRPr="00050FA4" w:rsidRDefault="00BC0117" w:rsidP="003F1DA7">
      <w:pPr>
        <w:pStyle w:val="AAAAAAATEXXXX"/>
        <w:rPr>
          <w:lang w:val="sq-AL"/>
        </w:rPr>
      </w:pPr>
      <w:r w:rsidRPr="00050FA4">
        <w:rPr>
          <w:lang w:val="sq-AL"/>
        </w:rPr>
        <w:t>Në periudhën afatmesme, rritja pritet të gjenerohet kryesisht nga kërkesa e brendshme, si nga konsumi ashtu edhe nga investimet. Ndërkohë, kërkesa e huaj neto (eksport-import) pritet të ketë një efekt neto të moderuar. Kredimarrja për konsum parashikohet të nxitet edhe nga përmirësimi i pritshëm i kushteve financiare të individëve, ashtu edhe nga lehtësimi i pritshëm i standardeve të huadhënies nga sistemi bankar në periudhën afatmesme, pas kapërcimit të efektit negativ nga goditja e pandemisë.</w:t>
      </w:r>
    </w:p>
    <w:p w14:paraId="5FBA3967" w14:textId="4ADA9CFD" w:rsidR="00BC0117" w:rsidRPr="00050FA4" w:rsidRDefault="00BC0117" w:rsidP="003F1DA7">
      <w:pPr>
        <w:pStyle w:val="AAAAAAATEXXXX"/>
        <w:rPr>
          <w:lang w:val="sq-AL"/>
        </w:rPr>
      </w:pPr>
      <w:r w:rsidRPr="00050FA4">
        <w:rPr>
          <w:lang w:val="sq-AL"/>
        </w:rPr>
        <w:t xml:space="preserve">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 edhe përmirësimi i kushteve financiare dhe lehtësimit të </w:t>
      </w:r>
      <w:r w:rsidR="001B4FB1" w:rsidRPr="00050FA4">
        <w:rPr>
          <w:lang w:val="sq-AL"/>
        </w:rPr>
        <w:t>standardeve</w:t>
      </w:r>
      <w:r w:rsidRPr="00050FA4">
        <w:rPr>
          <w:lang w:val="sq-AL"/>
        </w:rPr>
        <w:t xml:space="preserve"> të huadhënies priten të jenë një faktor i rëndësishëm incentivues i investimeve private në afatin e mesëm. Indeksi i ndjeshmërisë ekonomike ka shënuar rritje të konsiderueshme në nëntëmujorin e parë të vitit 2021, pas përmirësimeve të ndjeshme pozitive në tremujorët e mëparshëm. Pra duket një trend i qartë, i fortë</w:t>
      </w:r>
      <w:r w:rsidR="000E69E0" w:rsidRPr="00050FA4">
        <w:rPr>
          <w:lang w:val="sq-AL"/>
        </w:rPr>
        <w:t>,</w:t>
      </w:r>
      <w:r w:rsidRPr="00050FA4">
        <w:rPr>
          <w:lang w:val="sq-AL"/>
        </w:rPr>
        <w:t xml:space="preserve"> rritës i besimit dhe </w:t>
      </w:r>
      <w:r w:rsidR="000E69E0" w:rsidRPr="00050FA4">
        <w:rPr>
          <w:lang w:val="sq-AL"/>
        </w:rPr>
        <w:t xml:space="preserve">i </w:t>
      </w:r>
      <w:r w:rsidRPr="00050FA4">
        <w:rPr>
          <w:lang w:val="sq-AL"/>
        </w:rPr>
        <w:t>perceptimit të agjentëve ekonomikë për ecurinë e aktivitetit ekonomik së fundmi</w:t>
      </w:r>
      <w:r w:rsidR="000E69E0" w:rsidRPr="00050FA4">
        <w:rPr>
          <w:lang w:val="sq-AL"/>
        </w:rPr>
        <w:t>,</w:t>
      </w:r>
      <w:r w:rsidRPr="00050FA4">
        <w:rPr>
          <w:lang w:val="sq-AL"/>
        </w:rPr>
        <w:t xml:space="preserve"> si dhe pritshmëritë e </w:t>
      </w:r>
      <w:r w:rsidR="001B4FB1" w:rsidRPr="00050FA4">
        <w:rPr>
          <w:lang w:val="sq-AL"/>
        </w:rPr>
        <w:t>tyre</w:t>
      </w:r>
      <w:r w:rsidRPr="00050FA4">
        <w:rPr>
          <w:lang w:val="sq-AL"/>
        </w:rPr>
        <w:t xml:space="preserve"> në të ardhmen e afërt.</w:t>
      </w:r>
      <w:r w:rsidR="009B1D6B" w:rsidRPr="00050FA4">
        <w:rPr>
          <w:lang w:val="sq-AL"/>
        </w:rPr>
        <w:t xml:space="preserve"> </w:t>
      </w:r>
    </w:p>
    <w:p w14:paraId="06390CF2" w14:textId="0EBF490B" w:rsidR="00BC0117" w:rsidRPr="00050FA4" w:rsidRDefault="00BC0117" w:rsidP="003F1DA7">
      <w:pPr>
        <w:pStyle w:val="AAAAAAATEXXXX"/>
        <w:rPr>
          <w:lang w:val="sq-AL"/>
        </w:rPr>
      </w:pPr>
      <w:r w:rsidRPr="00050FA4">
        <w:rPr>
          <w:lang w:val="sq-AL"/>
        </w:rPr>
        <w:t>Më konkretisht, konsumi final për periudhën afatmesme (2022</w:t>
      </w:r>
      <w:r w:rsidR="000E69E0" w:rsidRPr="00050FA4">
        <w:rPr>
          <w:lang w:val="sq-AL"/>
        </w:rPr>
        <w:t>–</w:t>
      </w:r>
      <w:r w:rsidRPr="00050FA4">
        <w:rPr>
          <w:lang w:val="sq-AL"/>
        </w:rPr>
        <w:t>2024) parashikohet të rritet në terma real</w:t>
      </w:r>
      <w:r w:rsidR="00A7354F" w:rsidRPr="00050FA4">
        <w:rPr>
          <w:lang w:val="sq-AL"/>
        </w:rPr>
        <w:t>ë</w:t>
      </w:r>
      <w:r w:rsidRPr="00050FA4">
        <w:rPr>
          <w:lang w:val="sq-AL"/>
        </w:rPr>
        <w:t xml:space="preserve"> me mesatarisht 2.9% në vit, duke kontribuar me </w:t>
      </w:r>
      <w:r w:rsidR="005D1F5B" w:rsidRPr="00050FA4">
        <w:rPr>
          <w:lang w:val="sq-AL"/>
        </w:rPr>
        <w:t>mesatarisht</w:t>
      </w:r>
      <w:r w:rsidRPr="00050FA4">
        <w:rPr>
          <w:lang w:val="sq-AL"/>
        </w:rPr>
        <w:t xml:space="preserve"> 2.6 pikë përqindje</w:t>
      </w:r>
      <w:r w:rsidR="005D1F5B" w:rsidRPr="00050FA4">
        <w:rPr>
          <w:lang w:val="sq-AL"/>
        </w:rPr>
        <w:t>je</w:t>
      </w:r>
      <w:r w:rsidRPr="00050FA4">
        <w:rPr>
          <w:lang w:val="sq-AL"/>
        </w:rPr>
        <w:t xml:space="preserve"> në vit në rritjen totale. Ndërsa investimet parashikohen të rriten në terma real</w:t>
      </w:r>
      <w:r w:rsidR="00A7354F" w:rsidRPr="00050FA4">
        <w:rPr>
          <w:lang w:val="sq-AL"/>
        </w:rPr>
        <w:t>ë</w:t>
      </w:r>
      <w:r w:rsidRPr="00050FA4">
        <w:rPr>
          <w:lang w:val="sq-AL"/>
        </w:rPr>
        <w:t xml:space="preserve"> me mesatarisht 3.2% në vit, me një kontribut mesatar në rritjen totale prej 0.8 pikë përqindje</w:t>
      </w:r>
      <w:r w:rsidR="00904ECF" w:rsidRPr="00050FA4">
        <w:rPr>
          <w:lang w:val="sq-AL"/>
        </w:rPr>
        <w:t>je</w:t>
      </w:r>
      <w:r w:rsidRPr="00050FA4">
        <w:rPr>
          <w:lang w:val="sq-AL"/>
        </w:rPr>
        <w:t xml:space="preserve"> në vit. </w:t>
      </w:r>
    </w:p>
    <w:p w14:paraId="55B2624D" w14:textId="6ECD4971" w:rsidR="00BC0117" w:rsidRPr="00050FA4" w:rsidRDefault="00BC0117" w:rsidP="003F1DA7">
      <w:pPr>
        <w:pStyle w:val="AAAAAAATEXXXX"/>
        <w:rPr>
          <w:lang w:val="sq-AL"/>
        </w:rPr>
      </w:pPr>
      <w:r w:rsidRPr="00050FA4">
        <w:rPr>
          <w:lang w:val="sq-AL"/>
        </w:rPr>
        <w:t xml:space="preserve">Kërkesa e huaj neto pritet të ketë një kontribut </w:t>
      </w:r>
      <w:r w:rsidR="00A7354F" w:rsidRPr="00050FA4">
        <w:rPr>
          <w:lang w:val="sq-AL"/>
        </w:rPr>
        <w:t>pozitiv</w:t>
      </w:r>
      <w:r w:rsidRPr="00050FA4">
        <w:rPr>
          <w:lang w:val="sq-AL"/>
        </w:rPr>
        <w:t xml:space="preserve"> të moderuar në periudhën afatmesme. Eksportet e mallrave</w:t>
      </w:r>
      <w:r w:rsidR="00D67B36" w:rsidRPr="00050FA4">
        <w:rPr>
          <w:lang w:val="sq-AL"/>
        </w:rPr>
        <w:t>,</w:t>
      </w:r>
      <w:r w:rsidRPr="00050FA4">
        <w:rPr>
          <w:lang w:val="sq-AL"/>
        </w:rPr>
        <w:t xml:space="preserve"> të cilat zakonisht kanë </w:t>
      </w:r>
      <w:r w:rsidR="001B4FB1" w:rsidRPr="00050FA4">
        <w:rPr>
          <w:lang w:val="sq-AL"/>
        </w:rPr>
        <w:t>pasur</w:t>
      </w:r>
      <w:r w:rsidRPr="00050FA4">
        <w:rPr>
          <w:lang w:val="sq-AL"/>
        </w:rPr>
        <w:t xml:space="preserve"> performancë të mirë në vite, priten të vazhdojnë këtë trend pozitiv dhe të ruajnë ritmet e kaluara. Eksportet e shërbimeve, veçanërisht shërbimet turistike, priten gjithashtu të rikthejnë performancën pozitive në periudhën afatmesme dhe të jenë elementi kryesor për të kompensuar kontributin negativ të ardhur prej rritjes së importeve. Eksportet e mallrave dhe </w:t>
      </w:r>
      <w:r w:rsidR="00D67B36" w:rsidRPr="00050FA4">
        <w:rPr>
          <w:lang w:val="sq-AL"/>
        </w:rPr>
        <w:t xml:space="preserve">të </w:t>
      </w:r>
      <w:r w:rsidRPr="00050FA4">
        <w:rPr>
          <w:lang w:val="sq-AL"/>
        </w:rPr>
        <w:t>shërbimeve</w:t>
      </w:r>
      <w:r w:rsidR="00D67B36" w:rsidRPr="00050FA4">
        <w:rPr>
          <w:lang w:val="sq-AL"/>
        </w:rPr>
        <w:t>,</w:t>
      </w:r>
      <w:r w:rsidRPr="00050FA4">
        <w:rPr>
          <w:lang w:val="sq-AL"/>
        </w:rPr>
        <w:t xml:space="preserve"> për periudhën 2022</w:t>
      </w:r>
      <w:r w:rsidR="001B4FB1" w:rsidRPr="00050FA4">
        <w:rPr>
          <w:lang w:val="sq-AL"/>
        </w:rPr>
        <w:t>–</w:t>
      </w:r>
      <w:r w:rsidRPr="00050FA4">
        <w:rPr>
          <w:lang w:val="sq-AL"/>
        </w:rPr>
        <w:t>2024</w:t>
      </w:r>
      <w:r w:rsidR="00D67B36" w:rsidRPr="00050FA4">
        <w:rPr>
          <w:lang w:val="sq-AL"/>
        </w:rPr>
        <w:t>,</w:t>
      </w:r>
      <w:r w:rsidRPr="00050FA4">
        <w:rPr>
          <w:lang w:val="sq-AL"/>
        </w:rPr>
        <w:t xml:space="preserve"> parashikohen të rriten me mesatarisht 5.8% në vit në terma real</w:t>
      </w:r>
      <w:r w:rsidR="00A7354F" w:rsidRPr="00050FA4">
        <w:rPr>
          <w:lang w:val="sq-AL"/>
        </w:rPr>
        <w:t>ë,</w:t>
      </w:r>
      <w:r w:rsidRPr="00050FA4">
        <w:rPr>
          <w:lang w:val="sq-AL"/>
        </w:rPr>
        <w:t xml:space="preserve"> me një kontribut mesatar pozitiv prej 1.6 pikë përqindje</w:t>
      </w:r>
      <w:r w:rsidR="00904ECF" w:rsidRPr="00050FA4">
        <w:rPr>
          <w:lang w:val="sq-AL"/>
        </w:rPr>
        <w:t>je</w:t>
      </w:r>
      <w:r w:rsidRPr="00050FA4">
        <w:rPr>
          <w:lang w:val="sq-AL"/>
        </w:rPr>
        <w:t xml:space="preserve"> në vit. Ndërsa importet e mallrave dhe </w:t>
      </w:r>
      <w:r w:rsidR="00D67B36" w:rsidRPr="00050FA4">
        <w:rPr>
          <w:lang w:val="sq-AL"/>
        </w:rPr>
        <w:t xml:space="preserve">të </w:t>
      </w:r>
      <w:r w:rsidRPr="00050FA4">
        <w:rPr>
          <w:lang w:val="sq-AL"/>
        </w:rPr>
        <w:lastRenderedPageBreak/>
        <w:t>shërbimeve</w:t>
      </w:r>
      <w:r w:rsidR="00D67B36" w:rsidRPr="00050FA4">
        <w:rPr>
          <w:lang w:val="sq-AL"/>
        </w:rPr>
        <w:t>,</w:t>
      </w:r>
      <w:r w:rsidRPr="00050FA4">
        <w:rPr>
          <w:lang w:val="sq-AL"/>
        </w:rPr>
        <w:t xml:space="preserve"> për periudhën afatmesme</w:t>
      </w:r>
      <w:r w:rsidR="00D67B36" w:rsidRPr="00050FA4">
        <w:rPr>
          <w:lang w:val="sq-AL"/>
        </w:rPr>
        <w:t>,</w:t>
      </w:r>
      <w:r w:rsidRPr="00050FA4">
        <w:rPr>
          <w:lang w:val="sq-AL"/>
        </w:rPr>
        <w:t xml:space="preserve"> parashikohen të zgjerohen me 2.4%, me një kontribut mesatar negativ në rritjen totale me rreth -1.0 pikë përqindje në vit. Për rrjedhojë, kërkesa e huaj neto pritet të ketë një kontribut lehtësisht pozitiv në rritjen e përgjithshme me një mesatare prej 0.7 pikë përqindjeje në vit. </w:t>
      </w:r>
    </w:p>
    <w:p w14:paraId="71B2DE16" w14:textId="77777777" w:rsidR="00D67B36" w:rsidRPr="00050FA4" w:rsidRDefault="00D67B36" w:rsidP="003F1DA7">
      <w:pPr>
        <w:pStyle w:val="AAAAAAATEXXXX"/>
        <w:rPr>
          <w:lang w:val="sq-AL"/>
        </w:rPr>
      </w:pP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000"/>
      </w:tblGrid>
      <w:tr w:rsidR="00FA29AB" w:rsidRPr="00050FA4" w14:paraId="7BFF09C4" w14:textId="77777777" w:rsidTr="00D67B36">
        <w:trPr>
          <w:jc w:val="center"/>
        </w:trPr>
        <w:tc>
          <w:tcPr>
            <w:tcW w:w="4505" w:type="dxa"/>
            <w:vAlign w:val="center"/>
            <w:hideMark/>
          </w:tcPr>
          <w:p w14:paraId="2AC12AA2" w14:textId="64050CE2" w:rsidR="00BC0117" w:rsidRPr="00050FA4" w:rsidRDefault="007366D6" w:rsidP="00D67B36">
            <w:pPr>
              <w:pStyle w:val="AAAAAAATEXXXX"/>
              <w:jc w:val="center"/>
              <w:rPr>
                <w:b/>
                <w:sz w:val="20"/>
                <w:szCs w:val="20"/>
                <w:lang w:val="sq-AL"/>
              </w:rPr>
            </w:pPr>
            <w:r w:rsidRPr="00050FA4">
              <w:rPr>
                <w:b/>
                <w:sz w:val="20"/>
                <w:szCs w:val="20"/>
                <w:lang w:val="sq-AL"/>
              </w:rPr>
              <w:t>Grafik 3.2.1</w:t>
            </w:r>
            <w:r w:rsidR="00BC0117" w:rsidRPr="00050FA4">
              <w:rPr>
                <w:b/>
                <w:sz w:val="20"/>
                <w:szCs w:val="20"/>
                <w:lang w:val="sq-AL"/>
              </w:rPr>
              <w:t xml:space="preserve"> Rritja reale (në %)</w:t>
            </w:r>
          </w:p>
        </w:tc>
        <w:tc>
          <w:tcPr>
            <w:tcW w:w="4000" w:type="dxa"/>
            <w:vAlign w:val="center"/>
            <w:hideMark/>
          </w:tcPr>
          <w:p w14:paraId="177AA7DF" w14:textId="6BD230B7" w:rsidR="007366D6" w:rsidRPr="00050FA4" w:rsidRDefault="007366D6" w:rsidP="00D67B36">
            <w:pPr>
              <w:pStyle w:val="AAAAAAATEXXXX"/>
              <w:jc w:val="center"/>
              <w:rPr>
                <w:b/>
                <w:sz w:val="20"/>
                <w:szCs w:val="20"/>
                <w:lang w:val="sq-AL"/>
              </w:rPr>
            </w:pPr>
            <w:r w:rsidRPr="00050FA4">
              <w:rPr>
                <w:b/>
                <w:sz w:val="20"/>
                <w:szCs w:val="20"/>
                <w:lang w:val="sq-AL"/>
              </w:rPr>
              <w:t>Grafik 3.2.2</w:t>
            </w:r>
            <w:r w:rsidR="00BC0117" w:rsidRPr="00050FA4">
              <w:rPr>
                <w:b/>
                <w:sz w:val="20"/>
                <w:szCs w:val="20"/>
                <w:lang w:val="sq-AL"/>
              </w:rPr>
              <w:t xml:space="preserve"> Kontributet në rritje</w:t>
            </w:r>
          </w:p>
          <w:p w14:paraId="4F8D54E7" w14:textId="5786DCD1" w:rsidR="00BC0117" w:rsidRPr="00050FA4" w:rsidRDefault="00BC0117" w:rsidP="00D67B36">
            <w:pPr>
              <w:pStyle w:val="AAAAAAATEXXXX"/>
              <w:jc w:val="center"/>
              <w:rPr>
                <w:b/>
                <w:sz w:val="20"/>
                <w:szCs w:val="20"/>
                <w:lang w:val="sq-AL"/>
              </w:rPr>
            </w:pPr>
            <w:r w:rsidRPr="00050FA4">
              <w:rPr>
                <w:b/>
                <w:sz w:val="20"/>
                <w:szCs w:val="20"/>
                <w:lang w:val="sq-AL"/>
              </w:rPr>
              <w:t>(në p.p.) sipas komponentëve të kërkesës</w:t>
            </w:r>
          </w:p>
        </w:tc>
      </w:tr>
    </w:tbl>
    <w:p w14:paraId="02269AF8" w14:textId="771547C9"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305556E0" wp14:editId="3E0F96B4">
            <wp:extent cx="5476875" cy="17716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6875" cy="1771650"/>
                    </a:xfrm>
                    <a:prstGeom prst="rect">
                      <a:avLst/>
                    </a:prstGeom>
                    <a:noFill/>
                    <a:ln>
                      <a:noFill/>
                    </a:ln>
                  </pic:spPr>
                </pic:pic>
              </a:graphicData>
            </a:graphic>
          </wp:inline>
        </w:drawing>
      </w:r>
    </w:p>
    <w:p w14:paraId="1E13CBD3" w14:textId="77777777" w:rsidR="00BC0117" w:rsidRPr="00050FA4" w:rsidRDefault="00BC0117" w:rsidP="003F1DA7">
      <w:pPr>
        <w:pStyle w:val="AAAAAAATEXXXX"/>
        <w:jc w:val="center"/>
        <w:rPr>
          <w:sz w:val="22"/>
          <w:lang w:val="sq-AL"/>
        </w:rPr>
      </w:pPr>
      <w:r w:rsidRPr="00050FA4">
        <w:rPr>
          <w:sz w:val="22"/>
          <w:lang w:val="sq-AL"/>
        </w:rPr>
        <w:t>Burimi: Ministria e Financave dhe Ekonomisë (2021)</w:t>
      </w:r>
    </w:p>
    <w:p w14:paraId="787F2C2D" w14:textId="77777777" w:rsidR="00BC0117" w:rsidRPr="00050FA4" w:rsidRDefault="00BC0117" w:rsidP="003F1DA7">
      <w:pPr>
        <w:ind w:firstLine="284"/>
        <w:jc w:val="both"/>
        <w:rPr>
          <w:rFonts w:ascii="Garamond" w:hAnsi="Garamond" w:cstheme="majorBidi"/>
          <w:color w:val="0D0D0D" w:themeColor="text1" w:themeTint="F2"/>
        </w:rPr>
      </w:pPr>
    </w:p>
    <w:p w14:paraId="41CEB8FA" w14:textId="13C4828C" w:rsidR="00BC0117" w:rsidRPr="00050FA4" w:rsidRDefault="007366D6" w:rsidP="003F1DA7">
      <w:pPr>
        <w:pStyle w:val="AAAAAAATEXXXX"/>
        <w:jc w:val="center"/>
        <w:rPr>
          <w:b/>
          <w:sz w:val="20"/>
          <w:szCs w:val="20"/>
          <w:lang w:val="sq-AL"/>
        </w:rPr>
      </w:pPr>
      <w:r w:rsidRPr="00050FA4">
        <w:rPr>
          <w:b/>
          <w:sz w:val="20"/>
          <w:szCs w:val="20"/>
          <w:lang w:val="sq-AL"/>
        </w:rPr>
        <w:t xml:space="preserve">Tabelë 3.2.1 </w:t>
      </w:r>
      <w:r w:rsidR="00BC0117" w:rsidRPr="00050FA4">
        <w:rPr>
          <w:b/>
          <w:sz w:val="20"/>
          <w:szCs w:val="20"/>
          <w:lang w:val="sq-AL"/>
        </w:rPr>
        <w:t>Rritja reale (në të majtë, në %) dhe kontributet në rritje (në të djathtë, në p.p.)</w:t>
      </w:r>
      <w:r w:rsidR="00C13ED4" w:rsidRPr="00050FA4">
        <w:rPr>
          <w:b/>
          <w:sz w:val="20"/>
          <w:szCs w:val="20"/>
          <w:lang w:val="sq-AL"/>
        </w:rPr>
        <w:t>,</w:t>
      </w:r>
      <w:r w:rsidRPr="00050FA4">
        <w:rPr>
          <w:b/>
          <w:sz w:val="20"/>
          <w:szCs w:val="20"/>
          <w:lang w:val="sq-AL"/>
        </w:rPr>
        <w:t xml:space="preserve"> sipas komponentëve të kërkesës</w:t>
      </w:r>
    </w:p>
    <w:p w14:paraId="329B27C3" w14:textId="0A94AE6E"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54F29701" wp14:editId="3BCECD32">
            <wp:extent cx="5836551" cy="38910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1300" cy="3894200"/>
                    </a:xfrm>
                    <a:prstGeom prst="rect">
                      <a:avLst/>
                    </a:prstGeom>
                    <a:noFill/>
                    <a:ln>
                      <a:noFill/>
                    </a:ln>
                  </pic:spPr>
                </pic:pic>
              </a:graphicData>
            </a:graphic>
          </wp:inline>
        </w:drawing>
      </w:r>
    </w:p>
    <w:p w14:paraId="05512E9F" w14:textId="77777777" w:rsidR="00BC0117" w:rsidRPr="00050FA4" w:rsidRDefault="00BC0117" w:rsidP="003F1DA7">
      <w:pPr>
        <w:pStyle w:val="AAAAAAATEXXXX"/>
        <w:jc w:val="center"/>
        <w:rPr>
          <w:sz w:val="20"/>
          <w:lang w:val="sq-AL"/>
        </w:rPr>
      </w:pPr>
      <w:r w:rsidRPr="00050FA4">
        <w:rPr>
          <w:sz w:val="20"/>
          <w:lang w:val="sq-AL"/>
        </w:rPr>
        <w:t>Burimi: Ministria e Financave dhe Ekonomisë (2021)</w:t>
      </w:r>
    </w:p>
    <w:p w14:paraId="167647E1" w14:textId="77777777" w:rsidR="00BC0117" w:rsidRPr="00050FA4" w:rsidRDefault="00BC0117" w:rsidP="003F1DA7">
      <w:pPr>
        <w:ind w:firstLine="284"/>
        <w:jc w:val="both"/>
        <w:rPr>
          <w:rFonts w:ascii="Garamond" w:hAnsi="Garamond" w:cstheme="majorBidi"/>
          <w:color w:val="0D0D0D" w:themeColor="text1" w:themeTint="F2"/>
          <w:sz w:val="20"/>
        </w:rPr>
      </w:pPr>
    </w:p>
    <w:p w14:paraId="52B04C78" w14:textId="7F6B40A4" w:rsidR="00BC0117" w:rsidRPr="00050FA4" w:rsidRDefault="00BC0117" w:rsidP="003F1DA7">
      <w:pPr>
        <w:pStyle w:val="AAAAAAATEXXXX"/>
        <w:rPr>
          <w:lang w:val="sq-AL"/>
        </w:rPr>
      </w:pPr>
      <w:r w:rsidRPr="00050FA4">
        <w:rPr>
          <w:lang w:val="sq-AL"/>
        </w:rPr>
        <w:t>Nga pikëpamja e ofertës agregate pritet që të gjithë sektorët kryesorë të vazhdojnë rreth të njëjtit trend të mesatares së tyre historike, pasi efektet e goditjeve do të zbehen. Specifikisht, bujqësia pritet të rritet mesatarisht me 2.1% në vit në terma real</w:t>
      </w:r>
      <w:r w:rsidR="00A7354F" w:rsidRPr="00050FA4">
        <w:rPr>
          <w:lang w:val="sq-AL"/>
        </w:rPr>
        <w:t>ë</w:t>
      </w:r>
      <w:r w:rsidRPr="00050FA4">
        <w:rPr>
          <w:lang w:val="sq-AL"/>
        </w:rPr>
        <w:t xml:space="preserve"> përgjatë periudhës 2022</w:t>
      </w:r>
      <w:r w:rsidR="00A7354F" w:rsidRPr="00050FA4">
        <w:rPr>
          <w:lang w:val="sq-AL"/>
        </w:rPr>
        <w:t>–</w:t>
      </w:r>
      <w:r w:rsidRPr="00050FA4">
        <w:rPr>
          <w:lang w:val="sq-AL"/>
        </w:rPr>
        <w:t>2024, me një kontribut mesatar prej 0.4 pikë përqindje</w:t>
      </w:r>
      <w:r w:rsidR="00904ECF" w:rsidRPr="00050FA4">
        <w:rPr>
          <w:lang w:val="sq-AL"/>
        </w:rPr>
        <w:t>je</w:t>
      </w:r>
      <w:r w:rsidRPr="00050FA4">
        <w:rPr>
          <w:lang w:val="sq-AL"/>
        </w:rPr>
        <w:t xml:space="preserve"> në vit; Industria me një mesatare vjetore prej 4.4%, me një kontribut mesatar prej 0.5 pikë përqindje</w:t>
      </w:r>
      <w:r w:rsidR="00904ECF" w:rsidRPr="00050FA4">
        <w:rPr>
          <w:lang w:val="sq-AL"/>
        </w:rPr>
        <w:t>je</w:t>
      </w:r>
      <w:r w:rsidRPr="00050FA4">
        <w:rPr>
          <w:lang w:val="sq-AL"/>
        </w:rPr>
        <w:t xml:space="preserve"> në vit; Ndërtimi me 3.0%, me një kontribut mesatar prej 0.3 pikë përqindje</w:t>
      </w:r>
      <w:r w:rsidR="00904ECF" w:rsidRPr="00050FA4">
        <w:rPr>
          <w:lang w:val="sq-AL"/>
        </w:rPr>
        <w:t>je</w:t>
      </w:r>
      <w:r w:rsidRPr="00050FA4">
        <w:rPr>
          <w:lang w:val="sq-AL"/>
        </w:rPr>
        <w:t xml:space="preserve"> në vit dhe Shërbimet me një mesatare 4.9% në vit, me kontribut</w:t>
      </w:r>
      <w:r w:rsidR="002D5B6B" w:rsidRPr="00050FA4">
        <w:rPr>
          <w:lang w:val="sq-AL"/>
        </w:rPr>
        <w:t>in më të lartë në rritje në saje</w:t>
      </w:r>
      <w:r w:rsidRPr="00050FA4">
        <w:rPr>
          <w:lang w:val="sq-AL"/>
        </w:rPr>
        <w:t xml:space="preserve"> të peshës së tyre, me një mesatare prej 2.4 pikë përqindje</w:t>
      </w:r>
      <w:r w:rsidR="00904ECF" w:rsidRPr="00050FA4">
        <w:rPr>
          <w:lang w:val="sq-AL"/>
        </w:rPr>
        <w:t>je</w:t>
      </w:r>
      <w:r w:rsidRPr="00050FA4">
        <w:rPr>
          <w:lang w:val="sq-AL"/>
        </w:rPr>
        <w:t xml:space="preserve"> në vit. </w:t>
      </w:r>
    </w:p>
    <w:p w14:paraId="5072673E" w14:textId="77777777" w:rsidR="00BC0117" w:rsidRPr="00050FA4" w:rsidRDefault="00BC0117" w:rsidP="003F1DA7">
      <w:pPr>
        <w:ind w:firstLine="284"/>
        <w:jc w:val="both"/>
        <w:rPr>
          <w:rFonts w:ascii="Garamond" w:hAnsi="Garamond" w:cstheme="majorBidi"/>
          <w:color w:val="0D0D0D" w:themeColor="text1" w:themeTint="F2"/>
        </w:rPr>
      </w:pPr>
    </w:p>
    <w:p w14:paraId="70B3CAA6" w14:textId="77777777" w:rsidR="00A7354F" w:rsidRPr="00050FA4" w:rsidRDefault="00A7354F" w:rsidP="003F1DA7">
      <w:pPr>
        <w:ind w:firstLine="284"/>
        <w:jc w:val="both"/>
        <w:rPr>
          <w:rFonts w:ascii="Garamond" w:hAnsi="Garamond" w:cstheme="majorBidi"/>
          <w:color w:val="0D0D0D" w:themeColor="text1" w:themeTint="F2"/>
        </w:rPr>
      </w:pPr>
    </w:p>
    <w:p w14:paraId="3C7240DC" w14:textId="77777777" w:rsidR="00A7354F" w:rsidRPr="00050FA4" w:rsidRDefault="00A7354F" w:rsidP="003F1DA7">
      <w:pPr>
        <w:ind w:firstLine="284"/>
        <w:jc w:val="both"/>
        <w:rPr>
          <w:rFonts w:ascii="Garamond" w:hAnsi="Garamond" w:cstheme="majorBidi"/>
          <w:color w:val="0D0D0D" w:themeColor="text1" w:themeTint="F2"/>
        </w:rPr>
      </w:pPr>
    </w:p>
    <w:p w14:paraId="062F09D3" w14:textId="77777777" w:rsidR="00A7354F" w:rsidRPr="00050FA4" w:rsidRDefault="00A7354F" w:rsidP="003F1DA7">
      <w:pPr>
        <w:ind w:firstLine="284"/>
        <w:jc w:val="both"/>
        <w:rPr>
          <w:rFonts w:ascii="Garamond" w:hAnsi="Garamond" w:cstheme="majorBidi"/>
          <w:color w:val="0D0D0D" w:themeColor="text1" w:themeTint="F2"/>
        </w:rPr>
      </w:pPr>
    </w:p>
    <w:p w14:paraId="55988538" w14:textId="77777777" w:rsidR="00A7354F" w:rsidRPr="00050FA4" w:rsidRDefault="00A7354F" w:rsidP="003F1DA7">
      <w:pPr>
        <w:ind w:firstLine="284"/>
        <w:jc w:val="both"/>
        <w:rPr>
          <w:rFonts w:ascii="Garamond" w:hAnsi="Garamond" w:cstheme="majorBidi"/>
          <w:color w:val="0D0D0D" w:themeColor="text1" w:themeTint="F2"/>
        </w:rPr>
      </w:pPr>
    </w:p>
    <w:p w14:paraId="573B9D91" w14:textId="77777777" w:rsidR="00A7354F" w:rsidRPr="00050FA4" w:rsidRDefault="00A7354F" w:rsidP="003F1DA7">
      <w:pPr>
        <w:ind w:firstLine="284"/>
        <w:jc w:val="both"/>
        <w:rPr>
          <w:rFonts w:ascii="Garamond" w:hAnsi="Garamond" w:cstheme="majorBidi"/>
          <w:color w:val="0D0D0D" w:themeColor="text1" w:themeTint="F2"/>
        </w:rPr>
      </w:pPr>
    </w:p>
    <w:p w14:paraId="2518B6EB" w14:textId="77777777" w:rsidR="00A7354F" w:rsidRPr="00050FA4" w:rsidRDefault="00A7354F" w:rsidP="003F1DA7">
      <w:pPr>
        <w:ind w:firstLine="284"/>
        <w:jc w:val="both"/>
        <w:rPr>
          <w:rFonts w:ascii="Garamond" w:hAnsi="Garamond" w:cstheme="majorBidi"/>
          <w:color w:val="0D0D0D" w:themeColor="text1" w:themeTint="F2"/>
        </w:rPr>
      </w:pP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FA29AB" w:rsidRPr="00050FA4" w14:paraId="42FA8F31" w14:textId="77777777" w:rsidTr="00D172DB">
        <w:trPr>
          <w:jc w:val="center"/>
        </w:trPr>
        <w:tc>
          <w:tcPr>
            <w:tcW w:w="4505" w:type="dxa"/>
            <w:vAlign w:val="center"/>
            <w:hideMark/>
          </w:tcPr>
          <w:p w14:paraId="4FEF9295" w14:textId="02E64BC0" w:rsidR="00BC0117" w:rsidRPr="00050FA4" w:rsidRDefault="00BC0117" w:rsidP="00D172DB">
            <w:pPr>
              <w:pStyle w:val="AAAAAAATEXXXX"/>
              <w:ind w:firstLine="0"/>
              <w:jc w:val="center"/>
              <w:rPr>
                <w:b/>
                <w:sz w:val="20"/>
                <w:szCs w:val="20"/>
                <w:lang w:val="sq-AL"/>
              </w:rPr>
            </w:pPr>
            <w:r w:rsidRPr="00050FA4">
              <w:rPr>
                <w:b/>
                <w:sz w:val="20"/>
                <w:szCs w:val="20"/>
                <w:lang w:val="sq-AL"/>
              </w:rPr>
              <w:t>Grafik 3.2.3 Rritja reale (në %)</w:t>
            </w:r>
          </w:p>
        </w:tc>
        <w:tc>
          <w:tcPr>
            <w:tcW w:w="4505" w:type="dxa"/>
            <w:vAlign w:val="center"/>
            <w:hideMark/>
          </w:tcPr>
          <w:p w14:paraId="34D74EE6" w14:textId="503EE66B" w:rsidR="00BC0117" w:rsidRPr="00050FA4" w:rsidRDefault="00171325" w:rsidP="00D172DB">
            <w:pPr>
              <w:pStyle w:val="AAAAAAATEXXXX"/>
              <w:ind w:firstLine="0"/>
              <w:jc w:val="center"/>
              <w:rPr>
                <w:b/>
                <w:sz w:val="20"/>
                <w:szCs w:val="20"/>
                <w:lang w:val="sq-AL"/>
              </w:rPr>
            </w:pPr>
            <w:r>
              <w:rPr>
                <w:b/>
                <w:sz w:val="20"/>
                <w:szCs w:val="20"/>
                <w:lang w:val="sq-AL"/>
              </w:rPr>
              <w:t>Grafik 3.2.4 K</w:t>
            </w:r>
            <w:r w:rsidR="00BC0117" w:rsidRPr="00050FA4">
              <w:rPr>
                <w:b/>
                <w:sz w:val="20"/>
                <w:szCs w:val="20"/>
                <w:lang w:val="sq-AL"/>
              </w:rPr>
              <w:t>ontributet në rritje (në p.p.)</w:t>
            </w:r>
            <w:r w:rsidR="00D172DB" w:rsidRPr="00050FA4">
              <w:rPr>
                <w:b/>
                <w:sz w:val="20"/>
                <w:szCs w:val="20"/>
                <w:lang w:val="sq-AL"/>
              </w:rPr>
              <w:t>,</w:t>
            </w:r>
            <w:r w:rsidR="00BC0117" w:rsidRPr="00050FA4">
              <w:rPr>
                <w:b/>
                <w:sz w:val="20"/>
                <w:szCs w:val="20"/>
                <w:lang w:val="sq-AL"/>
              </w:rPr>
              <w:t xml:space="preserve"> sipas komponentëve të ofertës</w:t>
            </w:r>
          </w:p>
        </w:tc>
      </w:tr>
    </w:tbl>
    <w:p w14:paraId="21542923" w14:textId="6803E230"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7997F413" wp14:editId="7C79CEEA">
            <wp:extent cx="5915025" cy="23907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15025" cy="2390775"/>
                    </a:xfrm>
                    <a:prstGeom prst="rect">
                      <a:avLst/>
                    </a:prstGeom>
                    <a:noFill/>
                    <a:ln>
                      <a:noFill/>
                    </a:ln>
                  </pic:spPr>
                </pic:pic>
              </a:graphicData>
            </a:graphic>
          </wp:inline>
        </w:drawing>
      </w:r>
    </w:p>
    <w:p w14:paraId="34BAF17E" w14:textId="77777777" w:rsidR="00BC0117" w:rsidRPr="00050FA4" w:rsidRDefault="00BC0117" w:rsidP="003F1DA7">
      <w:pPr>
        <w:pStyle w:val="AAAAAAATEXXXX"/>
        <w:jc w:val="center"/>
        <w:rPr>
          <w:sz w:val="20"/>
          <w:lang w:val="sq-AL"/>
        </w:rPr>
      </w:pPr>
      <w:r w:rsidRPr="00050FA4">
        <w:rPr>
          <w:sz w:val="20"/>
          <w:lang w:val="sq-AL"/>
        </w:rPr>
        <w:t>Burimi: Ministria e Financave dhe Ekonomisë (2021)</w:t>
      </w:r>
    </w:p>
    <w:p w14:paraId="1AD1032A" w14:textId="77777777" w:rsidR="00BC0117" w:rsidRPr="00050FA4" w:rsidRDefault="00BC0117" w:rsidP="003F1DA7">
      <w:pPr>
        <w:ind w:firstLine="284"/>
        <w:jc w:val="both"/>
        <w:rPr>
          <w:rFonts w:ascii="Garamond" w:hAnsi="Garamond" w:cstheme="majorBidi"/>
          <w:color w:val="0D0D0D" w:themeColor="text1" w:themeTint="F2"/>
        </w:rPr>
      </w:pPr>
    </w:p>
    <w:p w14:paraId="02CF3715" w14:textId="0E1406F4" w:rsidR="00BC0117" w:rsidRPr="00050FA4" w:rsidRDefault="007366D6" w:rsidP="003F1DA7">
      <w:pPr>
        <w:pStyle w:val="AAAAAAATEXXXX"/>
        <w:jc w:val="center"/>
        <w:rPr>
          <w:b/>
          <w:sz w:val="20"/>
          <w:szCs w:val="20"/>
          <w:lang w:val="sq-AL"/>
        </w:rPr>
      </w:pPr>
      <w:r w:rsidRPr="00050FA4">
        <w:rPr>
          <w:b/>
          <w:sz w:val="20"/>
          <w:szCs w:val="20"/>
          <w:lang w:val="sq-AL"/>
        </w:rPr>
        <w:t>Tabelë 3.2.2</w:t>
      </w:r>
      <w:r w:rsidR="00BC0117" w:rsidRPr="00050FA4">
        <w:rPr>
          <w:b/>
          <w:sz w:val="20"/>
          <w:szCs w:val="20"/>
          <w:lang w:val="sq-AL"/>
        </w:rPr>
        <w:t xml:space="preserve"> Rritja reale (në të majtë, në %) dhe kontributet në rritje (në të djathtë, në p.p.)</w:t>
      </w:r>
      <w:r w:rsidR="00D172DB" w:rsidRPr="00050FA4">
        <w:rPr>
          <w:b/>
          <w:sz w:val="20"/>
          <w:szCs w:val="20"/>
          <w:lang w:val="sq-AL"/>
        </w:rPr>
        <w:t>,</w:t>
      </w:r>
      <w:r w:rsidR="00BC0117" w:rsidRPr="00050FA4">
        <w:rPr>
          <w:b/>
          <w:sz w:val="20"/>
          <w:szCs w:val="20"/>
          <w:lang w:val="sq-AL"/>
        </w:rPr>
        <w:t xml:space="preserve"> sipas</w:t>
      </w:r>
      <w:r w:rsidR="009B1D6B" w:rsidRPr="00050FA4">
        <w:rPr>
          <w:b/>
          <w:sz w:val="20"/>
          <w:szCs w:val="20"/>
          <w:lang w:val="sq-AL"/>
        </w:rPr>
        <w:t xml:space="preserve"> </w:t>
      </w:r>
      <w:r w:rsidR="00BC0117" w:rsidRPr="00050FA4">
        <w:rPr>
          <w:b/>
          <w:sz w:val="20"/>
          <w:szCs w:val="20"/>
          <w:lang w:val="sq-AL"/>
        </w:rPr>
        <w:t>komponentëve të ofertës</w:t>
      </w:r>
    </w:p>
    <w:p w14:paraId="6280DEF8" w14:textId="1E878940"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557B80A0" wp14:editId="6FF1449B">
            <wp:extent cx="5971749" cy="362769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9061" cy="3632140"/>
                    </a:xfrm>
                    <a:prstGeom prst="rect">
                      <a:avLst/>
                    </a:prstGeom>
                    <a:noFill/>
                    <a:ln>
                      <a:noFill/>
                    </a:ln>
                  </pic:spPr>
                </pic:pic>
              </a:graphicData>
            </a:graphic>
          </wp:inline>
        </w:drawing>
      </w:r>
    </w:p>
    <w:p w14:paraId="04F6AEBC" w14:textId="77777777" w:rsidR="00BC0117" w:rsidRPr="00050FA4" w:rsidRDefault="00BC0117" w:rsidP="001B4FB1">
      <w:pPr>
        <w:pStyle w:val="AAAAAAATEXXXX"/>
        <w:jc w:val="center"/>
        <w:rPr>
          <w:sz w:val="20"/>
          <w:lang w:val="sq-AL"/>
        </w:rPr>
      </w:pPr>
      <w:r w:rsidRPr="00050FA4">
        <w:rPr>
          <w:sz w:val="20"/>
          <w:lang w:val="sq-AL"/>
        </w:rPr>
        <w:t>Burimi: Ministria e Financave dhe Ekonomisë (2021)</w:t>
      </w:r>
    </w:p>
    <w:p w14:paraId="069A163A" w14:textId="77777777" w:rsidR="00BC0117" w:rsidRPr="00050FA4" w:rsidRDefault="00BC0117" w:rsidP="003F1DA7">
      <w:pPr>
        <w:ind w:firstLine="284"/>
        <w:jc w:val="both"/>
        <w:rPr>
          <w:rFonts w:ascii="Garamond" w:hAnsi="Garamond" w:cstheme="majorBidi"/>
          <w:color w:val="0D0D0D" w:themeColor="text1" w:themeTint="F2"/>
        </w:rPr>
      </w:pPr>
    </w:p>
    <w:p w14:paraId="60535DD3" w14:textId="6D9E7307" w:rsidR="00BC0117" w:rsidRPr="00050FA4" w:rsidRDefault="00BC0117" w:rsidP="003F1DA7">
      <w:pPr>
        <w:pStyle w:val="AAAAAAATEXXXX"/>
        <w:rPr>
          <w:lang w:val="sq-AL"/>
        </w:rPr>
      </w:pPr>
      <w:r w:rsidRPr="00050FA4">
        <w:rPr>
          <w:lang w:val="sq-AL"/>
        </w:rPr>
        <w:t>Rritja ekonomike është shoqëruar me rritje të punësimit dhe ulje të shkallës së papunësisë. Si sektori i prodhimit</w:t>
      </w:r>
      <w:r w:rsidR="00080063" w:rsidRPr="00050FA4">
        <w:rPr>
          <w:lang w:val="sq-AL"/>
        </w:rPr>
        <w:t>,</w:t>
      </w:r>
      <w:r w:rsidRPr="00050FA4">
        <w:rPr>
          <w:lang w:val="sq-AL"/>
        </w:rPr>
        <w:t xml:space="preserve"> ashtu edhe ai i shërbimeve</w:t>
      </w:r>
      <w:r w:rsidR="00080063" w:rsidRPr="00050FA4">
        <w:rPr>
          <w:lang w:val="sq-AL"/>
        </w:rPr>
        <w:t>,</w:t>
      </w:r>
      <w:r w:rsidRPr="00050FA4">
        <w:rPr>
          <w:lang w:val="sq-AL"/>
        </w:rPr>
        <w:t xml:space="preserve"> kanë përfituar nga këto zhvillime, duke siguruar rimëkëmbje për biznesin dhe punësimin dhe duke krijuar premisa të mira për perspektivën afatmesme. Ndërsa viti 2020 rezultoi me një përkeqësim të lehtë të shkallës së papunësisë me një nivel mesatar për të gjithë vitin prej 12.2 përqind</w:t>
      </w:r>
      <w:r w:rsidR="00904ECF" w:rsidRPr="00050FA4">
        <w:rPr>
          <w:lang w:val="sq-AL"/>
        </w:rPr>
        <w:t>ësh</w:t>
      </w:r>
      <w:r w:rsidRPr="00050FA4">
        <w:rPr>
          <w:lang w:val="sq-AL"/>
        </w:rPr>
        <w:t>, nëntëmujori i parë i 2021 shënoi sërish një përkeqësim të lehtë të këtij treguesi në tremujorin e parë të vitit dhe më pas një rikuperim në tremujorin e dytë dhe të tretë. Referuar të dhënave statistikore, shkalla e papunësisë shënoi nivelin 12.6 për</w:t>
      </w:r>
      <w:r w:rsidR="001B4FB1" w:rsidRPr="00050FA4">
        <w:rPr>
          <w:lang w:val="sq-AL"/>
        </w:rPr>
        <w:t xml:space="preserve"> </w:t>
      </w:r>
      <w:r w:rsidRPr="00050FA4">
        <w:rPr>
          <w:lang w:val="sq-AL"/>
        </w:rPr>
        <w:t xml:space="preserve">qind në tremujorin e parë dhe një përmirësim në 12.1 në tremujorin e dytë dhe në 11.6 në tremujorin e tretë. Norma mesatare e papunësisë për </w:t>
      </w:r>
      <w:r w:rsidRPr="00050FA4">
        <w:rPr>
          <w:lang w:val="sq-AL"/>
        </w:rPr>
        <w:lastRenderedPageBreak/>
        <w:t>nëntëmujorin e parë të 2021 ishte 12.1 për</w:t>
      </w:r>
      <w:r w:rsidR="001B4FB1" w:rsidRPr="00050FA4">
        <w:rPr>
          <w:lang w:val="sq-AL"/>
        </w:rPr>
        <w:t xml:space="preserve"> </w:t>
      </w:r>
      <w:r w:rsidRPr="00050FA4">
        <w:rPr>
          <w:lang w:val="sq-AL"/>
        </w:rPr>
        <w:t>qind, krahasuar me 12.3 për</w:t>
      </w:r>
      <w:r w:rsidR="001B4FB1" w:rsidRPr="00050FA4">
        <w:rPr>
          <w:lang w:val="sq-AL"/>
        </w:rPr>
        <w:t xml:space="preserve"> </w:t>
      </w:r>
      <w:r w:rsidRPr="00050FA4">
        <w:rPr>
          <w:lang w:val="sq-AL"/>
        </w:rPr>
        <w:t xml:space="preserve">qind në nëntëmujorin e parë të 2020. Sa i përket numrit të të punësuarve për T3-2021, krahasuar me tremujorin paraardhës (TM2-2021), ai është rritur me 2.13%. Ndërsa, krahasuar me të njëjtin tremujor të një viti më parë (TM3-2020), numri i të punësuarve është rritur lehtësisht me 0.21%. </w:t>
      </w:r>
    </w:p>
    <w:p w14:paraId="79434EAD" w14:textId="6DB13973" w:rsidR="00BC0117" w:rsidRPr="00050FA4" w:rsidRDefault="00BC0117" w:rsidP="003F1DA7">
      <w:pPr>
        <w:pStyle w:val="AAAAAAATEXXXX"/>
        <w:rPr>
          <w:lang w:val="sq-AL"/>
        </w:rPr>
      </w:pPr>
      <w:r w:rsidRPr="00050FA4">
        <w:rPr>
          <w:lang w:val="sq-AL"/>
        </w:rPr>
        <w:t>Në përputhje me parashikimet afatmesme të rritjes, punësimi pritet të rritet me një mesatare prej 1.3% në vit gjatë periudhës 2022</w:t>
      </w:r>
      <w:r w:rsidR="007366D6" w:rsidRPr="00050FA4">
        <w:rPr>
          <w:lang w:val="sq-AL"/>
        </w:rPr>
        <w:t>–</w:t>
      </w:r>
      <w:r w:rsidRPr="00050FA4">
        <w:rPr>
          <w:lang w:val="sq-AL"/>
        </w:rPr>
        <w:t>2024. Shkalla më e lartë e pjesëmarrjes në forcat e punës do të jetë gjeneruesi kryesor i rritjes së ofertës së punës</w:t>
      </w:r>
      <w:r w:rsidR="00FB5C6E" w:rsidRPr="00050FA4">
        <w:rPr>
          <w:lang w:val="sq-AL"/>
        </w:rPr>
        <w:t>,</w:t>
      </w:r>
      <w:r w:rsidRPr="00050FA4">
        <w:rPr>
          <w:lang w:val="sq-AL"/>
        </w:rPr>
        <w:t xml:space="preserve"> </w:t>
      </w:r>
      <w:r w:rsidR="00FB5C6E" w:rsidRPr="00050FA4">
        <w:rPr>
          <w:lang w:val="sq-AL"/>
        </w:rPr>
        <w:t xml:space="preserve">ndërsa </w:t>
      </w:r>
      <w:r w:rsidRPr="00050FA4">
        <w:rPr>
          <w:lang w:val="sq-AL"/>
        </w:rPr>
        <w:t xml:space="preserve">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 Pavarësisht zgjerimit të pritshëm të punësimit në afatin e mesëm, </w:t>
      </w:r>
      <w:r w:rsidR="001B4FB1" w:rsidRPr="00050FA4">
        <w:rPr>
          <w:lang w:val="sq-AL"/>
        </w:rPr>
        <w:t>s</w:t>
      </w:r>
      <w:r w:rsidR="00172525" w:rsidRPr="00050FA4">
        <w:rPr>
          <w:lang w:val="sq-AL"/>
        </w:rPr>
        <w:t>ë</w:t>
      </w:r>
      <w:r w:rsidR="001B4FB1" w:rsidRPr="00050FA4">
        <w:rPr>
          <w:lang w:val="sq-AL"/>
        </w:rPr>
        <w:t>rish</w:t>
      </w:r>
      <w:r w:rsidRPr="00050FA4">
        <w:rPr>
          <w:lang w:val="sq-AL"/>
        </w:rPr>
        <w:t xml:space="preserve"> produktiviteti i përgjithshëm i punës pritet të ketë një përmirësim të lehtë gjatë kësaj periudhe. Papunësia pritet të vazhdojë rënien graduale</w:t>
      </w:r>
      <w:r w:rsidR="00172525" w:rsidRPr="00050FA4">
        <w:rPr>
          <w:lang w:val="sq-AL"/>
        </w:rPr>
        <w:t>,</w:t>
      </w:r>
      <w:r w:rsidRPr="00050FA4">
        <w:rPr>
          <w:lang w:val="sq-AL"/>
        </w:rPr>
        <w:t xml:space="preserve"> duke arritur në 8.9% në vitin 2024.</w:t>
      </w:r>
    </w:p>
    <w:p w14:paraId="5F7329BD" w14:textId="77777777" w:rsidR="00BC0117" w:rsidRPr="00050FA4" w:rsidRDefault="00BC0117" w:rsidP="003F1DA7">
      <w:pPr>
        <w:ind w:firstLine="284"/>
        <w:jc w:val="both"/>
        <w:rPr>
          <w:rFonts w:ascii="Garamond" w:hAnsi="Garamond" w:cstheme="majorBidi"/>
          <w:color w:val="0D0D0D" w:themeColor="text1" w:themeTint="F2"/>
        </w:rPr>
      </w:pP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4505"/>
      </w:tblGrid>
      <w:tr w:rsidR="00FA29AB" w:rsidRPr="00050FA4" w14:paraId="0CFE0CB9" w14:textId="77777777" w:rsidTr="00172525">
        <w:trPr>
          <w:jc w:val="center"/>
        </w:trPr>
        <w:tc>
          <w:tcPr>
            <w:tcW w:w="4595" w:type="dxa"/>
            <w:vAlign w:val="center"/>
          </w:tcPr>
          <w:p w14:paraId="42969779" w14:textId="72270BB7" w:rsidR="00BC0117" w:rsidRPr="00050FA4" w:rsidRDefault="007366D6" w:rsidP="00172525">
            <w:pPr>
              <w:pStyle w:val="AAAAAAATEXXXX"/>
              <w:jc w:val="center"/>
              <w:rPr>
                <w:b/>
                <w:sz w:val="20"/>
                <w:szCs w:val="20"/>
                <w:lang w:val="sq-AL"/>
              </w:rPr>
            </w:pPr>
            <w:r w:rsidRPr="00050FA4">
              <w:rPr>
                <w:b/>
                <w:sz w:val="20"/>
                <w:szCs w:val="20"/>
                <w:lang w:val="sq-AL"/>
              </w:rPr>
              <w:t>Grafik 3.2.5</w:t>
            </w:r>
            <w:r w:rsidR="00BC0117" w:rsidRPr="00050FA4">
              <w:rPr>
                <w:b/>
                <w:sz w:val="20"/>
                <w:szCs w:val="20"/>
                <w:lang w:val="sq-AL"/>
              </w:rPr>
              <w:t xml:space="preserve"> Punësimi (rritja vjetore në %)</w:t>
            </w:r>
          </w:p>
        </w:tc>
        <w:tc>
          <w:tcPr>
            <w:tcW w:w="4505" w:type="dxa"/>
            <w:vAlign w:val="center"/>
          </w:tcPr>
          <w:p w14:paraId="2D6EC165" w14:textId="1F072888" w:rsidR="00BC0117" w:rsidRPr="00050FA4" w:rsidRDefault="007366D6" w:rsidP="00172525">
            <w:pPr>
              <w:pStyle w:val="AAAAAAATEXXXX"/>
              <w:jc w:val="center"/>
              <w:rPr>
                <w:b/>
                <w:sz w:val="20"/>
                <w:szCs w:val="20"/>
                <w:lang w:val="sq-AL"/>
              </w:rPr>
            </w:pPr>
            <w:r w:rsidRPr="00050FA4">
              <w:rPr>
                <w:b/>
                <w:sz w:val="20"/>
                <w:szCs w:val="20"/>
                <w:lang w:val="sq-AL"/>
              </w:rPr>
              <w:t>Grafik 3.2.6</w:t>
            </w:r>
            <w:r w:rsidR="00BC0117" w:rsidRPr="00050FA4">
              <w:rPr>
                <w:b/>
                <w:sz w:val="20"/>
                <w:szCs w:val="20"/>
                <w:lang w:val="sq-AL"/>
              </w:rPr>
              <w:t xml:space="preserve"> Norma e papunësisë (në %)</w:t>
            </w:r>
          </w:p>
        </w:tc>
      </w:tr>
    </w:tbl>
    <w:p w14:paraId="093ABE32" w14:textId="20E2EF7A"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7E02608C" wp14:editId="1870225C">
            <wp:extent cx="5915025" cy="22764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5025" cy="2276475"/>
                    </a:xfrm>
                    <a:prstGeom prst="rect">
                      <a:avLst/>
                    </a:prstGeom>
                    <a:noFill/>
                    <a:ln>
                      <a:noFill/>
                    </a:ln>
                  </pic:spPr>
                </pic:pic>
              </a:graphicData>
            </a:graphic>
          </wp:inline>
        </w:drawing>
      </w:r>
    </w:p>
    <w:p w14:paraId="2D9F455A" w14:textId="77777777" w:rsidR="00BC0117" w:rsidRPr="00050FA4" w:rsidRDefault="00BC0117" w:rsidP="003F1DA7">
      <w:pPr>
        <w:pStyle w:val="AAAAAAATEXXXX"/>
        <w:jc w:val="center"/>
        <w:rPr>
          <w:sz w:val="20"/>
          <w:szCs w:val="20"/>
          <w:lang w:val="sq-AL"/>
        </w:rPr>
      </w:pPr>
      <w:r w:rsidRPr="00050FA4">
        <w:rPr>
          <w:sz w:val="20"/>
          <w:szCs w:val="20"/>
          <w:lang w:val="sq-AL"/>
        </w:rPr>
        <w:t>Burimi: Ministria e Financave dhe Ekonomisë (2021)</w:t>
      </w:r>
    </w:p>
    <w:p w14:paraId="52346895" w14:textId="77777777" w:rsidR="00BC0117" w:rsidRPr="00050FA4" w:rsidRDefault="00BC0117" w:rsidP="003F1DA7">
      <w:pPr>
        <w:snapToGrid w:val="0"/>
        <w:ind w:firstLine="284"/>
        <w:rPr>
          <w:rFonts w:ascii="Garamond" w:hAnsi="Garamond" w:cstheme="majorBidi"/>
          <w:color w:val="0D0D0D" w:themeColor="text1" w:themeTint="F2"/>
        </w:rPr>
      </w:pPr>
    </w:p>
    <w:p w14:paraId="3F9D02A2" w14:textId="77777777" w:rsidR="00BC0117" w:rsidRPr="00050FA4" w:rsidRDefault="00BC0117" w:rsidP="003F1DA7">
      <w:pPr>
        <w:pStyle w:val="AAAAAAATEXXXX"/>
        <w:rPr>
          <w:rStyle w:val="alt-edited"/>
          <w:b/>
          <w:i/>
          <w:lang w:val="sq-AL"/>
        </w:rPr>
      </w:pPr>
      <w:r w:rsidRPr="00050FA4">
        <w:rPr>
          <w:rStyle w:val="alt-edited"/>
          <w:b/>
          <w:i/>
          <w:lang w:val="sq-AL"/>
        </w:rPr>
        <w:t xml:space="preserve">Politika monetare dhe e kursit të këmbimit dhe inflacioni </w:t>
      </w:r>
    </w:p>
    <w:p w14:paraId="522DAC1D" w14:textId="77777777" w:rsidR="00BC0117" w:rsidRPr="00050FA4" w:rsidRDefault="00BC0117" w:rsidP="003F1DA7">
      <w:pPr>
        <w:pStyle w:val="AAAAAAATEXXXX"/>
        <w:rPr>
          <w:rStyle w:val="alt-edited"/>
          <w:lang w:val="sq-AL"/>
        </w:rPr>
      </w:pPr>
      <w:r w:rsidRPr="00050FA4">
        <w:rPr>
          <w:rStyle w:val="alt-edited"/>
          <w:lang w:val="sq-AL"/>
        </w:rPr>
        <w:t>Objektivi kryesor i Bankës së Shqipërisë, sipas mandatit të saj ligjor, është arritja dhe ruajtja e qëndrueshmërisë së çmimeve. Politika monetare operon nën një regjim inflacioni të shënjestruar, me objektivin të caktuar në 3.0% në afatin e mesëm. Instrumenti kryesor për arritjen e objektivit është norma e interesit e marrëveshjeve të anasjellta të riblerjes me afat maturimi një javor. Banka e Shqipërisë aplikon një regjim kursi këmbimi të lirë, ku vlera e kursit të këmbimit përcaktohet nga lëvizje të kërkesës dhe ofertës në tregun valutor. Banka ruan të drejtën të ndërhyjë në treg për arsye që lidhen me rregullimin e rezervës valutore, me anë të ankandeve, të cilat zhvillohen sipas një kalendari të publikuar.</w:t>
      </w:r>
    </w:p>
    <w:p w14:paraId="3D30BBB6" w14:textId="047E04CD" w:rsidR="00BC0117" w:rsidRPr="00050FA4" w:rsidRDefault="00BC0117" w:rsidP="003F1DA7">
      <w:pPr>
        <w:pStyle w:val="AAAAAAATEXXXX"/>
        <w:rPr>
          <w:rFonts w:cstheme="majorBidi"/>
          <w:color w:val="0D0D0D" w:themeColor="text1" w:themeTint="F2"/>
          <w:lang w:val="sq-AL"/>
        </w:rPr>
      </w:pPr>
      <w:r w:rsidRPr="00050FA4">
        <w:rPr>
          <w:rStyle w:val="alt-edited"/>
          <w:lang w:val="sq-AL"/>
        </w:rPr>
        <w:t xml:space="preserve">Banka e Shqipërisë e rriti stimulin monetar në fillimin e krizës </w:t>
      </w:r>
      <w:r w:rsidR="001B4FB1" w:rsidRPr="00050FA4">
        <w:rPr>
          <w:rStyle w:val="alt-edited"/>
          <w:lang w:val="sq-AL"/>
        </w:rPr>
        <w:t>COVID</w:t>
      </w:r>
      <w:r w:rsidRPr="00050FA4">
        <w:rPr>
          <w:rFonts w:cstheme="majorBidi"/>
          <w:color w:val="0D0D0D" w:themeColor="text1" w:themeTint="F2"/>
          <w:lang w:val="sq-AL"/>
        </w:rPr>
        <w:t>-19, në muajin mars të vitit 2020, duke ulur normën e interesit me 50 pikë bazë, duke e çuar atë në 0.50%, ose niveli saj më i ulët historik, e duke i ofruar likuiditet të pakufizuar sistemit bankar në operacionet e tregut të hapur me frekuencë javore. Qëndrimi lehtësues i politikës monetare qëndroi i pandryshuar në vitin 2021. Sinjalizimi i bankës për të ardhmen tregon se stimuli monetar do të vijojë edhe në afatin e shkurtër e të mesëm, me normën bazë që do të qëndrojë nën nivelin e saj të ekuilibrit. Politika monetare ekspansioniste, së bashku me sinjalizimin e qartë e transparent për trajektoren e ardhshme të politikës monetare, kanë ndikuar në ruajtjen e qetësisë në tregjet financiare përgjatë tkurrjes ekonomike të vitit 2020 dhe kanë ndihmuar në uljen e paqartësive të agjentëve ekonomik</w:t>
      </w:r>
      <w:r w:rsidR="00081509" w:rsidRPr="00050FA4">
        <w:rPr>
          <w:rFonts w:cstheme="majorBidi"/>
          <w:color w:val="0D0D0D" w:themeColor="text1" w:themeTint="F2"/>
          <w:lang w:val="sq-AL"/>
        </w:rPr>
        <w:t>ë,</w:t>
      </w:r>
      <w:r w:rsidRPr="00050FA4">
        <w:rPr>
          <w:rFonts w:cstheme="majorBidi"/>
          <w:color w:val="0D0D0D" w:themeColor="text1" w:themeTint="F2"/>
          <w:lang w:val="sq-AL"/>
        </w:rPr>
        <w:t xml:space="preserve"> në lidhje me perspektivën ekonomike. </w:t>
      </w:r>
    </w:p>
    <w:p w14:paraId="119E1388" w14:textId="2427D58F" w:rsidR="00BC0117" w:rsidRPr="00050FA4" w:rsidRDefault="00BC0117" w:rsidP="003F1DA7">
      <w:pPr>
        <w:pStyle w:val="AAAAAAATEXXXX"/>
        <w:rPr>
          <w:rFonts w:cstheme="majorBidi"/>
          <w:color w:val="0D0D0D" w:themeColor="text1" w:themeTint="F2"/>
          <w:lang w:val="sq-AL"/>
        </w:rPr>
      </w:pPr>
      <w:r w:rsidRPr="00050FA4">
        <w:rPr>
          <w:rFonts w:cstheme="majorBidi"/>
          <w:color w:val="0D0D0D" w:themeColor="text1" w:themeTint="F2"/>
          <w:lang w:val="sq-AL"/>
        </w:rPr>
        <w:t>Pas tkurrjes së vitit 2020, ekonomia është në një shteg rritjeje të shpejtë në të gjithë sektorët</w:t>
      </w:r>
      <w:r w:rsidR="00156154" w:rsidRPr="00050FA4">
        <w:rPr>
          <w:rFonts w:cstheme="majorBidi"/>
          <w:color w:val="0D0D0D" w:themeColor="text1" w:themeTint="F2"/>
          <w:lang w:val="sq-AL"/>
        </w:rPr>
        <w:t>,</w:t>
      </w:r>
      <w:r w:rsidRPr="00050FA4">
        <w:rPr>
          <w:rFonts w:cstheme="majorBidi"/>
          <w:color w:val="0D0D0D" w:themeColor="text1" w:themeTint="F2"/>
          <w:lang w:val="sq-AL"/>
        </w:rPr>
        <w:t xml:space="preserve"> si dhe komponentët e kërkesës në vitin 2021. Ekonomia është rritur mbi nivelin e para tërmetit dhe para pandemisë, dhe të dhënat e deritanishme nuk tregojnë për ndonjë efekt negativ afatgjatë mbi ekonominë nga këto goditje të forta. Me përmirësimin e kushteve ciklike, presionet e brendshme inflacioniste kanë vijuar të forcohen, të cilat së bashku e rritjen e çmimeve të mallrave në tregjet ndërkombëtare kanë nxitur rritjen e inflacionit në vend, i cili mbetet nën nivelin e shënjestruar prej 3%.</w:t>
      </w:r>
    </w:p>
    <w:p w14:paraId="785FF6C9" w14:textId="2D175882" w:rsidR="00BC0117" w:rsidRPr="00050FA4" w:rsidRDefault="00BC0117"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Skenari bazë i Bankës së Shqipërisë parashikon që ekonomia do të rritet ndjeshëm në vitin 2021, e ndihmuar nga stimuli makroekonomik dhe rritja e kërkesës së huaj, e do të zhvendoset në një trajektore </w:t>
      </w:r>
      <w:r w:rsidRPr="00050FA4">
        <w:rPr>
          <w:rFonts w:cstheme="majorBidi"/>
          <w:color w:val="0D0D0D" w:themeColor="text1" w:themeTint="F2"/>
          <w:lang w:val="sq-AL"/>
        </w:rPr>
        <w:lastRenderedPageBreak/>
        <w:t xml:space="preserve">rritëse pranë potencialit të saj. Si pasojë e përmirësimit të kushteve ciklike, presionet e brendshme do të forcohen edhe më tej, duke nxitur konvergimin e qëndrueshëm e inflacionit drejt shënjestrës nga viti 2022. Trajektorja e inflacionit në afatin e shkurtër, do të pasqyrojë efektin e goditjeve të ofertës nga çmimet më të larta të tregjeve ndërkombëtare, të cilat do të rrisin kostot </w:t>
      </w:r>
      <w:r w:rsidR="00643BAF" w:rsidRPr="00050FA4">
        <w:rPr>
          <w:rFonts w:cstheme="majorBidi"/>
          <w:color w:val="0D0D0D" w:themeColor="text1" w:themeTint="F2"/>
          <w:lang w:val="sq-AL"/>
        </w:rPr>
        <w:t>vendës</w:t>
      </w:r>
      <w:r w:rsidRPr="00050FA4">
        <w:rPr>
          <w:rFonts w:cstheme="majorBidi"/>
          <w:color w:val="0D0D0D" w:themeColor="text1" w:themeTint="F2"/>
          <w:lang w:val="sq-AL"/>
        </w:rPr>
        <w:t>e të prodhimit. Si rezultat, inflacioni total pritet të rritet ndjeshëm në afatin e shkurtër. Efekti i këtyre goditjeve të ofertës pritet të jetë i përkohshëm.</w:t>
      </w:r>
    </w:p>
    <w:p w14:paraId="148B6792" w14:textId="481DF95E" w:rsidR="00BC0117" w:rsidRPr="00050FA4" w:rsidRDefault="00BC0117" w:rsidP="003F1DA7">
      <w:pPr>
        <w:pStyle w:val="AAAAAAATEXXXX"/>
        <w:rPr>
          <w:rFonts w:cstheme="majorBidi"/>
          <w:color w:val="0D0D0D" w:themeColor="text1" w:themeTint="F2"/>
          <w:lang w:val="sq-AL"/>
        </w:rPr>
      </w:pPr>
      <w:r w:rsidRPr="00050FA4">
        <w:rPr>
          <w:rFonts w:cstheme="majorBidi"/>
          <w:color w:val="0D0D0D" w:themeColor="text1" w:themeTint="F2"/>
          <w:lang w:val="sq-AL"/>
        </w:rPr>
        <w:t>Balanca e rreziqeve duket e zhvendosur në kahun e sipërm në afatin e shkurtër dhe e balancuar në atë të mesëm. Nga njëra anë, një rritje më e shpejtë apo më e zgjatur në kohë e çmimeve në tregjet financiare dhe një ritëm</w:t>
      </w:r>
      <w:r w:rsidR="009B1D6B" w:rsidRPr="00050FA4">
        <w:rPr>
          <w:rFonts w:cstheme="majorBidi"/>
          <w:color w:val="0D0D0D" w:themeColor="text1" w:themeTint="F2"/>
          <w:lang w:val="sq-AL"/>
        </w:rPr>
        <w:t xml:space="preserve"> </w:t>
      </w:r>
      <w:r w:rsidRPr="00050FA4">
        <w:rPr>
          <w:rFonts w:cstheme="majorBidi"/>
          <w:color w:val="0D0D0D" w:themeColor="text1" w:themeTint="F2"/>
          <w:lang w:val="sq-AL"/>
        </w:rPr>
        <w:t>i konsolidimit më i ngadaltë përbëjnë rreziqe të kahut të sipërm ndaj inflacionit. Nga ana tjetër, rimëkëmbja më e ngadaltë e ekonomisë botërore përbën rreziqet e kahut të poshtëm ndaj inflacionit.</w:t>
      </w:r>
    </w:p>
    <w:p w14:paraId="43110AE7" w14:textId="5AC4759A" w:rsidR="00BC0117" w:rsidRPr="00050FA4" w:rsidRDefault="00BC0117" w:rsidP="003F1DA7">
      <w:pPr>
        <w:pStyle w:val="AAAAAAATEXXXX"/>
        <w:rPr>
          <w:rFonts w:cstheme="majorBidi"/>
          <w:color w:val="0D0D0D" w:themeColor="text1" w:themeTint="F2"/>
          <w:lang w:val="sq-AL"/>
        </w:rPr>
      </w:pPr>
      <w:r w:rsidRPr="00050FA4">
        <w:rPr>
          <w:rFonts w:cstheme="majorBidi"/>
          <w:color w:val="0D0D0D" w:themeColor="text1" w:themeTint="F2"/>
          <w:lang w:val="sq-AL"/>
        </w:rPr>
        <w:t>Kombinimi aktual i politikave përfshin një stimul monetar dhe fiskal, të diktuar nga nevoja për të garantuar një rimëkëmbje ekonomike të shëndetshme. Ndërsa kjo rimëkëmbje vazhdon dhe aktiviteti ekonomik qëndron në një shteg rritjeje të shëndetshëm, kët</w:t>
      </w:r>
      <w:r w:rsidR="00D02A5B" w:rsidRPr="00050FA4">
        <w:rPr>
          <w:rFonts w:cstheme="majorBidi"/>
          <w:color w:val="0D0D0D" w:themeColor="text1" w:themeTint="F2"/>
          <w:lang w:val="sq-AL"/>
        </w:rPr>
        <w:t>a</w:t>
      </w:r>
      <w:r w:rsidRPr="00050FA4">
        <w:rPr>
          <w:rFonts w:cstheme="majorBidi"/>
          <w:color w:val="0D0D0D" w:themeColor="text1" w:themeTint="F2"/>
          <w:lang w:val="sq-AL"/>
        </w:rPr>
        <w:t xml:space="preserve"> stimuj do të nisin të tërhiqen gradualisht.</w:t>
      </w:r>
    </w:p>
    <w:p w14:paraId="7FDC28F7" w14:textId="77777777" w:rsidR="00BC0117" w:rsidRPr="00050FA4" w:rsidRDefault="00BC0117"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Kjo tërheqje do të kryhet në kohë, në një mënyrë të koordinuar dhe transparente, në mënyrë që të mos pengojë trajektoren qëndrueshme të rritje së pritur të ekonomisë në afatin e mesëm </w:t>
      </w:r>
    </w:p>
    <w:p w14:paraId="2C3CF813" w14:textId="3D182FBB" w:rsidR="00BC0117" w:rsidRPr="00050FA4" w:rsidRDefault="00BC0117" w:rsidP="003F1DA7">
      <w:pPr>
        <w:ind w:firstLine="284"/>
        <w:rPr>
          <w:rFonts w:ascii="Garamond" w:hAnsi="Garamond" w:cstheme="majorBidi"/>
          <w:b/>
          <w:bCs/>
          <w:i/>
          <w:iCs/>
          <w:color w:val="0D0D0D" w:themeColor="text1" w:themeTint="F2"/>
        </w:rPr>
      </w:pPr>
      <w:r w:rsidRPr="00050FA4">
        <w:rPr>
          <w:rFonts w:ascii="Garamond" w:hAnsi="Garamond" w:cstheme="majorBidi"/>
          <w:b/>
          <w:bCs/>
          <w:i/>
          <w:iCs/>
          <w:color w:val="0D0D0D" w:themeColor="text1" w:themeTint="F2"/>
        </w:rPr>
        <w:t>Sektori i jashtëm dhe qëndrueshmëria afatmesme e tij</w:t>
      </w:r>
    </w:p>
    <w:p w14:paraId="0F49A3D2" w14:textId="681BE64C" w:rsidR="00BC0117" w:rsidRPr="00050FA4" w:rsidRDefault="00A12258" w:rsidP="003F1DA7">
      <w:pPr>
        <w:pStyle w:val="AAAAAAATEXXXX"/>
        <w:rPr>
          <w:i/>
          <w:lang w:val="sq-AL"/>
        </w:rPr>
      </w:pPr>
      <w:r w:rsidRPr="00050FA4">
        <w:rPr>
          <w:i/>
          <w:lang w:val="sq-AL"/>
        </w:rPr>
        <w:t xml:space="preserve">- </w:t>
      </w:r>
      <w:r w:rsidR="00BC0117" w:rsidRPr="00050FA4">
        <w:rPr>
          <w:i/>
          <w:lang w:val="sq-AL"/>
        </w:rPr>
        <w:t>Zhvillimet në bilancin e pagesave dhe tregtinë e mallrave</w:t>
      </w:r>
    </w:p>
    <w:p w14:paraId="171E62EB" w14:textId="6AED88B5" w:rsidR="00BC0117" w:rsidRPr="00050FA4" w:rsidRDefault="00BC0117" w:rsidP="003F1DA7">
      <w:pPr>
        <w:pStyle w:val="AAAAAAATEXXXX"/>
        <w:rPr>
          <w:lang w:val="sq-AL"/>
        </w:rPr>
      </w:pPr>
      <w:r w:rsidRPr="00050FA4">
        <w:rPr>
          <w:lang w:val="sq-AL"/>
        </w:rPr>
        <w:t xml:space="preserve">Deficiti korrent u ngushtua me 9.6% gjatë gjysmës së parë të vitit 2021, duke qëndruar në nivelin 7.7% ndaj PBB-së. Një vit më parë, raporti qëndronte në 9.9%. Ky përmirësim ka pasqyruar </w:t>
      </w:r>
      <w:r w:rsidR="001B4FB1" w:rsidRPr="00050FA4">
        <w:rPr>
          <w:lang w:val="sq-AL"/>
        </w:rPr>
        <w:t>rikuperimin</w:t>
      </w:r>
      <w:r w:rsidRPr="00050FA4">
        <w:rPr>
          <w:lang w:val="sq-AL"/>
        </w:rPr>
        <w:t xml:space="preserve"> e kërkesës së brendshme dhe të huaj, e dukshme kjo në mënyrë të veçantë gjatë tremujorit të dytë të vitit, kur flukset e shërbimeve kaluan në ecuri përmirësuese. Në të vërtetë, </w:t>
      </w:r>
      <w:r w:rsidR="001B4FB1" w:rsidRPr="00050FA4">
        <w:rPr>
          <w:lang w:val="sq-AL"/>
        </w:rPr>
        <w:t>rikuperimi</w:t>
      </w:r>
      <w:r w:rsidRPr="00050FA4">
        <w:rPr>
          <w:lang w:val="sq-AL"/>
        </w:rPr>
        <w:t xml:space="preserve"> filloi më herët për tregtinë e mallrave, teksa rritja e kërkesës së brendshme dhe të huaj zgjeroi nevojën për mallra</w:t>
      </w:r>
      <w:r w:rsidR="0010164D" w:rsidRPr="00050FA4">
        <w:rPr>
          <w:lang w:val="sq-AL"/>
        </w:rPr>
        <w:t>,</w:t>
      </w:r>
      <w:r w:rsidRPr="00050FA4">
        <w:rPr>
          <w:lang w:val="sq-AL"/>
        </w:rPr>
        <w:t xml:space="preserve"> duke u shoqëruar me zgjerim të eksporteve dhe importeve. Nga ana tjetër, kufizimet ndaj lëvizjes kombëtare të udhëtarëve qëndruan në fuqi</w:t>
      </w:r>
      <w:r w:rsidR="0010164D" w:rsidRPr="00050FA4">
        <w:rPr>
          <w:lang w:val="sq-AL"/>
        </w:rPr>
        <w:t>,</w:t>
      </w:r>
      <w:r w:rsidRPr="00050FA4">
        <w:rPr>
          <w:lang w:val="sq-AL"/>
        </w:rPr>
        <w:t xml:space="preserve"> duke penguar </w:t>
      </w:r>
      <w:r w:rsidR="001B4FB1" w:rsidRPr="00050FA4">
        <w:rPr>
          <w:lang w:val="sq-AL"/>
        </w:rPr>
        <w:t>rikuperimin</w:t>
      </w:r>
      <w:r w:rsidRPr="00050FA4">
        <w:rPr>
          <w:lang w:val="sq-AL"/>
        </w:rPr>
        <w:t xml:space="preserve"> e flukseve të shërbimeve (veçanërisht të turizmit). Intensiteti më i lartë importues në mallra (krahasuar me eksportet), shkaktoi fillimisht një përkeqësim të bilancit tregtar. Në tremujorin e dytë 2021, kufizimet ndërkombëtare u lehtësuan dhe flukset e shërbimeve u zgjeruan ndjeshëm </w:t>
      </w:r>
      <w:r w:rsidR="00A355B6" w:rsidRPr="00050FA4">
        <w:rPr>
          <w:lang w:val="sq-AL"/>
        </w:rPr>
        <w:t>(nivel treshifror), duke kundër</w:t>
      </w:r>
      <w:r w:rsidRPr="00050FA4">
        <w:rPr>
          <w:lang w:val="sq-AL"/>
        </w:rPr>
        <w:t>balancuar zgjerimin e deficitit tregtar në mallra. Rritja e fluksit të shërbimeve ndërthurur me zgjerimin e remitancave nxiti edhe ngushtimin e deficitit të përgjithshëm korrent.</w:t>
      </w:r>
    </w:p>
    <w:p w14:paraId="03C58A9F" w14:textId="23AD9BA8" w:rsidR="00BC0117" w:rsidRPr="00050FA4" w:rsidRDefault="00BC0117" w:rsidP="003F1DA7">
      <w:pPr>
        <w:pStyle w:val="AAAAAAATEXXXX"/>
        <w:rPr>
          <w:lang w:val="sq-AL"/>
        </w:rPr>
      </w:pPr>
      <w:r w:rsidRPr="00050FA4">
        <w:rPr>
          <w:lang w:val="sq-AL"/>
        </w:rPr>
        <w:t xml:space="preserve">Mbiçmimi real i </w:t>
      </w:r>
      <w:r w:rsidR="0010164D" w:rsidRPr="00050FA4">
        <w:rPr>
          <w:lang w:val="sq-AL"/>
        </w:rPr>
        <w:t xml:space="preserve">lekut </w:t>
      </w:r>
      <w:r w:rsidRPr="00050FA4">
        <w:rPr>
          <w:lang w:val="sq-AL"/>
        </w:rPr>
        <w:t xml:space="preserve">është përshpejtuar në fillim të vitit 2021, duke arritur në 4.7% në </w:t>
      </w:r>
      <w:r w:rsidR="00453DEF" w:rsidRPr="00050FA4">
        <w:rPr>
          <w:lang w:val="sq-AL"/>
        </w:rPr>
        <w:t>prill</w:t>
      </w:r>
      <w:r w:rsidRPr="00050FA4">
        <w:rPr>
          <w:lang w:val="sq-AL"/>
        </w:rPr>
        <w:t xml:space="preserve">, kryesisht si pasojë e mbiçmimit nominal. Në muajt pasues, mbiçmimi real është ngadalësuar ndjeshëm, duke arritur 0.3% në terma vjetorë në </w:t>
      </w:r>
      <w:r w:rsidR="00453DEF" w:rsidRPr="00050FA4">
        <w:rPr>
          <w:lang w:val="sq-AL"/>
        </w:rPr>
        <w:t>tetor</w:t>
      </w:r>
      <w:r w:rsidRPr="00050FA4">
        <w:rPr>
          <w:lang w:val="sq-AL"/>
        </w:rPr>
        <w:t>. Diferenca në normë krahasuar me mbiçmimin nominal (që shënon 2.8% në terma vjetorë) lidhen me normat më të ul</w:t>
      </w:r>
      <w:r w:rsidR="001B4FB1" w:rsidRPr="00050FA4">
        <w:rPr>
          <w:lang w:val="sq-AL"/>
        </w:rPr>
        <w:t>ë</w:t>
      </w:r>
      <w:r w:rsidRPr="00050FA4">
        <w:rPr>
          <w:lang w:val="sq-AL"/>
        </w:rPr>
        <w:t>ta inflacioniste në vend krahasuar me vendet partnere.</w:t>
      </w:r>
    </w:p>
    <w:p w14:paraId="4C63A08C" w14:textId="2795132F" w:rsidR="00BC0117" w:rsidRPr="00050FA4" w:rsidRDefault="00BC0117" w:rsidP="003F1DA7">
      <w:pPr>
        <w:pStyle w:val="AAAAAAATEXXXX"/>
        <w:rPr>
          <w:lang w:val="sq-AL"/>
        </w:rPr>
      </w:pPr>
      <w:r w:rsidRPr="00050FA4">
        <w:rPr>
          <w:b/>
          <w:lang w:val="sq-AL"/>
        </w:rPr>
        <w:t>Flukset tregtare në mallra</w:t>
      </w:r>
      <w:r w:rsidRPr="00050FA4">
        <w:rPr>
          <w:lang w:val="sq-AL"/>
        </w:rPr>
        <w:t xml:space="preserve"> janë </w:t>
      </w:r>
      <w:r w:rsidR="001B4FB1" w:rsidRPr="00050FA4">
        <w:rPr>
          <w:lang w:val="sq-AL"/>
        </w:rPr>
        <w:t>rikuperuar</w:t>
      </w:r>
      <w:r w:rsidRPr="00050FA4">
        <w:rPr>
          <w:lang w:val="sq-AL"/>
        </w:rPr>
        <w:t xml:space="preserve"> përgjatë vitit 2021, pas goditjes që morën vitin e kaluar. Pothuaj të gjitha kategorit</w:t>
      </w:r>
      <w:r w:rsidR="00F33482" w:rsidRPr="00050FA4">
        <w:rPr>
          <w:lang w:val="sq-AL"/>
        </w:rPr>
        <w:t>ë kanë tejkaluar nivelet e para</w:t>
      </w:r>
      <w:r w:rsidRPr="00050FA4">
        <w:rPr>
          <w:lang w:val="sq-AL"/>
        </w:rPr>
        <w:t xml:space="preserve">pandemisë, me përjashtim të </w:t>
      </w:r>
      <w:r w:rsidR="008A0E5B" w:rsidRPr="00050FA4">
        <w:rPr>
          <w:lang w:val="sq-AL"/>
        </w:rPr>
        <w:t>“</w:t>
      </w:r>
      <w:r w:rsidRPr="00050FA4">
        <w:rPr>
          <w:lang w:val="sq-AL"/>
        </w:rPr>
        <w:t>Tekstileve</w:t>
      </w:r>
      <w:r w:rsidR="008A0E5B" w:rsidRPr="00050FA4">
        <w:rPr>
          <w:lang w:val="sq-AL"/>
        </w:rPr>
        <w:t>”</w:t>
      </w:r>
      <w:r w:rsidRPr="00050FA4">
        <w:rPr>
          <w:lang w:val="sq-AL"/>
        </w:rPr>
        <w:t>. Pas rënies së pësuar gjatë 2020, eksportet e kësaj kategorie kanë vazhduar të pakësohen edhe gjatë vitit 2021</w:t>
      </w:r>
      <w:r w:rsidR="00453DEF" w:rsidRPr="00050FA4">
        <w:rPr>
          <w:lang w:val="sq-AL"/>
        </w:rPr>
        <w:t>,</w:t>
      </w:r>
      <w:r w:rsidRPr="00050FA4">
        <w:rPr>
          <w:lang w:val="sq-AL"/>
        </w:rPr>
        <w:t xml:space="preserve"> si pasojë e performancës së dobët të sektorit të veshjeve dhe modës në Itali, importuesi kryesor i fasoneve shqiptar</w:t>
      </w:r>
      <w:r w:rsidR="00453DEF" w:rsidRPr="00050FA4">
        <w:rPr>
          <w:lang w:val="sq-AL"/>
        </w:rPr>
        <w:t>ë</w:t>
      </w:r>
      <w:r w:rsidRPr="00050FA4">
        <w:rPr>
          <w:lang w:val="sq-AL"/>
        </w:rPr>
        <w:t>. Për faktin që sektori në fjalë është ende pre e kufizimeve, edhe kërkesa e tij për importe ndikohet negativisht.</w:t>
      </w:r>
    </w:p>
    <w:p w14:paraId="0B09DA46" w14:textId="77777777" w:rsidR="00BC0117" w:rsidRPr="00050FA4" w:rsidRDefault="00BC0117" w:rsidP="003F1DA7">
      <w:pPr>
        <w:ind w:firstLine="284"/>
        <w:jc w:val="both"/>
        <w:rPr>
          <w:rFonts w:ascii="Garamond" w:hAnsi="Garamond" w:cstheme="majorBidi"/>
          <w:color w:val="0D0D0D" w:themeColor="text1" w:themeTint="F2"/>
          <w:sz w:val="18"/>
        </w:rPr>
      </w:pPr>
    </w:p>
    <w:tbl>
      <w:tblPr>
        <w:tblW w:w="9090" w:type="dxa"/>
        <w:jc w:val="center"/>
        <w:tblLayout w:type="fixed"/>
        <w:tblLook w:val="04A0" w:firstRow="1" w:lastRow="0" w:firstColumn="1" w:lastColumn="0" w:noHBand="0" w:noVBand="1"/>
      </w:tblPr>
      <w:tblGrid>
        <w:gridCol w:w="4864"/>
        <w:gridCol w:w="4226"/>
      </w:tblGrid>
      <w:tr w:rsidR="00FA29AB" w:rsidRPr="00050FA4" w14:paraId="3EA36B1C" w14:textId="77777777" w:rsidTr="00453DEF">
        <w:trPr>
          <w:trHeight w:val="2985"/>
          <w:jc w:val="center"/>
        </w:trPr>
        <w:tc>
          <w:tcPr>
            <w:tcW w:w="4864" w:type="dxa"/>
            <w:vAlign w:val="center"/>
            <w:hideMark/>
          </w:tcPr>
          <w:p w14:paraId="14076DB3" w14:textId="77777777" w:rsidR="00BC0117" w:rsidRPr="00050FA4" w:rsidRDefault="00BC0117" w:rsidP="00453DEF">
            <w:pPr>
              <w:pStyle w:val="AAAAAAATEXXXX"/>
              <w:ind w:firstLine="0"/>
              <w:jc w:val="center"/>
              <w:rPr>
                <w:b/>
                <w:sz w:val="20"/>
                <w:szCs w:val="20"/>
                <w:lang w:val="sq-AL"/>
              </w:rPr>
            </w:pPr>
            <w:r w:rsidRPr="00050FA4">
              <w:rPr>
                <w:b/>
                <w:sz w:val="20"/>
                <w:szCs w:val="20"/>
                <w:lang w:val="sq-AL"/>
              </w:rPr>
              <w:t>Grafik 3.2.7: Hapja tregtare, eksportet, importet dhe Investimet direkte neto si përqindje ndaj PBB-së</w:t>
            </w:r>
          </w:p>
          <w:p w14:paraId="7C081D54" w14:textId="6A62ED39" w:rsidR="00BC0117" w:rsidRPr="00050FA4" w:rsidRDefault="00BC0117" w:rsidP="00453DEF">
            <w:pPr>
              <w:pStyle w:val="AAAAAAATEXXXX"/>
              <w:ind w:firstLine="0"/>
              <w:jc w:val="center"/>
              <w:rPr>
                <w:lang w:val="sq-AL"/>
              </w:rPr>
            </w:pPr>
            <w:r w:rsidRPr="00050FA4">
              <w:rPr>
                <w:noProof/>
              </w:rPr>
              <w:drawing>
                <wp:inline distT="0" distB="0" distL="0" distR="0" wp14:anchorId="3C3EE6AD" wp14:editId="2F36F508">
                  <wp:extent cx="2828925" cy="18954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28925" cy="1895475"/>
                          </a:xfrm>
                          <a:prstGeom prst="rect">
                            <a:avLst/>
                          </a:prstGeom>
                          <a:noFill/>
                          <a:ln>
                            <a:noFill/>
                          </a:ln>
                        </pic:spPr>
                      </pic:pic>
                    </a:graphicData>
                  </a:graphic>
                </wp:inline>
              </w:drawing>
            </w:r>
          </w:p>
        </w:tc>
        <w:tc>
          <w:tcPr>
            <w:tcW w:w="4226" w:type="dxa"/>
            <w:vAlign w:val="center"/>
            <w:hideMark/>
          </w:tcPr>
          <w:p w14:paraId="5E5A0D49" w14:textId="77777777" w:rsidR="00BC0117" w:rsidRPr="00050FA4" w:rsidRDefault="00BC0117" w:rsidP="00453DEF">
            <w:pPr>
              <w:pStyle w:val="AAAAAAATEXXXX"/>
              <w:ind w:firstLine="0"/>
              <w:jc w:val="center"/>
              <w:rPr>
                <w:b/>
                <w:sz w:val="20"/>
                <w:szCs w:val="20"/>
                <w:lang w:val="sq-AL"/>
              </w:rPr>
            </w:pPr>
            <w:r w:rsidRPr="00050FA4">
              <w:rPr>
                <w:b/>
                <w:sz w:val="20"/>
                <w:szCs w:val="20"/>
                <w:lang w:val="sq-AL"/>
              </w:rPr>
              <w:t>Grafik 3.2.8: Ndryshimet vjetore nominale dhe reale të kursit efektiv të këmbimit (%)</w:t>
            </w:r>
          </w:p>
          <w:p w14:paraId="3FBC8768" w14:textId="4F039E48" w:rsidR="00BC0117" w:rsidRPr="00050FA4" w:rsidRDefault="00BC0117" w:rsidP="00453DEF">
            <w:pPr>
              <w:pStyle w:val="AAAAAAATEXXXX"/>
              <w:ind w:firstLine="0"/>
              <w:jc w:val="center"/>
              <w:rPr>
                <w:lang w:val="sq-AL"/>
              </w:rPr>
            </w:pPr>
            <w:r w:rsidRPr="00050FA4">
              <w:rPr>
                <w:noProof/>
              </w:rPr>
              <w:drawing>
                <wp:inline distT="0" distB="0" distL="0" distR="0" wp14:anchorId="54245296" wp14:editId="2A425D57">
                  <wp:extent cx="2552700" cy="1895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52700" cy="1895475"/>
                          </a:xfrm>
                          <a:prstGeom prst="rect">
                            <a:avLst/>
                          </a:prstGeom>
                          <a:noFill/>
                          <a:ln>
                            <a:noFill/>
                          </a:ln>
                        </pic:spPr>
                      </pic:pic>
                    </a:graphicData>
                  </a:graphic>
                </wp:inline>
              </w:drawing>
            </w:r>
          </w:p>
        </w:tc>
      </w:tr>
    </w:tbl>
    <w:p w14:paraId="1E50F235" w14:textId="77777777" w:rsidR="00BC0117" w:rsidRPr="00050FA4" w:rsidRDefault="00BC0117" w:rsidP="003F1DA7">
      <w:pPr>
        <w:pStyle w:val="AAAAAAATEXXXX"/>
        <w:jc w:val="center"/>
        <w:rPr>
          <w:sz w:val="20"/>
          <w:szCs w:val="20"/>
          <w:lang w:val="sq-AL"/>
        </w:rPr>
      </w:pPr>
      <w:r w:rsidRPr="00050FA4">
        <w:rPr>
          <w:sz w:val="20"/>
          <w:szCs w:val="20"/>
          <w:lang w:val="sq-AL"/>
        </w:rPr>
        <w:t>Burimi: Banka e Shqipërisë, INSTAT</w:t>
      </w:r>
    </w:p>
    <w:p w14:paraId="22689759" w14:textId="77777777" w:rsidR="00BC0117" w:rsidRPr="00050FA4" w:rsidRDefault="00BC0117" w:rsidP="003F1DA7">
      <w:pPr>
        <w:ind w:firstLine="284"/>
        <w:jc w:val="both"/>
        <w:rPr>
          <w:rFonts w:ascii="Garamond" w:hAnsi="Garamond" w:cstheme="majorBidi"/>
          <w:color w:val="0D0D0D" w:themeColor="text1" w:themeTint="F2"/>
        </w:rPr>
      </w:pPr>
    </w:p>
    <w:p w14:paraId="2182FEBC" w14:textId="27DC6D69" w:rsidR="00BC0117" w:rsidRPr="00050FA4" w:rsidRDefault="00BC0117" w:rsidP="003F1DA7">
      <w:pPr>
        <w:pStyle w:val="AAAAAAATEXXXX"/>
        <w:rPr>
          <w:lang w:val="sq-AL"/>
        </w:rPr>
      </w:pPr>
      <w:r w:rsidRPr="00050FA4">
        <w:rPr>
          <w:lang w:val="sq-AL"/>
        </w:rPr>
        <w:t>Dekompozimi i eksporteve shqiptare</w:t>
      </w:r>
      <w:r w:rsidR="00453DEF" w:rsidRPr="00050FA4">
        <w:rPr>
          <w:lang w:val="sq-AL"/>
        </w:rPr>
        <w:t>,</w:t>
      </w:r>
      <w:r w:rsidRPr="00050FA4">
        <w:rPr>
          <w:lang w:val="sq-AL"/>
        </w:rPr>
        <w:t xml:space="preserve"> sipas </w:t>
      </w:r>
      <w:r w:rsidR="00453DEF" w:rsidRPr="00050FA4">
        <w:rPr>
          <w:lang w:val="sq-AL"/>
        </w:rPr>
        <w:t xml:space="preserve">përpjesëve konstante të tregut </w:t>
      </w:r>
      <w:r w:rsidRPr="00050FA4">
        <w:rPr>
          <w:lang w:val="sq-AL"/>
        </w:rPr>
        <w:t>(PKT)</w:t>
      </w:r>
      <w:r w:rsidRPr="00050FA4">
        <w:rPr>
          <w:vertAlign w:val="superscript"/>
          <w:lang w:val="sq-AL"/>
        </w:rPr>
        <w:footnoteReference w:id="4"/>
      </w:r>
      <w:r w:rsidR="00453DEF" w:rsidRPr="00050FA4">
        <w:rPr>
          <w:lang w:val="sq-AL"/>
        </w:rPr>
        <w:t>,</w:t>
      </w:r>
      <w:r w:rsidRPr="00050FA4">
        <w:rPr>
          <w:lang w:val="sq-AL"/>
        </w:rPr>
        <w:t xml:space="preserve"> dëshmon se rënia e eksporteve botërore ka qenë faktori kryesor pas ngushtimit të eksporteve shqiptare drejt vendeve të BE-15 gjatë vitit 2020. Pason konkurrueshmëria me disa ndikime të vogla negative nga struktura sipas kategorive. Në rastin e eksporteve drejt vendeve të CEFTA-s, rënia e eksporteve botërore ka qenë faktori kryesor</w:t>
      </w:r>
      <w:r w:rsidR="00453DEF" w:rsidRPr="00050FA4">
        <w:rPr>
          <w:lang w:val="sq-AL"/>
        </w:rPr>
        <w:t>,</w:t>
      </w:r>
      <w:r w:rsidRPr="00050FA4">
        <w:rPr>
          <w:lang w:val="sq-AL"/>
        </w:rPr>
        <w:t xml:space="preserve"> pasuar nga struktura sipas kategorive dhe shpërndarja e tregut. Nga ana tjetër, në këtë rast, konkurrueshmëria ka dhënë një ndikim pozitiv duke shërbyer si kundërbalancë.</w:t>
      </w:r>
    </w:p>
    <w:p w14:paraId="39733E20" w14:textId="77777777" w:rsidR="00BC0117" w:rsidRPr="00050FA4" w:rsidRDefault="00BC0117" w:rsidP="003F1DA7">
      <w:pPr>
        <w:ind w:firstLine="284"/>
        <w:jc w:val="both"/>
        <w:rPr>
          <w:rFonts w:ascii="Garamond" w:hAnsi="Garamond" w:cstheme="majorBidi"/>
          <w:color w:val="0D0D0D" w:themeColor="text1" w:themeTint="F2"/>
        </w:rPr>
      </w:pPr>
    </w:p>
    <w:p w14:paraId="15232493" w14:textId="39F53707" w:rsidR="00BC0117" w:rsidRPr="00050FA4" w:rsidRDefault="007366D6" w:rsidP="003F1DA7">
      <w:pPr>
        <w:pStyle w:val="AAAAAAATEXXXX"/>
        <w:jc w:val="center"/>
        <w:rPr>
          <w:b/>
          <w:sz w:val="20"/>
          <w:szCs w:val="20"/>
          <w:lang w:val="sq-AL"/>
        </w:rPr>
      </w:pPr>
      <w:r w:rsidRPr="00050FA4">
        <w:rPr>
          <w:b/>
          <w:sz w:val="20"/>
          <w:szCs w:val="20"/>
          <w:lang w:val="sq-AL"/>
        </w:rPr>
        <w:t xml:space="preserve">Tabelë 3.2.3 </w:t>
      </w:r>
      <w:r w:rsidR="00BC0117" w:rsidRPr="00050FA4">
        <w:rPr>
          <w:b/>
          <w:sz w:val="20"/>
          <w:szCs w:val="20"/>
          <w:lang w:val="sq-AL"/>
        </w:rPr>
        <w:t xml:space="preserve">Dekompozimi i eksporteve </w:t>
      </w:r>
      <w:r w:rsidR="001B4FB1" w:rsidRPr="00050FA4">
        <w:rPr>
          <w:b/>
          <w:sz w:val="20"/>
          <w:szCs w:val="20"/>
          <w:lang w:val="sq-AL"/>
        </w:rPr>
        <w:t>shqiptare</w:t>
      </w:r>
      <w:r w:rsidR="00BC0117" w:rsidRPr="00050FA4">
        <w:rPr>
          <w:b/>
          <w:sz w:val="20"/>
          <w:szCs w:val="20"/>
          <w:lang w:val="sq-AL"/>
        </w:rPr>
        <w:t xml:space="preserve"> sipas metodës PKT (milion</w:t>
      </w:r>
      <w:r w:rsidR="00453DEF" w:rsidRPr="00050FA4">
        <w:rPr>
          <w:b/>
          <w:sz w:val="20"/>
          <w:szCs w:val="20"/>
          <w:lang w:val="sq-AL"/>
        </w:rPr>
        <w:t>ë</w:t>
      </w:r>
      <w:r w:rsidR="00BC0117" w:rsidRPr="00050FA4">
        <w:rPr>
          <w:b/>
          <w:sz w:val="20"/>
          <w:szCs w:val="20"/>
          <w:lang w:val="sq-AL"/>
        </w:rPr>
        <w:t xml:space="preserve"> </w:t>
      </w:r>
      <w:r w:rsidRPr="00050FA4">
        <w:rPr>
          <w:b/>
          <w:sz w:val="20"/>
          <w:szCs w:val="20"/>
          <w:lang w:val="sq-AL"/>
        </w:rPr>
        <w:t>euro</w:t>
      </w:r>
      <w:r w:rsidR="00BC0117" w:rsidRPr="00050FA4">
        <w:rPr>
          <w:b/>
          <w:sz w:val="20"/>
          <w:szCs w:val="20"/>
          <w:lang w:val="sq-AL"/>
        </w:rPr>
        <w:t>)</w:t>
      </w:r>
    </w:p>
    <w:tbl>
      <w:tblPr>
        <w:tblStyle w:val="GridTable1Light11"/>
        <w:tblW w:w="5000" w:type="pct"/>
        <w:tblLook w:val="00A0" w:firstRow="1" w:lastRow="0" w:firstColumn="1" w:lastColumn="0" w:noHBand="0" w:noVBand="0"/>
      </w:tblPr>
      <w:tblGrid>
        <w:gridCol w:w="6266"/>
        <w:gridCol w:w="1772"/>
        <w:gridCol w:w="2078"/>
      </w:tblGrid>
      <w:tr w:rsidR="00FA29AB" w:rsidRPr="00050FA4" w14:paraId="717A3A45" w14:textId="77777777" w:rsidTr="007366D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97" w:type="pct"/>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03ED1CE" w14:textId="77777777" w:rsidR="00BC0117" w:rsidRPr="00050FA4" w:rsidRDefault="00BC0117" w:rsidP="007366D6">
            <w:pPr>
              <w:jc w:val="both"/>
              <w:rPr>
                <w:rFonts w:ascii="Garamond" w:hAnsi="Garamond" w:cstheme="majorBidi"/>
                <w:color w:val="0D0D0D" w:themeColor="text1" w:themeTint="F2"/>
                <w:sz w:val="20"/>
                <w:szCs w:val="20"/>
              </w:rPr>
            </w:pPr>
          </w:p>
        </w:tc>
        <w:tc>
          <w:tcPr>
            <w:tcW w:w="1903" w:type="pct"/>
            <w:gridSpan w:val="2"/>
            <w:tcBorders>
              <w:top w:val="single" w:sz="4" w:space="0" w:color="999999" w:themeColor="text1" w:themeTint="66"/>
              <w:left w:val="single" w:sz="4" w:space="0" w:color="999999" w:themeColor="text1" w:themeTint="66"/>
              <w:right w:val="single" w:sz="4" w:space="0" w:color="999999" w:themeColor="text1" w:themeTint="66"/>
            </w:tcBorders>
            <w:hideMark/>
          </w:tcPr>
          <w:p w14:paraId="05037A5F" w14:textId="77777777" w:rsidR="00BC0117" w:rsidRPr="00050FA4" w:rsidRDefault="00BC0117" w:rsidP="007366D6">
            <w:pPr>
              <w:jc w:val="center"/>
              <w:cnfStyle w:val="100000000000" w:firstRow="1"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2020</w:t>
            </w:r>
          </w:p>
        </w:tc>
      </w:tr>
      <w:tr w:rsidR="00FA29AB" w:rsidRPr="00050FA4" w14:paraId="31F9D856" w14:textId="77777777" w:rsidTr="007366D6">
        <w:trPr>
          <w:trHeight w:val="20"/>
        </w:trPr>
        <w:tc>
          <w:tcPr>
            <w:cnfStyle w:val="001000000000" w:firstRow="0" w:lastRow="0" w:firstColumn="1" w:lastColumn="0" w:oddVBand="0" w:evenVBand="0" w:oddHBand="0" w:evenHBand="0" w:firstRowFirstColumn="0" w:firstRowLastColumn="0" w:lastRowFirstColumn="0" w:lastRowLastColumn="0"/>
            <w:tcW w:w="3097" w:type="pct"/>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91A5446" w14:textId="77777777" w:rsidR="00BC0117" w:rsidRPr="00050FA4" w:rsidRDefault="00BC0117" w:rsidP="007366D6">
            <w:pPr>
              <w:rPr>
                <w:rFonts w:ascii="Garamond" w:hAnsi="Garamond" w:cstheme="majorBidi"/>
                <w:color w:val="0D0D0D" w:themeColor="text1" w:themeTint="F2"/>
                <w:sz w:val="20"/>
                <w:szCs w:val="20"/>
              </w:rPr>
            </w:pPr>
          </w:p>
        </w:tc>
        <w:tc>
          <w:tcPr>
            <w:tcW w:w="876"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21FE803"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color w:val="0D0D0D" w:themeColor="text1" w:themeTint="F2"/>
                <w:sz w:val="20"/>
                <w:szCs w:val="20"/>
              </w:rPr>
            </w:pPr>
            <w:r w:rsidRPr="00050FA4">
              <w:rPr>
                <w:rFonts w:ascii="Garamond" w:hAnsi="Garamond" w:cstheme="majorBidi"/>
                <w:b/>
                <w:color w:val="0D0D0D" w:themeColor="text1" w:themeTint="F2"/>
                <w:sz w:val="20"/>
                <w:szCs w:val="20"/>
              </w:rPr>
              <w:t>BE-15</w:t>
            </w:r>
          </w:p>
        </w:tc>
        <w:tc>
          <w:tcPr>
            <w:tcW w:w="102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D1461D5"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color w:val="0D0D0D" w:themeColor="text1" w:themeTint="F2"/>
                <w:sz w:val="20"/>
                <w:szCs w:val="20"/>
              </w:rPr>
            </w:pPr>
            <w:r w:rsidRPr="00050FA4">
              <w:rPr>
                <w:rFonts w:ascii="Garamond" w:hAnsi="Garamond" w:cstheme="majorBidi"/>
                <w:b/>
                <w:color w:val="0D0D0D" w:themeColor="text1" w:themeTint="F2"/>
                <w:sz w:val="20"/>
                <w:szCs w:val="20"/>
              </w:rPr>
              <w:t>CEFTA</w:t>
            </w:r>
          </w:p>
        </w:tc>
      </w:tr>
      <w:tr w:rsidR="00FA29AB" w:rsidRPr="00050FA4" w14:paraId="22A28D66" w14:textId="77777777" w:rsidTr="007366D6">
        <w:trPr>
          <w:trHeight w:val="20"/>
        </w:trPr>
        <w:tc>
          <w:tcPr>
            <w:cnfStyle w:val="001000000000" w:firstRow="0" w:lastRow="0" w:firstColumn="1" w:lastColumn="0" w:oddVBand="0" w:evenVBand="0" w:oddHBand="0" w:evenHBand="0" w:firstRowFirstColumn="0" w:firstRowLastColumn="0" w:lastRowFirstColumn="0" w:lastRowLastColumn="0"/>
            <w:tcW w:w="309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8ED2F4F" w14:textId="77777777" w:rsidR="00BC0117" w:rsidRPr="00050FA4" w:rsidRDefault="00BC0117" w:rsidP="007366D6">
            <w:pPr>
              <w:jc w:val="both"/>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Rritja e eksporteve botërore</w:t>
            </w:r>
          </w:p>
        </w:tc>
        <w:tc>
          <w:tcPr>
            <w:tcW w:w="876"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E3CE243"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-162.4</w:t>
            </w:r>
          </w:p>
        </w:tc>
        <w:tc>
          <w:tcPr>
            <w:tcW w:w="102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0C0E1C9"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-41.0</w:t>
            </w:r>
          </w:p>
        </w:tc>
      </w:tr>
      <w:tr w:rsidR="00FA29AB" w:rsidRPr="00050FA4" w14:paraId="2C90000D" w14:textId="77777777" w:rsidTr="007366D6">
        <w:trPr>
          <w:trHeight w:val="20"/>
        </w:trPr>
        <w:tc>
          <w:tcPr>
            <w:cnfStyle w:val="001000000000" w:firstRow="0" w:lastRow="0" w:firstColumn="1" w:lastColumn="0" w:oddVBand="0" w:evenVBand="0" w:oddHBand="0" w:evenHBand="0" w:firstRowFirstColumn="0" w:firstRowLastColumn="0" w:lastRowFirstColumn="0" w:lastRowLastColumn="0"/>
            <w:tcW w:w="309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117506E" w14:textId="77777777" w:rsidR="00BC0117" w:rsidRPr="00050FA4" w:rsidRDefault="00BC0117" w:rsidP="007366D6">
            <w:pPr>
              <w:jc w:val="both"/>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Struktura sipas kategorive</w:t>
            </w:r>
          </w:p>
        </w:tc>
        <w:tc>
          <w:tcPr>
            <w:tcW w:w="876"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67565A7"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-0.6</w:t>
            </w:r>
          </w:p>
        </w:tc>
        <w:tc>
          <w:tcPr>
            <w:tcW w:w="102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0C97B67"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-6.7</w:t>
            </w:r>
          </w:p>
        </w:tc>
      </w:tr>
      <w:tr w:rsidR="00FA29AB" w:rsidRPr="00050FA4" w14:paraId="795808F4" w14:textId="77777777" w:rsidTr="007366D6">
        <w:trPr>
          <w:trHeight w:val="20"/>
        </w:trPr>
        <w:tc>
          <w:tcPr>
            <w:cnfStyle w:val="001000000000" w:firstRow="0" w:lastRow="0" w:firstColumn="1" w:lastColumn="0" w:oddVBand="0" w:evenVBand="0" w:oddHBand="0" w:evenHBand="0" w:firstRowFirstColumn="0" w:firstRowLastColumn="0" w:lastRowFirstColumn="0" w:lastRowLastColumn="0"/>
            <w:tcW w:w="309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B5EC033" w14:textId="77777777" w:rsidR="00BC0117" w:rsidRPr="00050FA4" w:rsidRDefault="00BC0117" w:rsidP="007366D6">
            <w:pPr>
              <w:jc w:val="both"/>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Shpërndarja e tregut</w:t>
            </w:r>
          </w:p>
        </w:tc>
        <w:tc>
          <w:tcPr>
            <w:tcW w:w="876"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003752"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26.2</w:t>
            </w:r>
          </w:p>
        </w:tc>
        <w:tc>
          <w:tcPr>
            <w:tcW w:w="102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C5739FA"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-5.4</w:t>
            </w:r>
          </w:p>
        </w:tc>
      </w:tr>
      <w:tr w:rsidR="00FA29AB" w:rsidRPr="00050FA4" w14:paraId="7D49C4AF" w14:textId="77777777" w:rsidTr="007366D6">
        <w:trPr>
          <w:trHeight w:val="20"/>
        </w:trPr>
        <w:tc>
          <w:tcPr>
            <w:cnfStyle w:val="001000000000" w:firstRow="0" w:lastRow="0" w:firstColumn="1" w:lastColumn="0" w:oddVBand="0" w:evenVBand="0" w:oddHBand="0" w:evenHBand="0" w:firstRowFirstColumn="0" w:firstRowLastColumn="0" w:lastRowFirstColumn="0" w:lastRowLastColumn="0"/>
            <w:tcW w:w="309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15C7060" w14:textId="77777777" w:rsidR="00BC0117" w:rsidRPr="00050FA4" w:rsidRDefault="00BC0117" w:rsidP="007366D6">
            <w:pPr>
              <w:jc w:val="both"/>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Konkurrueshmëria</w:t>
            </w:r>
          </w:p>
        </w:tc>
        <w:tc>
          <w:tcPr>
            <w:tcW w:w="876"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24FF6E8"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-68.3</w:t>
            </w:r>
          </w:p>
        </w:tc>
        <w:tc>
          <w:tcPr>
            <w:tcW w:w="102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0BFE891"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31.2</w:t>
            </w:r>
          </w:p>
        </w:tc>
      </w:tr>
      <w:tr w:rsidR="00FA29AB" w:rsidRPr="00050FA4" w14:paraId="180EEB20" w14:textId="77777777" w:rsidTr="007366D6">
        <w:trPr>
          <w:trHeight w:val="20"/>
        </w:trPr>
        <w:tc>
          <w:tcPr>
            <w:cnfStyle w:val="001000000000" w:firstRow="0" w:lastRow="0" w:firstColumn="1" w:lastColumn="0" w:oddVBand="0" w:evenVBand="0" w:oddHBand="0" w:evenHBand="0" w:firstRowFirstColumn="0" w:firstRowLastColumn="0" w:lastRowFirstColumn="0" w:lastRowLastColumn="0"/>
            <w:tcW w:w="309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20B6EC1" w14:textId="77777777" w:rsidR="00BC0117" w:rsidRPr="00050FA4" w:rsidRDefault="00BC0117" w:rsidP="007366D6">
            <w:pPr>
              <w:jc w:val="both"/>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Total</w:t>
            </w:r>
          </w:p>
        </w:tc>
        <w:tc>
          <w:tcPr>
            <w:tcW w:w="876"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BA49B48"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-205.1</w:t>
            </w:r>
          </w:p>
        </w:tc>
        <w:tc>
          <w:tcPr>
            <w:tcW w:w="1027" w:type="pc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E609B3" w14:textId="77777777" w:rsidR="00BC0117" w:rsidRPr="00050FA4" w:rsidRDefault="00BC0117" w:rsidP="007366D6">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color w:val="0D0D0D" w:themeColor="text1" w:themeTint="F2"/>
                <w:sz w:val="20"/>
                <w:szCs w:val="20"/>
              </w:rPr>
            </w:pPr>
            <w:r w:rsidRPr="00050FA4">
              <w:rPr>
                <w:rFonts w:ascii="Garamond" w:hAnsi="Garamond" w:cstheme="majorBidi"/>
                <w:color w:val="0D0D0D" w:themeColor="text1" w:themeTint="F2"/>
                <w:sz w:val="20"/>
                <w:szCs w:val="20"/>
              </w:rPr>
              <w:t>-22.0</w:t>
            </w:r>
          </w:p>
        </w:tc>
      </w:tr>
    </w:tbl>
    <w:p w14:paraId="0F5EEEF7" w14:textId="3ECD6298" w:rsidR="00BC0117" w:rsidRPr="00050FA4" w:rsidRDefault="00BC0117" w:rsidP="003F1DA7">
      <w:pPr>
        <w:pStyle w:val="AAAAAAATEXXXX"/>
        <w:jc w:val="center"/>
        <w:rPr>
          <w:sz w:val="20"/>
          <w:szCs w:val="20"/>
          <w:lang w:val="sq-AL"/>
        </w:rPr>
      </w:pPr>
      <w:r w:rsidRPr="00050FA4">
        <w:rPr>
          <w:sz w:val="20"/>
          <w:szCs w:val="20"/>
          <w:lang w:val="sq-AL"/>
        </w:rPr>
        <w:t>Burimi: Banka e Shqipërisë, INSTAT, UN Comtrade</w:t>
      </w:r>
    </w:p>
    <w:p w14:paraId="48022005" w14:textId="77777777" w:rsidR="00BC0117" w:rsidRPr="00050FA4" w:rsidRDefault="00BC0117" w:rsidP="003F1DA7">
      <w:pPr>
        <w:ind w:firstLine="284"/>
        <w:jc w:val="both"/>
        <w:rPr>
          <w:rFonts w:ascii="Garamond" w:hAnsi="Garamond" w:cstheme="majorBidi"/>
          <w:color w:val="0D0D0D" w:themeColor="text1" w:themeTint="F2"/>
        </w:rPr>
      </w:pPr>
    </w:p>
    <w:p w14:paraId="149332B1" w14:textId="0A9C1AAD" w:rsidR="00BC0117" w:rsidRPr="00050FA4" w:rsidRDefault="00BC0117" w:rsidP="003F1DA7">
      <w:pPr>
        <w:pStyle w:val="AAAAAAATEXXXX"/>
        <w:rPr>
          <w:lang w:val="sq-AL"/>
        </w:rPr>
      </w:pPr>
      <w:r w:rsidRPr="00050FA4">
        <w:rPr>
          <w:b/>
          <w:lang w:val="sq-AL"/>
        </w:rPr>
        <w:t>Suficiti i shërbimeve</w:t>
      </w:r>
      <w:r w:rsidRPr="00050FA4">
        <w:rPr>
          <w:lang w:val="sq-AL"/>
        </w:rPr>
        <w:t xml:space="preserve"> është </w:t>
      </w:r>
      <w:r w:rsidR="001B4FB1" w:rsidRPr="00050FA4">
        <w:rPr>
          <w:lang w:val="sq-AL"/>
        </w:rPr>
        <w:t>rikuperuar</w:t>
      </w:r>
      <w:r w:rsidRPr="00050FA4">
        <w:rPr>
          <w:lang w:val="sq-AL"/>
        </w:rPr>
        <w:t xml:space="preserve"> pas goditjes së rëndë që përjetoi gjatë vitit 2020. Udhëtimet (turizmi) kanë qenë faktori kryesor. Lehtësimi i masave kufizue</w:t>
      </w:r>
      <w:r w:rsidR="001B4FB1" w:rsidRPr="00050FA4">
        <w:rPr>
          <w:lang w:val="sq-AL"/>
        </w:rPr>
        <w:t>s</w:t>
      </w:r>
      <w:r w:rsidRPr="00050FA4">
        <w:rPr>
          <w:lang w:val="sq-AL"/>
        </w:rPr>
        <w:t xml:space="preserve">e ndaj lëvizjes ndërkombëtare, veçanërisht gjatë tremujorit të dytë 2021, nxitën flukset e shërbimeve. Si rezultat, eksportet e shërbimeve u rritën me 47.7% për gjysmën e parë 2021 dhe 165.5% për 2021T2. Importet e shërbimeve u zgjeruan me 27.2% dhe 122.1% respektivisht në gjysmën e parë dhe tremujorin e dytë 2021. Si rrjedhojë, suficiti i shërbimeve është rritur me 75.8% për gjysmën e parë 2021 dhe 221.5% në 2021T2. Statistikat e udhëtarëve sugjerojnë për rritje të përpjesës së të ardhurve nga Kosova. Pavarësisht, normave të larta të rritjes, flukset e shërbimeve mbeten nën nivelet e para pandemisë (ndryshe nga mallrat). Gjithashtu, hendeku është më i thellë në rastin e importeve, pasi kufizimet ndërkombëtare ndaj lëvizjes së shqiptarëve janë më të forta krahasuar me ato </w:t>
      </w:r>
      <w:r w:rsidR="00643BAF" w:rsidRPr="00050FA4">
        <w:rPr>
          <w:lang w:val="sq-AL"/>
        </w:rPr>
        <w:t>vendës</w:t>
      </w:r>
      <w:r w:rsidRPr="00050FA4">
        <w:rPr>
          <w:lang w:val="sq-AL"/>
        </w:rPr>
        <w:t>e ndaj të huajve.</w:t>
      </w:r>
    </w:p>
    <w:p w14:paraId="6E0C5FBA" w14:textId="174BC4AB" w:rsidR="00BC0117" w:rsidRPr="00050FA4" w:rsidRDefault="00BC0117" w:rsidP="003F1DA7">
      <w:pPr>
        <w:pStyle w:val="AAAAAAATEXXXX"/>
        <w:rPr>
          <w:lang w:val="sq-AL"/>
        </w:rPr>
      </w:pPr>
      <w:r w:rsidRPr="00050FA4">
        <w:rPr>
          <w:b/>
          <w:lang w:val="sq-AL"/>
        </w:rPr>
        <w:t>Deficiti i të ardhurave primare</w:t>
      </w:r>
      <w:r w:rsidRPr="00050FA4">
        <w:rPr>
          <w:lang w:val="sq-AL"/>
        </w:rPr>
        <w:t xml:space="preserve"> u zgjerua në terma vjetor</w:t>
      </w:r>
      <w:r w:rsidR="00A7354F" w:rsidRPr="00050FA4">
        <w:rPr>
          <w:lang w:val="sq-AL"/>
        </w:rPr>
        <w:t>ë</w:t>
      </w:r>
      <w:r w:rsidRPr="00050FA4">
        <w:rPr>
          <w:lang w:val="sq-AL"/>
        </w:rPr>
        <w:t xml:space="preserve"> më 45.7 milionë euro gjatë gjysmës së parë 2021, duke iu shtuar përkeqësimit të përjetuar gjatë vitit 2020. Kjo lidhet kryesisht me të ardhurat dalëse në rritje të lidhura me investimet (ato direkte). Nga ana tjetër, të ardhurat hyrëse të </w:t>
      </w:r>
      <w:r w:rsidR="008A0E5B" w:rsidRPr="00050FA4">
        <w:rPr>
          <w:lang w:val="sq-AL"/>
        </w:rPr>
        <w:t>“</w:t>
      </w:r>
      <w:r w:rsidRPr="00050FA4">
        <w:rPr>
          <w:lang w:val="sq-AL"/>
        </w:rPr>
        <w:t>kompensimit të punonjësve</w:t>
      </w:r>
      <w:r w:rsidR="008A0E5B" w:rsidRPr="00050FA4">
        <w:rPr>
          <w:lang w:val="sq-AL"/>
        </w:rPr>
        <w:t>”</w:t>
      </w:r>
      <w:r w:rsidRPr="00050FA4">
        <w:rPr>
          <w:lang w:val="sq-AL"/>
        </w:rPr>
        <w:t xml:space="preserve"> nuk janë </w:t>
      </w:r>
      <w:r w:rsidR="00AF360F" w:rsidRPr="00050FA4">
        <w:rPr>
          <w:lang w:val="sq-AL"/>
        </w:rPr>
        <w:t>rikuperuar</w:t>
      </w:r>
      <w:r w:rsidRPr="00050FA4">
        <w:rPr>
          <w:lang w:val="sq-AL"/>
        </w:rPr>
        <w:t xml:space="preserve"> ende, pasi punonjësit </w:t>
      </w:r>
      <w:r w:rsidR="00643BAF" w:rsidRPr="00050FA4">
        <w:rPr>
          <w:lang w:val="sq-AL"/>
        </w:rPr>
        <w:t>vendës</w:t>
      </w:r>
      <w:r w:rsidRPr="00050FA4">
        <w:rPr>
          <w:lang w:val="sq-AL"/>
        </w:rPr>
        <w:t xml:space="preserve"> sezonalë ballafaqohen ende me kufizime kur udhëtojnë jashtë vendit për të punuar. </w:t>
      </w:r>
    </w:p>
    <w:p w14:paraId="6BC161F2" w14:textId="77777777" w:rsidR="00BC0117" w:rsidRPr="00050FA4" w:rsidRDefault="00BC0117" w:rsidP="003F1DA7">
      <w:pPr>
        <w:pStyle w:val="AAAAAAATEXXXX"/>
        <w:rPr>
          <w:lang w:val="sq-AL"/>
        </w:rPr>
      </w:pPr>
      <w:r w:rsidRPr="00050FA4">
        <w:rPr>
          <w:b/>
          <w:lang w:val="sq-AL"/>
        </w:rPr>
        <w:t>Suficiti i të ardhurave dytësore</w:t>
      </w:r>
      <w:r w:rsidRPr="00050FA4">
        <w:rPr>
          <w:lang w:val="sq-AL"/>
        </w:rPr>
        <w:t xml:space="preserve"> u zgjeruan në terma vjetorë me 23.3% gjatë gjysmës së parë 2021 nxitur nga rritja e fluksit të remitancave. Rritja vjetore e tyre shënoi 24.4% për gjysmën e parë të vitit 2021 dhe 41.8% për tremujorin e dytë. Prurjet e remitancave kanë shfaqur performancë të mirë edhe në gjysmën e dytë të vitit 2020 (me rritje vjetore afër niveleve dyshifrore) pas goditjes së pësuar në 2020T2. Emigrantët kanë shtuar dërgesat për të ndihmuar familjarët e tyre gjatë periudhës së vështirë të pandemisë. Rritja e fortë në 2021T2 lidhet edhe me një efekt të fortë bazë nga viti i kaluar.</w:t>
      </w:r>
    </w:p>
    <w:p w14:paraId="74D77905" w14:textId="181F676C" w:rsidR="00BC0117" w:rsidRPr="00050FA4" w:rsidRDefault="00BC0117" w:rsidP="003F1DA7">
      <w:pPr>
        <w:pStyle w:val="AAAAAAATEXXXX"/>
        <w:rPr>
          <w:lang w:val="sq-AL"/>
        </w:rPr>
      </w:pPr>
      <w:r w:rsidRPr="00050FA4">
        <w:rPr>
          <w:lang w:val="sq-AL"/>
        </w:rPr>
        <w:t>Me përmirësimin e mëtejshëm të situatës, flukset tregtare dhe financiare pritet të vazhdojnë trendin përmirësues gjatë gjysmës së dytë të vitit 2021, ndonëse me norma rritjeje më të ngadalta. Shërbimet pritet të japin një ndikim të qenësishëm pozitiv në zhvillimet e deficitit korrent për tremujorin e tretë, sugjeruar kjo nga ecuria pozitive e sektorit turistik. Nënllogaria e të ardhurave pritet të shfaqë</w:t>
      </w:r>
      <w:r w:rsidR="001B6140" w:rsidRPr="00050FA4">
        <w:rPr>
          <w:lang w:val="sq-AL"/>
        </w:rPr>
        <w:t>,</w:t>
      </w:r>
      <w:r w:rsidRPr="00050FA4">
        <w:rPr>
          <w:lang w:val="sq-AL"/>
        </w:rPr>
        <w:t xml:space="preserve"> gjithashtu</w:t>
      </w:r>
      <w:r w:rsidR="001B6140" w:rsidRPr="00050FA4">
        <w:rPr>
          <w:lang w:val="sq-AL"/>
        </w:rPr>
        <w:t>,</w:t>
      </w:r>
      <w:r w:rsidRPr="00050FA4">
        <w:rPr>
          <w:lang w:val="sq-AL"/>
        </w:rPr>
        <w:t xml:space="preserve"> përmirësim e nxitur nga rritja e vazhdueshme e remitancave. Bazuar në </w:t>
      </w:r>
      <w:r w:rsidR="00AF360F" w:rsidRPr="00050FA4">
        <w:rPr>
          <w:lang w:val="sq-AL"/>
        </w:rPr>
        <w:t>rikuperimin</w:t>
      </w:r>
      <w:r w:rsidRPr="00050FA4">
        <w:rPr>
          <w:lang w:val="sq-AL"/>
        </w:rPr>
        <w:t xml:space="preserve"> e mëtejshëm të ekonomisë </w:t>
      </w:r>
      <w:r w:rsidR="00643BAF" w:rsidRPr="00050FA4">
        <w:rPr>
          <w:lang w:val="sq-AL"/>
        </w:rPr>
        <w:t>vendës</w:t>
      </w:r>
      <w:r w:rsidRPr="00050FA4">
        <w:rPr>
          <w:lang w:val="sq-AL"/>
        </w:rPr>
        <w:t>e dhe të huaj, deficiti korrent pritet</w:t>
      </w:r>
      <w:r w:rsidR="00F33482" w:rsidRPr="00050FA4">
        <w:rPr>
          <w:lang w:val="sq-AL"/>
        </w:rPr>
        <w:t xml:space="preserve"> të rikthehet në nivelet e para</w:t>
      </w:r>
      <w:r w:rsidRPr="00050FA4">
        <w:rPr>
          <w:lang w:val="sq-AL"/>
        </w:rPr>
        <w:t xml:space="preserve">pandemisë gjatë vitit 2022. Sigurisht, pasiguritë janë të pranishme. Shqipëria ka shtrënguar disi masa ndaj lëvizjes së </w:t>
      </w:r>
      <w:r w:rsidR="00AF360F" w:rsidRPr="00050FA4">
        <w:rPr>
          <w:lang w:val="sq-AL"/>
        </w:rPr>
        <w:t>udhëtarëve</w:t>
      </w:r>
      <w:r w:rsidRPr="00050FA4">
        <w:rPr>
          <w:lang w:val="sq-AL"/>
        </w:rPr>
        <w:t xml:space="preserve"> prej muajit </w:t>
      </w:r>
      <w:r w:rsidR="00904ECF" w:rsidRPr="00050FA4">
        <w:rPr>
          <w:lang w:val="sq-AL"/>
        </w:rPr>
        <w:t xml:space="preserve">shtator </w:t>
      </w:r>
      <w:r w:rsidRPr="00050FA4">
        <w:rPr>
          <w:lang w:val="sq-AL"/>
        </w:rPr>
        <w:t xml:space="preserve">kur rastet me </w:t>
      </w:r>
      <w:r w:rsidR="00AF360F" w:rsidRPr="00050FA4">
        <w:rPr>
          <w:lang w:val="sq-AL"/>
        </w:rPr>
        <w:t>COVID</w:t>
      </w:r>
      <w:r w:rsidRPr="00050FA4">
        <w:rPr>
          <w:lang w:val="sq-AL"/>
        </w:rPr>
        <w:t>-19 u shtuan. Gjithashtu, partnerët kryesorë tregtarë kanë rivendosur kufizimet e tyre.</w:t>
      </w:r>
    </w:p>
    <w:p w14:paraId="094ABB9E" w14:textId="3E7DEFD8" w:rsidR="00BC0117" w:rsidRPr="00050FA4" w:rsidRDefault="00BC0117" w:rsidP="003F1DA7">
      <w:pPr>
        <w:pStyle w:val="AAAAAAATEXXXX"/>
        <w:rPr>
          <w:lang w:val="sq-AL"/>
        </w:rPr>
      </w:pPr>
      <w:r w:rsidRPr="00050FA4">
        <w:rPr>
          <w:lang w:val="sq-AL"/>
        </w:rPr>
        <w:t xml:space="preserve">Investimet direkte neto kanë vazhduar në ecurinë e dobët të nisur që </w:t>
      </w:r>
      <w:r w:rsidR="001B6140" w:rsidRPr="00050FA4">
        <w:rPr>
          <w:lang w:val="sq-AL"/>
        </w:rPr>
        <w:t>m</w:t>
      </w:r>
      <w:r w:rsidRPr="00050FA4">
        <w:rPr>
          <w:lang w:val="sq-AL"/>
        </w:rPr>
        <w:t>ë 2020</w:t>
      </w:r>
      <w:r w:rsidR="001B6140" w:rsidRPr="00050FA4">
        <w:rPr>
          <w:lang w:val="sq-AL"/>
        </w:rPr>
        <w:t>-shin</w:t>
      </w:r>
      <w:r w:rsidRPr="00050FA4">
        <w:rPr>
          <w:lang w:val="sq-AL"/>
        </w:rPr>
        <w:t xml:space="preserve">. Rritja vjetore e detyrimeve neto shënoi -1.7% për gjysmën e parë të vitit 2021. Përveç ndikimit të pandemisë, përfundimi i </w:t>
      </w:r>
      <w:r w:rsidR="00636ACC" w:rsidRPr="00050FA4">
        <w:rPr>
          <w:lang w:val="sq-AL"/>
        </w:rPr>
        <w:t>punimeve</w:t>
      </w:r>
      <w:r w:rsidRPr="00050FA4">
        <w:rPr>
          <w:lang w:val="sq-AL"/>
        </w:rPr>
        <w:t xml:space="preserve"> në </w:t>
      </w:r>
      <w:r w:rsidR="00636ACC" w:rsidRPr="00050FA4">
        <w:rPr>
          <w:lang w:val="sq-AL"/>
        </w:rPr>
        <w:t xml:space="preserve">gazsjellësin </w:t>
      </w:r>
      <w:r w:rsidRPr="00050FA4">
        <w:rPr>
          <w:lang w:val="sq-AL"/>
        </w:rPr>
        <w:t>TAP</w:t>
      </w:r>
      <w:r w:rsidR="00636ACC" w:rsidRPr="00050FA4">
        <w:rPr>
          <w:lang w:val="sq-AL"/>
        </w:rPr>
        <w:t>, ka</w:t>
      </w:r>
      <w:r w:rsidRPr="00050FA4">
        <w:rPr>
          <w:lang w:val="sq-AL"/>
        </w:rPr>
        <w:t xml:space="preserve"> dhënë</w:t>
      </w:r>
      <w:r w:rsidR="00AF360F" w:rsidRPr="00050FA4">
        <w:rPr>
          <w:lang w:val="sq-AL"/>
        </w:rPr>
        <w:t>,</w:t>
      </w:r>
      <w:r w:rsidRPr="00050FA4">
        <w:rPr>
          <w:lang w:val="sq-AL"/>
        </w:rPr>
        <w:t xml:space="preserve"> gjithashtu</w:t>
      </w:r>
      <w:r w:rsidR="00AF360F" w:rsidRPr="00050FA4">
        <w:rPr>
          <w:lang w:val="sq-AL"/>
        </w:rPr>
        <w:t>,</w:t>
      </w:r>
      <w:r w:rsidRPr="00050FA4">
        <w:rPr>
          <w:lang w:val="sq-AL"/>
        </w:rPr>
        <w:t xml:space="preserve"> kontribut në ecurinë e IHD-ve. Nga ana tjetër flukset janë rritur në sektorë të tjerë sikurse </w:t>
      </w:r>
      <w:r w:rsidR="008A0E5B" w:rsidRPr="00050FA4">
        <w:rPr>
          <w:lang w:val="sq-AL"/>
        </w:rPr>
        <w:t>“</w:t>
      </w:r>
      <w:r w:rsidRPr="00050FA4">
        <w:rPr>
          <w:lang w:val="sq-AL"/>
        </w:rPr>
        <w:t>Industria nxjerrëse</w:t>
      </w:r>
      <w:r w:rsidR="008A0E5B" w:rsidRPr="00050FA4">
        <w:rPr>
          <w:lang w:val="sq-AL"/>
        </w:rPr>
        <w:t>”</w:t>
      </w:r>
      <w:r w:rsidRPr="00050FA4">
        <w:rPr>
          <w:lang w:val="sq-AL"/>
        </w:rPr>
        <w:t xml:space="preserve">, </w:t>
      </w:r>
      <w:r w:rsidR="008A0E5B" w:rsidRPr="00050FA4">
        <w:rPr>
          <w:lang w:val="sq-AL"/>
        </w:rPr>
        <w:t>“</w:t>
      </w:r>
      <w:r w:rsidRPr="00050FA4">
        <w:rPr>
          <w:lang w:val="sq-AL"/>
        </w:rPr>
        <w:t>Tregtia</w:t>
      </w:r>
      <w:r w:rsidR="008A0E5B" w:rsidRPr="00050FA4">
        <w:rPr>
          <w:lang w:val="sq-AL"/>
        </w:rPr>
        <w:t>”</w:t>
      </w:r>
      <w:r w:rsidRPr="00050FA4">
        <w:rPr>
          <w:lang w:val="sq-AL"/>
        </w:rPr>
        <w:t xml:space="preserve">, </w:t>
      </w:r>
      <w:r w:rsidR="008A0E5B" w:rsidRPr="00050FA4">
        <w:rPr>
          <w:lang w:val="sq-AL"/>
        </w:rPr>
        <w:t>“</w:t>
      </w:r>
      <w:r w:rsidRPr="00050FA4">
        <w:rPr>
          <w:lang w:val="sq-AL"/>
        </w:rPr>
        <w:t>Pasuritë e paluajtshme</w:t>
      </w:r>
      <w:r w:rsidR="008A0E5B" w:rsidRPr="00050FA4">
        <w:rPr>
          <w:lang w:val="sq-AL"/>
        </w:rPr>
        <w:t>”</w:t>
      </w:r>
      <w:r w:rsidRPr="00050FA4">
        <w:rPr>
          <w:lang w:val="sq-AL"/>
        </w:rPr>
        <w:t xml:space="preserve"> dhe </w:t>
      </w:r>
      <w:r w:rsidR="008A0E5B" w:rsidRPr="00050FA4">
        <w:rPr>
          <w:lang w:val="sq-AL"/>
        </w:rPr>
        <w:lastRenderedPageBreak/>
        <w:t>“</w:t>
      </w:r>
      <w:r w:rsidRPr="00050FA4">
        <w:rPr>
          <w:lang w:val="sq-AL"/>
        </w:rPr>
        <w:t>Ndërtimi</w:t>
      </w:r>
      <w:r w:rsidR="008A0E5B" w:rsidRPr="00050FA4">
        <w:rPr>
          <w:lang w:val="sq-AL"/>
        </w:rPr>
        <w:t>”</w:t>
      </w:r>
      <w:r w:rsidRPr="00050FA4">
        <w:rPr>
          <w:lang w:val="sq-AL"/>
        </w:rPr>
        <w:t>. Gjithashtu, projekte madhore (sikurse i Portit të Durrësit) pritet t’u japin shtysë IHD-ve në të ardhmen.</w:t>
      </w:r>
    </w:p>
    <w:p w14:paraId="130C4730" w14:textId="4CA3C23F" w:rsidR="00BC0117" w:rsidRPr="00050FA4" w:rsidRDefault="00BC0117" w:rsidP="003F1DA7">
      <w:pPr>
        <w:pStyle w:val="AAAAAAATEXXXX"/>
        <w:rPr>
          <w:lang w:val="sq-AL"/>
        </w:rPr>
      </w:pPr>
      <w:r w:rsidRPr="00050FA4">
        <w:rPr>
          <w:b/>
          <w:lang w:val="sq-AL"/>
        </w:rPr>
        <w:t>Investimet e portofolit</w:t>
      </w:r>
      <w:r w:rsidRPr="00050FA4">
        <w:rPr>
          <w:lang w:val="sq-AL"/>
        </w:rPr>
        <w:t xml:space="preserve"> kanë pasqyruar kryesisht aktive neto gjatë gjysmës së parë të vitit 2021. Korporatat depozit-marrëse kanë zgjeruar </w:t>
      </w:r>
      <w:r w:rsidR="00AF360F" w:rsidRPr="00050FA4">
        <w:rPr>
          <w:lang w:val="sq-AL"/>
        </w:rPr>
        <w:t>portofolat</w:t>
      </w:r>
      <w:r w:rsidRPr="00050FA4">
        <w:rPr>
          <w:lang w:val="sq-AL"/>
        </w:rPr>
        <w:t xml:space="preserve"> e huaja gjatë kësaj periudhe. Në të njëjtën kohë, qeveria e përgjithshme ka kryer ripagesat e lidhura me emetime të mëparshme të Eurobondit.</w:t>
      </w:r>
    </w:p>
    <w:p w14:paraId="2ADD7375" w14:textId="08C82BA1" w:rsidR="00BC0117" w:rsidRPr="00050FA4" w:rsidRDefault="00A12258" w:rsidP="003F1DA7">
      <w:pPr>
        <w:widowControl w:val="0"/>
        <w:ind w:firstLine="284"/>
        <w:rPr>
          <w:rFonts w:ascii="Garamond" w:eastAsia="Arial Narrow" w:hAnsi="Garamond" w:cstheme="majorBidi"/>
          <w:i/>
          <w:color w:val="0D0D0D" w:themeColor="text1" w:themeTint="F2"/>
        </w:rPr>
      </w:pPr>
      <w:r w:rsidRPr="00050FA4">
        <w:rPr>
          <w:rFonts w:ascii="Garamond" w:eastAsia="Arial Narrow" w:hAnsi="Garamond" w:cstheme="majorBidi"/>
          <w:i/>
          <w:color w:val="0D0D0D" w:themeColor="text1" w:themeTint="F2"/>
        </w:rPr>
        <w:t xml:space="preserve">- </w:t>
      </w:r>
      <w:r w:rsidR="00BC0117" w:rsidRPr="00050FA4">
        <w:rPr>
          <w:rFonts w:ascii="Garamond" w:eastAsia="Arial Narrow" w:hAnsi="Garamond" w:cstheme="majorBidi"/>
          <w:i/>
          <w:color w:val="0D0D0D" w:themeColor="text1" w:themeTint="F2"/>
        </w:rPr>
        <w:t>Zhvillimet në borxhin e jashtëm</w:t>
      </w:r>
    </w:p>
    <w:p w14:paraId="0CA30DC6" w14:textId="2134716A" w:rsidR="00BC0117" w:rsidRPr="00050FA4" w:rsidRDefault="00BC0117" w:rsidP="003F1DA7">
      <w:pPr>
        <w:pStyle w:val="AAAAAAATEXXXX"/>
        <w:rPr>
          <w:lang w:val="sq-AL"/>
        </w:rPr>
      </w:pPr>
      <w:r w:rsidRPr="00050FA4">
        <w:rPr>
          <w:lang w:val="sq-AL"/>
        </w:rPr>
        <w:t>Borxhi i jashtëm ka qenë në trend zvogëlues gjatë gjysmës së parë 2021. Stoku qëndron në 8,811.4 milion euro në tremujorin e dytë 2021, duke u pakësuar me 1.5% në terma vjetorë. Raporti i borxhit ndaj PBB-së është gjithashtu i pakësuar në 62.6%, krahasuar me 68.1% në 2020T2. Rënia e borxhit pasqyron ripagesat e Eurobondit nga Qeveria e Përgjithshme. Borxhi afatgjatë përbën rreth 92.0% të totalit i lidhur kryesisht me huamarrjen afatgjatë të Qeverisë së Përgjithshme dhe sektorëve të tjerë</w:t>
      </w:r>
      <w:r w:rsidRPr="00050FA4">
        <w:rPr>
          <w:vertAlign w:val="superscript"/>
          <w:lang w:val="sq-AL"/>
        </w:rPr>
        <w:footnoteReference w:id="5"/>
      </w:r>
      <w:r w:rsidRPr="00050FA4">
        <w:rPr>
          <w:lang w:val="sq-AL"/>
        </w:rPr>
        <w:t xml:space="preserve">. Borxhi afatshkurtër përbën rreth 8.0% të totalit i lidhur me </w:t>
      </w:r>
      <w:r w:rsidR="008A0E5B" w:rsidRPr="00050FA4">
        <w:rPr>
          <w:lang w:val="sq-AL"/>
        </w:rPr>
        <w:t>“</w:t>
      </w:r>
      <w:r w:rsidRPr="00050FA4">
        <w:rPr>
          <w:lang w:val="sq-AL"/>
        </w:rPr>
        <w:t>monedhat dhe depozitat</w:t>
      </w:r>
      <w:r w:rsidR="008A0E5B" w:rsidRPr="00050FA4">
        <w:rPr>
          <w:lang w:val="sq-AL"/>
        </w:rPr>
        <w:t>”</w:t>
      </w:r>
      <w:r w:rsidRPr="00050FA4">
        <w:rPr>
          <w:lang w:val="sq-AL"/>
        </w:rPr>
        <w:t xml:space="preserve"> e korporatave depozit</w:t>
      </w:r>
      <w:r w:rsidR="007A1BBE" w:rsidRPr="00050FA4">
        <w:rPr>
          <w:lang w:val="sq-AL"/>
        </w:rPr>
        <w:t>ë</w:t>
      </w:r>
      <w:r w:rsidRPr="00050FA4">
        <w:rPr>
          <w:lang w:val="sq-AL"/>
        </w:rPr>
        <w:t xml:space="preserve">marrëse dhe </w:t>
      </w:r>
      <w:r w:rsidR="008A0E5B" w:rsidRPr="00050FA4">
        <w:rPr>
          <w:lang w:val="sq-AL"/>
        </w:rPr>
        <w:t>“</w:t>
      </w:r>
      <w:r w:rsidRPr="00050FA4">
        <w:rPr>
          <w:lang w:val="sq-AL"/>
        </w:rPr>
        <w:t>kreditë tregtare</w:t>
      </w:r>
      <w:r w:rsidR="008A0E5B" w:rsidRPr="00050FA4">
        <w:rPr>
          <w:lang w:val="sq-AL"/>
        </w:rPr>
        <w:t>”</w:t>
      </w:r>
      <w:r w:rsidRPr="00050FA4">
        <w:rPr>
          <w:lang w:val="sq-AL"/>
        </w:rPr>
        <w:t xml:space="preserve">. </w:t>
      </w:r>
    </w:p>
    <w:p w14:paraId="6654163B" w14:textId="031077D6" w:rsidR="00BC0117" w:rsidRPr="00050FA4" w:rsidRDefault="00BC0117" w:rsidP="003F1DA7">
      <w:pPr>
        <w:pStyle w:val="AAAAAAATEXXXX"/>
        <w:rPr>
          <w:lang w:val="sq-AL"/>
        </w:rPr>
      </w:pPr>
      <w:r w:rsidRPr="00050FA4">
        <w:rPr>
          <w:lang w:val="sq-AL"/>
        </w:rPr>
        <w:t>Treguesit e aftësisë ripaguese afatgjatë i janë rikthyer ecurisë pozitive në 2021T2, duke përmbysur një përkeqësues</w:t>
      </w:r>
      <w:r w:rsidR="00300A49" w:rsidRPr="00050FA4">
        <w:rPr>
          <w:lang w:val="sq-AL"/>
        </w:rPr>
        <w:t>,</w:t>
      </w:r>
      <w:r w:rsidRPr="00050FA4">
        <w:rPr>
          <w:lang w:val="sq-AL"/>
        </w:rPr>
        <w:t xml:space="preserve"> që vazhdonte prej 2020T1</w:t>
      </w:r>
      <w:r w:rsidR="00300A49" w:rsidRPr="00050FA4">
        <w:rPr>
          <w:lang w:val="sq-AL"/>
        </w:rPr>
        <w:t>,</w:t>
      </w:r>
      <w:r w:rsidRPr="00050FA4">
        <w:rPr>
          <w:lang w:val="sq-AL"/>
        </w:rPr>
        <w:t xml:space="preserve"> për të arritur kulmin në 2021T1. Raporti i borxhit të jashtëm ndaj eksportit të mallrave dhe </w:t>
      </w:r>
      <w:r w:rsidR="00300A49" w:rsidRPr="00050FA4">
        <w:rPr>
          <w:lang w:val="sq-AL"/>
        </w:rPr>
        <w:t xml:space="preserve">ndaj </w:t>
      </w:r>
      <w:r w:rsidRPr="00050FA4">
        <w:rPr>
          <w:lang w:val="sq-AL"/>
        </w:rPr>
        <w:t>shërbimeve qëndron në nivelin 183.0% në T2, nga 221.1% në 2021T1. Gjithashtu, raporti i borxhit të jashtëm ndaj të ardhurave fiskale ra në 233.0% në 2021T2 nga 248.5% në 2021T1. Raporti i borxhit të qeverisë së përgjithshme ndaj të ardhurave fiskale ra në 111.3% në 2021T2 nga 120.2% në 2021T1. Treguesit e likuiditetit janë</w:t>
      </w:r>
      <w:r w:rsidR="001F6205" w:rsidRPr="00050FA4">
        <w:rPr>
          <w:lang w:val="sq-AL"/>
        </w:rPr>
        <w:t>,</w:t>
      </w:r>
      <w:r w:rsidRPr="00050FA4">
        <w:rPr>
          <w:lang w:val="sq-AL"/>
        </w:rPr>
        <w:t xml:space="preserve"> gjithashtu</w:t>
      </w:r>
      <w:r w:rsidR="001F6205" w:rsidRPr="00050FA4">
        <w:rPr>
          <w:lang w:val="sq-AL"/>
        </w:rPr>
        <w:t>,</w:t>
      </w:r>
      <w:r w:rsidRPr="00050FA4">
        <w:rPr>
          <w:lang w:val="sq-AL"/>
        </w:rPr>
        <w:t xml:space="preserve"> në trend përmirësues duke sugjeruar presione të ul</w:t>
      </w:r>
      <w:r w:rsidR="00A12BFA" w:rsidRPr="00050FA4">
        <w:rPr>
          <w:lang w:val="sq-AL"/>
        </w:rPr>
        <w:t>ë</w:t>
      </w:r>
      <w:r w:rsidRPr="00050FA4">
        <w:rPr>
          <w:lang w:val="sq-AL"/>
        </w:rPr>
        <w:t>ta nga detyrimet afatshkurtra.</w:t>
      </w:r>
    </w:p>
    <w:p w14:paraId="42E5C334" w14:textId="77777777" w:rsidR="00BC0117" w:rsidRPr="00050FA4" w:rsidRDefault="00BC0117" w:rsidP="003F1DA7">
      <w:pPr>
        <w:ind w:firstLine="284"/>
        <w:jc w:val="both"/>
        <w:rPr>
          <w:rFonts w:ascii="Garamond" w:hAnsi="Garamond" w:cstheme="majorBidi"/>
          <w:color w:val="0D0D0D" w:themeColor="text1" w:themeTint="F2"/>
          <w:sz w:val="16"/>
        </w:rPr>
      </w:pPr>
    </w:p>
    <w:p w14:paraId="4195ADE7" w14:textId="43DD9931" w:rsidR="00BC0117" w:rsidRPr="00050FA4" w:rsidRDefault="007366D6" w:rsidP="003F1DA7">
      <w:pPr>
        <w:pStyle w:val="AAAAAAATEXXXX"/>
        <w:jc w:val="center"/>
        <w:rPr>
          <w:b/>
          <w:sz w:val="20"/>
          <w:szCs w:val="20"/>
          <w:lang w:val="sq-AL"/>
        </w:rPr>
      </w:pPr>
      <w:r w:rsidRPr="00050FA4">
        <w:rPr>
          <w:b/>
          <w:sz w:val="20"/>
          <w:szCs w:val="20"/>
          <w:lang w:val="sq-AL"/>
        </w:rPr>
        <w:t>Grafik 3.2.9</w:t>
      </w:r>
      <w:r w:rsidR="00BC0117" w:rsidRPr="00050FA4">
        <w:rPr>
          <w:b/>
          <w:sz w:val="20"/>
          <w:szCs w:val="20"/>
          <w:lang w:val="sq-AL"/>
        </w:rPr>
        <w:t xml:space="preserve"> Raporti i borxhit të jashtëm ndaj eksporteve të mallrave dhe shërbimeve (majtas) dhe ndaj të ardhurave fiskale (djathtas)</w:t>
      </w:r>
    </w:p>
    <w:p w14:paraId="263D5900" w14:textId="5D5B20CC"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1081393C" wp14:editId="7641E657">
            <wp:extent cx="2981325" cy="2305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1325" cy="2305050"/>
                    </a:xfrm>
                    <a:prstGeom prst="rect">
                      <a:avLst/>
                    </a:prstGeom>
                    <a:noFill/>
                    <a:ln>
                      <a:noFill/>
                    </a:ln>
                  </pic:spPr>
                </pic:pic>
              </a:graphicData>
            </a:graphic>
          </wp:inline>
        </w:drawing>
      </w:r>
      <w:r w:rsidRPr="00050FA4">
        <w:rPr>
          <w:rFonts w:ascii="Garamond" w:hAnsi="Garamond" w:cstheme="majorBidi"/>
          <w:noProof/>
          <w:color w:val="0D0D0D" w:themeColor="text1" w:themeTint="F2"/>
          <w:lang w:val="en-US"/>
        </w:rPr>
        <w:drawing>
          <wp:inline distT="0" distB="0" distL="0" distR="0" wp14:anchorId="487D661F" wp14:editId="5E874573">
            <wp:extent cx="3009900" cy="2305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09900" cy="2305050"/>
                    </a:xfrm>
                    <a:prstGeom prst="rect">
                      <a:avLst/>
                    </a:prstGeom>
                    <a:noFill/>
                    <a:ln>
                      <a:noFill/>
                    </a:ln>
                  </pic:spPr>
                </pic:pic>
              </a:graphicData>
            </a:graphic>
          </wp:inline>
        </w:drawing>
      </w:r>
    </w:p>
    <w:p w14:paraId="1A8C25ED" w14:textId="795A62C4" w:rsidR="00BC0117" w:rsidRPr="00050FA4" w:rsidRDefault="007366D6" w:rsidP="003F1DA7">
      <w:pPr>
        <w:pStyle w:val="AAAAAAATEXXXX"/>
        <w:jc w:val="center"/>
        <w:rPr>
          <w:sz w:val="20"/>
          <w:szCs w:val="20"/>
          <w:lang w:val="sq-AL"/>
        </w:rPr>
      </w:pPr>
      <w:r w:rsidRPr="00050FA4">
        <w:rPr>
          <w:sz w:val="20"/>
          <w:szCs w:val="20"/>
          <w:lang w:val="sq-AL"/>
        </w:rPr>
        <w:t>Burimi: Banka e Shqipërisë</w:t>
      </w:r>
    </w:p>
    <w:p w14:paraId="0D97AF2C" w14:textId="77777777" w:rsidR="00BC0117" w:rsidRPr="00050FA4" w:rsidRDefault="00BC0117" w:rsidP="003F1DA7">
      <w:pPr>
        <w:ind w:firstLine="284"/>
        <w:jc w:val="both"/>
        <w:rPr>
          <w:rFonts w:ascii="Garamond" w:hAnsi="Garamond" w:cstheme="majorBidi"/>
          <w:b/>
          <w:color w:val="0D0D0D" w:themeColor="text1" w:themeTint="F2"/>
        </w:rPr>
      </w:pPr>
    </w:p>
    <w:p w14:paraId="0F27D5B2" w14:textId="2CCA616E" w:rsidR="00BC0117" w:rsidRPr="00050FA4" w:rsidRDefault="00BC0117" w:rsidP="003F1DA7">
      <w:pPr>
        <w:pStyle w:val="AAAAAAATEXXXX"/>
        <w:rPr>
          <w:lang w:val="sq-AL"/>
        </w:rPr>
      </w:pPr>
      <w:r w:rsidRPr="00050FA4">
        <w:rPr>
          <w:lang w:val="sq-AL"/>
        </w:rPr>
        <w:t xml:space="preserve">Në skenarin bazë për vitin 2021, </w:t>
      </w:r>
      <w:r w:rsidR="002F1D6D" w:rsidRPr="00050FA4">
        <w:rPr>
          <w:lang w:val="sq-AL"/>
        </w:rPr>
        <w:t>borxhi i jashtëm pritet të arri</w:t>
      </w:r>
      <w:r w:rsidRPr="00050FA4">
        <w:rPr>
          <w:lang w:val="sq-AL"/>
        </w:rPr>
        <w:t>jë deri në 65% ndaj PBB-së, një raport i ngjashëm me atë të vitit 2020. Ky vlerësim parashikon një zgjerim të shpejtë të borxhit të jashtëm bruto si pasojë e rritjes së huamarrjes së sektorit publik. Si rrjedhojë, pavarësisht parashikimit për një rimëkëmbje të shpejtë të ekonomisë, raporti i borxhit të jashtëm ndaj PBB-së mbetet përgjithësisht i pandryshuar krahasuar me atë të vitit 2020. Në periudhën afatmesme, parashikohet një rënie e vazhdueshme e raportit të borxhit ndaj PBB-së</w:t>
      </w:r>
      <w:r w:rsidR="00A140D4" w:rsidRPr="00050FA4">
        <w:rPr>
          <w:lang w:val="sq-AL"/>
        </w:rPr>
        <w:t>,</w:t>
      </w:r>
      <w:r w:rsidRPr="00050FA4">
        <w:rPr>
          <w:lang w:val="sq-AL"/>
        </w:rPr>
        <w:t xml:space="preserve"> në pasqyrim të trajektores fiskale të pritshme konsoliduese. Një gjë e tillë do të pakësonte nevojat për financim të jashtëm.</w:t>
      </w:r>
    </w:p>
    <w:p w14:paraId="0D3AF051" w14:textId="6B089499" w:rsidR="00BC0117" w:rsidRPr="00050FA4" w:rsidRDefault="00BC0117" w:rsidP="003F1DA7">
      <w:pPr>
        <w:pStyle w:val="AAAAAAATEXXXX"/>
        <w:rPr>
          <w:lang w:val="sq-AL"/>
        </w:rPr>
      </w:pPr>
      <w:r w:rsidRPr="00050FA4">
        <w:rPr>
          <w:lang w:val="sq-AL"/>
        </w:rPr>
        <w:t xml:space="preserve">Ky projeksion përfshin disa risqe me prirje rritëse, disa prej të cilëve përfshihen në analizën e ndjeshmërisë së borxhit të jashtëm. Në këtë rast, simulohen dy goditje të lidhura me normat e interesit dhe </w:t>
      </w:r>
      <w:r w:rsidR="00A140D4" w:rsidRPr="00050FA4">
        <w:rPr>
          <w:lang w:val="sq-AL"/>
        </w:rPr>
        <w:t xml:space="preserve">me </w:t>
      </w:r>
      <w:r w:rsidRPr="00050FA4">
        <w:rPr>
          <w:lang w:val="sq-AL"/>
        </w:rPr>
        <w:t xml:space="preserve">kursin e këmbimit. Në skenarin e parë, norma mesatare e interesit të borxhit të jashtëm rritet në mënyrë permanente me dy devijime </w:t>
      </w:r>
      <w:r w:rsidR="002F1D6D" w:rsidRPr="00050FA4">
        <w:rPr>
          <w:lang w:val="sq-AL"/>
        </w:rPr>
        <w:t>standarde</w:t>
      </w:r>
      <w:r w:rsidRPr="00050FA4">
        <w:rPr>
          <w:lang w:val="sq-AL"/>
        </w:rPr>
        <w:t xml:space="preserve"> krahasuar me skenarin bazë. Ndërkohë, në skenarin e dytë, </w:t>
      </w:r>
      <w:r w:rsidRPr="00050FA4">
        <w:rPr>
          <w:lang w:val="sq-AL"/>
        </w:rPr>
        <w:lastRenderedPageBreak/>
        <w:t>kursi i këmbimit i jepet një goditje nënçmuese prej 10% për një herë të vetme. Rezultatet e simuluara dëshmojnë se përkeqësimi i situatës së borxhit të jashtëm është më i fortë sipas skenarit të nënçmimit me 10%.</w:t>
      </w:r>
    </w:p>
    <w:p w14:paraId="25A68F40" w14:textId="77777777" w:rsidR="00BC0117" w:rsidRPr="00050FA4" w:rsidRDefault="00BC0117" w:rsidP="003F1DA7">
      <w:pPr>
        <w:ind w:firstLine="284"/>
        <w:jc w:val="both"/>
        <w:rPr>
          <w:rFonts w:ascii="Garamond" w:hAnsi="Garamond" w:cstheme="majorBidi"/>
          <w:color w:val="0D0D0D" w:themeColor="text1" w:themeTint="F2"/>
        </w:rPr>
      </w:pPr>
    </w:p>
    <w:p w14:paraId="1C9FF8DD" w14:textId="6339A48B" w:rsidR="00BC0117" w:rsidRPr="00050FA4" w:rsidRDefault="007366D6" w:rsidP="003F1DA7">
      <w:pPr>
        <w:ind w:firstLine="284"/>
        <w:jc w:val="center"/>
        <w:rPr>
          <w:rFonts w:ascii="Garamond" w:hAnsi="Garamond" w:cstheme="majorBidi"/>
          <w:b/>
          <w:i/>
          <w:color w:val="0D0D0D" w:themeColor="text1" w:themeTint="F2"/>
          <w:sz w:val="20"/>
          <w:szCs w:val="20"/>
        </w:rPr>
      </w:pPr>
      <w:r w:rsidRPr="00050FA4">
        <w:rPr>
          <w:rFonts w:ascii="Garamond" w:hAnsi="Garamond" w:cstheme="majorBidi"/>
          <w:b/>
          <w:i/>
          <w:color w:val="0D0D0D" w:themeColor="text1" w:themeTint="F2"/>
          <w:sz w:val="20"/>
          <w:szCs w:val="20"/>
        </w:rPr>
        <w:t>Grafik 3.2.10</w:t>
      </w:r>
      <w:r w:rsidR="00BC0117" w:rsidRPr="00050FA4">
        <w:rPr>
          <w:rFonts w:ascii="Garamond" w:hAnsi="Garamond" w:cstheme="majorBidi"/>
          <w:b/>
          <w:i/>
          <w:color w:val="0D0D0D" w:themeColor="text1" w:themeTint="F2"/>
          <w:sz w:val="20"/>
          <w:szCs w:val="20"/>
        </w:rPr>
        <w:t xml:space="preserve"> Borxhi i jashtëm bruto ndaj PBB-së në skenarin bazë dhe sipas dy skenarëve të riskut: goditje e normës së interesit (majtas) dhe nënçmim real (djathtas)</w:t>
      </w:r>
    </w:p>
    <w:p w14:paraId="401AFC32" w14:textId="24192EF5" w:rsidR="00BC0117" w:rsidRPr="00050FA4" w:rsidRDefault="00BC0117" w:rsidP="003F1DA7">
      <w:pPr>
        <w:ind w:firstLine="284"/>
        <w:jc w:val="center"/>
        <w:rPr>
          <w:rFonts w:ascii="Garamond" w:hAnsi="Garamond" w:cstheme="majorBidi"/>
          <w:iCs/>
          <w:color w:val="0D0D0D" w:themeColor="text1" w:themeTint="F2"/>
          <w:lang w:eastAsia="sq-AL"/>
        </w:rPr>
      </w:pPr>
      <w:r w:rsidRPr="00050FA4">
        <w:rPr>
          <w:rFonts w:ascii="Garamond" w:hAnsi="Garamond" w:cstheme="majorBidi"/>
          <w:noProof/>
          <w:color w:val="0D0D0D" w:themeColor="text1" w:themeTint="F2"/>
          <w:lang w:val="en-US"/>
        </w:rPr>
        <w:drawing>
          <wp:inline distT="0" distB="0" distL="0" distR="0" wp14:anchorId="0DC39D5D" wp14:editId="7DCC5D03">
            <wp:extent cx="3028950" cy="2486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28950" cy="2486025"/>
                    </a:xfrm>
                    <a:prstGeom prst="rect">
                      <a:avLst/>
                    </a:prstGeom>
                    <a:noFill/>
                    <a:ln>
                      <a:noFill/>
                    </a:ln>
                  </pic:spPr>
                </pic:pic>
              </a:graphicData>
            </a:graphic>
          </wp:inline>
        </w:drawing>
      </w:r>
      <w:r w:rsidRPr="00050FA4">
        <w:rPr>
          <w:rFonts w:ascii="Garamond" w:hAnsi="Garamond" w:cstheme="majorBidi"/>
          <w:noProof/>
          <w:color w:val="0D0D0D" w:themeColor="text1" w:themeTint="F2"/>
          <w:lang w:val="en-US"/>
        </w:rPr>
        <w:drawing>
          <wp:inline distT="0" distB="0" distL="0" distR="0" wp14:anchorId="2478B40E" wp14:editId="36BEE235">
            <wp:extent cx="2943225" cy="248602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3225" cy="2486025"/>
                    </a:xfrm>
                    <a:prstGeom prst="rect">
                      <a:avLst/>
                    </a:prstGeom>
                    <a:noFill/>
                    <a:ln>
                      <a:noFill/>
                    </a:ln>
                  </pic:spPr>
                </pic:pic>
              </a:graphicData>
            </a:graphic>
          </wp:inline>
        </w:drawing>
      </w:r>
    </w:p>
    <w:p w14:paraId="6649CFB2" w14:textId="4D4557F3" w:rsidR="00BC0117" w:rsidRPr="00050FA4" w:rsidRDefault="007366D6" w:rsidP="003F1DA7">
      <w:pPr>
        <w:pStyle w:val="AAAAAAATEXXXX"/>
        <w:jc w:val="center"/>
        <w:rPr>
          <w:sz w:val="20"/>
          <w:szCs w:val="20"/>
          <w:lang w:val="sq-AL"/>
        </w:rPr>
      </w:pPr>
      <w:r w:rsidRPr="00050FA4">
        <w:rPr>
          <w:sz w:val="20"/>
          <w:szCs w:val="20"/>
          <w:lang w:val="sq-AL"/>
        </w:rPr>
        <w:t>Burimi: Banka e Shqipërisë</w:t>
      </w:r>
    </w:p>
    <w:p w14:paraId="1862364B" w14:textId="77777777" w:rsidR="00BC0117" w:rsidRPr="00050FA4" w:rsidRDefault="00BC0117" w:rsidP="003F1DA7">
      <w:pPr>
        <w:ind w:firstLine="284"/>
        <w:rPr>
          <w:rFonts w:ascii="Garamond" w:hAnsi="Garamond" w:cstheme="majorBidi"/>
          <w:iCs/>
          <w:color w:val="0D0D0D" w:themeColor="text1" w:themeTint="F2"/>
        </w:rPr>
      </w:pPr>
    </w:p>
    <w:p w14:paraId="0AC990AC" w14:textId="5A9C4AA3" w:rsidR="00BC0117" w:rsidRPr="00050FA4" w:rsidRDefault="000762ED" w:rsidP="003F1DA7">
      <w:pPr>
        <w:pStyle w:val="AAAAAAATEXXXX"/>
        <w:rPr>
          <w:i/>
          <w:lang w:val="sq-AL"/>
        </w:rPr>
      </w:pPr>
      <w:r w:rsidRPr="00050FA4">
        <w:rPr>
          <w:i/>
          <w:lang w:val="sq-AL"/>
        </w:rPr>
        <w:t xml:space="preserve">- </w:t>
      </w:r>
      <w:r w:rsidR="00BC0117" w:rsidRPr="00050FA4">
        <w:rPr>
          <w:i/>
          <w:lang w:val="sq-AL"/>
        </w:rPr>
        <w:t>Zhvillimet në stokun e rezervës</w:t>
      </w:r>
      <w:r w:rsidR="00BC0117" w:rsidRPr="00050FA4">
        <w:rPr>
          <w:i/>
          <w:vertAlign w:val="superscript"/>
          <w:lang w:val="sq-AL"/>
        </w:rPr>
        <w:footnoteReference w:id="6"/>
      </w:r>
    </w:p>
    <w:p w14:paraId="68A1F248" w14:textId="2444B90A" w:rsidR="00BC0117" w:rsidRPr="00050FA4" w:rsidRDefault="00BC0117" w:rsidP="003F1DA7">
      <w:pPr>
        <w:pStyle w:val="AAAAAAATEXXXX"/>
        <w:rPr>
          <w:lang w:val="sq-AL"/>
        </w:rPr>
      </w:pPr>
      <w:r w:rsidRPr="00050FA4">
        <w:rPr>
          <w:lang w:val="sq-AL"/>
        </w:rPr>
        <w:t>Banka e Shqipërisë optimizon nivelin e rezervës valutore</w:t>
      </w:r>
      <w:r w:rsidR="00406D34" w:rsidRPr="00050FA4">
        <w:rPr>
          <w:lang w:val="sq-AL"/>
        </w:rPr>
        <w:t>,</w:t>
      </w:r>
      <w:r w:rsidRPr="00050FA4">
        <w:rPr>
          <w:lang w:val="sq-AL"/>
        </w:rPr>
        <w:t xml:space="preserve"> duke balancuar rreziqet e mundshme në të ardhmen dhe kostot që lidhen me mbajtjen e saj. Vlerësimi i mjaftueshmërisë së rezervës bazohet në një platformë</w:t>
      </w:r>
      <w:r w:rsidR="00406D34" w:rsidRPr="00050FA4">
        <w:rPr>
          <w:lang w:val="sq-AL"/>
        </w:rPr>
        <w:t>,</w:t>
      </w:r>
      <w:r w:rsidRPr="00050FA4">
        <w:rPr>
          <w:lang w:val="sq-AL"/>
        </w:rPr>
        <w:t xml:space="preserve"> e cila mban parasysh këto parime. Banka e Shqipërisë zbaton nivelet minimale të pragut të mjaftueshmërisë së rezervës</w:t>
      </w:r>
      <w:r w:rsidR="00406D34" w:rsidRPr="00050FA4">
        <w:rPr>
          <w:lang w:val="sq-AL"/>
        </w:rPr>
        <w:t>,</w:t>
      </w:r>
      <w:r w:rsidRPr="00050FA4">
        <w:rPr>
          <w:lang w:val="sq-AL"/>
        </w:rPr>
        <w:t xml:space="preserve"> bazuar në dy kritere: mbulimi i</w:t>
      </w:r>
      <w:r w:rsidR="00406D34" w:rsidRPr="00050FA4">
        <w:rPr>
          <w:lang w:val="sq-AL"/>
        </w:rPr>
        <w:t xml:space="preserve">: </w:t>
      </w:r>
      <w:r w:rsidRPr="00050FA4">
        <w:rPr>
          <w:lang w:val="sq-AL"/>
        </w:rPr>
        <w:t>1</w:t>
      </w:r>
      <w:r w:rsidR="00406D34" w:rsidRPr="00050FA4">
        <w:rPr>
          <w:lang w:val="sq-AL"/>
        </w:rPr>
        <w:t>.</w:t>
      </w:r>
      <w:r w:rsidRPr="00050FA4">
        <w:rPr>
          <w:lang w:val="sq-AL"/>
        </w:rPr>
        <w:t xml:space="preserve"> të paktën 4 muaj importe mallrash dhe shërbimesh</w:t>
      </w:r>
      <w:r w:rsidR="00406D34" w:rsidRPr="00050FA4">
        <w:rPr>
          <w:lang w:val="sq-AL"/>
        </w:rPr>
        <w:t xml:space="preserve">; dhe </w:t>
      </w:r>
      <w:r w:rsidRPr="00050FA4">
        <w:rPr>
          <w:lang w:val="sq-AL"/>
        </w:rPr>
        <w:t>2</w:t>
      </w:r>
      <w:r w:rsidR="00406D34" w:rsidRPr="00050FA4">
        <w:rPr>
          <w:lang w:val="sq-AL"/>
        </w:rPr>
        <w:t>.</w:t>
      </w:r>
      <w:r w:rsidRPr="00050FA4">
        <w:rPr>
          <w:lang w:val="sq-AL"/>
        </w:rPr>
        <w:t xml:space="preserve"> mbulim të paktën 100% të borxhit të jashtëm afatshkurtër. Në tetor 2021, stoku i rezervës ndërkombëtare qëndron në nivelin 4.2 miliardë </w:t>
      </w:r>
      <w:r w:rsidR="00406D34" w:rsidRPr="00050FA4">
        <w:rPr>
          <w:lang w:val="sq-AL"/>
        </w:rPr>
        <w:t>euro</w:t>
      </w:r>
      <w:r w:rsidRPr="00050FA4">
        <w:rPr>
          <w:lang w:val="sq-AL"/>
        </w:rPr>
        <w:t>, ose rreth 27% ndaj PBB-së. Ky nivel është i mjaftueshëm për të mbuluar 8 muaj importe mallrash dhe shërbimesh dhe 300% të borxhit të jashtëm afatshkurtër. Të dy</w:t>
      </w:r>
      <w:r w:rsidR="007808AC" w:rsidRPr="00050FA4">
        <w:rPr>
          <w:lang w:val="sq-AL"/>
        </w:rPr>
        <w:t>ja</w:t>
      </w:r>
      <w:r w:rsidRPr="00050FA4">
        <w:rPr>
          <w:lang w:val="sq-AL"/>
        </w:rPr>
        <w:t xml:space="preserve"> kriteret pritet të mbeten mbi nivelin e pragut minimal të mjaftueshmërisë në periudhën </w:t>
      </w:r>
      <w:r w:rsidR="009443A5" w:rsidRPr="00050FA4">
        <w:rPr>
          <w:lang w:val="sq-AL"/>
        </w:rPr>
        <w:t>afatmesme</w:t>
      </w:r>
      <w:r w:rsidRPr="00050FA4">
        <w:rPr>
          <w:lang w:val="sq-AL"/>
        </w:rPr>
        <w:t>.</w:t>
      </w:r>
    </w:p>
    <w:p w14:paraId="27D8B290" w14:textId="77777777" w:rsidR="00BC0117" w:rsidRPr="00050FA4" w:rsidRDefault="00BC0117" w:rsidP="003F1DA7">
      <w:pPr>
        <w:ind w:firstLine="284"/>
        <w:jc w:val="both"/>
        <w:rPr>
          <w:rFonts w:ascii="Garamond" w:hAnsi="Garamond" w:cstheme="majorBidi"/>
          <w:color w:val="0D0D0D" w:themeColor="text1" w:themeTint="F2"/>
        </w:rPr>
      </w:pPr>
    </w:p>
    <w:p w14:paraId="3F470233" w14:textId="4C425BDD" w:rsidR="00BC0117" w:rsidRPr="00050FA4" w:rsidRDefault="009A592B" w:rsidP="003F1DA7">
      <w:pPr>
        <w:pStyle w:val="AAAAAAATEXXXX"/>
        <w:jc w:val="center"/>
        <w:rPr>
          <w:b/>
          <w:i/>
          <w:sz w:val="20"/>
          <w:szCs w:val="20"/>
          <w:lang w:val="sq-AL" w:eastAsia="sq-AL"/>
        </w:rPr>
      </w:pPr>
      <w:r w:rsidRPr="00050FA4">
        <w:rPr>
          <w:b/>
          <w:i/>
          <w:sz w:val="20"/>
          <w:szCs w:val="20"/>
          <w:lang w:val="sq-AL"/>
        </w:rPr>
        <w:t>Grafik 3.2.11</w:t>
      </w:r>
      <w:r w:rsidR="00BC0117" w:rsidRPr="00050FA4">
        <w:rPr>
          <w:b/>
          <w:i/>
          <w:sz w:val="20"/>
          <w:szCs w:val="20"/>
          <w:lang w:val="sq-AL"/>
        </w:rPr>
        <w:t xml:space="preserve"> Projeksionet e rezervës ndërkombëtare ndaj importit të mallrave dhe shërbimeve (majtas) dhe ndaj borxhi të </w:t>
      </w:r>
      <w:r w:rsidRPr="00050FA4">
        <w:rPr>
          <w:b/>
          <w:i/>
          <w:sz w:val="20"/>
          <w:szCs w:val="20"/>
          <w:lang w:val="sq-AL"/>
        </w:rPr>
        <w:t>jashtëm afatshkurtër (djathtas)</w:t>
      </w:r>
    </w:p>
    <w:p w14:paraId="222C27BC" w14:textId="6AEE0EE8" w:rsidR="00BC0117" w:rsidRPr="00050FA4" w:rsidRDefault="00BC0117"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45A04A90" wp14:editId="7008B73B">
            <wp:extent cx="5128288" cy="2396074"/>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44040" cy="2403434"/>
                    </a:xfrm>
                    <a:prstGeom prst="rect">
                      <a:avLst/>
                    </a:prstGeom>
                    <a:noFill/>
                    <a:ln>
                      <a:noFill/>
                    </a:ln>
                  </pic:spPr>
                </pic:pic>
              </a:graphicData>
            </a:graphic>
          </wp:inline>
        </w:drawing>
      </w:r>
    </w:p>
    <w:p w14:paraId="12FD1C89" w14:textId="0E0B7D40" w:rsidR="00BC0117" w:rsidRPr="00050FA4" w:rsidRDefault="009A592B" w:rsidP="003F1DA7">
      <w:pPr>
        <w:pStyle w:val="AAAAAAATEXXXX"/>
        <w:jc w:val="center"/>
        <w:rPr>
          <w:sz w:val="20"/>
          <w:lang w:val="sq-AL"/>
        </w:rPr>
      </w:pPr>
      <w:r w:rsidRPr="00050FA4">
        <w:rPr>
          <w:sz w:val="20"/>
          <w:lang w:val="sq-AL"/>
        </w:rPr>
        <w:t>Burimi: Banka e Shqipërisë</w:t>
      </w:r>
    </w:p>
    <w:p w14:paraId="133C60F4" w14:textId="77777777" w:rsidR="00BC0117" w:rsidRPr="00050FA4" w:rsidRDefault="00BC0117" w:rsidP="003F1DA7">
      <w:pPr>
        <w:ind w:firstLine="284"/>
        <w:rPr>
          <w:rFonts w:ascii="Garamond" w:hAnsi="Garamond" w:cstheme="majorBidi"/>
          <w:color w:val="0D0D0D" w:themeColor="text1" w:themeTint="F2"/>
        </w:rPr>
      </w:pPr>
    </w:p>
    <w:p w14:paraId="0E60386D" w14:textId="6196B6C9" w:rsidR="00BC0117" w:rsidRPr="00050FA4" w:rsidRDefault="000762ED" w:rsidP="003F1DA7">
      <w:pPr>
        <w:pStyle w:val="AAAAAAATEXXXX"/>
        <w:rPr>
          <w:i/>
          <w:lang w:val="sq-AL"/>
        </w:rPr>
      </w:pPr>
      <w:r w:rsidRPr="00050FA4">
        <w:rPr>
          <w:i/>
          <w:lang w:val="sq-AL"/>
        </w:rPr>
        <w:t xml:space="preserve">- </w:t>
      </w:r>
      <w:r w:rsidR="00BC0117" w:rsidRPr="00050FA4">
        <w:rPr>
          <w:i/>
          <w:lang w:val="sq-AL"/>
        </w:rPr>
        <w:t xml:space="preserve">Sektori </w:t>
      </w:r>
      <w:r w:rsidR="009A592B" w:rsidRPr="00050FA4">
        <w:rPr>
          <w:i/>
          <w:lang w:val="sq-AL"/>
        </w:rPr>
        <w:t>financiar</w:t>
      </w:r>
    </w:p>
    <w:p w14:paraId="5EE726CC" w14:textId="05B5F3A6" w:rsidR="00BC0117" w:rsidRPr="00050FA4" w:rsidRDefault="00BC0117" w:rsidP="003F1DA7">
      <w:pPr>
        <w:pStyle w:val="AAAAAAATEXXXX"/>
        <w:rPr>
          <w:rFonts w:eastAsia="Times New Roman"/>
          <w:lang w:val="sq-AL" w:eastAsia="en-GB"/>
        </w:rPr>
      </w:pPr>
      <w:r w:rsidRPr="00050FA4">
        <w:rPr>
          <w:rFonts w:eastAsia="Times New Roman"/>
          <w:lang w:val="sq-AL" w:eastAsia="en-GB"/>
        </w:rPr>
        <w:t xml:space="preserve">Bilanci i përgjithshëm i institucioneve financiare ka vijuar të zgjerohet në terma nominalë dhe relativë gjatë 9 muajve të parë të vitit 2021. Zgjerimi ka qenë veçanërisht i dukshëm në bilancin e sektorit bankar </w:t>
      </w:r>
      <w:r w:rsidR="00643BAF" w:rsidRPr="00050FA4">
        <w:rPr>
          <w:rFonts w:eastAsia="Times New Roman"/>
          <w:lang w:val="sq-AL" w:eastAsia="en-GB"/>
        </w:rPr>
        <w:t>vendës</w:t>
      </w:r>
      <w:r w:rsidRPr="00050FA4">
        <w:rPr>
          <w:rFonts w:eastAsia="Times New Roman"/>
          <w:lang w:val="sq-AL" w:eastAsia="en-GB"/>
        </w:rPr>
        <w:t>. Pesha e aktiveve të sistemit financiar ndaj PBB-së u rrit me 4 p.p. në 122.5% krahasuar me 118.5% në fund të dhjetorit 2020. Rritje në raport me PBB-në është vërejtur në industrinë e institucioneve financiare jobanka, fondet e investimeve dhe fondet e pensioneve. Nga ana tjetër, pesha e bilancit të shoqërive të kursim-kreditit dhe shoqërive të sigurimit ndaj PBB-së ka mbetur e pandryshuar nga nivelet e regjistruara në fund të vitit 2020.</w:t>
      </w:r>
    </w:p>
    <w:p w14:paraId="64C84722" w14:textId="77777777" w:rsidR="00BC0117" w:rsidRPr="00050FA4" w:rsidRDefault="00BC0117" w:rsidP="003F1DA7">
      <w:pPr>
        <w:ind w:firstLine="284"/>
        <w:jc w:val="both"/>
        <w:rPr>
          <w:rFonts w:ascii="Garamond" w:hAnsi="Garamond" w:cstheme="majorBidi"/>
          <w:color w:val="0D0D0D" w:themeColor="text1" w:themeTint="F2"/>
        </w:rPr>
      </w:pPr>
    </w:p>
    <w:p w14:paraId="1588406D" w14:textId="3ACA2A07" w:rsidR="00BC0117" w:rsidRPr="00050FA4" w:rsidRDefault="009A592B" w:rsidP="003F1DA7">
      <w:pPr>
        <w:pStyle w:val="AAAAAAATEXXXX"/>
        <w:jc w:val="center"/>
        <w:rPr>
          <w:b/>
          <w:i/>
          <w:sz w:val="20"/>
          <w:szCs w:val="20"/>
          <w:lang w:val="sq-AL"/>
        </w:rPr>
      </w:pPr>
      <w:r w:rsidRPr="00050FA4">
        <w:rPr>
          <w:b/>
          <w:i/>
          <w:sz w:val="20"/>
          <w:szCs w:val="20"/>
          <w:lang w:val="sq-AL"/>
        </w:rPr>
        <w:t>Tabelë 3.2.4</w:t>
      </w:r>
      <w:r w:rsidR="00BC0117" w:rsidRPr="00050FA4">
        <w:rPr>
          <w:b/>
          <w:i/>
          <w:sz w:val="20"/>
          <w:szCs w:val="20"/>
          <w:lang w:val="sq-AL"/>
        </w:rPr>
        <w:t xml:space="preserve"> Aktivet e</w:t>
      </w:r>
      <w:r w:rsidRPr="00050FA4">
        <w:rPr>
          <w:b/>
          <w:i/>
          <w:sz w:val="20"/>
          <w:szCs w:val="20"/>
          <w:lang w:val="sq-AL"/>
        </w:rPr>
        <w:t xml:space="preserve"> sistemit financiar ndaj PBB-së</w:t>
      </w:r>
    </w:p>
    <w:tbl>
      <w:tblPr>
        <w:tblStyle w:val="GridTable2-Accent51"/>
        <w:tblW w:w="9623" w:type="dxa"/>
        <w:jc w:val="center"/>
        <w:tblLook w:val="04A0" w:firstRow="1" w:lastRow="0" w:firstColumn="1" w:lastColumn="0" w:noHBand="0" w:noVBand="1"/>
      </w:tblPr>
      <w:tblGrid>
        <w:gridCol w:w="1457"/>
        <w:gridCol w:w="1004"/>
        <w:gridCol w:w="588"/>
        <w:gridCol w:w="1197"/>
        <w:gridCol w:w="1112"/>
        <w:gridCol w:w="1242"/>
        <w:gridCol w:w="1209"/>
        <w:gridCol w:w="1814"/>
      </w:tblGrid>
      <w:tr w:rsidR="00FA29AB" w:rsidRPr="00050FA4" w14:paraId="6E26A52C" w14:textId="77777777" w:rsidTr="009A592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vAlign w:val="center"/>
            <w:hideMark/>
          </w:tcPr>
          <w:p w14:paraId="271C591C"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Autoriteti Mbikëqyrës</w:t>
            </w:r>
          </w:p>
        </w:tc>
        <w:tc>
          <w:tcPr>
            <w:tcW w:w="2757" w:type="dxa"/>
            <w:gridSpan w:val="3"/>
            <w:vAlign w:val="center"/>
            <w:hideMark/>
          </w:tcPr>
          <w:p w14:paraId="059353E7" w14:textId="77777777" w:rsidR="00BC0117" w:rsidRPr="00050FA4" w:rsidRDefault="00BC0117" w:rsidP="009A592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Banka e Shqipërisë</w:t>
            </w:r>
          </w:p>
        </w:tc>
        <w:tc>
          <w:tcPr>
            <w:tcW w:w="3484" w:type="dxa"/>
            <w:gridSpan w:val="3"/>
            <w:vAlign w:val="center"/>
            <w:hideMark/>
          </w:tcPr>
          <w:p w14:paraId="00067866" w14:textId="77777777" w:rsidR="00BC0117" w:rsidRPr="00050FA4" w:rsidRDefault="00BC0117" w:rsidP="009A592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Autoriteti i Mbikëqyrjes Financiare</w:t>
            </w:r>
          </w:p>
        </w:tc>
        <w:tc>
          <w:tcPr>
            <w:tcW w:w="1814" w:type="dxa"/>
            <w:tcBorders>
              <w:right w:val="nil"/>
            </w:tcBorders>
            <w:vAlign w:val="center"/>
            <w:hideMark/>
          </w:tcPr>
          <w:p w14:paraId="13458C5E" w14:textId="20364A94" w:rsidR="00BC0117" w:rsidRPr="00050FA4" w:rsidRDefault="00BC0117" w:rsidP="009A592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Ndërmjetësit financiar</w:t>
            </w:r>
            <w:r w:rsidR="009A592B" w:rsidRPr="00050FA4">
              <w:rPr>
                <w:rFonts w:ascii="Garamond" w:eastAsia="Times New Roman" w:hAnsi="Garamond" w:cstheme="majorBidi"/>
                <w:color w:val="0D0D0D" w:themeColor="text1" w:themeTint="F2"/>
                <w:sz w:val="18"/>
                <w:szCs w:val="18"/>
                <w:lang w:val="sq-AL" w:eastAsia="en-GB"/>
              </w:rPr>
              <w:t>ë</w:t>
            </w:r>
          </w:p>
        </w:tc>
      </w:tr>
      <w:tr w:rsidR="00FA29AB" w:rsidRPr="00050FA4" w14:paraId="787BC34B" w14:textId="77777777" w:rsidTr="009A592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vAlign w:val="center"/>
            <w:hideMark/>
          </w:tcPr>
          <w:p w14:paraId="5B9B8B3A"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Sistemi financiar</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vAlign w:val="center"/>
            <w:hideMark/>
          </w:tcPr>
          <w:p w14:paraId="79391CA3" w14:textId="0561041E"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eastAsia="en-GB"/>
              </w:rPr>
            </w:pPr>
            <w:r w:rsidRPr="00050FA4">
              <w:rPr>
                <w:rFonts w:ascii="Garamond" w:eastAsia="Times New Roman" w:hAnsi="Garamond" w:cstheme="majorBidi"/>
                <w:b/>
                <w:color w:val="0D0D0D" w:themeColor="text1" w:themeTint="F2"/>
                <w:sz w:val="18"/>
                <w:szCs w:val="18"/>
                <w:lang w:val="sq-AL" w:eastAsia="en-GB"/>
              </w:rPr>
              <w:t xml:space="preserve">Sektori </w:t>
            </w:r>
            <w:r w:rsidR="00E518E1" w:rsidRPr="00050FA4">
              <w:rPr>
                <w:rFonts w:ascii="Garamond" w:eastAsia="Times New Roman" w:hAnsi="Garamond" w:cstheme="majorBidi"/>
                <w:b/>
                <w:color w:val="0D0D0D" w:themeColor="text1" w:themeTint="F2"/>
                <w:sz w:val="18"/>
                <w:szCs w:val="18"/>
                <w:lang w:val="sq-AL" w:eastAsia="en-GB"/>
              </w:rPr>
              <w:t>bankar</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vAlign w:val="center"/>
            <w:hideMark/>
          </w:tcPr>
          <w:p w14:paraId="1F0CA0FD" w14:textId="77777777"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eastAsia="en-GB"/>
              </w:rPr>
            </w:pPr>
            <w:r w:rsidRPr="00050FA4">
              <w:rPr>
                <w:rFonts w:ascii="Garamond" w:eastAsia="Times New Roman" w:hAnsi="Garamond" w:cstheme="majorBidi"/>
                <w:b/>
                <w:color w:val="0D0D0D" w:themeColor="text1" w:themeTint="F2"/>
                <w:sz w:val="18"/>
                <w:szCs w:val="18"/>
                <w:lang w:val="sq-AL" w:eastAsia="en-GB"/>
              </w:rPr>
              <w:t>IFJB</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vAlign w:val="center"/>
            <w:hideMark/>
          </w:tcPr>
          <w:p w14:paraId="4288C27B" w14:textId="5BDD1564"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eastAsia="en-GB"/>
              </w:rPr>
            </w:pPr>
            <w:r w:rsidRPr="00050FA4">
              <w:rPr>
                <w:rFonts w:ascii="Garamond" w:eastAsia="Times New Roman" w:hAnsi="Garamond" w:cstheme="majorBidi"/>
                <w:b/>
                <w:color w:val="0D0D0D" w:themeColor="text1" w:themeTint="F2"/>
                <w:sz w:val="18"/>
                <w:szCs w:val="18"/>
                <w:lang w:val="sq-AL" w:eastAsia="en-GB"/>
              </w:rPr>
              <w:t xml:space="preserve">SHKK dhe </w:t>
            </w:r>
            <w:r w:rsidR="00E518E1" w:rsidRPr="00050FA4">
              <w:rPr>
                <w:rFonts w:ascii="Garamond" w:eastAsia="Times New Roman" w:hAnsi="Garamond" w:cstheme="majorBidi"/>
                <w:b/>
                <w:color w:val="0D0D0D" w:themeColor="text1" w:themeTint="F2"/>
                <w:sz w:val="18"/>
                <w:szCs w:val="18"/>
                <w:lang w:val="sq-AL" w:eastAsia="en-GB"/>
              </w:rPr>
              <w:t>unioni</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vAlign w:val="center"/>
            <w:hideMark/>
          </w:tcPr>
          <w:p w14:paraId="1399C7D8" w14:textId="46722F96"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eastAsia="en-GB"/>
              </w:rPr>
            </w:pPr>
            <w:r w:rsidRPr="00050FA4">
              <w:rPr>
                <w:rFonts w:ascii="Garamond" w:eastAsia="Times New Roman" w:hAnsi="Garamond" w:cstheme="majorBidi"/>
                <w:b/>
                <w:color w:val="0D0D0D" w:themeColor="text1" w:themeTint="F2"/>
                <w:sz w:val="18"/>
                <w:szCs w:val="18"/>
                <w:lang w:val="sq-AL" w:eastAsia="en-GB"/>
              </w:rPr>
              <w:t xml:space="preserve">Shoqëritë e </w:t>
            </w:r>
            <w:r w:rsidR="00E518E1" w:rsidRPr="00050FA4">
              <w:rPr>
                <w:rFonts w:ascii="Garamond" w:eastAsia="Times New Roman" w:hAnsi="Garamond" w:cstheme="majorBidi"/>
                <w:b/>
                <w:color w:val="0D0D0D" w:themeColor="text1" w:themeTint="F2"/>
                <w:sz w:val="18"/>
                <w:szCs w:val="18"/>
                <w:lang w:val="sq-AL" w:eastAsia="en-GB"/>
              </w:rPr>
              <w:t>sigurimit</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vAlign w:val="center"/>
            <w:hideMark/>
          </w:tcPr>
          <w:p w14:paraId="0D94772C" w14:textId="4DB1F7B5"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eastAsia="en-GB"/>
              </w:rPr>
            </w:pPr>
            <w:r w:rsidRPr="00050FA4">
              <w:rPr>
                <w:rFonts w:ascii="Garamond" w:eastAsia="Times New Roman" w:hAnsi="Garamond" w:cstheme="majorBidi"/>
                <w:b/>
                <w:color w:val="0D0D0D" w:themeColor="text1" w:themeTint="F2"/>
                <w:sz w:val="18"/>
                <w:szCs w:val="18"/>
                <w:lang w:val="sq-AL" w:eastAsia="en-GB"/>
              </w:rPr>
              <w:t xml:space="preserve">Fondet e </w:t>
            </w:r>
            <w:r w:rsidR="00E518E1" w:rsidRPr="00050FA4">
              <w:rPr>
                <w:rFonts w:ascii="Garamond" w:eastAsia="Times New Roman" w:hAnsi="Garamond" w:cstheme="majorBidi"/>
                <w:b/>
                <w:color w:val="0D0D0D" w:themeColor="text1" w:themeTint="F2"/>
                <w:sz w:val="18"/>
                <w:szCs w:val="18"/>
                <w:lang w:val="sq-AL" w:eastAsia="en-GB"/>
              </w:rPr>
              <w:t>pensionit</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vAlign w:val="center"/>
            <w:hideMark/>
          </w:tcPr>
          <w:p w14:paraId="13AC9453" w14:textId="61C092CA"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eastAsia="en-GB"/>
              </w:rPr>
            </w:pPr>
            <w:r w:rsidRPr="00050FA4">
              <w:rPr>
                <w:rFonts w:ascii="Garamond" w:eastAsia="Times New Roman" w:hAnsi="Garamond" w:cstheme="majorBidi"/>
                <w:b/>
                <w:color w:val="0D0D0D" w:themeColor="text1" w:themeTint="F2"/>
                <w:sz w:val="18"/>
                <w:szCs w:val="18"/>
                <w:lang w:val="sq-AL" w:eastAsia="en-GB"/>
              </w:rPr>
              <w:t xml:space="preserve">Fondet e </w:t>
            </w:r>
            <w:r w:rsidR="00E518E1" w:rsidRPr="00050FA4">
              <w:rPr>
                <w:rFonts w:ascii="Garamond" w:eastAsia="Times New Roman" w:hAnsi="Garamond" w:cstheme="majorBidi"/>
                <w:b/>
                <w:color w:val="0D0D0D" w:themeColor="text1" w:themeTint="F2"/>
                <w:sz w:val="18"/>
                <w:szCs w:val="18"/>
                <w:lang w:val="sq-AL" w:eastAsia="en-GB"/>
              </w:rPr>
              <w:t>investimit</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vAlign w:val="center"/>
            <w:hideMark/>
          </w:tcPr>
          <w:p w14:paraId="5EC2F69D" w14:textId="2C24F0CA" w:rsidR="00BC0117" w:rsidRPr="00050FA4" w:rsidRDefault="00BC0117" w:rsidP="009A592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18"/>
                <w:szCs w:val="18"/>
                <w:lang w:val="sq-AL" w:eastAsia="en-GB"/>
              </w:rPr>
            </w:pPr>
          </w:p>
        </w:tc>
      </w:tr>
      <w:tr w:rsidR="00FA29AB" w:rsidRPr="00050FA4" w14:paraId="4CD82C64" w14:textId="77777777" w:rsidTr="009A592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3F00016B"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E43325F"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88.1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2F051CE"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2.7</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87F503D"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0.8</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735E624"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9CAAC7A"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0.0</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F477D0B"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 </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3494D5BB"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93.1</w:t>
            </w:r>
          </w:p>
        </w:tc>
      </w:tr>
      <w:tr w:rsidR="00FA29AB" w:rsidRPr="00050FA4" w14:paraId="7A451B69" w14:textId="77777777" w:rsidTr="009A592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1C2BE0C8"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2012</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A5B1413"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92.1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31DF850"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2.7</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FCC05FA"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0.8</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10E3DD5"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A66F172"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0.0</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A494675"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1.2</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5820B824"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98.6</w:t>
            </w:r>
          </w:p>
        </w:tc>
      </w:tr>
      <w:tr w:rsidR="00FA29AB" w:rsidRPr="00050FA4" w14:paraId="647253DE" w14:textId="77777777" w:rsidTr="009A592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48397F49"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2013</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0D4DBF9"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94.8</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107D218"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2.7</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413DF7A"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0.7</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9710F5C"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1.7</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166ED33"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0.0</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4A6A0E1"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3.9</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3776D266"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103.8</w:t>
            </w:r>
          </w:p>
        </w:tc>
      </w:tr>
      <w:tr w:rsidR="00FA29AB" w:rsidRPr="00050FA4" w14:paraId="387D7173" w14:textId="77777777" w:rsidTr="009A592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11084A10"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2014</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60DF632"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97.6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0AAA059"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3.0</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CD65B6A"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0.8</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67DA643"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1.9</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D600705"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0.0</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7FA2AE1"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4.8</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734BA81E"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108.2</w:t>
            </w:r>
          </w:p>
        </w:tc>
      </w:tr>
      <w:tr w:rsidR="00FA29AB" w:rsidRPr="00050FA4" w14:paraId="6CD6B292" w14:textId="77777777" w:rsidTr="009A592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3F7607A4"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E1007A1"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97.3</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801784A"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2.9</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B708FB1"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0.8</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84546DB"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4BBF2F6"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0.1</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9649213"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5.0</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12449A0D"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108.0</w:t>
            </w:r>
          </w:p>
        </w:tc>
      </w:tr>
      <w:tr w:rsidR="00FA29AB" w:rsidRPr="00050FA4" w14:paraId="33AF464A" w14:textId="77777777" w:rsidTr="009A592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038D80AE"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68E4D94"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100.5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C4313B5"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3.0</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4580B01"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0.6</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0AAEFC5"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8BD1A35"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0.1</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9A31B39"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4.7</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01584DDA"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111.0</w:t>
            </w:r>
          </w:p>
        </w:tc>
      </w:tr>
      <w:tr w:rsidR="00FA29AB" w:rsidRPr="00050FA4" w14:paraId="586D8536" w14:textId="77777777" w:rsidTr="009A592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66285129"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2017</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3BE73CA"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99.4</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C6CDF1B"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3.1</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7B7D6AA"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0.6</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2B31905"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BD37F73"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0.1</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BCD462D"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5.0</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0D0A1FAA"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110.3</w:t>
            </w:r>
          </w:p>
        </w:tc>
      </w:tr>
      <w:tr w:rsidR="00FA29AB" w:rsidRPr="00050FA4" w14:paraId="6545071C" w14:textId="77777777" w:rsidTr="009A592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7C9C5B41"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2018</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565C95F"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96.0</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CEB059E"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3.5</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F4382DF"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0.6</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C00843F"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ADE398D"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0.2</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A52E02B"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4.5</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186E9489"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106.9</w:t>
            </w:r>
          </w:p>
        </w:tc>
      </w:tr>
      <w:tr w:rsidR="00FA29AB" w:rsidRPr="00050FA4" w14:paraId="1805104A" w14:textId="77777777" w:rsidTr="009A592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242EB7FB"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2019</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F54E6DC"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95.5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729551E"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4.2</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37B35FE0"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0.7</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771F781"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2.2</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A30F59D"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0.2</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34B7BA6"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4.3</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31D3738F"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107.2</w:t>
            </w:r>
          </w:p>
        </w:tc>
      </w:tr>
      <w:tr w:rsidR="00FA29AB" w:rsidRPr="00050FA4" w14:paraId="7151174B" w14:textId="77777777" w:rsidTr="009A592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154EAA79"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2020</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5EE914B"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105.9</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C48999A"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4.5</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8397AFD"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0.8</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0303824"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4E69D36"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0.2</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E29FC2D"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4.5</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2BBC4934" w14:textId="77777777" w:rsidR="00BC0117" w:rsidRPr="00050FA4" w:rsidRDefault="00BC0117" w:rsidP="009A592B">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118.5</w:t>
            </w:r>
          </w:p>
        </w:tc>
      </w:tr>
      <w:tr w:rsidR="00FA29AB" w:rsidRPr="00050FA4" w14:paraId="7F3A1766" w14:textId="77777777" w:rsidTr="009A592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4EF79C6B" w14:textId="77777777" w:rsidR="00BC0117" w:rsidRPr="00050FA4" w:rsidRDefault="00BC0117" w:rsidP="009A592B">
            <w:pPr>
              <w:jc w:val="cente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2021*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C389E99"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109.5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329125F"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4.7</w:t>
            </w:r>
          </w:p>
        </w:tc>
        <w:tc>
          <w:tcPr>
            <w:tcW w:w="119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9B2A899"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0.8</w:t>
            </w:r>
          </w:p>
        </w:tc>
        <w:tc>
          <w:tcPr>
            <w:tcW w:w="111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5FAA038"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AE14562"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0.3</w:t>
            </w:r>
          </w:p>
        </w:tc>
        <w:tc>
          <w:tcPr>
            <w:tcW w:w="1209"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4F2F8D8D"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4.6</w:t>
            </w:r>
          </w:p>
        </w:tc>
        <w:tc>
          <w:tcPr>
            <w:tcW w:w="1814" w:type="dxa"/>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6E5648F7" w14:textId="77777777" w:rsidR="00BC0117" w:rsidRPr="00050FA4" w:rsidRDefault="00BC0117" w:rsidP="009A592B">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Cs/>
                <w:color w:val="0D0D0D" w:themeColor="text1" w:themeTint="F2"/>
                <w:sz w:val="18"/>
                <w:szCs w:val="18"/>
                <w:lang w:val="sq-AL" w:eastAsia="en-GB"/>
              </w:rPr>
            </w:pPr>
            <w:r w:rsidRPr="00050FA4">
              <w:rPr>
                <w:rFonts w:ascii="Garamond" w:eastAsia="Times New Roman" w:hAnsi="Garamond" w:cstheme="majorBidi"/>
                <w:bCs/>
                <w:color w:val="0D0D0D" w:themeColor="text1" w:themeTint="F2"/>
                <w:sz w:val="18"/>
                <w:szCs w:val="18"/>
                <w:lang w:val="sq-AL" w:eastAsia="en-GB"/>
              </w:rPr>
              <w:t>122.5</w:t>
            </w:r>
          </w:p>
        </w:tc>
      </w:tr>
    </w:tbl>
    <w:p w14:paraId="17E7086F" w14:textId="6C186592" w:rsidR="00BC0117" w:rsidRPr="00050FA4" w:rsidRDefault="00BC0117" w:rsidP="003F1DA7">
      <w:pPr>
        <w:pStyle w:val="AAAAAAATEXXXX"/>
        <w:jc w:val="center"/>
        <w:rPr>
          <w:rStyle w:val="alt-edited"/>
          <w:sz w:val="20"/>
          <w:szCs w:val="20"/>
          <w:lang w:val="sq-AL"/>
        </w:rPr>
      </w:pPr>
      <w:r w:rsidRPr="00050FA4">
        <w:rPr>
          <w:rStyle w:val="alt-edited"/>
          <w:sz w:val="20"/>
          <w:szCs w:val="20"/>
          <w:lang w:val="sq-AL"/>
        </w:rPr>
        <w:t>Burimi: Banka e Shqipërisë, INSTAT, Autor</w:t>
      </w:r>
      <w:r w:rsidR="002F1D6D" w:rsidRPr="00050FA4">
        <w:rPr>
          <w:rStyle w:val="alt-edited"/>
          <w:sz w:val="20"/>
          <w:szCs w:val="20"/>
          <w:lang w:val="sq-AL"/>
        </w:rPr>
        <w:t>it</w:t>
      </w:r>
      <w:r w:rsidR="008A0E5B" w:rsidRPr="00050FA4">
        <w:rPr>
          <w:rStyle w:val="alt-edited"/>
          <w:sz w:val="20"/>
          <w:szCs w:val="20"/>
          <w:lang w:val="sq-AL"/>
        </w:rPr>
        <w:t xml:space="preserve">eti i Mbikëqyrjes Financiare </w:t>
      </w:r>
      <w:r w:rsidRPr="00050FA4">
        <w:rPr>
          <w:rStyle w:val="alt-edited"/>
          <w:sz w:val="20"/>
          <w:szCs w:val="20"/>
          <w:lang w:val="sq-AL"/>
        </w:rPr>
        <w:t xml:space="preserve">* </w:t>
      </w:r>
      <w:r w:rsidR="002F1D6D" w:rsidRPr="00050FA4">
        <w:rPr>
          <w:rStyle w:val="alt-edited"/>
          <w:sz w:val="20"/>
          <w:szCs w:val="20"/>
          <w:lang w:val="sq-AL"/>
        </w:rPr>
        <w:t xml:space="preserve">shtator </w:t>
      </w:r>
      <w:r w:rsidRPr="00050FA4">
        <w:rPr>
          <w:rStyle w:val="alt-edited"/>
          <w:sz w:val="20"/>
          <w:szCs w:val="20"/>
          <w:lang w:val="sq-AL"/>
        </w:rPr>
        <w:t>2021</w:t>
      </w:r>
    </w:p>
    <w:p w14:paraId="153B418D" w14:textId="77777777" w:rsidR="00BC0117" w:rsidRPr="00050FA4" w:rsidRDefault="00BC0117" w:rsidP="003F1DA7">
      <w:pPr>
        <w:autoSpaceDE w:val="0"/>
        <w:autoSpaceDN w:val="0"/>
        <w:adjustRightInd w:val="0"/>
        <w:ind w:firstLine="284"/>
        <w:jc w:val="both"/>
        <w:rPr>
          <w:rFonts w:ascii="Garamond" w:hAnsi="Garamond" w:cstheme="majorBidi"/>
          <w:color w:val="0D0D0D" w:themeColor="text1" w:themeTint="F2"/>
        </w:rPr>
      </w:pPr>
    </w:p>
    <w:p w14:paraId="1D4E6CAE" w14:textId="4EA8B8F7" w:rsidR="00BC0117" w:rsidRPr="00050FA4" w:rsidRDefault="00BC0117" w:rsidP="003F1DA7">
      <w:pPr>
        <w:pStyle w:val="AAAAAAATEXXXX"/>
        <w:rPr>
          <w:i/>
          <w:lang w:val="sq-AL" w:eastAsia="sq-AL"/>
        </w:rPr>
      </w:pPr>
      <w:r w:rsidRPr="00050FA4">
        <w:rPr>
          <w:lang w:val="sq-AL" w:eastAsia="sq-AL"/>
        </w:rPr>
        <w:t>Bilanci i sektorit bankar është zgjeruar me 11% nga fundi i tetorit 2020 deri në fund të tetorit 2021. Nga ana e aktiveve, rritja vjetore është mbështetur në mënyrë të bar</w:t>
      </w:r>
      <w:r w:rsidR="00535FB4" w:rsidRPr="00050FA4">
        <w:rPr>
          <w:lang w:val="sq-AL" w:eastAsia="sq-AL"/>
        </w:rPr>
        <w:t>abartë nga rritja e fortë në tri</w:t>
      </w:r>
      <w:r w:rsidRPr="00050FA4">
        <w:rPr>
          <w:lang w:val="sq-AL" w:eastAsia="sq-AL"/>
        </w:rPr>
        <w:t xml:space="preserve"> klasat kryesore të aktiveve. Stoku i letrave me vlerë të bankave dhe stoku i veprimeve me thesarin dhe ekspozimeve ndërbankare u zgjeruan përkatësisht me 15% dhe 8%, ndërsa stoku i tepricës së kredive bankare u rrit me 11%. Struktura e letrave me vlerë të zotëruara nga bankat dominohet nga letra me vlerë të Qeverisë Shqiptare në </w:t>
      </w:r>
      <w:r w:rsidR="00E518E1" w:rsidRPr="00050FA4">
        <w:rPr>
          <w:lang w:val="sq-AL" w:eastAsia="sq-AL"/>
        </w:rPr>
        <w:t xml:space="preserve">lekë </w:t>
      </w:r>
      <w:r w:rsidRPr="00050FA4">
        <w:rPr>
          <w:lang w:val="sq-AL" w:eastAsia="sq-AL"/>
        </w:rPr>
        <w:t xml:space="preserve">(60%) dhe në valutë (10%), ndërsa pjesa e mbetur prej 30% përbëhet nga letra me vlerë në valutë të huaj të emetuar nga jorezidentët. Aktivet në valutë dhe pretendimet ndaj jorezidentëve përbëjnë rreth 52% dhe 23% të totalit të aktiveve dhe janë rritur me 13% dhe 16% në vit në fund të tetorit 2021. Detyrimet dhe aktivet e bankave në valutë janë të krahasueshme në madhësi, ndërsa pretendimet ndaj jorezidentëve janë rreth 8 herë më të larta se detyrimet ndaj jorezidentëve. Burimi kryesor i financimit për bankat </w:t>
      </w:r>
      <w:r w:rsidR="00643BAF" w:rsidRPr="00050FA4">
        <w:rPr>
          <w:lang w:val="sq-AL" w:eastAsia="sq-AL"/>
        </w:rPr>
        <w:t>vendës</w:t>
      </w:r>
      <w:r w:rsidRPr="00050FA4">
        <w:rPr>
          <w:lang w:val="sq-AL" w:eastAsia="sq-AL"/>
        </w:rPr>
        <w:t>e është në formën e depozitave, të cilat rezultojnë rreth 1,400 miliardë lekë në tetor 2021. Depozitat shënuan një rritje të fortë gjatë 10 muajve të parë të vitit 2021 dhe rritja arriti kulmin gjatë tremujorit të tretë, si pasojë e rritjes së theksuar të depozitave në valutë. Llogaritë rrjedhëse dhe në një masë më të vogël depozitat pa afat kanë vazhduar të rriten, ndërkohë që rënia e depozitave me afat u ndal në muajt e verës dhe u pasua me një rritje modeste në shtator dhe tetor. Në fund të tetorit 2021, depozitat me afat përbënin rreth 44% të stokut të përgjithshëm të depozitave, që tregon një rënie të ndjeshme krahasuar me raportin prej 51% në fund të vitit 2019 dhe atë prej 47% në fund të vitit 2020.</w:t>
      </w:r>
    </w:p>
    <w:p w14:paraId="64AC1A5D" w14:textId="77777777" w:rsidR="00BC0117" w:rsidRPr="00050FA4" w:rsidRDefault="00BC0117" w:rsidP="003F1DA7">
      <w:pPr>
        <w:ind w:firstLine="284"/>
        <w:rPr>
          <w:rFonts w:ascii="Garamond" w:hAnsi="Garamond" w:cstheme="majorBidi"/>
          <w:i/>
          <w:color w:val="0D0D0D" w:themeColor="text1" w:themeTint="F2"/>
          <w:sz w:val="16"/>
        </w:rPr>
      </w:pPr>
    </w:p>
    <w:p w14:paraId="397C42BE" w14:textId="35E57053" w:rsidR="00BC0117" w:rsidRPr="00050FA4" w:rsidRDefault="008A0E5B" w:rsidP="003F1DA7">
      <w:pPr>
        <w:pStyle w:val="AAAAAAATEXXXX"/>
        <w:jc w:val="center"/>
        <w:rPr>
          <w:b/>
          <w:i/>
          <w:sz w:val="20"/>
          <w:szCs w:val="20"/>
          <w:lang w:val="sq-AL"/>
        </w:rPr>
      </w:pPr>
      <w:r w:rsidRPr="00050FA4">
        <w:rPr>
          <w:b/>
          <w:i/>
          <w:sz w:val="20"/>
          <w:szCs w:val="20"/>
          <w:lang w:val="sq-AL"/>
        </w:rPr>
        <w:t xml:space="preserve">Tabelë 3.2.5 </w:t>
      </w:r>
      <w:r w:rsidR="00BC0117" w:rsidRPr="00050FA4">
        <w:rPr>
          <w:b/>
          <w:i/>
          <w:sz w:val="20"/>
          <w:szCs w:val="20"/>
          <w:lang w:val="sq-AL"/>
        </w:rPr>
        <w:t xml:space="preserve">Rritja në </w:t>
      </w:r>
      <w:r w:rsidRPr="00050FA4">
        <w:rPr>
          <w:b/>
          <w:i/>
          <w:sz w:val="20"/>
          <w:szCs w:val="20"/>
          <w:lang w:val="sq-AL"/>
        </w:rPr>
        <w:t xml:space="preserve">stokun e kredisë dhe </w:t>
      </w:r>
      <w:r w:rsidR="00E518E1" w:rsidRPr="00050FA4">
        <w:rPr>
          <w:b/>
          <w:i/>
          <w:sz w:val="20"/>
          <w:szCs w:val="20"/>
          <w:lang w:val="sq-AL"/>
        </w:rPr>
        <w:t xml:space="preserve">të </w:t>
      </w:r>
      <w:r w:rsidRPr="00050FA4">
        <w:rPr>
          <w:b/>
          <w:i/>
          <w:sz w:val="20"/>
          <w:szCs w:val="20"/>
          <w:lang w:val="sq-AL"/>
        </w:rPr>
        <w:t>depozitave</w:t>
      </w:r>
    </w:p>
    <w:tbl>
      <w:tblPr>
        <w:tblStyle w:val="GridTable2-Accent51"/>
        <w:tblW w:w="7635" w:type="dxa"/>
        <w:jc w:val="center"/>
        <w:tblLook w:val="04A0" w:firstRow="1" w:lastRow="0" w:firstColumn="1" w:lastColumn="0" w:noHBand="0" w:noVBand="1"/>
      </w:tblPr>
      <w:tblGrid>
        <w:gridCol w:w="2535"/>
        <w:gridCol w:w="623"/>
        <w:gridCol w:w="623"/>
        <w:gridCol w:w="623"/>
        <w:gridCol w:w="623"/>
        <w:gridCol w:w="623"/>
        <w:gridCol w:w="623"/>
        <w:gridCol w:w="638"/>
        <w:gridCol w:w="724"/>
      </w:tblGrid>
      <w:tr w:rsidR="00FA29AB" w:rsidRPr="00050FA4" w14:paraId="303EA70C" w14:textId="77777777" w:rsidTr="000762ED">
        <w:trPr>
          <w:cnfStyle w:val="100000000000" w:firstRow="1" w:lastRow="0" w:firstColumn="0" w:lastColumn="0" w:oddVBand="0" w:evenVBand="0" w:oddHBand="0" w:evenHBand="0" w:firstRowFirstColumn="0" w:firstRowLastColumn="0" w:lastRowFirstColumn="0" w:lastRowLastColumn="0"/>
          <w:trHeight w:val="385"/>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hideMark/>
          </w:tcPr>
          <w:p w14:paraId="6F194E82" w14:textId="77777777" w:rsidR="00BC0117" w:rsidRPr="00050FA4" w:rsidRDefault="00BC0117" w:rsidP="008A0E5B">
            <w:pP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 </w:t>
            </w:r>
          </w:p>
        </w:tc>
        <w:tc>
          <w:tcPr>
            <w:tcW w:w="0" w:type="auto"/>
            <w:noWrap/>
            <w:hideMark/>
          </w:tcPr>
          <w:p w14:paraId="38E5C91D"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2014</w:t>
            </w:r>
          </w:p>
        </w:tc>
        <w:tc>
          <w:tcPr>
            <w:tcW w:w="0" w:type="auto"/>
            <w:noWrap/>
            <w:hideMark/>
          </w:tcPr>
          <w:p w14:paraId="626128FC"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2015</w:t>
            </w:r>
          </w:p>
        </w:tc>
        <w:tc>
          <w:tcPr>
            <w:tcW w:w="0" w:type="auto"/>
            <w:noWrap/>
            <w:hideMark/>
          </w:tcPr>
          <w:p w14:paraId="446E4861"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2016</w:t>
            </w:r>
          </w:p>
        </w:tc>
        <w:tc>
          <w:tcPr>
            <w:tcW w:w="0" w:type="auto"/>
            <w:noWrap/>
            <w:hideMark/>
          </w:tcPr>
          <w:p w14:paraId="55DB7C3E"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2017</w:t>
            </w:r>
          </w:p>
        </w:tc>
        <w:tc>
          <w:tcPr>
            <w:tcW w:w="0" w:type="auto"/>
            <w:noWrap/>
            <w:hideMark/>
          </w:tcPr>
          <w:p w14:paraId="603A298B"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2018</w:t>
            </w:r>
          </w:p>
        </w:tc>
        <w:tc>
          <w:tcPr>
            <w:tcW w:w="0" w:type="auto"/>
            <w:noWrap/>
            <w:hideMark/>
          </w:tcPr>
          <w:p w14:paraId="32589D3A"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2019</w:t>
            </w:r>
          </w:p>
        </w:tc>
        <w:tc>
          <w:tcPr>
            <w:tcW w:w="0" w:type="auto"/>
            <w:noWrap/>
            <w:hideMark/>
          </w:tcPr>
          <w:p w14:paraId="0C948AD9"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2020</w:t>
            </w:r>
          </w:p>
        </w:tc>
        <w:tc>
          <w:tcPr>
            <w:tcW w:w="0" w:type="auto"/>
            <w:tcBorders>
              <w:right w:val="nil"/>
            </w:tcBorders>
            <w:noWrap/>
            <w:hideMark/>
          </w:tcPr>
          <w:p w14:paraId="399F52F7" w14:textId="77777777" w:rsidR="00BC0117" w:rsidRPr="00050FA4" w:rsidRDefault="00BC0117" w:rsidP="008A0E5B">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2021*</w:t>
            </w:r>
          </w:p>
        </w:tc>
      </w:tr>
      <w:tr w:rsidR="00FA29AB" w:rsidRPr="00050FA4" w14:paraId="066E5DE5" w14:textId="77777777" w:rsidTr="000762ED">
        <w:trPr>
          <w:cnfStyle w:val="000000100000" w:firstRow="0" w:lastRow="0" w:firstColumn="0" w:lastColumn="0" w:oddVBand="0" w:evenVBand="0" w:oddHBand="1" w:evenHBand="0" w:firstRowFirstColumn="0" w:firstRowLastColumn="0" w:lastRowFirstColumn="0" w:lastRowLastColumn="0"/>
          <w:trHeight w:val="38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6E9B3E9D" w14:textId="77777777" w:rsidR="00BC0117" w:rsidRPr="00050FA4" w:rsidRDefault="00BC0117" w:rsidP="008A0E5B">
            <w:pP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Hua (rritja vjetore,%)</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4BE0345"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1890602F"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5C6B70C"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2</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3694E9A"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0</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9F964E7"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4FA0CE87"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71FFE5C"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516E1026"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11</w:t>
            </w:r>
          </w:p>
        </w:tc>
      </w:tr>
      <w:tr w:rsidR="00FA29AB" w:rsidRPr="00050FA4" w14:paraId="1270A25A" w14:textId="77777777" w:rsidTr="000762ED">
        <w:trPr>
          <w:trHeight w:val="38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5314D6BC" w14:textId="77777777" w:rsidR="00BC0117" w:rsidRPr="00050FA4" w:rsidRDefault="00BC0117" w:rsidP="008A0E5B">
            <w:pP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Depozita (rritja vjetore,%)</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17EBB25"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5DE53E8"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3</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4D45C079"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7F5CFF5"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C378FFD"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7A9BE0A1"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49058D47"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8</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7509C251" w14:textId="77777777" w:rsidR="00BC0117" w:rsidRPr="00050FA4" w:rsidRDefault="00BC0117" w:rsidP="008A0E5B">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11</w:t>
            </w:r>
          </w:p>
        </w:tc>
      </w:tr>
      <w:tr w:rsidR="00FA29AB" w:rsidRPr="00050FA4" w14:paraId="6E664548" w14:textId="77777777" w:rsidTr="000762ED">
        <w:trPr>
          <w:cnfStyle w:val="000000100000" w:firstRow="0" w:lastRow="0" w:firstColumn="0" w:lastColumn="0" w:oddVBand="0" w:evenVBand="0" w:oddHBand="1" w:evenHBand="0" w:firstRowFirstColumn="0" w:firstRowLastColumn="0" w:lastRowFirstColumn="0" w:lastRowLastColumn="0"/>
          <w:trHeight w:val="38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92CDDC" w:themeColor="accent5" w:themeTint="99"/>
              <w:left w:val="nil"/>
              <w:bottom w:val="single" w:sz="2" w:space="0" w:color="92CDDC" w:themeColor="accent5" w:themeTint="99"/>
              <w:right w:val="single" w:sz="2" w:space="0" w:color="92CDDC" w:themeColor="accent5" w:themeTint="99"/>
            </w:tcBorders>
            <w:noWrap/>
            <w:hideMark/>
          </w:tcPr>
          <w:p w14:paraId="0611132B" w14:textId="77777777" w:rsidR="00BC0117" w:rsidRPr="00050FA4" w:rsidRDefault="00BC0117" w:rsidP="008A0E5B">
            <w:pPr>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Hua/Depozita (%)</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818FC23"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56</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518DA84D"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54</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427E66CB"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52</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63A44E7"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52</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04720C84"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49</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2656D914"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48</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noWrap/>
            <w:hideMark/>
          </w:tcPr>
          <w:p w14:paraId="6CD2A5C9"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47</w:t>
            </w:r>
          </w:p>
        </w:tc>
        <w:tc>
          <w:tcPr>
            <w:tcW w:w="0" w:type="auto"/>
            <w:tcBorders>
              <w:top w:val="single" w:sz="2" w:space="0" w:color="92CDDC" w:themeColor="accent5" w:themeTint="99"/>
              <w:left w:val="single" w:sz="2" w:space="0" w:color="92CDDC" w:themeColor="accent5" w:themeTint="99"/>
              <w:bottom w:val="single" w:sz="2" w:space="0" w:color="92CDDC" w:themeColor="accent5" w:themeTint="99"/>
              <w:right w:val="nil"/>
            </w:tcBorders>
            <w:noWrap/>
            <w:hideMark/>
          </w:tcPr>
          <w:p w14:paraId="682F01D5" w14:textId="77777777" w:rsidR="00BC0117" w:rsidRPr="00050FA4" w:rsidRDefault="00BC0117" w:rsidP="008A0E5B">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eastAsia="en-GB"/>
              </w:rPr>
            </w:pPr>
            <w:r w:rsidRPr="00050FA4">
              <w:rPr>
                <w:rFonts w:ascii="Garamond" w:eastAsia="Times New Roman" w:hAnsi="Garamond" w:cstheme="majorBidi"/>
                <w:color w:val="0D0D0D" w:themeColor="text1" w:themeTint="F2"/>
                <w:sz w:val="18"/>
                <w:szCs w:val="18"/>
                <w:lang w:val="sq-AL" w:eastAsia="en-GB"/>
              </w:rPr>
              <w:t>47</w:t>
            </w:r>
          </w:p>
        </w:tc>
      </w:tr>
    </w:tbl>
    <w:p w14:paraId="647CD37D" w14:textId="5C9603A6" w:rsidR="00BC0117" w:rsidRPr="00050FA4" w:rsidRDefault="00BC0117" w:rsidP="003F1DA7">
      <w:pPr>
        <w:pStyle w:val="AAAAAAATEXXXX"/>
        <w:jc w:val="center"/>
        <w:rPr>
          <w:sz w:val="20"/>
          <w:szCs w:val="20"/>
          <w:lang w:val="sq-AL"/>
        </w:rPr>
      </w:pPr>
      <w:r w:rsidRPr="00050FA4">
        <w:rPr>
          <w:sz w:val="20"/>
          <w:szCs w:val="20"/>
          <w:lang w:val="sq-AL"/>
        </w:rPr>
        <w:t>Burimi: Banka e Shqipërisë *</w:t>
      </w:r>
      <w:r w:rsidR="008A0E5B" w:rsidRPr="00050FA4">
        <w:rPr>
          <w:sz w:val="20"/>
          <w:szCs w:val="20"/>
          <w:lang w:val="sq-AL"/>
        </w:rPr>
        <w:t xml:space="preserve">tetor </w:t>
      </w:r>
      <w:r w:rsidRPr="00050FA4">
        <w:rPr>
          <w:sz w:val="20"/>
          <w:szCs w:val="20"/>
          <w:lang w:val="sq-AL"/>
        </w:rPr>
        <w:t>2021</w:t>
      </w:r>
    </w:p>
    <w:p w14:paraId="23CA57D3" w14:textId="77777777" w:rsidR="00BC0117" w:rsidRPr="00050FA4" w:rsidRDefault="00BC0117" w:rsidP="003F1DA7">
      <w:pPr>
        <w:ind w:firstLine="284"/>
        <w:jc w:val="both"/>
        <w:rPr>
          <w:rFonts w:ascii="Garamond" w:hAnsi="Garamond" w:cstheme="majorBidi"/>
          <w:color w:val="0D0D0D" w:themeColor="text1" w:themeTint="F2"/>
          <w:sz w:val="18"/>
        </w:rPr>
      </w:pPr>
    </w:p>
    <w:p w14:paraId="24980555" w14:textId="1C0022E4" w:rsidR="00BC0117" w:rsidRPr="00050FA4" w:rsidRDefault="00BC0117" w:rsidP="003F1DA7">
      <w:pPr>
        <w:pStyle w:val="AAAAAAATEXXXX"/>
        <w:rPr>
          <w:lang w:val="sq-AL" w:eastAsia="sq-AL"/>
        </w:rPr>
      </w:pPr>
      <w:r w:rsidRPr="00050FA4">
        <w:rPr>
          <w:lang w:val="sq-AL" w:eastAsia="sq-AL"/>
        </w:rPr>
        <w:t xml:space="preserve">Në fund të tetorit 2021, stoku i tepricës së kredisë ishte 660 miliardë lekë nga 590 miliardë lekë në tetor 2020 dhe norma vjetore e rritjes ishte e barabartë me 11%. Kredia bankare u rrit me një ritëm të qëndrueshëm gjatë 12 muajve deri në tetor 2021, por rritja nominale (+60 miliardë lekë) dhe rritja </w:t>
      </w:r>
      <w:r w:rsidRPr="00050FA4">
        <w:rPr>
          <w:lang w:val="sq-AL" w:eastAsia="sq-AL"/>
        </w:rPr>
        <w:lastRenderedPageBreak/>
        <w:t>mesatare vjetore (+6%) në stokun e kredive ishin më pak se ndryshimet përkatëse të depozitave. Ritmet e rritjes së portofolit të kredisë</w:t>
      </w:r>
      <w:r w:rsidR="00295263" w:rsidRPr="00050FA4">
        <w:rPr>
          <w:lang w:val="sq-AL" w:eastAsia="sq-AL"/>
        </w:rPr>
        <w:t>,</w:t>
      </w:r>
      <w:r w:rsidRPr="00050FA4">
        <w:rPr>
          <w:lang w:val="sq-AL" w:eastAsia="sq-AL"/>
        </w:rPr>
        <w:t xml:space="preserve"> sipas sektorëve institucionalë (individë dhe biznese) dhe sipas monedhës (lekë dhe valutë) kanë qenë të krahasueshme, por në terma të maturitetit, rritja e stokut të kredisë është e lidhur me rritjen në terma afatgjatë dhe me portofolin e kredive për pasuri të paluajtshme. Kreditë për pasuri të paluajtshme përbëjnë 22% të portofolit të përgjithshëm të kredisë nga 20% dhe 21% përkatësisht në dhjetor 2019 dhe dhjetor 2020 dhe norma e rritjes së portofolit të kredisë për pasuri të paluajtshme në tremujorin e tretë të 2021 ishte 12%. Rritja e lartë në këtë segment të portofolit të kredisë mund të lidhet me kërkesën më të lartë dhe kushtet më të relaksuara të kreditimit, veçanërisht për kreditë </w:t>
      </w:r>
      <w:r w:rsidR="008C3D20" w:rsidRPr="00050FA4">
        <w:rPr>
          <w:lang w:val="sq-AL" w:eastAsia="sq-AL"/>
        </w:rPr>
        <w:t>hipotekare</w:t>
      </w:r>
      <w:r w:rsidRPr="00050FA4">
        <w:rPr>
          <w:lang w:val="sq-AL" w:eastAsia="sq-AL"/>
        </w:rPr>
        <w:t xml:space="preserve"> për sektorin e individëve. Rezultatet e vrojtimit të kredisë bankare për tremujorin e tretë 2021, sugjerojnë se si kërkesa</w:t>
      </w:r>
      <w:r w:rsidR="00476C3E" w:rsidRPr="00050FA4">
        <w:rPr>
          <w:lang w:val="sq-AL" w:eastAsia="sq-AL"/>
        </w:rPr>
        <w:t>,</w:t>
      </w:r>
      <w:r w:rsidRPr="00050FA4">
        <w:rPr>
          <w:lang w:val="sq-AL" w:eastAsia="sq-AL"/>
        </w:rPr>
        <w:t xml:space="preserve"> ashtu edhe oferta për kredi</w:t>
      </w:r>
      <w:r w:rsidR="00476C3E" w:rsidRPr="00050FA4">
        <w:rPr>
          <w:lang w:val="sq-AL" w:eastAsia="sq-AL"/>
        </w:rPr>
        <w:t>,</w:t>
      </w:r>
      <w:r w:rsidRPr="00050FA4">
        <w:rPr>
          <w:lang w:val="sq-AL" w:eastAsia="sq-AL"/>
        </w:rPr>
        <w:t xml:space="preserve"> janë rritur në krahasim me tremujorët e mëparshëm duke reflektuar përmirësimin e kushteve makroekonomike dhe besimin më të fortë të biznesit dhe të konsumatorëve. Numri i aplikimeve për kredi</w:t>
      </w:r>
      <w:r w:rsidR="009E0BCD" w:rsidRPr="00050FA4">
        <w:rPr>
          <w:lang w:val="sq-AL" w:eastAsia="sq-AL"/>
        </w:rPr>
        <w:t>,</w:t>
      </w:r>
      <w:r w:rsidRPr="00050FA4">
        <w:rPr>
          <w:lang w:val="sq-AL" w:eastAsia="sq-AL"/>
        </w:rPr>
        <w:t xml:space="preserve"> për qëllime të investimit dhe likuiditetit nga sektori i individëve</w:t>
      </w:r>
      <w:r w:rsidR="009E0BCD" w:rsidRPr="00050FA4">
        <w:rPr>
          <w:lang w:val="sq-AL" w:eastAsia="sq-AL"/>
        </w:rPr>
        <w:t>,</w:t>
      </w:r>
      <w:r w:rsidRPr="00050FA4">
        <w:rPr>
          <w:lang w:val="sq-AL" w:eastAsia="sq-AL"/>
        </w:rPr>
        <w:t xml:space="preserve"> dhe biznesi ka qenë më i lartë dhe shkalla e refuzimit më e ulët në krahasim me tremujorët e mëparshëm. Në të njëjtën kohë bankat kanë relaksuar standardet e tyre të kredisë dhe planifikojnë të vazhdojnë ta bëjnë këtë gjatë tremujorit të fundit të vitit, pasi kërkesa për kredi pritet të mbetet e fortë.</w:t>
      </w:r>
    </w:p>
    <w:p w14:paraId="771152E3" w14:textId="5A8C6CF5" w:rsidR="00BC0117" w:rsidRPr="00050FA4" w:rsidRDefault="00BC0117" w:rsidP="003F1DA7">
      <w:pPr>
        <w:pStyle w:val="AAAAAAATEXXXX"/>
        <w:rPr>
          <w:lang w:val="sq-AL"/>
        </w:rPr>
      </w:pPr>
      <w:r w:rsidRPr="00050FA4">
        <w:rPr>
          <w:lang w:val="sq-AL"/>
        </w:rPr>
        <w:t>Kapitalizimi i sektorit bankar deri në fund të tremujorit të tretë 2021 mbeti në nivele të mjaftueshme</w:t>
      </w:r>
      <w:r w:rsidR="009E0BCD" w:rsidRPr="00050FA4">
        <w:rPr>
          <w:lang w:val="sq-AL"/>
        </w:rPr>
        <w:t>,</w:t>
      </w:r>
      <w:r w:rsidRPr="00050FA4">
        <w:rPr>
          <w:lang w:val="sq-AL"/>
        </w:rPr>
        <w:t xml:space="preserve"> pavarësisht një rënie të lehtë të raportit të mjaftueshmërisë së kapitalit në 18.3% nga 18.7% në fund të dhjetorit 2020 dhe 18.6% në fund të shtatorit 2020. Rënia e raportit u shkaktua nga rritja e nivelit të aktiveve të ponderuara me rrezik. Bankat mbetën fit</w:t>
      </w:r>
      <w:r w:rsidR="009E0BCD" w:rsidRPr="00050FA4">
        <w:rPr>
          <w:lang w:val="sq-AL"/>
        </w:rPr>
        <w:t>imprurëse gjatë periudhës janar–</w:t>
      </w:r>
      <w:r w:rsidRPr="00050FA4">
        <w:rPr>
          <w:lang w:val="sq-AL"/>
        </w:rPr>
        <w:t>tetor 2021 dhe fitimi i përgjithshëm dhe raportet e përfitueshmërisë ishin më të larta se në vitin 2019 dhe 2020. Më shumë se gjysma e bankave, duke përfshirë bankat me rëndësi sistemike, kishin fitime më të larta krahasuar me fitimet e regjistruara gjatë 10 muajve të parë të vitit 2020. Rezultati neto i aktivitetit të sektorit bankar u rrit me 40% në 18 miliardë lekë nga 13 miliardë lekë në vitin 2020 dhe kthimi nga aktivet (RoA) dhe kthimi nga kapitali (RoE) arritën në 12.8% dhe 1.3% nga 9.6% dhe 1% në fund të muajit tetor 2020. Rreth 65% e fitimit neto gjenerohet nga aktivitetet në valutë, por vëllimi i kësaj pjese të fitimit ka mbetur i pandryshuar nga një vit më parë, ndërkohë që fitimet në lekë janë 5 herë më të larta (nga 1.2 miliardë lekë deri në 6 miliardë lekë). Rritja e ndjeshme e rezultatit neto të bankave lidhet me përmirësimin e të ardhurave neto nga interesi</w:t>
      </w:r>
      <w:r w:rsidR="009E0BCD" w:rsidRPr="00050FA4">
        <w:rPr>
          <w:lang w:val="sq-AL"/>
        </w:rPr>
        <w:t>,</w:t>
      </w:r>
      <w:r w:rsidRPr="00050FA4">
        <w:rPr>
          <w:lang w:val="sq-AL"/>
        </w:rPr>
        <w:t xml:space="preserve"> si dhe një rënie të ndjeshme të shpenzimeve të provigjioneve për humbjen e kredisë. Rezultatet e provës së rezistencë</w:t>
      </w:r>
      <w:r w:rsidR="008C3D20" w:rsidRPr="00050FA4">
        <w:rPr>
          <w:lang w:val="sq-AL"/>
        </w:rPr>
        <w:t>s që mbulojnë horizontin 2021–</w:t>
      </w:r>
      <w:r w:rsidRPr="00050FA4">
        <w:rPr>
          <w:lang w:val="sq-AL"/>
        </w:rPr>
        <w:t>2022 tregojnë se sektori bankar mbetet elastik ndaj goditjeve të mundshme makroekonomike, megjithëse disa banka mund të përballen me nevojën për të forcuar pozicionet e tyre të kapitalit.</w:t>
      </w:r>
    </w:p>
    <w:p w14:paraId="6EA5B377" w14:textId="30BEDE4E" w:rsidR="00BC0117" w:rsidRPr="00050FA4" w:rsidRDefault="00BC0117" w:rsidP="003F1DA7">
      <w:pPr>
        <w:pStyle w:val="AAAAAAATEXXXX"/>
        <w:rPr>
          <w:lang w:val="sq-AL"/>
        </w:rPr>
      </w:pPr>
      <w:r w:rsidRPr="00050FA4">
        <w:rPr>
          <w:lang w:val="sq-AL"/>
        </w:rPr>
        <w:t>Rreziku i kredisë ka rënë ndjeshëm gjatë vitit 2021 dhe raporti i kredive me probleme (RKP) ra në 6.35% në tetor 2021, duke arritur nivelin më të ulët që nga viti 2009. Përmirësimi u vu re pothuajse në të gjitha kategoritë e kredive dhe erdhi si rezultat i rënies së kredive me probleme dhe</w:t>
      </w:r>
      <w:r w:rsidR="009E0BCD" w:rsidRPr="00050FA4">
        <w:rPr>
          <w:lang w:val="sq-AL"/>
        </w:rPr>
        <w:t>,</w:t>
      </w:r>
      <w:r w:rsidRPr="00050FA4">
        <w:rPr>
          <w:lang w:val="sq-AL"/>
        </w:rPr>
        <w:t xml:space="preserve"> gjithashtu</w:t>
      </w:r>
      <w:r w:rsidR="009E0BCD" w:rsidRPr="00050FA4">
        <w:rPr>
          <w:lang w:val="sq-AL"/>
        </w:rPr>
        <w:t>,</w:t>
      </w:r>
      <w:r w:rsidRPr="00050FA4">
        <w:rPr>
          <w:lang w:val="sq-AL"/>
        </w:rPr>
        <w:t xml:space="preserve"> rritjes së stokut të kredisë. Krahasuar me një vit më parë, stoku i kredive me probleme u tkurr me 15% ose 8 miliardë lekë, ndërsa raporti i kredive me probleme u ul me rreth 1.9 p.p. Rënia më e fortë është shënuar t</w:t>
      </w:r>
      <w:r w:rsidR="000C71F9" w:rsidRPr="00050FA4">
        <w:rPr>
          <w:lang w:val="sq-AL"/>
        </w:rPr>
        <w:t>ë</w:t>
      </w:r>
      <w:r w:rsidRPr="00050FA4">
        <w:rPr>
          <w:lang w:val="sq-AL"/>
        </w:rPr>
        <w:t xml:space="preserve"> kreditë me probleme në valutë (-22%), si dhe te stoku i kredive me probleme për bizneset dhe ato afatshkurtra (-18%). Rënia e stokut të kredive me probleme, sipas renditjes së kontributit, është ndikuar nga rritja e shlyerjeve në dy klasat e para të kredive me probleme; ristrukturimi i një pjese të kredive me probleme; dhe fshirjen e kredive të humbura nga bilancet e bankave. Rënia e stokut të kredive </w:t>
      </w:r>
      <w:r w:rsidR="008A0E5B" w:rsidRPr="00050FA4">
        <w:rPr>
          <w:lang w:val="sq-AL"/>
        </w:rPr>
        <w:t>“</w:t>
      </w:r>
      <w:r w:rsidRPr="00050FA4">
        <w:rPr>
          <w:lang w:val="sq-AL"/>
        </w:rPr>
        <w:t>nënstandarde</w:t>
      </w:r>
      <w:r w:rsidR="008A0E5B" w:rsidRPr="00050FA4">
        <w:rPr>
          <w:lang w:val="sq-AL"/>
        </w:rPr>
        <w:t>”</w:t>
      </w:r>
      <w:r w:rsidRPr="00050FA4">
        <w:rPr>
          <w:lang w:val="sq-AL"/>
        </w:rPr>
        <w:t xml:space="preserve"> dhe </w:t>
      </w:r>
      <w:r w:rsidR="008A0E5B" w:rsidRPr="00050FA4">
        <w:rPr>
          <w:lang w:val="sq-AL"/>
        </w:rPr>
        <w:t>“</w:t>
      </w:r>
      <w:r w:rsidRPr="00050FA4">
        <w:rPr>
          <w:lang w:val="sq-AL"/>
        </w:rPr>
        <w:t>të dyshimta</w:t>
      </w:r>
      <w:r w:rsidR="008A0E5B" w:rsidRPr="00050FA4">
        <w:rPr>
          <w:lang w:val="sq-AL"/>
        </w:rPr>
        <w:t>”</w:t>
      </w:r>
      <w:r w:rsidRPr="00050FA4">
        <w:rPr>
          <w:lang w:val="sq-AL"/>
        </w:rPr>
        <w:t xml:space="preserve">, së bashku me rënien e ndjeshme të fluksit të kredive të reja me probleme luajtën një rol të rëndësishëm në përmirësimin e cilësisë së kredisë. Struktura e kredive me probleme dominohet nga kategoria e kredive të humbura (52%), ndërsa kreditë e dyshimta dhe ato nënstandard zënë përkatësisht 21% dhe 27% të totalit. Rritja e peshës së kredive të humbura brenda stokut të kredive me probleme gjatë viteve të fundit lidhet me faktin se rënia e stokut të </w:t>
      </w:r>
      <w:r w:rsidR="007808AC" w:rsidRPr="00050FA4">
        <w:rPr>
          <w:lang w:val="sq-AL"/>
        </w:rPr>
        <w:t xml:space="preserve">të </w:t>
      </w:r>
      <w:r w:rsidRPr="00050FA4">
        <w:rPr>
          <w:lang w:val="sq-AL"/>
        </w:rPr>
        <w:t>dy</w:t>
      </w:r>
      <w:r w:rsidR="007808AC" w:rsidRPr="00050FA4">
        <w:rPr>
          <w:lang w:val="sq-AL"/>
        </w:rPr>
        <w:t>ja</w:t>
      </w:r>
      <w:r w:rsidRPr="00050FA4">
        <w:rPr>
          <w:lang w:val="sq-AL"/>
        </w:rPr>
        <w:t xml:space="preserve"> klasave të tjera të huave me probleme ka qenë më e shpejtë se rënia e stokut të kredive të humbura.</w:t>
      </w:r>
    </w:p>
    <w:p w14:paraId="369E0335" w14:textId="79FEBD07" w:rsidR="00BC0117" w:rsidRPr="00050FA4" w:rsidRDefault="00BC0117" w:rsidP="003F1DA7">
      <w:pPr>
        <w:pStyle w:val="AAAAAAATEXXXX"/>
        <w:rPr>
          <w:i/>
          <w:lang w:val="sq-AL"/>
        </w:rPr>
      </w:pPr>
      <w:r w:rsidRPr="00050FA4">
        <w:rPr>
          <w:i/>
          <w:lang w:val="sq-AL"/>
        </w:rPr>
        <w:t>Mbikëqyrja makroprudenciale</w:t>
      </w:r>
    </w:p>
    <w:p w14:paraId="66EDDC3F" w14:textId="15A133AD" w:rsidR="00BC0117" w:rsidRPr="00050FA4" w:rsidRDefault="00BC0117" w:rsidP="003F1DA7">
      <w:pPr>
        <w:pStyle w:val="AAAAAAATEXXXX"/>
        <w:rPr>
          <w:lang w:val="sq-AL"/>
        </w:rPr>
      </w:pPr>
      <w:r w:rsidRPr="00050FA4">
        <w:rPr>
          <w:lang w:val="sq-AL"/>
        </w:rPr>
        <w:t xml:space="preserve">Në interes të përmirësimit të transparencës, llogaridhënies dhe komunikimit, në </w:t>
      </w:r>
      <w:r w:rsidR="009E0BCD" w:rsidRPr="00050FA4">
        <w:rPr>
          <w:lang w:val="sq-AL"/>
        </w:rPr>
        <w:t xml:space="preserve">maj </w:t>
      </w:r>
      <w:r w:rsidRPr="00050FA4">
        <w:rPr>
          <w:lang w:val="sq-AL"/>
        </w:rPr>
        <w:t>2021, Banka e Shqipërisë publikoi një dokument</w:t>
      </w:r>
      <w:r w:rsidR="009E0BCD" w:rsidRPr="00050FA4">
        <w:rPr>
          <w:lang w:val="sq-AL"/>
        </w:rPr>
        <w:t>,</w:t>
      </w:r>
      <w:r w:rsidRPr="00050FA4">
        <w:rPr>
          <w:lang w:val="sq-AL"/>
        </w:rPr>
        <w:t xml:space="preserve"> që synon të informojë publikun mbi zbatimin e politikës makroprudenciale në Shqipëri. Temat kryesore të trajtuara në dokument janë: a) stabiliteti financiar dhe politika makroprudenciale; b) kuadri institucional i politikës makroprudenciale në Shqipëri; c) identifikimi dhe vlerësimi i rreziqeve sistemike; d) zbatimi i politikës makroprudenciale në Shqipëri</w:t>
      </w:r>
      <w:r w:rsidR="009E0BCD" w:rsidRPr="00050FA4">
        <w:rPr>
          <w:lang w:val="sq-AL"/>
        </w:rPr>
        <w:t>;</w:t>
      </w:r>
      <w:r w:rsidRPr="00050FA4">
        <w:rPr>
          <w:lang w:val="sq-AL"/>
        </w:rPr>
        <w:t xml:space="preserve"> dhe e) komunikimi dhe llogaridhënia. Ky dokument ofron një pamje më praktike dhe më të detajuar të objektivave të ndërmjet</w:t>
      </w:r>
      <w:r w:rsidR="00BA32E8" w:rsidRPr="00050FA4">
        <w:rPr>
          <w:lang w:val="sq-AL"/>
        </w:rPr>
        <w:t>ë</w:t>
      </w:r>
      <w:r w:rsidRPr="00050FA4">
        <w:rPr>
          <w:lang w:val="sq-AL"/>
        </w:rPr>
        <w:t>m dhe instrumenteve të politikës krahasuar me Strategjinë e Politikës Makroprudenciale (</w:t>
      </w:r>
      <w:r w:rsidR="009E0BCD" w:rsidRPr="00050FA4">
        <w:rPr>
          <w:lang w:val="sq-AL"/>
        </w:rPr>
        <w:t>gusht</w:t>
      </w:r>
      <w:r w:rsidRPr="00050FA4">
        <w:rPr>
          <w:lang w:val="sq-AL"/>
        </w:rPr>
        <w:t xml:space="preserve">, </w:t>
      </w:r>
      <w:r w:rsidRPr="00050FA4">
        <w:rPr>
          <w:lang w:val="sq-AL"/>
        </w:rPr>
        <w:lastRenderedPageBreak/>
        <w:t xml:space="preserve">2017) dhe fokusohet në masat makroprudenciale që janë zbatuar në Shqipëri pas miratimit të </w:t>
      </w:r>
      <w:r w:rsidR="009E0BCD" w:rsidRPr="00050FA4">
        <w:rPr>
          <w:lang w:val="sq-AL"/>
        </w:rPr>
        <w:t xml:space="preserve">rregullores </w:t>
      </w:r>
      <w:r w:rsidRPr="00050FA4">
        <w:rPr>
          <w:lang w:val="sq-AL"/>
        </w:rPr>
        <w:t>nga Banka e Shqipërisë</w:t>
      </w:r>
      <w:r w:rsidR="009E0BCD" w:rsidRPr="00050FA4">
        <w:rPr>
          <w:lang w:val="sq-AL"/>
        </w:rPr>
        <w:t>,</w:t>
      </w:r>
      <w:r w:rsidRPr="00050FA4">
        <w:rPr>
          <w:lang w:val="sq-AL"/>
        </w:rPr>
        <w:t xml:space="preserve"> </w:t>
      </w:r>
      <w:r w:rsidR="008A0E5B" w:rsidRPr="00050FA4">
        <w:rPr>
          <w:lang w:val="sq-AL"/>
        </w:rPr>
        <w:t>“</w:t>
      </w:r>
      <w:r w:rsidRPr="00050FA4">
        <w:rPr>
          <w:lang w:val="sq-AL"/>
        </w:rPr>
        <w:t xml:space="preserve">Për </w:t>
      </w:r>
      <w:r w:rsidR="008C3D20" w:rsidRPr="00050FA4">
        <w:rPr>
          <w:lang w:val="sq-AL"/>
        </w:rPr>
        <w:t>shtesat makroprudenciale të kapitalit</w:t>
      </w:r>
      <w:r w:rsidR="008A0E5B" w:rsidRPr="00050FA4">
        <w:rPr>
          <w:lang w:val="sq-AL"/>
        </w:rPr>
        <w:t>”</w:t>
      </w:r>
      <w:r w:rsidR="009E0BCD" w:rsidRPr="00050FA4">
        <w:rPr>
          <w:lang w:val="sq-AL"/>
        </w:rPr>
        <w:t>,</w:t>
      </w:r>
      <w:r w:rsidRPr="00050FA4">
        <w:rPr>
          <w:lang w:val="sq-AL"/>
        </w:rPr>
        <w:t xml:space="preserve"> në </w:t>
      </w:r>
      <w:r w:rsidR="008C3D20" w:rsidRPr="00050FA4">
        <w:rPr>
          <w:lang w:val="sq-AL"/>
        </w:rPr>
        <w:t xml:space="preserve">qershor </w:t>
      </w:r>
      <w:r w:rsidRPr="00050FA4">
        <w:rPr>
          <w:lang w:val="sq-AL"/>
        </w:rPr>
        <w:t>2019 (</w:t>
      </w:r>
      <w:r w:rsidR="009E0BCD" w:rsidRPr="00050FA4">
        <w:rPr>
          <w:lang w:val="sq-AL"/>
        </w:rPr>
        <w:t>Rregullorja</w:t>
      </w:r>
      <w:r w:rsidRPr="00050FA4">
        <w:rPr>
          <w:lang w:val="sq-AL"/>
        </w:rPr>
        <w:t>).</w:t>
      </w:r>
    </w:p>
    <w:p w14:paraId="4E274E7A" w14:textId="76B3D099" w:rsidR="00BC0117" w:rsidRPr="00050FA4" w:rsidRDefault="00BC0117" w:rsidP="003F1DA7">
      <w:pPr>
        <w:pStyle w:val="AAAAAAATEXXXX"/>
        <w:rPr>
          <w:lang w:val="sq-AL"/>
        </w:rPr>
      </w:pPr>
      <w:r w:rsidRPr="00050FA4">
        <w:rPr>
          <w:lang w:val="sq-AL"/>
        </w:rPr>
        <w:t>Rregullorja ofron bazën mbi të cil</w:t>
      </w:r>
      <w:r w:rsidR="00535FB4" w:rsidRPr="00050FA4">
        <w:rPr>
          <w:lang w:val="sq-AL"/>
        </w:rPr>
        <w:t>ën Banka e Shqipërisë zbaton tri</w:t>
      </w:r>
      <w:r w:rsidRPr="00050FA4">
        <w:rPr>
          <w:lang w:val="sq-AL"/>
        </w:rPr>
        <w:t xml:space="preserve"> shtesat e kapitalit (shtesa konservuese e kapitalit, kundërciklike dhe shtesa e kapitalit për bankat me rëndësi sistemike) në periodicitetin dhe normat e parashikuara në rregullore dhe të mbështetura nga metodologjitë shoqëruese. Shtesa kundërciklike e kapitalit shpallet në fund të çdo tremujori me vendim </w:t>
      </w:r>
      <w:r w:rsidRPr="0032772E">
        <w:rPr>
          <w:lang w:val="sq-AL"/>
        </w:rPr>
        <w:t>të Guvernatorit</w:t>
      </w:r>
      <w:r w:rsidRPr="00050FA4">
        <w:rPr>
          <w:lang w:val="sq-AL"/>
        </w:rPr>
        <w:t>. Vendimi për listën e bankave me rëndësi sistemike dhe për shtesat për rëndësinë sistemike shpallet një herë në vit në fund të tremujorit të parë. Shtesa konservuese e kapitalit caktohet sipas afatit kohor dhe normave të parashikuara në rregullore. Pozicioni i secilës bankë ndaj kërkesave të shtesave makroprudenciale të kapitalit vlerësohet çdo tremujor nëpërmjet një pakete raportimi të veçantë dhe një raporti të dedikuar. Kërkesat e zbatueshme deri më 1 janar 2022 janë paraqitur në tabelën e mëposhtme.</w:t>
      </w:r>
    </w:p>
    <w:p w14:paraId="54FA863F" w14:textId="77777777" w:rsidR="00BC0117" w:rsidRPr="00050FA4" w:rsidRDefault="00BC0117" w:rsidP="003F1DA7">
      <w:pPr>
        <w:ind w:firstLine="284"/>
        <w:rPr>
          <w:rFonts w:ascii="Garamond" w:hAnsi="Garamond" w:cstheme="majorBidi"/>
          <w:i/>
          <w:color w:val="0D0D0D" w:themeColor="text1" w:themeTint="F2"/>
        </w:rPr>
      </w:pPr>
    </w:p>
    <w:p w14:paraId="29FCF641" w14:textId="7EA12DD1" w:rsidR="00BC0117" w:rsidRPr="00050FA4" w:rsidRDefault="008A0E5B" w:rsidP="003F1DA7">
      <w:pPr>
        <w:pStyle w:val="AAAAAAATEXXXX"/>
        <w:jc w:val="center"/>
        <w:rPr>
          <w:b/>
          <w:i/>
          <w:sz w:val="20"/>
          <w:szCs w:val="20"/>
          <w:lang w:val="sq-AL"/>
        </w:rPr>
      </w:pPr>
      <w:r w:rsidRPr="00050FA4">
        <w:rPr>
          <w:b/>
          <w:i/>
          <w:sz w:val="20"/>
          <w:szCs w:val="20"/>
          <w:lang w:val="sq-AL"/>
        </w:rPr>
        <w:t>Tabelë 3.2.6</w:t>
      </w:r>
      <w:r w:rsidR="00BC0117" w:rsidRPr="00050FA4">
        <w:rPr>
          <w:b/>
          <w:i/>
          <w:sz w:val="20"/>
          <w:szCs w:val="20"/>
          <w:lang w:val="sq-AL"/>
        </w:rPr>
        <w:t xml:space="preserve"> Prezantimi i shtesave makroprudenciale të kapitalit që duhet të përmbushen deri </w:t>
      </w:r>
      <w:r w:rsidR="002F7B24" w:rsidRPr="00050FA4">
        <w:rPr>
          <w:b/>
          <w:i/>
          <w:sz w:val="20"/>
          <w:szCs w:val="20"/>
          <w:lang w:val="sq-AL"/>
        </w:rPr>
        <w:t>m</w:t>
      </w:r>
      <w:r w:rsidR="00BC0117" w:rsidRPr="00050FA4">
        <w:rPr>
          <w:b/>
          <w:i/>
          <w:sz w:val="20"/>
          <w:szCs w:val="20"/>
          <w:lang w:val="sq-AL"/>
        </w:rPr>
        <w:t xml:space="preserve">ë 1 </w:t>
      </w:r>
      <w:r w:rsidRPr="00050FA4">
        <w:rPr>
          <w:b/>
          <w:i/>
          <w:sz w:val="20"/>
          <w:szCs w:val="20"/>
          <w:lang w:val="sq-AL"/>
        </w:rPr>
        <w:t xml:space="preserve">janar </w:t>
      </w:r>
      <w:r w:rsidR="00BC0117" w:rsidRPr="00050FA4">
        <w:rPr>
          <w:b/>
          <w:i/>
          <w:sz w:val="20"/>
          <w:szCs w:val="20"/>
          <w:lang w:val="sq-AL"/>
        </w:rPr>
        <w:t>2022</w:t>
      </w:r>
    </w:p>
    <w:tbl>
      <w:tblPr>
        <w:tblStyle w:val="GridTable4-Accent51"/>
        <w:tblW w:w="9445" w:type="dxa"/>
        <w:jc w:val="center"/>
        <w:tblLook w:val="04A0" w:firstRow="1" w:lastRow="0" w:firstColumn="1" w:lastColumn="0" w:noHBand="0" w:noVBand="1"/>
      </w:tblPr>
      <w:tblGrid>
        <w:gridCol w:w="714"/>
        <w:gridCol w:w="1636"/>
        <w:gridCol w:w="3970"/>
        <w:gridCol w:w="1869"/>
        <w:gridCol w:w="1256"/>
      </w:tblGrid>
      <w:tr w:rsidR="00FA29AB" w:rsidRPr="00050FA4" w14:paraId="6293AD50" w14:textId="77777777" w:rsidTr="008C3D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4" w:type="dxa"/>
            <w:vMerge w:val="restart"/>
            <w:tcBorders>
              <w:bottom w:val="single" w:sz="4" w:space="0" w:color="92CDDC" w:themeColor="accent5" w:themeTint="99"/>
            </w:tcBorders>
            <w:vAlign w:val="center"/>
            <w:hideMark/>
          </w:tcPr>
          <w:p w14:paraId="687FED82" w14:textId="77777777" w:rsidR="00BC0117" w:rsidRPr="00050FA4" w:rsidRDefault="00BC0117" w:rsidP="00A03929">
            <w:pPr>
              <w:jc w:val="center"/>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Nr.</w:t>
            </w:r>
          </w:p>
        </w:tc>
        <w:tc>
          <w:tcPr>
            <w:tcW w:w="1636" w:type="dxa"/>
            <w:vMerge w:val="restart"/>
            <w:tcBorders>
              <w:bottom w:val="single" w:sz="4" w:space="0" w:color="92CDDC" w:themeColor="accent5" w:themeTint="99"/>
            </w:tcBorders>
            <w:vAlign w:val="center"/>
            <w:hideMark/>
          </w:tcPr>
          <w:p w14:paraId="0EC78286" w14:textId="77777777" w:rsidR="00BC0117" w:rsidRPr="00050FA4" w:rsidRDefault="00BC0117" w:rsidP="00A03929">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SHMAK</w:t>
            </w:r>
          </w:p>
          <w:p w14:paraId="16E7108B" w14:textId="34D58D6E" w:rsidR="00BC0117" w:rsidRPr="00050FA4" w:rsidRDefault="00BC0117" w:rsidP="00A03929">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w:t>
            </w:r>
            <w:r w:rsidR="008C3D20" w:rsidRPr="00050FA4">
              <w:rPr>
                <w:rFonts w:ascii="Garamond" w:eastAsia="Times New Roman" w:hAnsi="Garamond" w:cstheme="majorBidi"/>
                <w:color w:val="0D0D0D" w:themeColor="text1" w:themeTint="F2"/>
                <w:sz w:val="18"/>
                <w:szCs w:val="18"/>
                <w:lang w:val="sq-AL"/>
              </w:rPr>
              <w:t xml:space="preserve">shtesat </w:t>
            </w:r>
            <w:r w:rsidRPr="00050FA4">
              <w:rPr>
                <w:rFonts w:ascii="Garamond" w:eastAsia="Times New Roman" w:hAnsi="Garamond" w:cstheme="majorBidi"/>
                <w:color w:val="0D0D0D" w:themeColor="text1" w:themeTint="F2"/>
                <w:sz w:val="18"/>
                <w:szCs w:val="18"/>
                <w:lang w:val="sq-AL"/>
              </w:rPr>
              <w:t>makroprudenciale të kapitalit)</w:t>
            </w:r>
          </w:p>
        </w:tc>
        <w:tc>
          <w:tcPr>
            <w:tcW w:w="5839" w:type="dxa"/>
            <w:gridSpan w:val="2"/>
            <w:vAlign w:val="center"/>
            <w:hideMark/>
          </w:tcPr>
          <w:p w14:paraId="39727160" w14:textId="77777777" w:rsidR="00BC0117" w:rsidRPr="00050FA4" w:rsidRDefault="00BC0117" w:rsidP="00A03929">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Banka</w:t>
            </w:r>
          </w:p>
        </w:tc>
        <w:tc>
          <w:tcPr>
            <w:tcW w:w="1256" w:type="dxa"/>
            <w:vMerge w:val="restart"/>
            <w:tcBorders>
              <w:bottom w:val="single" w:sz="4" w:space="0" w:color="92CDDC" w:themeColor="accent5" w:themeTint="99"/>
            </w:tcBorders>
            <w:vAlign w:val="center"/>
            <w:hideMark/>
          </w:tcPr>
          <w:p w14:paraId="76743149" w14:textId="77777777" w:rsidR="00BC0117" w:rsidRPr="00050FA4" w:rsidRDefault="00BC0117" w:rsidP="00A03929">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Afati i përmbushjes</w:t>
            </w:r>
          </w:p>
        </w:tc>
      </w:tr>
      <w:tr w:rsidR="00FA29AB" w:rsidRPr="00050FA4" w14:paraId="08C37D7D" w14:textId="77777777" w:rsidTr="008C3D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4BACC6" w:themeColor="accent5"/>
              <w:left w:val="single" w:sz="4" w:space="0" w:color="4BACC6" w:themeColor="accent5"/>
              <w:bottom w:val="single" w:sz="4" w:space="0" w:color="92CDDC" w:themeColor="accent5" w:themeTint="99"/>
              <w:right w:val="nil"/>
            </w:tcBorders>
            <w:vAlign w:val="center"/>
            <w:hideMark/>
          </w:tcPr>
          <w:p w14:paraId="566CB033" w14:textId="77777777" w:rsidR="00BC0117" w:rsidRPr="00050FA4" w:rsidRDefault="00BC0117" w:rsidP="00A03929">
            <w:pPr>
              <w:jc w:val="center"/>
              <w:rPr>
                <w:rFonts w:ascii="Garamond" w:eastAsia="Times New Roman" w:hAnsi="Garamond" w:cstheme="majorBidi"/>
                <w:color w:val="0D0D0D" w:themeColor="text1" w:themeTint="F2"/>
                <w:sz w:val="18"/>
                <w:szCs w:val="18"/>
                <w:lang w:val="sq-AL"/>
              </w:rPr>
            </w:pPr>
          </w:p>
        </w:tc>
        <w:tc>
          <w:tcPr>
            <w:tcW w:w="0" w:type="auto"/>
            <w:vMerge/>
            <w:tcBorders>
              <w:top w:val="single" w:sz="4" w:space="0" w:color="4BACC6" w:themeColor="accent5"/>
              <w:left w:val="nil"/>
              <w:bottom w:val="single" w:sz="4" w:space="0" w:color="92CDDC" w:themeColor="accent5" w:themeTint="99"/>
              <w:right w:val="nil"/>
            </w:tcBorders>
            <w:vAlign w:val="center"/>
            <w:hideMark/>
          </w:tcPr>
          <w:p w14:paraId="22B08213" w14:textId="77777777" w:rsidR="00BC0117" w:rsidRPr="00050FA4" w:rsidRDefault="00BC0117" w:rsidP="00A03929">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18"/>
                <w:szCs w:val="18"/>
                <w:lang w:val="sq-AL"/>
              </w:rPr>
            </w:pPr>
          </w:p>
        </w:tc>
        <w:tc>
          <w:tcPr>
            <w:tcW w:w="3970"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14:paraId="687ADBCE" w14:textId="518200F3" w:rsidR="00BC0117" w:rsidRPr="00050FA4" w:rsidRDefault="00BC0117" w:rsidP="00A03929">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rPr>
            </w:pPr>
            <w:r w:rsidRPr="00050FA4">
              <w:rPr>
                <w:rFonts w:ascii="Garamond" w:eastAsia="Times New Roman" w:hAnsi="Garamond" w:cstheme="majorBidi"/>
                <w:b/>
                <w:i/>
                <w:iCs/>
                <w:color w:val="0D0D0D" w:themeColor="text1" w:themeTint="F2"/>
                <w:sz w:val="18"/>
                <w:szCs w:val="18"/>
                <w:lang w:val="sq-AL"/>
              </w:rPr>
              <w:t>BARS</w:t>
            </w:r>
            <w:r w:rsidR="009B1D6B" w:rsidRPr="00050FA4">
              <w:rPr>
                <w:rFonts w:ascii="Garamond" w:eastAsia="Times New Roman" w:hAnsi="Garamond" w:cstheme="majorBidi"/>
                <w:b/>
                <w:i/>
                <w:iCs/>
                <w:color w:val="0D0D0D" w:themeColor="text1" w:themeTint="F2"/>
                <w:sz w:val="18"/>
                <w:szCs w:val="18"/>
                <w:lang w:val="sq-AL"/>
              </w:rPr>
              <w:t xml:space="preserve"> </w:t>
            </w:r>
            <w:r w:rsidRPr="00050FA4">
              <w:rPr>
                <w:rFonts w:ascii="Garamond" w:eastAsia="Times New Roman" w:hAnsi="Garamond" w:cstheme="majorBidi"/>
                <w:b/>
                <w:i/>
                <w:iCs/>
                <w:color w:val="0D0D0D" w:themeColor="text1" w:themeTint="F2"/>
                <w:sz w:val="18"/>
                <w:szCs w:val="18"/>
                <w:lang w:val="sq-AL"/>
              </w:rPr>
              <w:t>(</w:t>
            </w:r>
            <w:r w:rsidR="002F7B24" w:rsidRPr="00050FA4">
              <w:rPr>
                <w:rFonts w:ascii="Garamond" w:eastAsia="Times New Roman" w:hAnsi="Garamond" w:cstheme="majorBidi"/>
                <w:b/>
                <w:i/>
                <w:iCs/>
                <w:color w:val="0D0D0D" w:themeColor="text1" w:themeTint="F2"/>
                <w:sz w:val="18"/>
                <w:szCs w:val="18"/>
                <w:lang w:val="sq-AL"/>
              </w:rPr>
              <w:t xml:space="preserve">bankat </w:t>
            </w:r>
            <w:r w:rsidRPr="00050FA4">
              <w:rPr>
                <w:rFonts w:ascii="Garamond" w:eastAsia="Times New Roman" w:hAnsi="Garamond" w:cstheme="majorBidi"/>
                <w:b/>
                <w:i/>
                <w:iCs/>
                <w:color w:val="0D0D0D" w:themeColor="text1" w:themeTint="F2"/>
                <w:sz w:val="18"/>
                <w:szCs w:val="18"/>
                <w:lang w:val="sq-AL"/>
              </w:rPr>
              <w:t xml:space="preserve">me </w:t>
            </w:r>
            <w:r w:rsidR="002F7B24" w:rsidRPr="00050FA4">
              <w:rPr>
                <w:rFonts w:ascii="Garamond" w:eastAsia="Times New Roman" w:hAnsi="Garamond" w:cstheme="majorBidi"/>
                <w:b/>
                <w:i/>
                <w:iCs/>
                <w:color w:val="0D0D0D" w:themeColor="text1" w:themeTint="F2"/>
                <w:sz w:val="18"/>
                <w:szCs w:val="18"/>
                <w:lang w:val="sq-AL"/>
              </w:rPr>
              <w:t>rëndësi sistemike</w:t>
            </w:r>
            <w:r w:rsidRPr="00050FA4">
              <w:rPr>
                <w:rFonts w:ascii="Garamond" w:eastAsia="Times New Roman" w:hAnsi="Garamond" w:cstheme="majorBidi"/>
                <w:b/>
                <w:i/>
                <w:iCs/>
                <w:color w:val="0D0D0D" w:themeColor="text1" w:themeTint="F2"/>
                <w:sz w:val="18"/>
                <w:szCs w:val="18"/>
                <w:lang w:val="sq-AL"/>
              </w:rPr>
              <w:t>)</w:t>
            </w:r>
          </w:p>
        </w:tc>
        <w:tc>
          <w:tcPr>
            <w:tcW w:w="186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14:paraId="4C4F63EC" w14:textId="31B17C4F" w:rsidR="00BC0117" w:rsidRPr="00050FA4" w:rsidRDefault="008A0E5B" w:rsidP="00A03929">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color w:val="0D0D0D" w:themeColor="text1" w:themeTint="F2"/>
                <w:sz w:val="18"/>
                <w:szCs w:val="18"/>
                <w:lang w:val="sq-AL"/>
              </w:rPr>
            </w:pPr>
            <w:r w:rsidRPr="00050FA4">
              <w:rPr>
                <w:rFonts w:ascii="Garamond" w:eastAsia="Times New Roman" w:hAnsi="Garamond" w:cstheme="majorBidi"/>
                <w:b/>
                <w:i/>
                <w:iCs/>
                <w:color w:val="0D0D0D" w:themeColor="text1" w:themeTint="F2"/>
                <w:sz w:val="18"/>
                <w:szCs w:val="18"/>
                <w:lang w:val="sq-AL"/>
              </w:rPr>
              <w:t>Jo – BARS (</w:t>
            </w:r>
            <w:r w:rsidR="002F7B24" w:rsidRPr="00050FA4">
              <w:rPr>
                <w:rFonts w:ascii="Garamond" w:eastAsia="Times New Roman" w:hAnsi="Garamond" w:cstheme="majorBidi"/>
                <w:b/>
                <w:i/>
                <w:iCs/>
                <w:color w:val="0D0D0D" w:themeColor="text1" w:themeTint="F2"/>
                <w:sz w:val="18"/>
                <w:szCs w:val="18"/>
                <w:lang w:val="sq-AL"/>
              </w:rPr>
              <w:t xml:space="preserve">bankat </w:t>
            </w:r>
            <w:r w:rsidRPr="00050FA4">
              <w:rPr>
                <w:rFonts w:ascii="Garamond" w:eastAsia="Times New Roman" w:hAnsi="Garamond" w:cstheme="majorBidi"/>
                <w:b/>
                <w:i/>
                <w:iCs/>
                <w:color w:val="0D0D0D" w:themeColor="text1" w:themeTint="F2"/>
                <w:sz w:val="18"/>
                <w:szCs w:val="18"/>
                <w:lang w:val="sq-AL"/>
              </w:rPr>
              <w:t>me rëndësi josistemike</w:t>
            </w:r>
            <w:r w:rsidR="00BC0117" w:rsidRPr="00050FA4">
              <w:rPr>
                <w:rFonts w:ascii="Garamond" w:eastAsia="Times New Roman" w:hAnsi="Garamond" w:cstheme="majorBidi"/>
                <w:b/>
                <w:i/>
                <w:iCs/>
                <w:color w:val="0D0D0D" w:themeColor="text1" w:themeTint="F2"/>
                <w:sz w:val="18"/>
                <w:szCs w:val="18"/>
                <w:lang w:val="sq-AL"/>
              </w:rPr>
              <w:t>)</w:t>
            </w:r>
          </w:p>
        </w:tc>
        <w:tc>
          <w:tcPr>
            <w:tcW w:w="0" w:type="auto"/>
            <w:vMerge/>
            <w:tcBorders>
              <w:top w:val="single" w:sz="4" w:space="0" w:color="4BACC6" w:themeColor="accent5"/>
              <w:left w:val="nil"/>
              <w:bottom w:val="single" w:sz="4" w:space="0" w:color="92CDDC" w:themeColor="accent5" w:themeTint="99"/>
              <w:right w:val="single" w:sz="4" w:space="0" w:color="4BACC6" w:themeColor="accent5"/>
            </w:tcBorders>
            <w:vAlign w:val="center"/>
            <w:hideMark/>
          </w:tcPr>
          <w:p w14:paraId="1CB938C4" w14:textId="77777777" w:rsidR="00BC0117" w:rsidRPr="00050FA4" w:rsidRDefault="00BC0117" w:rsidP="00A03929">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18"/>
                <w:szCs w:val="18"/>
                <w:lang w:val="sq-AL"/>
              </w:rPr>
            </w:pPr>
          </w:p>
        </w:tc>
      </w:tr>
      <w:tr w:rsidR="00FA29AB" w:rsidRPr="00050FA4" w14:paraId="3DEA0454" w14:textId="77777777" w:rsidTr="008C3D20">
        <w:trPr>
          <w:jc w:val="center"/>
        </w:trPr>
        <w:tc>
          <w:tcPr>
            <w:cnfStyle w:val="001000000000" w:firstRow="0" w:lastRow="0" w:firstColumn="1" w:lastColumn="0" w:oddVBand="0" w:evenVBand="0" w:oddHBand="0" w:evenHBand="0" w:firstRowFirstColumn="0" w:firstRowLastColumn="0" w:lastRowFirstColumn="0" w:lastRowLastColumn="0"/>
            <w:tcW w:w="71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14:paraId="4EB1E66C" w14:textId="77777777" w:rsidR="00BC0117" w:rsidRPr="00050FA4" w:rsidRDefault="00BC0117" w:rsidP="00A03929">
            <w:pPr>
              <w:jc w:val="center"/>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1</w:t>
            </w:r>
          </w:p>
        </w:tc>
        <w:tc>
          <w:tcPr>
            <w:tcW w:w="163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19E1980D" w14:textId="7777777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SIST (Shtesa e rëndësisë sistemike)</w:t>
            </w:r>
          </w:p>
        </w:tc>
        <w:tc>
          <w:tcPr>
            <w:tcW w:w="3970"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7E92E3E4" w14:textId="5A21D33E" w:rsidR="00BC0117" w:rsidRPr="00050FA4" w:rsidRDefault="00D91CB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Siç</w:t>
            </w:r>
            <w:r w:rsidR="00BC0117" w:rsidRPr="00050FA4">
              <w:rPr>
                <w:rFonts w:ascii="Garamond" w:eastAsia="Times New Roman" w:hAnsi="Garamond" w:cstheme="majorBidi"/>
                <w:color w:val="0D0D0D" w:themeColor="text1" w:themeTint="F2"/>
                <w:sz w:val="18"/>
                <w:szCs w:val="18"/>
                <w:lang w:val="sq-AL"/>
              </w:rPr>
              <w:t xml:space="preserve"> parashikohet në vendimin e Guvernatorit 1767/2021, por deri në 1.5% për vitin 2022</w:t>
            </w:r>
          </w:p>
          <w:p w14:paraId="643D925E" w14:textId="7777777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
                <w:i/>
                <w:color w:val="0D0D0D" w:themeColor="text1" w:themeTint="F2"/>
                <w:sz w:val="18"/>
                <w:szCs w:val="18"/>
                <w:lang w:val="sq-AL"/>
              </w:rPr>
            </w:pPr>
          </w:p>
          <w:p w14:paraId="292519C2" w14:textId="0859FCF1"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b/>
                <w:i/>
                <w:color w:val="0D0D0D" w:themeColor="text1" w:themeTint="F2"/>
                <w:sz w:val="18"/>
                <w:szCs w:val="18"/>
                <w:lang w:val="sq-AL"/>
              </w:rPr>
            </w:pPr>
            <w:r w:rsidRPr="00050FA4">
              <w:rPr>
                <w:rFonts w:ascii="Garamond" w:eastAsia="Times New Roman" w:hAnsi="Garamond" w:cstheme="majorBidi"/>
                <w:b/>
                <w:i/>
                <w:color w:val="0D0D0D" w:themeColor="text1" w:themeTint="F2"/>
                <w:sz w:val="18"/>
                <w:szCs w:val="18"/>
                <w:lang w:val="sq-AL"/>
              </w:rPr>
              <w:t>Lista e</w:t>
            </w:r>
            <w:r w:rsidR="009B1D6B" w:rsidRPr="00050FA4">
              <w:rPr>
                <w:rFonts w:ascii="Garamond" w:eastAsia="Times New Roman" w:hAnsi="Garamond" w:cstheme="majorBidi"/>
                <w:b/>
                <w:i/>
                <w:color w:val="0D0D0D" w:themeColor="text1" w:themeTint="F2"/>
                <w:sz w:val="18"/>
                <w:szCs w:val="18"/>
                <w:lang w:val="sq-AL"/>
              </w:rPr>
              <w:t xml:space="preserve"> </w:t>
            </w:r>
            <w:r w:rsidRPr="00050FA4">
              <w:rPr>
                <w:rFonts w:ascii="Garamond" w:eastAsia="Times New Roman" w:hAnsi="Garamond" w:cstheme="majorBidi"/>
                <w:b/>
                <w:i/>
                <w:color w:val="0D0D0D" w:themeColor="text1" w:themeTint="F2"/>
                <w:sz w:val="18"/>
                <w:szCs w:val="18"/>
                <w:lang w:val="sq-AL"/>
              </w:rPr>
              <w:t>BARS</w:t>
            </w:r>
          </w:p>
          <w:p w14:paraId="0F59F9C0" w14:textId="7777777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p>
          <w:p w14:paraId="09CEFF2A" w14:textId="5E5F8A71"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1. BKT (Banka Kombëtare Tregtare)</w:t>
            </w:r>
            <w:r w:rsidR="009B1D6B" w:rsidRPr="00050FA4">
              <w:rPr>
                <w:rFonts w:ascii="Garamond" w:eastAsia="Times New Roman" w:hAnsi="Garamond" w:cstheme="majorBidi"/>
                <w:color w:val="0D0D0D" w:themeColor="text1" w:themeTint="F2"/>
                <w:sz w:val="18"/>
                <w:szCs w:val="18"/>
                <w:lang w:val="sq-AL"/>
              </w:rPr>
              <w:t xml:space="preserve"> </w:t>
            </w:r>
            <w:r w:rsidRPr="00050FA4">
              <w:rPr>
                <w:rFonts w:ascii="Garamond" w:eastAsia="Times New Roman" w:hAnsi="Garamond" w:cstheme="majorBidi"/>
                <w:color w:val="0D0D0D" w:themeColor="text1" w:themeTint="F2"/>
                <w:sz w:val="18"/>
                <w:szCs w:val="18"/>
                <w:lang w:val="sq-AL"/>
              </w:rPr>
              <w:t xml:space="preserve">1.0% </w:t>
            </w:r>
          </w:p>
          <w:p w14:paraId="651F9B83" w14:textId="4406F10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2. BR (Banka Raiffeisen)</w:t>
            </w:r>
            <w:r w:rsidR="009B1D6B" w:rsidRPr="00050FA4">
              <w:rPr>
                <w:rFonts w:ascii="Garamond" w:eastAsia="Times New Roman" w:hAnsi="Garamond" w:cstheme="majorBidi"/>
                <w:color w:val="0D0D0D" w:themeColor="text1" w:themeTint="F2"/>
                <w:sz w:val="18"/>
                <w:szCs w:val="18"/>
                <w:lang w:val="sq-AL"/>
              </w:rPr>
              <w:t xml:space="preserve"> </w:t>
            </w:r>
            <w:r w:rsidRPr="00050FA4">
              <w:rPr>
                <w:rFonts w:ascii="Garamond" w:eastAsia="Times New Roman" w:hAnsi="Garamond" w:cstheme="majorBidi"/>
                <w:color w:val="0D0D0D" w:themeColor="text1" w:themeTint="F2"/>
                <w:sz w:val="18"/>
                <w:szCs w:val="18"/>
                <w:lang w:val="sq-AL"/>
              </w:rPr>
              <w:t>1.0%</w:t>
            </w:r>
          </w:p>
          <w:p w14:paraId="089DE5B5" w14:textId="378D4379"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3. BC (Banka Credins)</w:t>
            </w:r>
            <w:r w:rsidR="009B1D6B" w:rsidRPr="00050FA4">
              <w:rPr>
                <w:rFonts w:ascii="Garamond" w:eastAsia="Times New Roman" w:hAnsi="Garamond" w:cstheme="majorBidi"/>
                <w:color w:val="0D0D0D" w:themeColor="text1" w:themeTint="F2"/>
                <w:sz w:val="18"/>
                <w:szCs w:val="18"/>
                <w:lang w:val="sq-AL"/>
              </w:rPr>
              <w:t xml:space="preserve"> </w:t>
            </w:r>
            <w:r w:rsidRPr="00050FA4">
              <w:rPr>
                <w:rFonts w:ascii="Garamond" w:eastAsia="Times New Roman" w:hAnsi="Garamond" w:cstheme="majorBidi"/>
                <w:color w:val="0D0D0D" w:themeColor="text1" w:themeTint="F2"/>
                <w:sz w:val="18"/>
                <w:szCs w:val="18"/>
                <w:lang w:val="sq-AL"/>
              </w:rPr>
              <w:t>1.0%</w:t>
            </w:r>
          </w:p>
          <w:p w14:paraId="2C82008F" w14:textId="691FCD4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4. ISPBA (Banka Intesa San Paolo Shqipëri)</w:t>
            </w:r>
            <w:r w:rsidR="009B1D6B" w:rsidRPr="00050FA4">
              <w:rPr>
                <w:rFonts w:ascii="Garamond" w:eastAsia="Times New Roman" w:hAnsi="Garamond" w:cstheme="majorBidi"/>
                <w:color w:val="0D0D0D" w:themeColor="text1" w:themeTint="F2"/>
                <w:sz w:val="18"/>
                <w:szCs w:val="18"/>
                <w:lang w:val="sq-AL"/>
              </w:rPr>
              <w:t xml:space="preserve"> </w:t>
            </w:r>
            <w:r w:rsidRPr="00050FA4">
              <w:rPr>
                <w:rFonts w:ascii="Garamond" w:eastAsia="Times New Roman" w:hAnsi="Garamond" w:cstheme="majorBidi"/>
                <w:color w:val="0D0D0D" w:themeColor="text1" w:themeTint="F2"/>
                <w:sz w:val="18"/>
                <w:szCs w:val="18"/>
                <w:lang w:val="sq-AL"/>
              </w:rPr>
              <w:t>0.5%</w:t>
            </w:r>
          </w:p>
          <w:p w14:paraId="125C4372" w14:textId="1EB9247D"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5. OTP (Banka OTP)</w:t>
            </w:r>
            <w:r w:rsidR="009B1D6B" w:rsidRPr="00050FA4">
              <w:rPr>
                <w:rFonts w:ascii="Garamond" w:eastAsia="Times New Roman" w:hAnsi="Garamond" w:cstheme="majorBidi"/>
                <w:color w:val="0D0D0D" w:themeColor="text1" w:themeTint="F2"/>
                <w:sz w:val="18"/>
                <w:szCs w:val="18"/>
                <w:lang w:val="sq-AL"/>
              </w:rPr>
              <w:t xml:space="preserve"> </w:t>
            </w:r>
            <w:r w:rsidRPr="00050FA4">
              <w:rPr>
                <w:rFonts w:ascii="Garamond" w:eastAsia="Times New Roman" w:hAnsi="Garamond" w:cstheme="majorBidi"/>
                <w:color w:val="0D0D0D" w:themeColor="text1" w:themeTint="F2"/>
                <w:sz w:val="18"/>
                <w:szCs w:val="18"/>
                <w:lang w:val="sq-AL"/>
              </w:rPr>
              <w:t>0.5%</w:t>
            </w:r>
          </w:p>
        </w:tc>
        <w:tc>
          <w:tcPr>
            <w:tcW w:w="186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7894298D" w14:textId="7777777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Jo e zbatueshme</w:t>
            </w:r>
          </w:p>
          <w:p w14:paraId="670B0ED1" w14:textId="7777777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p>
          <w:p w14:paraId="2E4446DD" w14:textId="77777777"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p>
        </w:tc>
        <w:tc>
          <w:tcPr>
            <w:tcW w:w="125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0C5F4516" w14:textId="2F041B01"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 xml:space="preserve">1 </w:t>
            </w:r>
            <w:r w:rsidR="008A0E5B" w:rsidRPr="00050FA4">
              <w:rPr>
                <w:rFonts w:ascii="Garamond" w:eastAsia="Times New Roman" w:hAnsi="Garamond" w:cstheme="majorBidi"/>
                <w:color w:val="0D0D0D" w:themeColor="text1" w:themeTint="F2"/>
                <w:sz w:val="18"/>
                <w:szCs w:val="18"/>
                <w:lang w:val="sq-AL"/>
              </w:rPr>
              <w:t xml:space="preserve">janar </w:t>
            </w:r>
            <w:r w:rsidRPr="00050FA4">
              <w:rPr>
                <w:rFonts w:ascii="Garamond" w:eastAsia="Times New Roman" w:hAnsi="Garamond" w:cstheme="majorBidi"/>
                <w:color w:val="0D0D0D" w:themeColor="text1" w:themeTint="F2"/>
                <w:sz w:val="18"/>
                <w:szCs w:val="18"/>
                <w:lang w:val="sq-AL"/>
              </w:rPr>
              <w:t>2022</w:t>
            </w:r>
          </w:p>
        </w:tc>
      </w:tr>
      <w:tr w:rsidR="00FA29AB" w:rsidRPr="00050FA4" w14:paraId="30468AF2" w14:textId="77777777" w:rsidTr="008C3D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14:paraId="55B4F237" w14:textId="77777777" w:rsidR="00BC0117" w:rsidRPr="00050FA4" w:rsidRDefault="00BC0117" w:rsidP="00A03929">
            <w:pPr>
              <w:jc w:val="center"/>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2</w:t>
            </w:r>
          </w:p>
        </w:tc>
        <w:tc>
          <w:tcPr>
            <w:tcW w:w="163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19BD10CF" w14:textId="7D1DFD8B"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KONS (</w:t>
            </w:r>
            <w:r w:rsidR="008A0E5B" w:rsidRPr="00050FA4">
              <w:rPr>
                <w:rFonts w:ascii="Garamond" w:eastAsia="Times New Roman" w:hAnsi="Garamond" w:cstheme="majorBidi"/>
                <w:color w:val="0D0D0D" w:themeColor="text1" w:themeTint="F2"/>
                <w:sz w:val="18"/>
                <w:szCs w:val="18"/>
                <w:lang w:val="sq-AL"/>
              </w:rPr>
              <w:t xml:space="preserve">shtesa </w:t>
            </w:r>
            <w:r w:rsidRPr="00050FA4">
              <w:rPr>
                <w:rFonts w:ascii="Garamond" w:eastAsia="Times New Roman" w:hAnsi="Garamond" w:cstheme="majorBidi"/>
                <w:color w:val="0D0D0D" w:themeColor="text1" w:themeTint="F2"/>
                <w:sz w:val="18"/>
                <w:szCs w:val="18"/>
                <w:lang w:val="sq-AL"/>
              </w:rPr>
              <w:t>konservuese e kapitalit)</w:t>
            </w:r>
          </w:p>
        </w:tc>
        <w:tc>
          <w:tcPr>
            <w:tcW w:w="3970"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053A8D1A" w14:textId="77777777"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1.5%</w:t>
            </w:r>
          </w:p>
        </w:tc>
        <w:tc>
          <w:tcPr>
            <w:tcW w:w="186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3243BEE4" w14:textId="77777777"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1.5%</w:t>
            </w:r>
          </w:p>
        </w:tc>
        <w:tc>
          <w:tcPr>
            <w:tcW w:w="125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6BFEFD41" w14:textId="65C7FEAA"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 xml:space="preserve">1 </w:t>
            </w:r>
            <w:r w:rsidR="008A0E5B" w:rsidRPr="00050FA4">
              <w:rPr>
                <w:rFonts w:ascii="Garamond" w:eastAsia="Times New Roman" w:hAnsi="Garamond" w:cstheme="majorBidi"/>
                <w:color w:val="0D0D0D" w:themeColor="text1" w:themeTint="F2"/>
                <w:sz w:val="18"/>
                <w:szCs w:val="18"/>
                <w:lang w:val="sq-AL"/>
              </w:rPr>
              <w:t xml:space="preserve">janar </w:t>
            </w:r>
            <w:r w:rsidRPr="00050FA4">
              <w:rPr>
                <w:rFonts w:ascii="Garamond" w:eastAsia="Times New Roman" w:hAnsi="Garamond" w:cstheme="majorBidi"/>
                <w:color w:val="0D0D0D" w:themeColor="text1" w:themeTint="F2"/>
                <w:sz w:val="18"/>
                <w:szCs w:val="18"/>
                <w:lang w:val="sq-AL"/>
              </w:rPr>
              <w:t>2022</w:t>
            </w:r>
          </w:p>
        </w:tc>
      </w:tr>
      <w:tr w:rsidR="00FA29AB" w:rsidRPr="00050FA4" w14:paraId="6F172C1A" w14:textId="77777777" w:rsidTr="008C3D20">
        <w:trPr>
          <w:jc w:val="center"/>
        </w:trPr>
        <w:tc>
          <w:tcPr>
            <w:cnfStyle w:val="001000000000" w:firstRow="0" w:lastRow="0" w:firstColumn="1" w:lastColumn="0" w:oddVBand="0" w:evenVBand="0" w:oddHBand="0" w:evenHBand="0" w:firstRowFirstColumn="0" w:firstRowLastColumn="0" w:lastRowFirstColumn="0" w:lastRowLastColumn="0"/>
            <w:tcW w:w="71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14:paraId="1D4D21C9" w14:textId="77777777" w:rsidR="00BC0117" w:rsidRPr="00050FA4" w:rsidRDefault="00BC0117" w:rsidP="00A03929">
            <w:pPr>
              <w:jc w:val="center"/>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3</w:t>
            </w:r>
          </w:p>
        </w:tc>
        <w:tc>
          <w:tcPr>
            <w:tcW w:w="163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3315D484" w14:textId="2DDCAE3E"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SPEKUNC (</w:t>
            </w:r>
            <w:r w:rsidR="00D91CB7" w:rsidRPr="00050FA4">
              <w:rPr>
                <w:rFonts w:ascii="Garamond" w:eastAsia="Times New Roman" w:hAnsi="Garamond" w:cstheme="majorBidi"/>
                <w:color w:val="0D0D0D" w:themeColor="text1" w:themeTint="F2"/>
                <w:sz w:val="18"/>
                <w:szCs w:val="18"/>
                <w:lang w:val="sq-AL"/>
              </w:rPr>
              <w:t xml:space="preserve">shtesa </w:t>
            </w:r>
            <w:r w:rsidRPr="00050FA4">
              <w:rPr>
                <w:rFonts w:ascii="Garamond" w:eastAsia="Times New Roman" w:hAnsi="Garamond" w:cstheme="majorBidi"/>
                <w:color w:val="0D0D0D" w:themeColor="text1" w:themeTint="F2"/>
                <w:sz w:val="18"/>
                <w:szCs w:val="18"/>
                <w:lang w:val="sq-AL"/>
              </w:rPr>
              <w:t>kundërciklike e kapitalit specifike për bankën)</w:t>
            </w:r>
          </w:p>
        </w:tc>
        <w:tc>
          <w:tcPr>
            <w:tcW w:w="3970"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6786A424" w14:textId="11815C3D" w:rsidR="00BC0117" w:rsidRPr="00050FA4" w:rsidRDefault="007E0D91"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Siç</w:t>
            </w:r>
            <w:r w:rsidR="00BC0117" w:rsidRPr="00050FA4">
              <w:rPr>
                <w:rFonts w:ascii="Garamond" w:eastAsia="Times New Roman" w:hAnsi="Garamond" w:cstheme="majorBidi"/>
                <w:color w:val="0D0D0D" w:themeColor="text1" w:themeTint="F2"/>
                <w:sz w:val="18"/>
                <w:szCs w:val="18"/>
                <w:lang w:val="sq-AL"/>
              </w:rPr>
              <w:t xml:space="preserve"> parashikohet në vendimin e Guvernatorit 4217/2021 dhe bazuar në llogaritjet e bankës (por jo më lart se 1.875% për vitin 2022)</w:t>
            </w:r>
          </w:p>
        </w:tc>
        <w:tc>
          <w:tcPr>
            <w:tcW w:w="186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3353F144" w14:textId="59B012FA" w:rsidR="00BC0117" w:rsidRPr="00050FA4" w:rsidRDefault="004C5ABC"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Siç</w:t>
            </w:r>
            <w:r w:rsidR="00BC0117" w:rsidRPr="00050FA4">
              <w:rPr>
                <w:rFonts w:ascii="Garamond" w:eastAsia="Times New Roman" w:hAnsi="Garamond" w:cstheme="majorBidi"/>
                <w:color w:val="0D0D0D" w:themeColor="text1" w:themeTint="F2"/>
                <w:sz w:val="18"/>
                <w:szCs w:val="18"/>
                <w:lang w:val="sq-AL"/>
              </w:rPr>
              <w:t xml:space="preserve"> parashikohet në vendimin e Guvernatorit 4217/2021 dhe bazuar në llogaritjet e bankës (por jo më lart se 1.875% për vitin 2022)</w:t>
            </w:r>
          </w:p>
        </w:tc>
        <w:tc>
          <w:tcPr>
            <w:tcW w:w="125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365B7EAB" w14:textId="7F8B9FF9" w:rsidR="00BC0117" w:rsidRPr="00050FA4" w:rsidRDefault="00BC0117" w:rsidP="00A0392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 xml:space="preserve">30 </w:t>
            </w:r>
            <w:r w:rsidR="008A0E5B" w:rsidRPr="00050FA4">
              <w:rPr>
                <w:rFonts w:ascii="Garamond" w:eastAsia="Times New Roman" w:hAnsi="Garamond" w:cstheme="majorBidi"/>
                <w:color w:val="0D0D0D" w:themeColor="text1" w:themeTint="F2"/>
                <w:sz w:val="18"/>
                <w:szCs w:val="18"/>
                <w:lang w:val="sq-AL"/>
              </w:rPr>
              <w:t xml:space="preserve">shtator </w:t>
            </w:r>
            <w:r w:rsidRPr="00050FA4">
              <w:rPr>
                <w:rFonts w:ascii="Garamond" w:eastAsia="Times New Roman" w:hAnsi="Garamond" w:cstheme="majorBidi"/>
                <w:color w:val="0D0D0D" w:themeColor="text1" w:themeTint="F2"/>
                <w:sz w:val="18"/>
                <w:szCs w:val="18"/>
                <w:lang w:val="sq-AL"/>
              </w:rPr>
              <w:t xml:space="preserve">2022 </w:t>
            </w:r>
          </w:p>
        </w:tc>
      </w:tr>
      <w:tr w:rsidR="00FA29AB" w:rsidRPr="00050FA4" w14:paraId="1B796516" w14:textId="77777777" w:rsidTr="008C3D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14:paraId="6703D44F" w14:textId="77777777" w:rsidR="00BC0117" w:rsidRPr="00050FA4" w:rsidRDefault="00BC0117" w:rsidP="00A03929">
            <w:pPr>
              <w:jc w:val="center"/>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4 = 1+2+3</w:t>
            </w:r>
          </w:p>
        </w:tc>
        <w:tc>
          <w:tcPr>
            <w:tcW w:w="163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18F4C613" w14:textId="77777777"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18"/>
                <w:szCs w:val="18"/>
                <w:lang w:val="sq-AL"/>
              </w:rPr>
            </w:pPr>
            <w:r w:rsidRPr="00050FA4">
              <w:rPr>
                <w:rFonts w:ascii="Garamond" w:eastAsia="Times New Roman" w:hAnsi="Garamond" w:cstheme="majorBidi"/>
                <w:b/>
                <w:bCs/>
                <w:color w:val="0D0D0D" w:themeColor="text1" w:themeTint="F2"/>
                <w:sz w:val="18"/>
                <w:szCs w:val="18"/>
                <w:lang w:val="sq-AL"/>
              </w:rPr>
              <w:t>SHKOMAK</w:t>
            </w:r>
          </w:p>
          <w:p w14:paraId="015F858C" w14:textId="3F50F915"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color w:val="0D0D0D" w:themeColor="text1" w:themeTint="F2"/>
                <w:sz w:val="18"/>
                <w:szCs w:val="18"/>
                <w:lang w:val="sq-AL"/>
              </w:rPr>
            </w:pPr>
            <w:r w:rsidRPr="00050FA4">
              <w:rPr>
                <w:rFonts w:ascii="Garamond" w:eastAsia="Times New Roman" w:hAnsi="Garamond" w:cstheme="majorBidi"/>
                <w:b/>
                <w:bCs/>
                <w:color w:val="0D0D0D" w:themeColor="text1" w:themeTint="F2"/>
                <w:sz w:val="18"/>
                <w:szCs w:val="18"/>
                <w:lang w:val="sq-AL"/>
              </w:rPr>
              <w:t>(</w:t>
            </w:r>
            <w:r w:rsidR="008A0E5B" w:rsidRPr="00050FA4">
              <w:rPr>
                <w:rFonts w:ascii="Garamond" w:eastAsia="Times New Roman" w:hAnsi="Garamond" w:cstheme="majorBidi"/>
                <w:b/>
                <w:bCs/>
                <w:color w:val="0D0D0D" w:themeColor="text1" w:themeTint="F2"/>
                <w:sz w:val="18"/>
                <w:szCs w:val="18"/>
                <w:lang w:val="sq-AL"/>
              </w:rPr>
              <w:t xml:space="preserve">shtesa </w:t>
            </w:r>
            <w:r w:rsidRPr="00050FA4">
              <w:rPr>
                <w:rFonts w:ascii="Garamond" w:eastAsia="Times New Roman" w:hAnsi="Garamond" w:cstheme="majorBidi"/>
                <w:b/>
                <w:bCs/>
                <w:color w:val="0D0D0D" w:themeColor="text1" w:themeTint="F2"/>
                <w:sz w:val="18"/>
                <w:szCs w:val="18"/>
                <w:lang w:val="sq-AL"/>
              </w:rPr>
              <w:t>e kombinuar makroprudenciale e kapitalit)</w:t>
            </w:r>
          </w:p>
        </w:tc>
        <w:tc>
          <w:tcPr>
            <w:tcW w:w="3970"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4892F9A4" w14:textId="77777777"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KONS (1.5%) + SIST (0.5% or 1.0% or 1.5%) + SPEKUNC</w:t>
            </w:r>
          </w:p>
        </w:tc>
        <w:tc>
          <w:tcPr>
            <w:tcW w:w="186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497FE1BE" w14:textId="77777777"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r w:rsidRPr="00050FA4">
              <w:rPr>
                <w:rFonts w:ascii="Garamond" w:eastAsia="Times New Roman" w:hAnsi="Garamond" w:cstheme="majorBidi"/>
                <w:color w:val="0D0D0D" w:themeColor="text1" w:themeTint="F2"/>
                <w:sz w:val="18"/>
                <w:szCs w:val="18"/>
                <w:lang w:val="sq-AL"/>
              </w:rPr>
              <w:t>KONS (1.5%) + SPEKUNC</w:t>
            </w:r>
          </w:p>
        </w:tc>
        <w:tc>
          <w:tcPr>
            <w:tcW w:w="125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14:paraId="4A04212C" w14:textId="77777777" w:rsidR="00BC0117" w:rsidRPr="00050FA4" w:rsidRDefault="00BC0117" w:rsidP="00A0392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D0D0D" w:themeColor="text1" w:themeTint="F2"/>
                <w:sz w:val="18"/>
                <w:szCs w:val="18"/>
                <w:lang w:val="sq-AL"/>
              </w:rPr>
            </w:pPr>
          </w:p>
        </w:tc>
      </w:tr>
    </w:tbl>
    <w:p w14:paraId="1B27B724" w14:textId="77777777" w:rsidR="00BC0117" w:rsidRPr="00050FA4" w:rsidRDefault="00BC0117" w:rsidP="003F1DA7">
      <w:pPr>
        <w:ind w:firstLine="284"/>
        <w:jc w:val="both"/>
        <w:rPr>
          <w:rFonts w:ascii="Garamond" w:hAnsi="Garamond" w:cstheme="majorBidi"/>
          <w:color w:val="0D0D0D" w:themeColor="text1" w:themeTint="F2"/>
        </w:rPr>
      </w:pPr>
    </w:p>
    <w:p w14:paraId="5DA991C1" w14:textId="55D0E97C" w:rsidR="00BC0117" w:rsidRPr="00050FA4" w:rsidRDefault="00BC0117" w:rsidP="003F1DA7">
      <w:pPr>
        <w:pStyle w:val="AAAAAAATEXXXX"/>
        <w:rPr>
          <w:lang w:val="sq-AL"/>
        </w:rPr>
      </w:pPr>
      <w:r w:rsidRPr="00050FA4">
        <w:rPr>
          <w:lang w:val="sq-AL"/>
        </w:rPr>
        <w:t xml:space="preserve">Mjeti kryesor i përdorur nga Banka e Shqipërisë për të vlerësuar zhvillimet në rreziqet sistemike kundrejt objektivave të ndërmjetëm të politikës makroprudenciale është </w:t>
      </w:r>
      <w:r w:rsidR="00C214F4" w:rsidRPr="00050FA4">
        <w:rPr>
          <w:lang w:val="sq-AL"/>
        </w:rPr>
        <w:t xml:space="preserve">Harta </w:t>
      </w:r>
      <w:r w:rsidR="005E6A19" w:rsidRPr="00050FA4">
        <w:rPr>
          <w:lang w:val="sq-AL"/>
        </w:rPr>
        <w:t xml:space="preserve">tremujore e </w:t>
      </w:r>
      <w:r w:rsidR="00C214F4" w:rsidRPr="00050FA4">
        <w:rPr>
          <w:lang w:val="sq-AL"/>
        </w:rPr>
        <w:t xml:space="preserve">Nxehtësisë </w:t>
      </w:r>
      <w:r w:rsidR="005E6A19" w:rsidRPr="00050FA4">
        <w:rPr>
          <w:lang w:val="sq-AL"/>
        </w:rPr>
        <w:t xml:space="preserve">së </w:t>
      </w:r>
      <w:r w:rsidR="00C214F4" w:rsidRPr="00050FA4">
        <w:rPr>
          <w:lang w:val="sq-AL"/>
        </w:rPr>
        <w:t xml:space="preserve">Rreziqeve Makroprudenciale </w:t>
      </w:r>
      <w:r w:rsidRPr="00050FA4">
        <w:rPr>
          <w:lang w:val="sq-AL"/>
        </w:rPr>
        <w:t>(vetëm për përdorim të brendshëm). Treguesit janë strukturuar dhe grupuar</w:t>
      </w:r>
      <w:r w:rsidR="00C214F4" w:rsidRPr="00050FA4">
        <w:rPr>
          <w:lang w:val="sq-AL"/>
        </w:rPr>
        <w:t>,</w:t>
      </w:r>
      <w:r w:rsidRPr="00050FA4">
        <w:rPr>
          <w:lang w:val="sq-AL"/>
        </w:rPr>
        <w:t xml:space="preserve"> sipas katër objektivave të ndërmjetëm, të lidhur me rreziqet specifike dhe zhvillimet në secilin prej treguesve bazë, përkundrejt kufijve, informojnë diskutimet e brendshme dhe vendimmarrjen makroprudenciale.</w:t>
      </w:r>
    </w:p>
    <w:p w14:paraId="4D49835C" w14:textId="72A8C994" w:rsidR="00BC0117" w:rsidRPr="00050FA4" w:rsidRDefault="00BC0117" w:rsidP="003F1DA7">
      <w:pPr>
        <w:pStyle w:val="AAAAAAATEXXXX"/>
        <w:rPr>
          <w:rFonts w:cstheme="majorBidi"/>
          <w:color w:val="0D0D0D" w:themeColor="text1" w:themeTint="F2"/>
          <w:lang w:val="sq-AL"/>
        </w:rPr>
      </w:pPr>
      <w:r w:rsidRPr="00050FA4">
        <w:rPr>
          <w:rFonts w:cstheme="majorBidi"/>
          <w:color w:val="0D0D0D" w:themeColor="text1" w:themeTint="F2"/>
          <w:lang w:val="sq-AL"/>
        </w:rPr>
        <w:t>Sipas analizës së fundit (TM3-2021) Harta e Nxehtësisë së Rreziqeve Makroprudenciale tregon se nuk ka rreziqe të rëndësishme të lidhura me rritjen e tepërt të kredisë, përqendrimin në aktivitetin e sektorit bankar dhe madhësinë e institucioneve sistemike. Raporti arrin në përfundimin se masat që janë tashmë të zbatueshme janë të mjaftueshme dhe të përshtatshme për të adresuar rreziqet aktuale dhe se nuk ka nevojë për masa shtesë. Raporti nënvizon nevojën (për autoritetin makroprudencial) për të monitoruar nga afër dhe me kujdes zhvillimet në boshllëqet e maturitetit, shkallën e euroizimit dhe ekspozimet e sektorit bankar ndaj tregut të pasurive të paluajtshme, në kontekstin e rritjes së çmimeve të pasurive të paluajtshme dhe rritjes së fortë në kreditë për blerje të pasurive të paluajtshme dhe investimeve. Në këtë drejtim, Banka e Shqipërisë është pranë finalizimit të vlerësimit të praktikave të sektorit bankar</w:t>
      </w:r>
      <w:r w:rsidR="00C36336" w:rsidRPr="00050FA4">
        <w:rPr>
          <w:rFonts w:cstheme="majorBidi"/>
          <w:color w:val="0D0D0D" w:themeColor="text1" w:themeTint="F2"/>
          <w:lang w:val="sq-AL"/>
        </w:rPr>
        <w:t>,</w:t>
      </w:r>
      <w:r w:rsidRPr="00050FA4">
        <w:rPr>
          <w:rFonts w:cstheme="majorBidi"/>
          <w:color w:val="0D0D0D" w:themeColor="text1" w:themeTint="F2"/>
          <w:lang w:val="sq-AL"/>
        </w:rPr>
        <w:t xml:space="preserve"> në lidhje me kredinë për pasuritë e paluajtshme (përdorimi i raporteve LTV)</w:t>
      </w:r>
      <w:r w:rsidR="00C36336" w:rsidRPr="00050FA4">
        <w:rPr>
          <w:rFonts w:cstheme="majorBidi"/>
          <w:color w:val="0D0D0D" w:themeColor="text1" w:themeTint="F2"/>
          <w:lang w:val="sq-AL"/>
        </w:rPr>
        <w:t>,</w:t>
      </w:r>
      <w:r w:rsidRPr="00050FA4">
        <w:rPr>
          <w:rFonts w:cstheme="majorBidi"/>
          <w:color w:val="0D0D0D" w:themeColor="text1" w:themeTint="F2"/>
          <w:lang w:val="sq-AL"/>
        </w:rPr>
        <w:t xml:space="preserve"> si dhe një udhëzues që do të ndihmojë bankat të harmonizojnë praktikat e tyre. Në të njëjtën kohë, Banka e Shqipërisë po punon mbi kuadrin për funksionalizimin e shtesës së rrezikut sistemik.</w:t>
      </w:r>
    </w:p>
    <w:p w14:paraId="1CA68882" w14:textId="77777777" w:rsidR="00BC0117" w:rsidRPr="00050FA4" w:rsidRDefault="00BC0117" w:rsidP="003F1DA7">
      <w:pPr>
        <w:pStyle w:val="AAAAAAATEXXXX"/>
        <w:rPr>
          <w:rFonts w:eastAsia="Times New Roman"/>
          <w:i/>
          <w:lang w:val="sq-AL" w:eastAsia="en-GB"/>
        </w:rPr>
      </w:pPr>
      <w:r w:rsidRPr="00050FA4">
        <w:rPr>
          <w:rFonts w:eastAsia="Times New Roman"/>
          <w:i/>
          <w:lang w:val="sq-AL" w:eastAsia="en-GB"/>
        </w:rPr>
        <w:lastRenderedPageBreak/>
        <w:t>Kuadri i ndërhyrjes së jashtëzakonshme në sektorin bankar si pjesë e reformave të sektorit financiar</w:t>
      </w:r>
    </w:p>
    <w:p w14:paraId="3BCFB6C6" w14:textId="77777777" w:rsidR="00BC0117" w:rsidRPr="00050FA4" w:rsidRDefault="00BC0117" w:rsidP="003F1DA7">
      <w:pPr>
        <w:pStyle w:val="AAAAAAATEXXXX"/>
        <w:rPr>
          <w:rFonts w:eastAsia="Times New Roman"/>
          <w:lang w:val="sq-AL" w:eastAsia="en-GB"/>
        </w:rPr>
      </w:pPr>
      <w:r w:rsidRPr="00050FA4">
        <w:rPr>
          <w:rFonts w:eastAsia="Times New Roman"/>
          <w:lang w:val="sq-AL" w:eastAsia="en-GB"/>
        </w:rPr>
        <w:t>Banka e Shqipërisë, në cilësinë e Autoritetit të Ndërhyrjes së Jashtëzakonshme ka vijuar me zhvillimin mëtejshëm të kuadrit rregullator në fushën e ndërhyrjes së jashtëzakonshme në banka, ka finalizuar ciklin e tretë të planifikimit të ndërhyrjes së jashtëzakonshme dhe ka ndjekur hapat e nevojshëm për ngritjen e Fondit të Ndërhyrjes së Jashtëzakonshme. Gjatë vitit 2021, hyri në fuqi një kërkesë e re rregullatore, e cila ka të bëjë me kërkesën minimale për instrumente kapitalit rregullator dhe detyrime të pranuara - MREL, që bankat duhet të mbajnë për të përthithur humbjet dhe për të rikapitalizuar bankën, nëse ajo shkon në ndërhyrje të jashtëzakonshme, pa përdorur ndihmën e fondeve publike.</w:t>
      </w:r>
    </w:p>
    <w:p w14:paraId="7E4BCA32" w14:textId="18DEB2DF" w:rsidR="000762ED" w:rsidRPr="00050FA4" w:rsidRDefault="000762ED" w:rsidP="003F1DA7">
      <w:pPr>
        <w:pStyle w:val="AAAAAAATEXXXX"/>
        <w:rPr>
          <w:rFonts w:cs="Garamond"/>
          <w:i/>
          <w:lang w:val="sq-AL" w:eastAsia="sq-AL"/>
        </w:rPr>
      </w:pPr>
      <w:r w:rsidRPr="00050FA4">
        <w:rPr>
          <w:rFonts w:cs="Courier New"/>
          <w:i/>
          <w:lang w:val="sq-AL" w:eastAsia="sq-AL"/>
        </w:rPr>
        <w:t xml:space="preserve">- </w:t>
      </w:r>
      <w:r w:rsidRPr="00050FA4">
        <w:rPr>
          <w:rFonts w:cs="Garamond"/>
          <w:i/>
          <w:lang w:val="sq-AL" w:eastAsia="sq-AL"/>
        </w:rPr>
        <w:t>Zhvillimet në kuadrin e ndërhyrjes së jashtëzakonshme në sektorin bankar, në vitin 2021</w:t>
      </w:r>
    </w:p>
    <w:p w14:paraId="3C98D700" w14:textId="77777777" w:rsidR="000762ED" w:rsidRPr="00050FA4" w:rsidRDefault="000762ED" w:rsidP="003F1DA7">
      <w:pPr>
        <w:pStyle w:val="AAAAAAATEXXXX"/>
        <w:rPr>
          <w:rFonts w:cs="Garamond"/>
          <w:b/>
          <w:bCs/>
          <w:lang w:val="sq-AL" w:eastAsia="sq-AL"/>
        </w:rPr>
      </w:pPr>
      <w:r w:rsidRPr="00050FA4">
        <w:rPr>
          <w:rFonts w:cs="Garamond"/>
          <w:b/>
          <w:bCs/>
          <w:lang w:val="sq-AL" w:eastAsia="sq-AL"/>
        </w:rPr>
        <w:t>Kuadri rregullator dhe metodologjik</w:t>
      </w:r>
    </w:p>
    <w:p w14:paraId="4E7CF823" w14:textId="77777777" w:rsidR="000762ED" w:rsidRPr="00050FA4" w:rsidRDefault="000762ED" w:rsidP="003F1DA7">
      <w:pPr>
        <w:pStyle w:val="AAAAAAATEXXXX"/>
        <w:rPr>
          <w:rFonts w:cs="Garamond"/>
          <w:lang w:val="sq-AL" w:eastAsia="sq-AL"/>
        </w:rPr>
      </w:pPr>
      <w:r w:rsidRPr="00050FA4">
        <w:rPr>
          <w:rFonts w:cs="Garamond"/>
          <w:lang w:val="sq-AL" w:eastAsia="sq-AL"/>
        </w:rPr>
        <w:t>Gjatë vitit 2021, duke synuar përafrimin me legjislacionin e BE-së për plotësimin e kuadrit rregullator për ndërhyrjen e jashtëzakonshme në banka, Banka e Shqipërisë miratoi:</w:t>
      </w:r>
    </w:p>
    <w:p w14:paraId="2B482817" w14:textId="2A1923C7" w:rsidR="000762ED" w:rsidRPr="00050FA4" w:rsidRDefault="002F5176" w:rsidP="003F1DA7">
      <w:pPr>
        <w:pStyle w:val="AAAAAAATEXXXX"/>
        <w:rPr>
          <w:rFonts w:cs="Garamond"/>
          <w:lang w:val="sq-AL" w:eastAsia="sq-AL"/>
        </w:rPr>
      </w:pPr>
      <w:r w:rsidRPr="00050FA4">
        <w:rPr>
          <w:rFonts w:cs="Symbol"/>
          <w:lang w:val="sq-AL" w:eastAsia="sq-AL"/>
        </w:rPr>
        <w:t xml:space="preserve">- </w:t>
      </w:r>
      <w:r w:rsidRPr="00050FA4">
        <w:rPr>
          <w:rFonts w:cs="Garamond"/>
          <w:lang w:val="sq-AL" w:eastAsia="sq-AL"/>
        </w:rPr>
        <w:t xml:space="preserve">Me </w:t>
      </w:r>
      <w:r w:rsidR="000762ED" w:rsidRPr="00050FA4">
        <w:rPr>
          <w:rFonts w:cs="Garamond"/>
          <w:lang w:val="sq-AL" w:eastAsia="sq-AL"/>
        </w:rPr>
        <w:t>vendimin nr.</w:t>
      </w:r>
      <w:r w:rsidR="004E717A" w:rsidRPr="00050FA4">
        <w:rPr>
          <w:rFonts w:cs="Garamond"/>
          <w:lang w:val="sq-AL" w:eastAsia="sq-AL"/>
        </w:rPr>
        <w:t xml:space="preserve"> 20, datë 4.</w:t>
      </w:r>
      <w:r w:rsidR="000762ED" w:rsidRPr="00050FA4">
        <w:rPr>
          <w:rFonts w:cs="Garamond"/>
          <w:lang w:val="sq-AL" w:eastAsia="sq-AL"/>
        </w:rPr>
        <w:t>7.2021</w:t>
      </w:r>
      <w:r w:rsidR="007B333C" w:rsidRPr="00050FA4">
        <w:rPr>
          <w:rFonts w:cs="Garamond"/>
          <w:lang w:val="sq-AL" w:eastAsia="sq-AL"/>
        </w:rPr>
        <w:t>,</w:t>
      </w:r>
      <w:r w:rsidR="000762ED" w:rsidRPr="00050FA4">
        <w:rPr>
          <w:rFonts w:cs="Garamond"/>
          <w:lang w:val="sq-AL" w:eastAsia="sq-AL"/>
        </w:rPr>
        <w:t xml:space="preserve"> të Këshillit Mbikëqyrës, </w:t>
      </w:r>
      <w:r w:rsidR="007B333C" w:rsidRPr="00050FA4">
        <w:rPr>
          <w:rFonts w:cs="Garamond"/>
          <w:lang w:val="sq-AL" w:eastAsia="sq-AL"/>
        </w:rPr>
        <w:t xml:space="preserve">rregulloren </w:t>
      </w:r>
      <w:r w:rsidR="008A0E5B" w:rsidRPr="00050FA4">
        <w:rPr>
          <w:rFonts w:cs="Garamond"/>
          <w:lang w:val="sq-AL" w:eastAsia="sq-AL"/>
        </w:rPr>
        <w:t>“</w:t>
      </w:r>
      <w:r w:rsidR="000762ED" w:rsidRPr="00050FA4">
        <w:rPr>
          <w:rFonts w:cs="Garamond"/>
          <w:lang w:val="sq-AL" w:eastAsia="sq-AL"/>
        </w:rPr>
        <w:t>Për njohjen kontraktuale të kompetencave të zhvlerësimit dhe konvertimit</w:t>
      </w:r>
      <w:r w:rsidR="008A0E5B" w:rsidRPr="00050FA4">
        <w:rPr>
          <w:rFonts w:cs="Garamond"/>
          <w:lang w:val="sq-AL" w:eastAsia="sq-AL"/>
        </w:rPr>
        <w:t>”</w:t>
      </w:r>
      <w:r w:rsidR="000762ED" w:rsidRPr="00050FA4">
        <w:rPr>
          <w:rFonts w:cs="Garamond"/>
          <w:lang w:val="sq-AL" w:eastAsia="sq-AL"/>
        </w:rPr>
        <w:t xml:space="preserve">, e cila përafron </w:t>
      </w:r>
      <w:r w:rsidR="007B333C" w:rsidRPr="00050FA4">
        <w:rPr>
          <w:rFonts w:cs="Garamond"/>
          <w:lang w:val="sq-AL" w:eastAsia="sq-AL"/>
        </w:rPr>
        <w:t xml:space="preserve">rregulloren </w:t>
      </w:r>
      <w:r w:rsidR="000762ED" w:rsidRPr="00050FA4">
        <w:rPr>
          <w:rFonts w:cs="Garamond"/>
          <w:lang w:val="sq-AL" w:eastAsia="sq-AL"/>
        </w:rPr>
        <w:t>e Komisionit E</w:t>
      </w:r>
      <w:r w:rsidR="007B333C" w:rsidRPr="00050FA4">
        <w:rPr>
          <w:rFonts w:cs="Garamond"/>
          <w:lang w:val="sq-AL" w:eastAsia="sq-AL"/>
        </w:rPr>
        <w:t>v</w:t>
      </w:r>
      <w:r w:rsidR="000762ED" w:rsidRPr="00050FA4">
        <w:rPr>
          <w:rFonts w:cs="Garamond"/>
          <w:lang w:val="sq-AL" w:eastAsia="sq-AL"/>
        </w:rPr>
        <w:t>ropian 2016/1075/BE, mars 2016, dhe plotëson</w:t>
      </w:r>
      <w:r w:rsidR="009B1D6B" w:rsidRPr="00050FA4">
        <w:rPr>
          <w:rFonts w:cs="Garamond"/>
          <w:lang w:val="sq-AL" w:eastAsia="sq-AL"/>
        </w:rPr>
        <w:t xml:space="preserve"> </w:t>
      </w:r>
      <w:r w:rsidR="007B333C" w:rsidRPr="00050FA4">
        <w:rPr>
          <w:rFonts w:cs="Garamond"/>
          <w:lang w:val="sq-AL" w:eastAsia="sq-AL"/>
        </w:rPr>
        <w:t xml:space="preserve">direktivën </w:t>
      </w:r>
      <w:r w:rsidR="000762ED" w:rsidRPr="00050FA4">
        <w:rPr>
          <w:rFonts w:cs="Garamond"/>
          <w:lang w:val="sq-AL" w:eastAsia="sq-AL"/>
        </w:rPr>
        <w:t>2014/59/BE</w:t>
      </w:r>
      <w:r w:rsidR="007B333C" w:rsidRPr="00050FA4">
        <w:rPr>
          <w:rFonts w:cs="Garamond"/>
          <w:lang w:val="sq-AL" w:eastAsia="sq-AL"/>
        </w:rPr>
        <w:t>,</w:t>
      </w:r>
      <w:r w:rsidR="000762ED" w:rsidRPr="00050FA4">
        <w:rPr>
          <w:rFonts w:cs="Garamond"/>
          <w:lang w:val="sq-AL" w:eastAsia="sq-AL"/>
        </w:rPr>
        <w:t xml:space="preserve"> të Këshillit dhe Parlamentit Evropian. Kjo rregullore përcakton përmbajtjen e klauzolave</w:t>
      </w:r>
      <w:r w:rsidR="009B1D6B" w:rsidRPr="00050FA4">
        <w:rPr>
          <w:rFonts w:cs="Garamond"/>
          <w:lang w:val="sq-AL" w:eastAsia="sq-AL"/>
        </w:rPr>
        <w:t xml:space="preserve"> </w:t>
      </w:r>
      <w:r w:rsidR="000762ED" w:rsidRPr="00050FA4">
        <w:rPr>
          <w:rFonts w:cs="Garamond"/>
          <w:lang w:val="sq-AL" w:eastAsia="sq-AL"/>
        </w:rPr>
        <w:t>kontraktuale</w:t>
      </w:r>
      <w:r w:rsidR="007B333C" w:rsidRPr="00050FA4">
        <w:rPr>
          <w:rFonts w:cs="Garamond"/>
          <w:lang w:val="sq-AL" w:eastAsia="sq-AL"/>
        </w:rPr>
        <w:t>,</w:t>
      </w:r>
      <w:r w:rsidR="000762ED" w:rsidRPr="00050FA4">
        <w:rPr>
          <w:rFonts w:cs="Garamond"/>
          <w:lang w:val="sq-AL" w:eastAsia="sq-AL"/>
        </w:rPr>
        <w:t xml:space="preserve"> në lidhje me njohjen kontraktuale të kompetencave të zhvlerësimit dhe të konvertimit.</w:t>
      </w:r>
    </w:p>
    <w:p w14:paraId="0A36B7E0" w14:textId="1E7604DD" w:rsidR="000762ED" w:rsidRPr="00050FA4" w:rsidRDefault="002F5176" w:rsidP="003F1DA7">
      <w:pPr>
        <w:pStyle w:val="AAAAAAATEXXXX"/>
        <w:rPr>
          <w:rFonts w:cs="Garamond"/>
          <w:lang w:val="sq-AL" w:eastAsia="sq-AL"/>
        </w:rPr>
      </w:pPr>
      <w:r w:rsidRPr="00050FA4">
        <w:rPr>
          <w:rFonts w:cs="Symbol"/>
          <w:lang w:val="sq-AL" w:eastAsia="sq-AL"/>
        </w:rPr>
        <w:t xml:space="preserve">- </w:t>
      </w:r>
      <w:r w:rsidRPr="00050FA4">
        <w:rPr>
          <w:rFonts w:cs="Garamond"/>
          <w:lang w:val="sq-AL" w:eastAsia="sq-AL"/>
        </w:rPr>
        <w:t xml:space="preserve">Me </w:t>
      </w:r>
      <w:r w:rsidR="000762ED" w:rsidRPr="00050FA4">
        <w:rPr>
          <w:rFonts w:cs="Garamond"/>
          <w:lang w:val="sq-AL" w:eastAsia="sq-AL"/>
        </w:rPr>
        <w:t>vendimin nr.</w:t>
      </w:r>
      <w:r w:rsidR="004E717A" w:rsidRPr="00050FA4">
        <w:rPr>
          <w:rFonts w:cs="Garamond"/>
          <w:lang w:val="sq-AL" w:eastAsia="sq-AL"/>
        </w:rPr>
        <w:t xml:space="preserve"> 33, datë 7.</w:t>
      </w:r>
      <w:r w:rsidR="000762ED" w:rsidRPr="00050FA4">
        <w:rPr>
          <w:rFonts w:cs="Garamond"/>
          <w:lang w:val="sq-AL" w:eastAsia="sq-AL"/>
        </w:rPr>
        <w:t xml:space="preserve">7.2021, të Këshillit Mbikëqyrës, </w:t>
      </w:r>
      <w:r w:rsidR="007B333C" w:rsidRPr="00050FA4">
        <w:rPr>
          <w:rFonts w:cs="Garamond"/>
          <w:lang w:val="sq-AL" w:eastAsia="sq-AL"/>
        </w:rPr>
        <w:t xml:space="preserve">rregulloren </w:t>
      </w:r>
      <w:r w:rsidR="008A0E5B" w:rsidRPr="00050FA4">
        <w:rPr>
          <w:rFonts w:cs="Garamond"/>
          <w:lang w:val="sq-AL" w:eastAsia="sq-AL"/>
        </w:rPr>
        <w:t>“</w:t>
      </w:r>
      <w:r w:rsidR="000762ED" w:rsidRPr="00050FA4">
        <w:rPr>
          <w:rFonts w:cs="Garamond"/>
          <w:lang w:val="sq-AL" w:eastAsia="sq-AL"/>
        </w:rPr>
        <w:t>Për krijimin dhe funksionimin e shoqërisë për administrimin e aktiveve</w:t>
      </w:r>
      <w:r w:rsidR="008A0E5B" w:rsidRPr="00050FA4">
        <w:rPr>
          <w:rFonts w:cs="Garamond"/>
          <w:lang w:val="sq-AL" w:eastAsia="sq-AL"/>
        </w:rPr>
        <w:t>”</w:t>
      </w:r>
      <w:r w:rsidR="000762ED" w:rsidRPr="00050FA4">
        <w:rPr>
          <w:rFonts w:cs="Garamond"/>
          <w:lang w:val="sq-AL" w:eastAsia="sq-AL"/>
        </w:rPr>
        <w:t xml:space="preserve">, e cila është përgatitur në bazë të </w:t>
      </w:r>
      <w:r w:rsidRPr="00050FA4">
        <w:rPr>
          <w:rFonts w:cs="Garamond"/>
          <w:lang w:val="sq-AL" w:eastAsia="sq-AL"/>
        </w:rPr>
        <w:t>praktikave më të mira evropiane.</w:t>
      </w:r>
    </w:p>
    <w:p w14:paraId="7038C4B8" w14:textId="228FC6A5" w:rsidR="000762ED" w:rsidRPr="00050FA4" w:rsidRDefault="002F5176" w:rsidP="003F1DA7">
      <w:pPr>
        <w:pStyle w:val="AAAAAAATEXXXX"/>
        <w:rPr>
          <w:rFonts w:cs="Garamond"/>
          <w:lang w:val="sq-AL" w:eastAsia="sq-AL"/>
        </w:rPr>
      </w:pPr>
      <w:r w:rsidRPr="00050FA4">
        <w:rPr>
          <w:rFonts w:cs="Symbol"/>
          <w:lang w:val="sq-AL" w:eastAsia="sq-AL"/>
        </w:rPr>
        <w:t xml:space="preserve">- </w:t>
      </w:r>
      <w:r w:rsidRPr="00050FA4">
        <w:rPr>
          <w:rFonts w:cs="Garamond"/>
          <w:lang w:val="sq-AL" w:eastAsia="sq-AL"/>
        </w:rPr>
        <w:t xml:space="preserve">Me </w:t>
      </w:r>
      <w:r w:rsidR="004E717A" w:rsidRPr="00050FA4">
        <w:rPr>
          <w:rFonts w:cs="Garamond"/>
          <w:lang w:val="sq-AL" w:eastAsia="sq-AL"/>
        </w:rPr>
        <w:t>vendimin nr.</w:t>
      </w:r>
      <w:r w:rsidRPr="00050FA4">
        <w:rPr>
          <w:rFonts w:cs="Garamond"/>
          <w:lang w:val="sq-AL" w:eastAsia="sq-AL"/>
        </w:rPr>
        <w:t xml:space="preserve"> </w:t>
      </w:r>
      <w:r w:rsidR="004E717A" w:rsidRPr="00050FA4">
        <w:rPr>
          <w:rFonts w:cs="Garamond"/>
          <w:lang w:val="sq-AL" w:eastAsia="sq-AL"/>
        </w:rPr>
        <w:t>34, datë 7.</w:t>
      </w:r>
      <w:r w:rsidR="000762ED" w:rsidRPr="00050FA4">
        <w:rPr>
          <w:rFonts w:cs="Garamond"/>
          <w:lang w:val="sq-AL" w:eastAsia="sq-AL"/>
        </w:rPr>
        <w:t xml:space="preserve">7.2021, të Këshillit Mbikëqyrës, </w:t>
      </w:r>
      <w:r w:rsidR="004E717A" w:rsidRPr="00050FA4">
        <w:rPr>
          <w:rFonts w:cs="Garamond"/>
          <w:lang w:val="sq-AL" w:eastAsia="sq-AL"/>
        </w:rPr>
        <w:t xml:space="preserve">rregulloren </w:t>
      </w:r>
      <w:r w:rsidR="008A0E5B" w:rsidRPr="00050FA4">
        <w:rPr>
          <w:rFonts w:cs="Garamond"/>
          <w:lang w:val="sq-AL" w:eastAsia="sq-AL"/>
        </w:rPr>
        <w:t>“</w:t>
      </w:r>
      <w:r w:rsidR="000762ED" w:rsidRPr="00050FA4">
        <w:rPr>
          <w:rFonts w:cs="Garamond"/>
          <w:lang w:val="sq-AL" w:eastAsia="sq-AL"/>
        </w:rPr>
        <w:t>Për kriteret për përcaktimin e normave të konvertimit të detyrimeve në kapital</w:t>
      </w:r>
      <w:r w:rsidR="008A0E5B" w:rsidRPr="00050FA4">
        <w:rPr>
          <w:rFonts w:cs="Garamond"/>
          <w:lang w:val="sq-AL" w:eastAsia="sq-AL"/>
        </w:rPr>
        <w:t>”</w:t>
      </w:r>
      <w:r w:rsidR="000762ED" w:rsidRPr="00050FA4">
        <w:rPr>
          <w:rFonts w:cs="Garamond"/>
          <w:lang w:val="sq-AL" w:eastAsia="sq-AL"/>
        </w:rPr>
        <w:t>, në përput</w:t>
      </w:r>
      <w:r w:rsidR="007B333C" w:rsidRPr="00050FA4">
        <w:rPr>
          <w:rFonts w:cs="Garamond"/>
          <w:lang w:val="sq-AL" w:eastAsia="sq-AL"/>
        </w:rPr>
        <w:t>hje me EBA/GL/2017/03, datë 11.</w:t>
      </w:r>
      <w:r w:rsidR="000762ED" w:rsidRPr="00050FA4">
        <w:rPr>
          <w:rFonts w:cs="Garamond"/>
          <w:lang w:val="sq-AL" w:eastAsia="sq-AL"/>
        </w:rPr>
        <w:t>7.2017, në zbatim të nenit 50(4)</w:t>
      </w:r>
      <w:r w:rsidR="007B333C" w:rsidRPr="00050FA4">
        <w:rPr>
          <w:rFonts w:cs="Garamond"/>
          <w:lang w:val="sq-AL" w:eastAsia="sq-AL"/>
        </w:rPr>
        <w:t>,</w:t>
      </w:r>
      <w:r w:rsidR="000762ED" w:rsidRPr="00050FA4">
        <w:rPr>
          <w:rFonts w:cs="Garamond"/>
          <w:lang w:val="sq-AL" w:eastAsia="sq-AL"/>
        </w:rPr>
        <w:t xml:space="preserve"> të </w:t>
      </w:r>
      <w:r w:rsidR="007B333C" w:rsidRPr="00050FA4">
        <w:rPr>
          <w:rFonts w:cs="Garamond"/>
          <w:lang w:val="sq-AL" w:eastAsia="sq-AL"/>
        </w:rPr>
        <w:t xml:space="preserve">direktivës </w:t>
      </w:r>
      <w:r w:rsidR="000762ED" w:rsidRPr="00050FA4">
        <w:rPr>
          <w:rFonts w:cs="Garamond"/>
          <w:lang w:val="sq-AL" w:eastAsia="sq-AL"/>
        </w:rPr>
        <w:t xml:space="preserve">2014/59/BE (BRRD), mbi përcaktimin e normave të konvertimit të borxhit në kapital në rikapitalizimin nga brenda. Kjo rregullore specifikon kriteret për normat e konvertimit në kapital të detyrimeve të bankës, duke përdorur kompetencën e zhvlerësimit dhe konvertimit në zbatimin instrumentit të rikapitalizimit nga brenda. </w:t>
      </w:r>
    </w:p>
    <w:p w14:paraId="4CDFB776" w14:textId="62502033" w:rsidR="000762ED" w:rsidRPr="00050FA4" w:rsidRDefault="002F5176" w:rsidP="003F1DA7">
      <w:pPr>
        <w:pStyle w:val="AAAAAAATEXXXX"/>
        <w:rPr>
          <w:rFonts w:cs="Garamond"/>
          <w:lang w:val="sq-AL" w:eastAsia="sq-AL"/>
        </w:rPr>
      </w:pPr>
      <w:r w:rsidRPr="00050FA4">
        <w:rPr>
          <w:rFonts w:cs="Symbol"/>
          <w:lang w:val="sq-AL" w:eastAsia="sq-AL"/>
        </w:rPr>
        <w:t xml:space="preserve">- </w:t>
      </w:r>
      <w:r w:rsidRPr="00050FA4">
        <w:rPr>
          <w:rFonts w:cs="Garamond"/>
          <w:lang w:val="sq-AL" w:eastAsia="sq-AL"/>
        </w:rPr>
        <w:t xml:space="preserve">Me </w:t>
      </w:r>
      <w:r w:rsidR="000762ED" w:rsidRPr="00050FA4">
        <w:rPr>
          <w:rFonts w:cs="Garamond"/>
          <w:lang w:val="sq-AL" w:eastAsia="sq-AL"/>
        </w:rPr>
        <w:t>vendimin nr.</w:t>
      </w:r>
      <w:r w:rsidR="004E717A" w:rsidRPr="00050FA4">
        <w:rPr>
          <w:rFonts w:cs="Garamond"/>
          <w:lang w:val="sq-AL" w:eastAsia="sq-AL"/>
        </w:rPr>
        <w:t xml:space="preserve"> </w:t>
      </w:r>
      <w:r w:rsidR="007B333C" w:rsidRPr="00050FA4">
        <w:rPr>
          <w:rFonts w:cs="Garamond"/>
          <w:lang w:val="sq-AL" w:eastAsia="sq-AL"/>
        </w:rPr>
        <w:t>35, datë 7.</w:t>
      </w:r>
      <w:r w:rsidR="000762ED" w:rsidRPr="00050FA4">
        <w:rPr>
          <w:rFonts w:cs="Garamond"/>
          <w:lang w:val="sq-AL" w:eastAsia="sq-AL"/>
        </w:rPr>
        <w:t xml:space="preserve">7.2021, të Këshillit Mbikëqyrës, </w:t>
      </w:r>
      <w:r w:rsidR="007B333C" w:rsidRPr="00050FA4">
        <w:rPr>
          <w:rFonts w:cs="Garamond"/>
          <w:lang w:val="sq-AL" w:eastAsia="sq-AL"/>
        </w:rPr>
        <w:t xml:space="preserve">rregulloren </w:t>
      </w:r>
      <w:r w:rsidR="008A0E5B" w:rsidRPr="00050FA4">
        <w:rPr>
          <w:rFonts w:cs="Garamond"/>
          <w:lang w:val="sq-AL" w:eastAsia="sq-AL"/>
        </w:rPr>
        <w:t>“</w:t>
      </w:r>
      <w:r w:rsidR="000762ED" w:rsidRPr="00050FA4">
        <w:rPr>
          <w:rFonts w:cs="Garamond"/>
          <w:lang w:val="sq-AL" w:eastAsia="sq-AL"/>
        </w:rPr>
        <w:t>Për llojet e marrëveshjeve që do të mbrohen në transferimin e pjesshëm</w:t>
      </w:r>
      <w:r w:rsidR="008A0E5B" w:rsidRPr="00050FA4">
        <w:rPr>
          <w:rFonts w:cs="Garamond"/>
          <w:lang w:val="sq-AL" w:eastAsia="sq-AL"/>
        </w:rPr>
        <w:t>”</w:t>
      </w:r>
      <w:r w:rsidR="000762ED" w:rsidRPr="00050FA4">
        <w:rPr>
          <w:rFonts w:cs="Garamond"/>
          <w:lang w:val="sq-AL" w:eastAsia="sq-AL"/>
        </w:rPr>
        <w:t xml:space="preserve">, në përputhje me </w:t>
      </w:r>
      <w:r w:rsidR="007B333C" w:rsidRPr="00050FA4">
        <w:rPr>
          <w:rFonts w:cs="Garamond"/>
          <w:lang w:val="sq-AL" w:eastAsia="sq-AL"/>
        </w:rPr>
        <w:t xml:space="preserve">rregulloren </w:t>
      </w:r>
      <w:r w:rsidR="000762ED" w:rsidRPr="00050FA4">
        <w:rPr>
          <w:rFonts w:cs="Garamond"/>
          <w:lang w:val="sq-AL" w:eastAsia="sq-AL"/>
        </w:rPr>
        <w:t xml:space="preserve">e </w:t>
      </w:r>
      <w:r w:rsidR="007B333C" w:rsidRPr="00050FA4">
        <w:rPr>
          <w:rFonts w:cs="Garamond"/>
          <w:lang w:val="sq-AL" w:eastAsia="sq-AL"/>
        </w:rPr>
        <w:t xml:space="preserve">deleguar </w:t>
      </w:r>
      <w:r w:rsidR="000762ED" w:rsidRPr="00050FA4">
        <w:rPr>
          <w:rFonts w:cs="Garamond"/>
          <w:lang w:val="sq-AL" w:eastAsia="sq-AL"/>
        </w:rPr>
        <w:t xml:space="preserve">të Komisionit (BE) 2017/867, datë 7 shkurt 2017, mbi llojet e marrëveshjeve që mbrohen në transferimin e pjesshëm të pronës, sipas nenit 76 të </w:t>
      </w:r>
      <w:r w:rsidR="007B333C" w:rsidRPr="00050FA4">
        <w:rPr>
          <w:rFonts w:cs="Garamond"/>
          <w:lang w:val="sq-AL" w:eastAsia="sq-AL"/>
        </w:rPr>
        <w:t xml:space="preserve">direktivës </w:t>
      </w:r>
      <w:r w:rsidR="000762ED" w:rsidRPr="00050FA4">
        <w:rPr>
          <w:rFonts w:cs="Garamond"/>
          <w:lang w:val="sq-AL" w:eastAsia="sq-AL"/>
        </w:rPr>
        <w:t>2014/59/BE së Këshillit dhe Parlamentit Evropian. Kjo rregullore përcakton kushtet për llojet e marrëveshjeve</w:t>
      </w:r>
      <w:r w:rsidR="007B333C" w:rsidRPr="00050FA4">
        <w:rPr>
          <w:rFonts w:cs="Garamond"/>
          <w:lang w:val="sq-AL" w:eastAsia="sq-AL"/>
        </w:rPr>
        <w:t>,</w:t>
      </w:r>
      <w:r w:rsidR="000762ED" w:rsidRPr="00050FA4">
        <w:rPr>
          <w:rFonts w:cs="Garamond"/>
          <w:lang w:val="sq-AL" w:eastAsia="sq-AL"/>
        </w:rPr>
        <w:t xml:space="preserve"> që duhen mbrojtur në transferimin e pjesshëm të aktiveve dhe </w:t>
      </w:r>
      <w:r w:rsidR="007B333C" w:rsidRPr="00050FA4">
        <w:rPr>
          <w:rFonts w:cs="Garamond"/>
          <w:lang w:val="sq-AL" w:eastAsia="sq-AL"/>
        </w:rPr>
        <w:t xml:space="preserve">të </w:t>
      </w:r>
      <w:r w:rsidR="000762ED" w:rsidRPr="00050FA4">
        <w:rPr>
          <w:rFonts w:cs="Garamond"/>
          <w:lang w:val="sq-AL" w:eastAsia="sq-AL"/>
        </w:rPr>
        <w:t>detyrimeve të një banke në ndërhyrje të jashtëzakonshme.</w:t>
      </w:r>
    </w:p>
    <w:p w14:paraId="3D8E0402" w14:textId="36F02509" w:rsidR="000762ED" w:rsidRPr="00050FA4" w:rsidRDefault="002F5176" w:rsidP="003F1DA7">
      <w:pPr>
        <w:pStyle w:val="AAAAAAATEXXXX"/>
        <w:rPr>
          <w:rFonts w:cs="Garamond"/>
          <w:lang w:val="sq-AL" w:eastAsia="sq-AL"/>
        </w:rPr>
      </w:pPr>
      <w:r w:rsidRPr="00050FA4">
        <w:rPr>
          <w:rFonts w:cs="Symbol"/>
          <w:lang w:val="sq-AL" w:eastAsia="sq-AL"/>
        </w:rPr>
        <w:t xml:space="preserve">- </w:t>
      </w:r>
      <w:r w:rsidR="000762ED" w:rsidRPr="00050FA4">
        <w:rPr>
          <w:rFonts w:cs="Garamond"/>
          <w:lang w:val="sq-AL" w:eastAsia="sq-AL"/>
        </w:rPr>
        <w:t>Në zbatim të dispozitave të rregullores nr.</w:t>
      </w:r>
      <w:r w:rsidR="004E717A" w:rsidRPr="00050FA4">
        <w:rPr>
          <w:rFonts w:cs="Garamond"/>
          <w:lang w:val="sq-AL" w:eastAsia="sq-AL"/>
        </w:rPr>
        <w:t xml:space="preserve"> </w:t>
      </w:r>
      <w:r w:rsidR="000762ED" w:rsidRPr="00050FA4">
        <w:rPr>
          <w:rFonts w:cs="Garamond"/>
          <w:lang w:val="sq-AL" w:eastAsia="sq-AL"/>
        </w:rPr>
        <w:t>78/2020</w:t>
      </w:r>
      <w:r w:rsidR="007B333C" w:rsidRPr="00050FA4">
        <w:rPr>
          <w:rFonts w:cs="Garamond"/>
          <w:lang w:val="sq-AL" w:eastAsia="sq-AL"/>
        </w:rPr>
        <w:t>,</w:t>
      </w:r>
      <w:r w:rsidR="000762ED" w:rsidRPr="00050FA4">
        <w:rPr>
          <w:rFonts w:cs="Garamond"/>
          <w:lang w:val="sq-AL" w:eastAsia="sq-AL"/>
        </w:rPr>
        <w:t xml:space="preserve"> </w:t>
      </w:r>
      <w:r w:rsidR="008A0E5B" w:rsidRPr="00050FA4">
        <w:rPr>
          <w:rFonts w:cs="Garamond"/>
          <w:lang w:val="sq-AL" w:eastAsia="sq-AL"/>
        </w:rPr>
        <w:t>“</w:t>
      </w:r>
      <w:r w:rsidR="000762ED" w:rsidRPr="00050FA4">
        <w:rPr>
          <w:rFonts w:cs="Garamond"/>
          <w:lang w:val="sq-AL" w:eastAsia="sq-AL"/>
        </w:rPr>
        <w:t>Për kërkesat minimale për instrumente të kapitalit rregullator dhe detyrime të pranuara</w:t>
      </w:r>
      <w:r w:rsidR="008A0E5B" w:rsidRPr="00050FA4">
        <w:rPr>
          <w:rFonts w:cs="Garamond"/>
          <w:lang w:val="sq-AL" w:eastAsia="sq-AL"/>
        </w:rPr>
        <w:t>”</w:t>
      </w:r>
      <w:r w:rsidR="000762ED" w:rsidRPr="00050FA4">
        <w:rPr>
          <w:rFonts w:cs="Garamond"/>
          <w:lang w:val="sq-AL" w:eastAsia="sq-AL"/>
        </w:rPr>
        <w:t>, Banka e Shqipërisë hartoi dokumentin metodologjik për vitin 2021, i cili përcakton mënyrën e llogaritjes së kërkesës minimale për instrumente të kapitalit rregullator dhe detyrime të pranuara – MREL, për bankat, bazuar në Politikën SRB për MREL, sipas Paketës Bankare në ciklin e planeve të ndërhyrjes së jashtëzakonshme të vitit 2020.</w:t>
      </w:r>
    </w:p>
    <w:p w14:paraId="2C2BA61E" w14:textId="77777777" w:rsidR="00BC0117" w:rsidRPr="00050FA4" w:rsidRDefault="00BC0117" w:rsidP="003F1DA7">
      <w:pPr>
        <w:pStyle w:val="AAAAAAATEXXXX"/>
        <w:rPr>
          <w:rFonts w:eastAsia="Times New Roman" w:cstheme="majorBidi"/>
          <w:b/>
          <w:color w:val="0D0D0D" w:themeColor="text1" w:themeTint="F2"/>
          <w:lang w:val="sq-AL" w:eastAsia="en-GB"/>
        </w:rPr>
      </w:pPr>
      <w:r w:rsidRPr="00050FA4">
        <w:rPr>
          <w:rFonts w:eastAsia="Times New Roman" w:cstheme="majorBidi"/>
          <w:b/>
          <w:color w:val="0D0D0D" w:themeColor="text1" w:themeTint="F2"/>
          <w:lang w:val="sq-AL" w:eastAsia="en-GB"/>
        </w:rPr>
        <w:t>Planifikimi i ndërhyrjes së jashtëzakonshme</w:t>
      </w:r>
    </w:p>
    <w:p w14:paraId="2190A52B" w14:textId="2C9CEB04" w:rsidR="00BC0117" w:rsidRPr="00050FA4" w:rsidRDefault="00BC0117" w:rsidP="005446D4">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Banka e Shqipërisë ka vijuar të zhvillojë më tej planet e ndërhyrjes së jashtëzakonshme dhe të komunikojë me bankat sistemike, të monitorojë se</w:t>
      </w:r>
      <w:r w:rsidR="00747DA6"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si ato përmbushin rekomandimet e lëna nga Banka e Shqipërisë</w:t>
      </w:r>
      <w:r w:rsidR="00747DA6" w:rsidRPr="00050FA4">
        <w:rPr>
          <w:rFonts w:eastAsia="Times New Roman" w:cstheme="majorBidi"/>
          <w:color w:val="0D0D0D" w:themeColor="text1" w:themeTint="F2"/>
          <w:lang w:val="sq-AL" w:eastAsia="en-GB"/>
        </w:rPr>
        <w:t>,</w:t>
      </w:r>
      <w:r w:rsidRPr="00050FA4">
        <w:rPr>
          <w:rFonts w:eastAsia="Times New Roman" w:cstheme="majorBidi"/>
          <w:color w:val="0D0D0D" w:themeColor="text1" w:themeTint="F2"/>
          <w:lang w:val="sq-AL" w:eastAsia="en-GB"/>
        </w:rPr>
        <w:t xml:space="preserve"> si Autoriteti i Ndërhyrjes së Jashtëzakonshme, për të hequr pengesat e mundshme ndaj aftësisë për ndërhyrje të jashtëzakonshme, të identifikuara me ciklet e planeve të ndërhyrjes së jashtëzakonshme.</w:t>
      </w:r>
    </w:p>
    <w:p w14:paraId="451D150C" w14:textId="1F84A9AD" w:rsidR="00BC0117" w:rsidRPr="00050FA4" w:rsidRDefault="00BC0117" w:rsidP="005446D4">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Për ciklin e planeve të ndërhyrjes së jashtëzakonshme për vitin 2021, përveç përditësimit të seksioneve të ndryshme të planit, të tilla si</w:t>
      </w:r>
      <w:r w:rsidR="00747DA6" w:rsidRPr="00050FA4">
        <w:rPr>
          <w:rFonts w:eastAsia="Times New Roman" w:cstheme="majorBidi"/>
          <w:color w:val="0D0D0D" w:themeColor="text1" w:themeTint="F2"/>
          <w:lang w:val="sq-AL" w:eastAsia="en-GB"/>
        </w:rPr>
        <w:t>:</w:t>
      </w:r>
      <w:r w:rsidRPr="00050FA4">
        <w:rPr>
          <w:rFonts w:eastAsia="Times New Roman" w:cstheme="majorBidi"/>
          <w:color w:val="0D0D0D" w:themeColor="text1" w:themeTint="F2"/>
          <w:lang w:val="sq-AL" w:eastAsia="en-GB"/>
        </w:rPr>
        <w:t xml:space="preserve"> analiza strategjike e biznesit të bankës, identifikimi i funksioneve ekonomike me</w:t>
      </w:r>
      <w:r w:rsidR="009B1D6B"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rëndësi kritike, analiza e ndërvarësive kritike të brendshme dhe të jashtme, infrastruktura dhe sistemet kritike, planet e ndërhyrjes së jashtëzakonshme përmbajnë një analizë më të thelluar, lidhur me përzgjedhjen e strategjisë së preferuar dhe instrumentit të ndërhyrjes së jashtëzakonshme</w:t>
      </w:r>
      <w:r w:rsidR="00577E94" w:rsidRPr="00050FA4">
        <w:rPr>
          <w:rFonts w:eastAsia="Times New Roman" w:cstheme="majorBidi"/>
          <w:color w:val="0D0D0D" w:themeColor="text1" w:themeTint="F2"/>
          <w:lang w:val="sq-AL" w:eastAsia="en-GB"/>
        </w:rPr>
        <w:t xml:space="preserve"> etj</w:t>
      </w:r>
      <w:r w:rsidRPr="00050FA4">
        <w:rPr>
          <w:rFonts w:eastAsia="Times New Roman" w:cstheme="majorBidi"/>
          <w:color w:val="0D0D0D" w:themeColor="text1" w:themeTint="F2"/>
          <w:lang w:val="sq-AL" w:eastAsia="en-GB"/>
        </w:rPr>
        <w:t>. Ato ofrojnë një vlerësim më të mirë, gjithëpërfshirës, si dhe më shumë informacion lidhur me besueshmërinë dhe zbatueshmërinë e procedurave të likuidimit të</w:t>
      </w:r>
      <w:r w:rsidR="004E717A"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detyruar, duke vlerësuar nëse ndërhyrja e jashtëzakonshme plotëson testin e interesit publik.</w:t>
      </w:r>
    </w:p>
    <w:p w14:paraId="07BD5091" w14:textId="31BCEB10" w:rsidR="00BC0117" w:rsidRPr="00050FA4" w:rsidRDefault="00BC0117" w:rsidP="005446D4">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Në zbatim të metodologjisë për përcaktimin e MREL</w:t>
      </w:r>
      <w:r w:rsidR="00747DA6" w:rsidRPr="00050FA4">
        <w:rPr>
          <w:rFonts w:eastAsia="Times New Roman" w:cstheme="majorBidi"/>
          <w:color w:val="0D0D0D" w:themeColor="text1" w:themeTint="F2"/>
          <w:lang w:val="sq-AL" w:eastAsia="en-GB"/>
        </w:rPr>
        <w:t>-së</w:t>
      </w:r>
      <w:r w:rsidRPr="00050FA4">
        <w:rPr>
          <w:rFonts w:eastAsia="Times New Roman" w:cstheme="majorBidi"/>
          <w:color w:val="0D0D0D" w:themeColor="text1" w:themeTint="F2"/>
          <w:lang w:val="sq-AL" w:eastAsia="en-GB"/>
        </w:rPr>
        <w:t>, planet e ndërhyrjes së jashtëzakonshme për vitin 2021 përmbajnë nivelin e ndërmjetëm të synuar të kërkesës minimale për instrumente të kapitalit rregullator dhe detyrime të pranuara – MREL</w:t>
      </w:r>
      <w:r w:rsidR="00C4052A" w:rsidRPr="00050FA4">
        <w:rPr>
          <w:rFonts w:eastAsia="Times New Roman" w:cstheme="majorBidi"/>
          <w:color w:val="0D0D0D" w:themeColor="text1" w:themeTint="F2"/>
          <w:lang w:val="sq-AL" w:eastAsia="en-GB"/>
        </w:rPr>
        <w:t>,</w:t>
      </w:r>
      <w:r w:rsidRPr="00050FA4">
        <w:rPr>
          <w:rFonts w:eastAsia="Times New Roman" w:cstheme="majorBidi"/>
          <w:color w:val="0D0D0D" w:themeColor="text1" w:themeTint="F2"/>
          <w:lang w:val="sq-AL" w:eastAsia="en-GB"/>
        </w:rPr>
        <w:t xml:space="preserve"> që duhet të përmbushet nga bankat në vitin 2022 dhe nivelin përfundimtar të synuar, që duhet të përmbushet deri në vitin 2027, për secilën bankë në nivel </w:t>
      </w:r>
      <w:r w:rsidRPr="00050FA4">
        <w:rPr>
          <w:rFonts w:eastAsia="Times New Roman" w:cstheme="majorBidi"/>
          <w:color w:val="0D0D0D" w:themeColor="text1" w:themeTint="F2"/>
          <w:lang w:val="sq-AL" w:eastAsia="en-GB"/>
        </w:rPr>
        <w:lastRenderedPageBreak/>
        <w:t>individual. Siç kërkohet nga kuadri rregullator, për ciklin e planifikimit të ndërhyrjes së</w:t>
      </w:r>
      <w:r w:rsidR="004E717A"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jashtëzakonshme për vitin 2021, Banka e Shqipërisë përcaktoi nivelin e ndërmjetëm dhe atë përfundimtar të MREL</w:t>
      </w:r>
      <w:r w:rsidR="00C4052A" w:rsidRPr="00050FA4">
        <w:rPr>
          <w:rFonts w:eastAsia="Times New Roman" w:cstheme="majorBidi"/>
          <w:color w:val="0D0D0D" w:themeColor="text1" w:themeTint="F2"/>
          <w:lang w:val="sq-AL" w:eastAsia="en-GB"/>
        </w:rPr>
        <w:t>-së</w:t>
      </w:r>
      <w:r w:rsidRPr="00050FA4">
        <w:rPr>
          <w:rFonts w:eastAsia="Times New Roman" w:cstheme="majorBidi"/>
          <w:color w:val="0D0D0D" w:themeColor="text1" w:themeTint="F2"/>
          <w:lang w:val="sq-AL" w:eastAsia="en-GB"/>
        </w:rPr>
        <w:t>, për çdo bankë individuale dhe ua komunikoi bankave përkatëse këto vendime.</w:t>
      </w:r>
    </w:p>
    <w:p w14:paraId="04C8910A" w14:textId="77777777" w:rsidR="00BC0117" w:rsidRPr="00050FA4" w:rsidRDefault="00BC0117" w:rsidP="003F1DA7">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 xml:space="preserve">Planet individuale të ndërhyrjes së jashtëzakonshme përmbajnë edhe vlerësimin e aftësisë për ndërhyrje të jashtëzakonshme, e cila lidhet me identifikimin e pengesave të mundshme për ndërhyrjen e jashtëzakonshme. Pas identifikimit të pengesave të mundshme për ndërhyrje të jashtëzakonshme, Banka e Shqipërisë mban një komunikim të rregullt me </w:t>
      </w:r>
      <w:r w:rsidRPr="00050FA4">
        <w:rPr>
          <w:rFonts w:ascii="Times New Roman" w:eastAsia="Times New Roman" w:hAnsi="Times New Roman"/>
          <w:color w:val="0D0D0D" w:themeColor="text1" w:themeTint="F2"/>
          <w:lang w:val="sq-AL" w:eastAsia="en-GB"/>
        </w:rPr>
        <w:t>​​</w:t>
      </w:r>
      <w:r w:rsidRPr="00050FA4">
        <w:rPr>
          <w:rFonts w:eastAsia="Times New Roman" w:cstheme="majorBidi"/>
          <w:color w:val="0D0D0D" w:themeColor="text1" w:themeTint="F2"/>
          <w:lang w:val="sq-AL" w:eastAsia="en-GB"/>
        </w:rPr>
        <w:t>bankat, p</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r t</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 xml:space="preserve"> hequr k</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to pengesa, n</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 xml:space="preserve"> p</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rputhje me planin e pun</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s t</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 xml:space="preserve"> r</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n</w:t>
      </w:r>
      <w:r w:rsidRPr="00050FA4">
        <w:rPr>
          <w:rFonts w:eastAsia="Times New Roman"/>
          <w:color w:val="0D0D0D" w:themeColor="text1" w:themeTint="F2"/>
          <w:lang w:val="sq-AL" w:eastAsia="en-GB"/>
        </w:rPr>
        <w:t>ë</w:t>
      </w:r>
      <w:r w:rsidRPr="00050FA4">
        <w:rPr>
          <w:rFonts w:eastAsia="Times New Roman" w:cstheme="majorBidi"/>
          <w:color w:val="0D0D0D" w:themeColor="text1" w:themeTint="F2"/>
          <w:lang w:val="sq-AL" w:eastAsia="en-GB"/>
        </w:rPr>
        <w:t xml:space="preserve"> dakord.</w:t>
      </w:r>
    </w:p>
    <w:p w14:paraId="1D70CF41" w14:textId="4BCC54DE" w:rsidR="00BC0117" w:rsidRPr="00050FA4" w:rsidRDefault="00BC0117" w:rsidP="003F1DA7">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Në zbatim të marrëveshjes së bashkëpunimit ndërmjet Bankës së Shqipërisë dhe Bordit të Përbashkët të Ndërhyrjes së</w:t>
      </w:r>
      <w:r w:rsidR="00B432F1"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jashtëzakonshme (SRB), e nënshkruar në tetor 2018, e cila ka në</w:t>
      </w:r>
      <w:r w:rsidR="009B1D6B"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fokus shkëmbimin e informacionit</w:t>
      </w:r>
      <w:r w:rsidR="00B429FB" w:rsidRPr="00050FA4">
        <w:rPr>
          <w:rFonts w:eastAsia="Times New Roman" w:cstheme="majorBidi"/>
          <w:color w:val="0D0D0D" w:themeColor="text1" w:themeTint="F2"/>
          <w:lang w:val="sq-AL" w:eastAsia="en-GB"/>
        </w:rPr>
        <w:t>,</w:t>
      </w:r>
      <w:r w:rsidRPr="00050FA4">
        <w:rPr>
          <w:rFonts w:eastAsia="Times New Roman" w:cstheme="majorBidi"/>
          <w:color w:val="0D0D0D" w:themeColor="text1" w:themeTint="F2"/>
          <w:lang w:val="sq-AL" w:eastAsia="en-GB"/>
        </w:rPr>
        <w:t xml:space="preserve"> në lidhje me subjektet bankare që operojnë në Shqipëri dhe </w:t>
      </w:r>
      <w:r w:rsidR="00B429FB" w:rsidRPr="00050FA4">
        <w:rPr>
          <w:rFonts w:eastAsia="Times New Roman" w:cstheme="majorBidi"/>
          <w:color w:val="0D0D0D" w:themeColor="text1" w:themeTint="F2"/>
          <w:lang w:val="sq-AL" w:eastAsia="en-GB"/>
        </w:rPr>
        <w:t xml:space="preserve">në </w:t>
      </w:r>
      <w:r w:rsidRPr="00050FA4">
        <w:rPr>
          <w:rFonts w:eastAsia="Times New Roman" w:cstheme="majorBidi"/>
          <w:color w:val="0D0D0D" w:themeColor="text1" w:themeTint="F2"/>
          <w:lang w:val="sq-AL" w:eastAsia="en-GB"/>
        </w:rPr>
        <w:t>BE, për të mundësuar një planifikim efikas të ndërhyrjes së jashtëzakonshme për subjektet me operacione ndërkufitare, Banka e Shqipërisë</w:t>
      </w:r>
      <w:r w:rsidR="009B1D6B"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është</w:t>
      </w:r>
      <w:r w:rsidR="009B1D6B"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ftuar nga SRB</w:t>
      </w:r>
      <w:r w:rsidR="007E4AE1" w:rsidRPr="00050FA4">
        <w:rPr>
          <w:rFonts w:eastAsia="Times New Roman" w:cstheme="majorBidi"/>
          <w:color w:val="0D0D0D" w:themeColor="text1" w:themeTint="F2"/>
          <w:lang w:val="sq-AL" w:eastAsia="en-GB"/>
        </w:rPr>
        <w:t>-ja</w:t>
      </w:r>
      <w:r w:rsidRPr="00050FA4">
        <w:rPr>
          <w:rFonts w:eastAsia="Times New Roman" w:cstheme="majorBidi"/>
          <w:color w:val="0D0D0D" w:themeColor="text1" w:themeTint="F2"/>
          <w:lang w:val="sq-AL" w:eastAsia="en-GB"/>
        </w:rPr>
        <w:t xml:space="preserve"> të marrë pjesë në mbledhjet e kolegjit të ndërhyrjes së jashtëzakonshme, për subjektet bankare me filiale që operojnë në Shqipëri.</w:t>
      </w:r>
    </w:p>
    <w:p w14:paraId="1DEA1D76" w14:textId="77777777" w:rsidR="00BC0117" w:rsidRPr="00050FA4" w:rsidRDefault="00BC0117" w:rsidP="003F1DA7">
      <w:pPr>
        <w:pStyle w:val="AAAAAAATEXXXX"/>
        <w:rPr>
          <w:rFonts w:eastAsia="Times New Roman" w:cstheme="majorBidi"/>
          <w:b/>
          <w:color w:val="0D0D0D" w:themeColor="text1" w:themeTint="F2"/>
          <w:lang w:val="sq-AL" w:eastAsia="en-GB"/>
        </w:rPr>
      </w:pPr>
      <w:r w:rsidRPr="00050FA4">
        <w:rPr>
          <w:rFonts w:eastAsia="Times New Roman" w:cstheme="majorBidi"/>
          <w:b/>
          <w:color w:val="0D0D0D" w:themeColor="text1" w:themeTint="F2"/>
          <w:lang w:val="sq-AL" w:eastAsia="en-GB"/>
        </w:rPr>
        <w:t>Fondi i Ndërhyrjes së Jashtëzakonshme</w:t>
      </w:r>
    </w:p>
    <w:p w14:paraId="71C93F88" w14:textId="6546516E" w:rsidR="00BC0117" w:rsidRPr="00050FA4" w:rsidRDefault="00BC0117" w:rsidP="003F1DA7">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Për</w:t>
      </w:r>
      <w:r w:rsidR="00B432F1"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sa i përket Fondit të Ndërhyrjes së Jashtëzakonshme, niveli i synuar i Fondit të Ndërhyrjes së Jashtëzakonshme është 0.5% e totalit të detyrimeve të sektorit bankar (aktualisht 6.64 miliardë lekë), llogaritur si diferencë midis aktiveve dhe kapitalit të të gjitha bankave të licencuara në Shqipëri, që duhet të arrihet</w:t>
      </w:r>
      <w:r w:rsidR="009B1D6B" w:rsidRPr="00050FA4">
        <w:rPr>
          <w:rFonts w:eastAsia="Times New Roman" w:cstheme="majorBidi"/>
          <w:color w:val="0D0D0D" w:themeColor="text1" w:themeTint="F2"/>
          <w:lang w:val="sq-AL" w:eastAsia="en-GB"/>
        </w:rPr>
        <w:t xml:space="preserve"> </w:t>
      </w:r>
      <w:r w:rsidRPr="00050FA4">
        <w:rPr>
          <w:rFonts w:eastAsia="Times New Roman" w:cstheme="majorBidi"/>
          <w:color w:val="0D0D0D" w:themeColor="text1" w:themeTint="F2"/>
          <w:lang w:val="sq-AL" w:eastAsia="en-GB"/>
        </w:rPr>
        <w:t>deri në vitin 2027. Bankat në Shqipëri paguajnë kontribute vjetore në Fond, në përputhje me ligjin dhe metodologjinë e llogaritjes të hartuar nga Banka e Shqipërisë.</w:t>
      </w:r>
    </w:p>
    <w:p w14:paraId="509730FA" w14:textId="5FA3CB20" w:rsidR="00BC0117" w:rsidRPr="00050FA4" w:rsidRDefault="00BC0117" w:rsidP="003F1DA7">
      <w:pPr>
        <w:pStyle w:val="AAAAAAATEXXXX"/>
        <w:rPr>
          <w:rFonts w:eastAsia="Times New Roman" w:cstheme="majorBidi"/>
          <w:color w:val="0D0D0D" w:themeColor="text1" w:themeTint="F2"/>
          <w:lang w:val="sq-AL" w:eastAsia="en-GB"/>
        </w:rPr>
      </w:pPr>
      <w:r w:rsidRPr="00050FA4">
        <w:rPr>
          <w:rFonts w:eastAsia="Times New Roman" w:cstheme="majorBidi"/>
          <w:color w:val="0D0D0D" w:themeColor="text1" w:themeTint="F2"/>
          <w:lang w:val="sq-AL" w:eastAsia="en-GB"/>
        </w:rPr>
        <w:t>Banka e Shqipërisë përditëson në baza vjetore nivelin e synuar të Fondit të Ndërhyrjes së jashtëzakonshme dhe kontributin vjeto</w:t>
      </w:r>
      <w:r w:rsidR="00FA591F" w:rsidRPr="00050FA4">
        <w:rPr>
          <w:rFonts w:eastAsia="Times New Roman" w:cstheme="majorBidi"/>
          <w:color w:val="0D0D0D" w:themeColor="text1" w:themeTint="F2"/>
          <w:lang w:val="sq-AL" w:eastAsia="en-GB"/>
        </w:rPr>
        <w:t xml:space="preserve">r të bankave. Për vitin aktual </w:t>
      </w:r>
      <w:r w:rsidRPr="00050FA4">
        <w:rPr>
          <w:rFonts w:eastAsia="Times New Roman" w:cstheme="majorBidi"/>
          <w:color w:val="0D0D0D" w:themeColor="text1" w:themeTint="F2"/>
          <w:lang w:val="sq-AL" w:eastAsia="en-GB"/>
        </w:rPr>
        <w:t>(2021), Banka e Shqipërisë ka përditësuar nivelin e synuar të Fondit të Ndërhyrjes së Jashtëzakonshme dhe kontributin vjetor të bankave, të cilat janë paguar nga bankat brenda afatit rregullator.</w:t>
      </w:r>
    </w:p>
    <w:p w14:paraId="533EC84D" w14:textId="21B95AA6" w:rsidR="00BC0117" w:rsidRPr="00050FA4" w:rsidRDefault="00BC0117" w:rsidP="003F1DA7">
      <w:pPr>
        <w:pStyle w:val="AAAAAAATEXXXX"/>
        <w:rPr>
          <w:rFonts w:cstheme="majorBidi"/>
          <w:color w:val="0D0D0D" w:themeColor="text1" w:themeTint="F2"/>
          <w:lang w:val="sq-AL" w:eastAsia="sq-AL" w:bidi="he-IL"/>
        </w:rPr>
      </w:pPr>
      <w:r w:rsidRPr="00050FA4">
        <w:rPr>
          <w:rFonts w:eastAsia="Times New Roman" w:cstheme="majorBidi"/>
          <w:color w:val="0D0D0D" w:themeColor="text1" w:themeTint="F2"/>
          <w:lang w:val="sq-AL" w:eastAsia="en-GB"/>
        </w:rPr>
        <w:t>Banka e Shqipërisë monitoron rregullisht ecurinë e aktiveve financiare të Fondit të Ndërhyrjes së Jashtëzakonshme, bazuar në raportimin tremujor nga Agjencia Shqiptare e Sigurimit të Depozitave</w:t>
      </w:r>
      <w:r w:rsidR="00DA3CA0" w:rsidRPr="00050FA4">
        <w:rPr>
          <w:rFonts w:eastAsia="Times New Roman" w:cstheme="majorBidi"/>
          <w:color w:val="0D0D0D" w:themeColor="text1" w:themeTint="F2"/>
          <w:lang w:val="sq-AL" w:eastAsia="en-GB"/>
        </w:rPr>
        <w:t>,</w:t>
      </w:r>
      <w:r w:rsidRPr="00050FA4">
        <w:rPr>
          <w:rFonts w:eastAsia="Times New Roman" w:cstheme="majorBidi"/>
          <w:color w:val="0D0D0D" w:themeColor="text1" w:themeTint="F2"/>
          <w:lang w:val="sq-AL" w:eastAsia="en-GB"/>
        </w:rPr>
        <w:t xml:space="preserve"> si </w:t>
      </w:r>
      <w:r w:rsidR="00DA3CA0" w:rsidRPr="00050FA4">
        <w:rPr>
          <w:rFonts w:eastAsia="Times New Roman" w:cstheme="majorBidi"/>
          <w:color w:val="0D0D0D" w:themeColor="text1" w:themeTint="F2"/>
          <w:lang w:val="sq-AL" w:eastAsia="en-GB"/>
        </w:rPr>
        <w:t xml:space="preserve">administrator </w:t>
      </w:r>
      <w:r w:rsidRPr="00050FA4">
        <w:rPr>
          <w:rFonts w:eastAsia="Times New Roman" w:cstheme="majorBidi"/>
          <w:color w:val="0D0D0D" w:themeColor="text1" w:themeTint="F2"/>
          <w:lang w:val="sq-AL" w:eastAsia="en-GB"/>
        </w:rPr>
        <w:t>i Fondit të Ndërhyrjes së Jashtëzakonshme, në zbatim të politikës së investimit. Politika e investimit ndjek parimet e likuiditetit të aktiveve, të investimit në letra me vlerë të borxhit me rrezik të ulët kredie, dhe më pas, të marrjes së një kthimi të arsyeshëm nga investimet. Në fund të shtatorit 2021, Fondi i Ndërhyrjes së Jashtëzakonshme arriti në 2.7 miliardë lekë, i investuar në llogari rrjedhëse dhe depozita afatshkurtra në Bankën e Shqipërisë si dhe në bono thesari dhe obligacione të qeverisë.</w:t>
      </w:r>
    </w:p>
    <w:p w14:paraId="3CA35970" w14:textId="14C0D650" w:rsidR="009E2E7B" w:rsidRPr="00050FA4" w:rsidRDefault="008A0E5B" w:rsidP="003F1DA7">
      <w:pPr>
        <w:pStyle w:val="AAAAAAATEXXXX"/>
        <w:rPr>
          <w:b/>
          <w:lang w:val="sq-AL"/>
        </w:rPr>
      </w:pPr>
      <w:bookmarkStart w:id="9" w:name="_Toc484076171"/>
      <w:bookmarkStart w:id="10" w:name="_Toc62805580"/>
      <w:bookmarkStart w:id="11" w:name="_Toc93325751"/>
      <w:r w:rsidRPr="00050FA4">
        <w:rPr>
          <w:b/>
          <w:lang w:val="sq-AL"/>
        </w:rPr>
        <w:t>3.3</w:t>
      </w:r>
      <w:r w:rsidR="000762ED" w:rsidRPr="00050FA4">
        <w:rPr>
          <w:b/>
          <w:lang w:val="sq-AL"/>
        </w:rPr>
        <w:t xml:space="preserve"> </w:t>
      </w:r>
      <w:r w:rsidR="00E751F1" w:rsidRPr="00050FA4">
        <w:rPr>
          <w:b/>
          <w:lang w:val="sq-AL"/>
        </w:rPr>
        <w:t>Skenari alternativ dhe rreziqet</w:t>
      </w:r>
      <w:bookmarkEnd w:id="9"/>
      <w:bookmarkEnd w:id="10"/>
      <w:bookmarkEnd w:id="11"/>
    </w:p>
    <w:p w14:paraId="611EE935" w14:textId="4D87D5D8" w:rsidR="00A65EAE" w:rsidRPr="00050FA4" w:rsidRDefault="00A65EAE" w:rsidP="003F1DA7">
      <w:pPr>
        <w:pStyle w:val="AAAAAAATEXXXX"/>
        <w:rPr>
          <w:lang w:val="sq-AL"/>
        </w:rPr>
      </w:pPr>
      <w:r w:rsidRPr="00050FA4">
        <w:rPr>
          <w:lang w:val="sq-AL"/>
        </w:rPr>
        <w:t>Skenari bazë vlerësohet të ketë probabilitet më të lartë për t</w:t>
      </w:r>
      <w:r w:rsidR="00B432F1" w:rsidRPr="00050FA4">
        <w:rPr>
          <w:lang w:val="sq-AL"/>
        </w:rPr>
        <w:t>’</w:t>
      </w:r>
      <w:r w:rsidRPr="00050FA4">
        <w:rPr>
          <w:lang w:val="sq-AL"/>
        </w:rPr>
        <w:t>u materializuar. Megjithatë parashikimi i skenarëve alternativ</w:t>
      </w:r>
      <w:r w:rsidR="00304494" w:rsidRPr="00050FA4">
        <w:rPr>
          <w:lang w:val="sq-AL"/>
        </w:rPr>
        <w:t>ë</w:t>
      </w:r>
      <w:r w:rsidRPr="00050FA4">
        <w:rPr>
          <w:lang w:val="sq-AL"/>
        </w:rPr>
        <w:t xml:space="preserve"> </w:t>
      </w:r>
      <w:r w:rsidR="00304494" w:rsidRPr="00050FA4">
        <w:rPr>
          <w:lang w:val="sq-AL"/>
        </w:rPr>
        <w:t>–</w:t>
      </w:r>
      <w:r w:rsidRPr="00050FA4">
        <w:rPr>
          <w:lang w:val="sq-AL"/>
        </w:rPr>
        <w:t xml:space="preserve"> duke supozuar se një pjesë e risqeve të ndrysh</w:t>
      </w:r>
      <w:r w:rsidR="00304494" w:rsidRPr="00050FA4">
        <w:rPr>
          <w:lang w:val="sq-AL"/>
        </w:rPr>
        <w:t>me,</w:t>
      </w:r>
      <w:r w:rsidRPr="00050FA4">
        <w:rPr>
          <w:lang w:val="sq-AL"/>
        </w:rPr>
        <w:t xml:space="preserve"> që rrethojnë skenarin bazë mund të materializohen </w:t>
      </w:r>
      <w:r w:rsidR="00304494" w:rsidRPr="00050FA4">
        <w:rPr>
          <w:lang w:val="sq-AL"/>
        </w:rPr>
        <w:t>–</w:t>
      </w:r>
      <w:r w:rsidRPr="00050FA4">
        <w:rPr>
          <w:lang w:val="sq-AL"/>
        </w:rPr>
        <w:t xml:space="preserve"> është një komponent i rëndësishëm i planifikimit të financave publike. Në mënyrë që të rritet cilësia e planifikimit dhe të ketë një menaxhim më efikas të fondeve publike në çdo situatë që ka një probabilitet të caktuar për të ndodhur, më poshtë paraqiten shkurtimisht dy skenarë alternativ</w:t>
      </w:r>
      <w:r w:rsidR="00144456" w:rsidRPr="00050FA4">
        <w:rPr>
          <w:lang w:val="sq-AL"/>
        </w:rPr>
        <w:t>ë</w:t>
      </w:r>
      <w:r w:rsidRPr="00050FA4">
        <w:rPr>
          <w:lang w:val="sq-AL"/>
        </w:rPr>
        <w:t xml:space="preserve">, në mënyrë specifike një skenar </w:t>
      </w:r>
      <w:r w:rsidR="008A0E5B" w:rsidRPr="00050FA4">
        <w:rPr>
          <w:lang w:val="sq-AL"/>
        </w:rPr>
        <w:t>“</w:t>
      </w:r>
      <w:r w:rsidRPr="00050FA4">
        <w:rPr>
          <w:lang w:val="sq-AL"/>
        </w:rPr>
        <w:t>pesimist</w:t>
      </w:r>
      <w:r w:rsidR="008A0E5B" w:rsidRPr="00050FA4">
        <w:rPr>
          <w:lang w:val="sq-AL"/>
        </w:rPr>
        <w:t>”</w:t>
      </w:r>
      <w:r w:rsidRPr="00050FA4">
        <w:rPr>
          <w:lang w:val="sq-AL"/>
        </w:rPr>
        <w:t xml:space="preserve"> dhe një skenar </w:t>
      </w:r>
      <w:r w:rsidR="008A0E5B" w:rsidRPr="00050FA4">
        <w:rPr>
          <w:lang w:val="sq-AL"/>
        </w:rPr>
        <w:t>“</w:t>
      </w:r>
      <w:r w:rsidRPr="00050FA4">
        <w:rPr>
          <w:lang w:val="sq-AL"/>
        </w:rPr>
        <w:t>optimist</w:t>
      </w:r>
      <w:r w:rsidR="008A0E5B" w:rsidRPr="00050FA4">
        <w:rPr>
          <w:lang w:val="sq-AL"/>
        </w:rPr>
        <w:t>”</w:t>
      </w:r>
      <w:r w:rsidRPr="00050FA4">
        <w:rPr>
          <w:lang w:val="sq-AL"/>
        </w:rPr>
        <w:t>.</w:t>
      </w:r>
    </w:p>
    <w:p w14:paraId="79E5855F" w14:textId="7A676F05" w:rsidR="00A65EAE" w:rsidRPr="00050FA4" w:rsidRDefault="00A65EAE" w:rsidP="003F1DA7">
      <w:pPr>
        <w:pStyle w:val="AAAAAAATEXXXX"/>
        <w:rPr>
          <w:lang w:val="sq-AL"/>
        </w:rPr>
      </w:pPr>
      <w:r w:rsidRPr="00050FA4">
        <w:rPr>
          <w:lang w:val="sq-AL"/>
        </w:rPr>
        <w:t>Secili nga skenarët alternativ</w:t>
      </w:r>
      <w:r w:rsidR="00144456" w:rsidRPr="00050FA4">
        <w:rPr>
          <w:lang w:val="sq-AL"/>
        </w:rPr>
        <w:t>ë</w:t>
      </w:r>
      <w:r w:rsidRPr="00050FA4">
        <w:rPr>
          <w:lang w:val="sq-AL"/>
        </w:rPr>
        <w:t xml:space="preserve"> supozon që një grup risqesh negative (në rastin e një skenari </w:t>
      </w:r>
      <w:r w:rsidR="008A0E5B" w:rsidRPr="00050FA4">
        <w:rPr>
          <w:lang w:val="sq-AL"/>
        </w:rPr>
        <w:t>“</w:t>
      </w:r>
      <w:r w:rsidRPr="00050FA4">
        <w:rPr>
          <w:lang w:val="sq-AL"/>
        </w:rPr>
        <w:t>pesimist</w:t>
      </w:r>
      <w:r w:rsidR="008A0E5B" w:rsidRPr="00050FA4">
        <w:rPr>
          <w:lang w:val="sq-AL"/>
        </w:rPr>
        <w:t>”</w:t>
      </w:r>
      <w:r w:rsidRPr="00050FA4">
        <w:rPr>
          <w:lang w:val="sq-AL"/>
        </w:rPr>
        <w:t xml:space="preserve">) ose risqesh pozitive (në rastin një skenari </w:t>
      </w:r>
      <w:r w:rsidR="008A0E5B" w:rsidRPr="00050FA4">
        <w:rPr>
          <w:lang w:val="sq-AL"/>
        </w:rPr>
        <w:t>“</w:t>
      </w:r>
      <w:r w:rsidRPr="00050FA4">
        <w:rPr>
          <w:lang w:val="sq-AL"/>
        </w:rPr>
        <w:t>optimist</w:t>
      </w:r>
      <w:r w:rsidR="008A0E5B" w:rsidRPr="00050FA4">
        <w:rPr>
          <w:lang w:val="sq-AL"/>
        </w:rPr>
        <w:t>”</w:t>
      </w:r>
      <w:r w:rsidRPr="00050FA4">
        <w:rPr>
          <w:lang w:val="sq-AL"/>
        </w:rPr>
        <w:t>) do të materializohen. Ky grup risqesh supozon devijime nga parashikimet në skenarin bazë për treguesit kryesorë makroekonomik</w:t>
      </w:r>
      <w:r w:rsidR="00144456" w:rsidRPr="00050FA4">
        <w:rPr>
          <w:lang w:val="sq-AL"/>
        </w:rPr>
        <w:t>ë</w:t>
      </w:r>
      <w:r w:rsidRPr="00050FA4">
        <w:rPr>
          <w:lang w:val="sq-AL"/>
        </w:rPr>
        <w:t xml:space="preserve">, duke përfshirë kreditimin e ekonomisë, ecurinë e ekonomisë së Eurozonës me efektet që ka në eksportin e mallrave dhe </w:t>
      </w:r>
      <w:r w:rsidR="005F21AD" w:rsidRPr="00050FA4">
        <w:rPr>
          <w:lang w:val="sq-AL"/>
        </w:rPr>
        <w:t xml:space="preserve">të </w:t>
      </w:r>
      <w:r w:rsidRPr="00050FA4">
        <w:rPr>
          <w:lang w:val="sq-AL"/>
        </w:rPr>
        <w:t>shërbimeve, në remitanca, në flukset e kapitaleve të huaja</w:t>
      </w:r>
      <w:r w:rsidR="005F21AD" w:rsidRPr="00050FA4">
        <w:rPr>
          <w:lang w:val="sq-AL"/>
        </w:rPr>
        <w:t>,</w:t>
      </w:r>
      <w:r w:rsidRPr="00050FA4">
        <w:rPr>
          <w:lang w:val="sq-AL"/>
        </w:rPr>
        <w:t xml:space="preserve"> si dhe </w:t>
      </w:r>
      <w:r w:rsidR="005F21AD" w:rsidRPr="00050FA4">
        <w:rPr>
          <w:lang w:val="sq-AL"/>
        </w:rPr>
        <w:t xml:space="preserve">në </w:t>
      </w:r>
      <w:r w:rsidRPr="00050FA4">
        <w:rPr>
          <w:lang w:val="sq-AL"/>
        </w:rPr>
        <w:t>kursin e këmbimit, normën e interesit, ritmin dhe ndikimin e reformave të politikave strukturore të planifikuara për periudhën afatmesme</w:t>
      </w:r>
      <w:r w:rsidR="00577E94" w:rsidRPr="00050FA4">
        <w:rPr>
          <w:lang w:val="sq-AL"/>
        </w:rPr>
        <w:t xml:space="preserve"> etj</w:t>
      </w:r>
      <w:r w:rsidRPr="00050FA4">
        <w:rPr>
          <w:lang w:val="sq-AL"/>
        </w:rPr>
        <w:t>.</w:t>
      </w:r>
    </w:p>
    <w:p w14:paraId="5EC0C0D0" w14:textId="3D85A609" w:rsidR="00A65EAE" w:rsidRPr="00050FA4" w:rsidRDefault="00A65EAE" w:rsidP="003F1DA7">
      <w:pPr>
        <w:pStyle w:val="AAAAAAATEXXXX"/>
        <w:rPr>
          <w:lang w:val="sq-AL"/>
        </w:rPr>
      </w:pPr>
      <w:r w:rsidRPr="00050FA4">
        <w:rPr>
          <w:lang w:val="sq-AL"/>
        </w:rPr>
        <w:t xml:space="preserve">Efekti i përgjithshëm neto i të gjitha risqeve të supozuara, negative ose pozitive, për thjeshtësi analize (modelimi) jepet si një goditje fillestare në terma të një variabli të vetëm, </w:t>
      </w:r>
      <w:r w:rsidR="008A0E5B" w:rsidRPr="00050FA4">
        <w:rPr>
          <w:lang w:val="sq-AL"/>
        </w:rPr>
        <w:t>“</w:t>
      </w:r>
      <w:r w:rsidRPr="00050FA4">
        <w:rPr>
          <w:lang w:val="sq-AL"/>
        </w:rPr>
        <w:t>rritjes ekonomike reale</w:t>
      </w:r>
      <w:r w:rsidR="008A0E5B" w:rsidRPr="00050FA4">
        <w:rPr>
          <w:lang w:val="sq-AL"/>
        </w:rPr>
        <w:t>”</w:t>
      </w:r>
      <w:r w:rsidRPr="00050FA4">
        <w:rPr>
          <w:lang w:val="sq-AL"/>
        </w:rPr>
        <w:t>. Pra, skenarët alternativë bazohen në supozime të ndryshme të rritjes ekonomike nga skenari bazë për secilin vit 2022</w:t>
      </w:r>
      <w:r w:rsidR="00DD448C" w:rsidRPr="00050FA4">
        <w:rPr>
          <w:lang w:val="sq-AL"/>
        </w:rPr>
        <w:t>–</w:t>
      </w:r>
      <w:r w:rsidRPr="00050FA4">
        <w:rPr>
          <w:lang w:val="sq-AL"/>
        </w:rPr>
        <w:t xml:space="preserve">2024(26). Në këtë seksion, si dhe në seksionin tjetër përkatës 4.7 (Analiza e ndjeshmërisë), në mënyrë që të kemi një pamje më gjithëpërfshirëse dhe të dobishme dhe qasjen e përballimit të secilit skenar alternativ, ne zgjasim horizontin e kohës së simulimit deri në vitin 2026. Tabela e mëposhtme paraqet supozimet e </w:t>
      </w:r>
      <w:r w:rsidR="008A0E5B" w:rsidRPr="00050FA4">
        <w:rPr>
          <w:lang w:val="sq-AL"/>
        </w:rPr>
        <w:t>“</w:t>
      </w:r>
      <w:r w:rsidRPr="00050FA4">
        <w:rPr>
          <w:lang w:val="sq-AL"/>
        </w:rPr>
        <w:t>rritjes reale</w:t>
      </w:r>
      <w:r w:rsidR="008A0E5B" w:rsidRPr="00050FA4">
        <w:rPr>
          <w:lang w:val="sq-AL"/>
        </w:rPr>
        <w:t>”</w:t>
      </w:r>
      <w:r w:rsidRPr="00050FA4">
        <w:rPr>
          <w:lang w:val="sq-AL"/>
        </w:rPr>
        <w:t xml:space="preserve"> në skenarët alternativë, rritjen nominale të derivuar dhe nivelin nominal të PBB-së, si dhe disa supozime të tjera (implikimet e supozuara) mbi disa variabla kryesorë fiskalë që shpjegohen në seksionin 4.7.</w:t>
      </w:r>
    </w:p>
    <w:p w14:paraId="7ABD1ABC" w14:textId="1AEAFE70" w:rsidR="00A65EAE" w:rsidRPr="00050FA4" w:rsidRDefault="00A65EAE" w:rsidP="003F1DA7">
      <w:pPr>
        <w:pStyle w:val="AAAAAAATEXXXX"/>
        <w:rPr>
          <w:lang w:val="sq-AL"/>
        </w:rPr>
      </w:pPr>
      <w:r w:rsidRPr="00050FA4">
        <w:rPr>
          <w:lang w:val="sq-AL"/>
        </w:rPr>
        <w:lastRenderedPageBreak/>
        <w:t xml:space="preserve">Më shumë rëndësi i japim skenarit </w:t>
      </w:r>
      <w:r w:rsidR="008A0E5B" w:rsidRPr="00050FA4">
        <w:rPr>
          <w:lang w:val="sq-AL"/>
        </w:rPr>
        <w:t>“</w:t>
      </w:r>
      <w:r w:rsidRPr="00050FA4">
        <w:rPr>
          <w:lang w:val="sq-AL"/>
        </w:rPr>
        <w:t>pesimist</w:t>
      </w:r>
      <w:r w:rsidR="008A0E5B" w:rsidRPr="00050FA4">
        <w:rPr>
          <w:lang w:val="sq-AL"/>
        </w:rPr>
        <w:t>”</w:t>
      </w:r>
      <w:r w:rsidRPr="00050FA4">
        <w:rPr>
          <w:lang w:val="sq-AL"/>
        </w:rPr>
        <w:t xml:space="preserve"> dhe përballimit të mundshëm të implikimeve të tij</w:t>
      </w:r>
      <w:r w:rsidR="00F8562E" w:rsidRPr="00050FA4">
        <w:rPr>
          <w:lang w:val="sq-AL"/>
        </w:rPr>
        <w:t>,</w:t>
      </w:r>
      <w:r w:rsidRPr="00050FA4">
        <w:rPr>
          <w:lang w:val="sq-AL"/>
        </w:rPr>
        <w:t xml:space="preserve"> si dhe prezantojmë në mënyrë asimetrike një goditje më të madhe negative në këtë skenar krahasuar me madhësinë e kundërt të goditjes pozitive që prezantojmë në atë </w:t>
      </w:r>
      <w:r w:rsidR="008A0E5B" w:rsidRPr="00050FA4">
        <w:rPr>
          <w:lang w:val="sq-AL"/>
        </w:rPr>
        <w:t>“</w:t>
      </w:r>
      <w:r w:rsidRPr="00050FA4">
        <w:rPr>
          <w:lang w:val="sq-AL"/>
        </w:rPr>
        <w:t>optimist</w:t>
      </w:r>
      <w:r w:rsidR="008A0E5B" w:rsidRPr="00050FA4">
        <w:rPr>
          <w:lang w:val="sq-AL"/>
        </w:rPr>
        <w:t>”</w:t>
      </w:r>
      <w:r w:rsidRPr="00050FA4">
        <w:rPr>
          <w:lang w:val="sq-AL"/>
        </w:rPr>
        <w:t xml:space="preserve">. Supozojmë se në skenarin </w:t>
      </w:r>
      <w:r w:rsidR="008A0E5B" w:rsidRPr="00050FA4">
        <w:rPr>
          <w:lang w:val="sq-AL"/>
        </w:rPr>
        <w:t>“</w:t>
      </w:r>
      <w:r w:rsidRPr="00050FA4">
        <w:rPr>
          <w:lang w:val="sq-AL"/>
        </w:rPr>
        <w:t>pesimist</w:t>
      </w:r>
      <w:r w:rsidR="008A0E5B" w:rsidRPr="00050FA4">
        <w:rPr>
          <w:lang w:val="sq-AL"/>
        </w:rPr>
        <w:t>”</w:t>
      </w:r>
      <w:r w:rsidRPr="00050FA4">
        <w:rPr>
          <w:lang w:val="sq-AL"/>
        </w:rPr>
        <w:t xml:space="preserve"> rritja reale e PBB-së do të jetë 1.5 p.p. më e ulët për çdo vit (2022</w:t>
      </w:r>
      <w:r w:rsidR="00F8562E" w:rsidRPr="00050FA4">
        <w:rPr>
          <w:lang w:val="sq-AL"/>
        </w:rPr>
        <w:t>–</w:t>
      </w:r>
      <w:r w:rsidRPr="00050FA4">
        <w:rPr>
          <w:lang w:val="sq-AL"/>
        </w:rPr>
        <w:t>2026) se</w:t>
      </w:r>
      <w:r w:rsidR="00F8562E" w:rsidRPr="00050FA4">
        <w:rPr>
          <w:lang w:val="sq-AL"/>
        </w:rPr>
        <w:t xml:space="preserve"> </w:t>
      </w:r>
      <w:r w:rsidRPr="00050FA4">
        <w:rPr>
          <w:lang w:val="sq-AL"/>
        </w:rPr>
        <w:t xml:space="preserve">sa parashikimet përkatëse të rritjes në skenarin </w:t>
      </w:r>
      <w:r w:rsidR="008A0E5B" w:rsidRPr="00050FA4">
        <w:rPr>
          <w:lang w:val="sq-AL"/>
        </w:rPr>
        <w:t>“</w:t>
      </w:r>
      <w:r w:rsidRPr="00050FA4">
        <w:rPr>
          <w:lang w:val="sq-AL"/>
        </w:rPr>
        <w:t>bazë</w:t>
      </w:r>
      <w:r w:rsidR="008A0E5B" w:rsidRPr="00050FA4">
        <w:rPr>
          <w:lang w:val="sq-AL"/>
        </w:rPr>
        <w:t>”</w:t>
      </w:r>
      <w:r w:rsidRPr="00050FA4">
        <w:rPr>
          <w:lang w:val="sq-AL"/>
        </w:rPr>
        <w:t xml:space="preserve">. Ndërsa në skenarin </w:t>
      </w:r>
      <w:r w:rsidR="008A0E5B" w:rsidRPr="00050FA4">
        <w:rPr>
          <w:lang w:val="sq-AL"/>
        </w:rPr>
        <w:t>“</w:t>
      </w:r>
      <w:r w:rsidRPr="00050FA4">
        <w:rPr>
          <w:lang w:val="sq-AL"/>
        </w:rPr>
        <w:t>optimist</w:t>
      </w:r>
      <w:r w:rsidR="008A0E5B" w:rsidRPr="00050FA4">
        <w:rPr>
          <w:lang w:val="sq-AL"/>
        </w:rPr>
        <w:t>”</w:t>
      </w:r>
      <w:r w:rsidRPr="00050FA4">
        <w:rPr>
          <w:lang w:val="sq-AL"/>
        </w:rPr>
        <w:t xml:space="preserve"> supozojmë se rritja reale do të jetë 2 p.p. më i lartë për çdo vit se</w:t>
      </w:r>
      <w:r w:rsidR="00F8562E" w:rsidRPr="00050FA4">
        <w:rPr>
          <w:lang w:val="sq-AL"/>
        </w:rPr>
        <w:t xml:space="preserve"> </w:t>
      </w:r>
      <w:r w:rsidRPr="00050FA4">
        <w:rPr>
          <w:lang w:val="sq-AL"/>
        </w:rPr>
        <w:t xml:space="preserve">sa ajo që parashikojmë përkatësisht në skenarin </w:t>
      </w:r>
      <w:r w:rsidR="008A0E5B" w:rsidRPr="00050FA4">
        <w:rPr>
          <w:lang w:val="sq-AL"/>
        </w:rPr>
        <w:t>“</w:t>
      </w:r>
      <w:r w:rsidRPr="00050FA4">
        <w:rPr>
          <w:lang w:val="sq-AL"/>
        </w:rPr>
        <w:t>bazë</w:t>
      </w:r>
      <w:r w:rsidR="008A0E5B" w:rsidRPr="00050FA4">
        <w:rPr>
          <w:lang w:val="sq-AL"/>
        </w:rPr>
        <w:t>”</w:t>
      </w:r>
      <w:r w:rsidRPr="00050FA4">
        <w:rPr>
          <w:lang w:val="sq-AL"/>
        </w:rPr>
        <w:t>.</w:t>
      </w:r>
    </w:p>
    <w:p w14:paraId="4004CEBD" w14:textId="77777777" w:rsidR="00A250C1" w:rsidRPr="00050FA4" w:rsidRDefault="00A250C1" w:rsidP="003F1DA7">
      <w:pPr>
        <w:pStyle w:val="AAAAAAATEXXXX"/>
        <w:rPr>
          <w:sz w:val="12"/>
          <w:lang w:val="sq-AL"/>
        </w:rPr>
      </w:pPr>
    </w:p>
    <w:p w14:paraId="7659A578" w14:textId="71A50A09" w:rsidR="00A65EAE" w:rsidRPr="00050FA4" w:rsidRDefault="008A0E5B" w:rsidP="003F1DA7">
      <w:pPr>
        <w:pStyle w:val="AAAAAAATEXXXX"/>
        <w:jc w:val="center"/>
        <w:rPr>
          <w:b/>
          <w:i/>
          <w:lang w:val="sq-AL"/>
        </w:rPr>
      </w:pPr>
      <w:r w:rsidRPr="00050FA4">
        <w:rPr>
          <w:b/>
          <w:i/>
          <w:lang w:val="sq-AL"/>
        </w:rPr>
        <w:t>Tabelë 3.3.1</w:t>
      </w:r>
      <w:r w:rsidR="00A65EAE" w:rsidRPr="00050FA4">
        <w:rPr>
          <w:b/>
          <w:i/>
          <w:lang w:val="sq-AL"/>
        </w:rPr>
        <w:t xml:space="preserve"> Supozimet alternative për secilin skenar</w:t>
      </w:r>
    </w:p>
    <w:p w14:paraId="682DDA96" w14:textId="0F5C7B9A" w:rsidR="00A65EAE" w:rsidRPr="00050FA4" w:rsidRDefault="00A65EAE" w:rsidP="003F1DA7">
      <w:pPr>
        <w:snapToGrid w:val="0"/>
        <w:ind w:firstLine="284"/>
        <w:jc w:val="center"/>
        <w:rPr>
          <w:rFonts w:ascii="Garamond" w:hAnsi="Garamond"/>
          <w:color w:val="0D0D0D" w:themeColor="text1" w:themeTint="F2"/>
          <w:sz w:val="22"/>
          <w:szCs w:val="22"/>
        </w:rPr>
      </w:pPr>
      <w:r w:rsidRPr="00050FA4">
        <w:rPr>
          <w:rFonts w:ascii="Garamond" w:hAnsi="Garamond"/>
          <w:noProof/>
          <w:color w:val="0D0D0D" w:themeColor="text1" w:themeTint="F2"/>
          <w:lang w:val="en-US"/>
        </w:rPr>
        <w:drawing>
          <wp:inline distT="0" distB="0" distL="0" distR="0" wp14:anchorId="7A63C8E5" wp14:editId="739A3782">
            <wp:extent cx="5496370" cy="5282842"/>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09319" cy="5295288"/>
                    </a:xfrm>
                    <a:prstGeom prst="rect">
                      <a:avLst/>
                    </a:prstGeom>
                    <a:noFill/>
                    <a:ln>
                      <a:noFill/>
                    </a:ln>
                  </pic:spPr>
                </pic:pic>
              </a:graphicData>
            </a:graphic>
          </wp:inline>
        </w:drawing>
      </w:r>
    </w:p>
    <w:p w14:paraId="08492FF9" w14:textId="77777777" w:rsidR="00C505A7" w:rsidRPr="00050FA4" w:rsidRDefault="00C505A7" w:rsidP="003F1DA7">
      <w:pPr>
        <w:snapToGrid w:val="0"/>
        <w:ind w:firstLine="284"/>
        <w:rPr>
          <w:rFonts w:ascii="Garamond" w:hAnsi="Garamond" w:cstheme="majorBidi"/>
          <w:color w:val="0D0D0D" w:themeColor="text1" w:themeTint="F2"/>
        </w:rPr>
      </w:pPr>
    </w:p>
    <w:p w14:paraId="1F0B0AC4" w14:textId="2C75FF28" w:rsidR="00DF1828" w:rsidRPr="00050FA4" w:rsidRDefault="000762ED" w:rsidP="003F1DA7">
      <w:pPr>
        <w:pStyle w:val="AAAAAAATEXXXX"/>
        <w:rPr>
          <w:lang w:val="sq-AL"/>
        </w:rPr>
      </w:pPr>
      <w:bookmarkStart w:id="12" w:name="_Toc484076172"/>
      <w:bookmarkStart w:id="13" w:name="_Toc62805581"/>
      <w:bookmarkStart w:id="14" w:name="_Toc93325752"/>
      <w:r w:rsidRPr="00050FA4">
        <w:rPr>
          <w:lang w:val="sq-AL"/>
        </w:rPr>
        <w:t xml:space="preserve">4. </w:t>
      </w:r>
      <w:r w:rsidR="00F8562E" w:rsidRPr="00050FA4">
        <w:rPr>
          <w:lang w:val="sq-AL"/>
        </w:rPr>
        <w:t>Kuadri fiskal</w:t>
      </w:r>
      <w:bookmarkEnd w:id="12"/>
      <w:bookmarkEnd w:id="13"/>
      <w:bookmarkEnd w:id="14"/>
    </w:p>
    <w:p w14:paraId="37F99CEA" w14:textId="2FA04403" w:rsidR="00DF1828" w:rsidRPr="00050FA4" w:rsidRDefault="008A0E5B" w:rsidP="003F1DA7">
      <w:pPr>
        <w:pStyle w:val="AAAAAAATEXXXX"/>
        <w:rPr>
          <w:rFonts w:cstheme="majorBidi"/>
          <w:b/>
          <w:color w:val="0D0D0D" w:themeColor="text1" w:themeTint="F2"/>
          <w:lang w:val="sq-AL"/>
        </w:rPr>
      </w:pPr>
      <w:bookmarkStart w:id="15" w:name="_Toc484076173"/>
      <w:bookmarkStart w:id="16" w:name="_Toc61854153"/>
      <w:bookmarkStart w:id="17" w:name="_Toc93325753"/>
      <w:r w:rsidRPr="00050FA4">
        <w:rPr>
          <w:b/>
          <w:color w:val="0D0D0D" w:themeColor="text1" w:themeTint="F2"/>
          <w:lang w:val="sq-AL"/>
        </w:rPr>
        <w:t>4.1</w:t>
      </w:r>
      <w:r w:rsidR="000762ED" w:rsidRPr="00050FA4">
        <w:rPr>
          <w:b/>
          <w:color w:val="0D0D0D" w:themeColor="text1" w:themeTint="F2"/>
          <w:lang w:val="sq-AL"/>
        </w:rPr>
        <w:t xml:space="preserve"> </w:t>
      </w:r>
      <w:r w:rsidR="00E751F1" w:rsidRPr="00050FA4">
        <w:rPr>
          <w:b/>
          <w:color w:val="0D0D0D" w:themeColor="text1" w:themeTint="F2"/>
          <w:lang w:val="sq-AL"/>
        </w:rPr>
        <w:t>Politikat strategjike dhe objektivat afatmes</w:t>
      </w:r>
      <w:r w:rsidR="00BA32E8" w:rsidRPr="00050FA4">
        <w:rPr>
          <w:b/>
          <w:color w:val="0D0D0D" w:themeColor="text1" w:themeTint="F2"/>
          <w:lang w:val="sq-AL"/>
        </w:rPr>
        <w:t>ë</w:t>
      </w:r>
      <w:r w:rsidR="00E751F1" w:rsidRPr="00050FA4">
        <w:rPr>
          <w:b/>
          <w:color w:val="0D0D0D" w:themeColor="text1" w:themeTint="F2"/>
          <w:lang w:val="sq-AL"/>
        </w:rPr>
        <w:t>m</w:t>
      </w:r>
      <w:bookmarkEnd w:id="15"/>
      <w:bookmarkEnd w:id="16"/>
      <w:bookmarkEnd w:id="17"/>
    </w:p>
    <w:p w14:paraId="61E18A06" w14:textId="77777777" w:rsidR="00A65EAE" w:rsidRPr="00050FA4" w:rsidRDefault="00A65EAE" w:rsidP="003F1DA7">
      <w:pPr>
        <w:pStyle w:val="AAAAAAATEXXXX"/>
        <w:rPr>
          <w:color w:val="0D0D0D" w:themeColor="text1" w:themeTint="F2"/>
          <w:lang w:val="sq-AL"/>
        </w:rPr>
      </w:pPr>
      <w:r w:rsidRPr="00050FA4">
        <w:rPr>
          <w:color w:val="0D0D0D" w:themeColor="text1" w:themeTint="F2"/>
          <w:lang w:val="sq-AL"/>
        </w:rPr>
        <w:t xml:space="preserve">Në vitet e fundit, deri përpara goditjes nga pandemia, financat publike kishin hyrë në një trajektore të sigurt dhe optimale të konsolidimit fiskal, të materializuar në parametrat më të rëndësishëm të qëndrueshmërisë. Së pari, kjo u materializua në uljen e deficitit të përgjithshëm buxhetor nga 5% e PBB-së në vitin 2013, në poshtë nivelit prej 2% në vitin 2019. Ndërsa në vitin 2020, si kundërpërgjigje kryesore ndaj amortizimit deri në një farë mase të goditjes nga pandemia, u ndërmor një politikë fiskale mjaft ekspansioniste. Për rrjedhojë, deficiti total buxhetor arriti në rreth 6.8% të PBB-së dhe borxhi publik u rrit në rreth 76% të PBB-së, pra me rreth 10 pikë përqindjeje krahasuar me fundin e 2019-ës. </w:t>
      </w:r>
    </w:p>
    <w:p w14:paraId="2478E0F9" w14:textId="1432EE41" w:rsidR="00A65EAE" w:rsidRPr="00050FA4" w:rsidRDefault="00A65EAE" w:rsidP="003F1DA7">
      <w:pPr>
        <w:pStyle w:val="AAAAAAATEXXXX"/>
        <w:rPr>
          <w:color w:val="0D0D0D" w:themeColor="text1" w:themeTint="F2"/>
          <w:lang w:val="sq-AL"/>
        </w:rPr>
      </w:pPr>
      <w:r w:rsidRPr="00050FA4">
        <w:rPr>
          <w:color w:val="0D0D0D" w:themeColor="text1" w:themeTint="F2"/>
          <w:lang w:val="sq-AL"/>
        </w:rPr>
        <w:t xml:space="preserve">Për të realizuar një politikë fiskale të tillë ekspansioniste në përgjigje të goditjes, qeverisë iu desh të aktivizonte </w:t>
      </w:r>
      <w:r w:rsidR="008A0E5B" w:rsidRPr="00050FA4">
        <w:rPr>
          <w:color w:val="0D0D0D" w:themeColor="text1" w:themeTint="F2"/>
          <w:lang w:val="sq-AL"/>
        </w:rPr>
        <w:t>“</w:t>
      </w:r>
      <w:r w:rsidRPr="00050FA4">
        <w:rPr>
          <w:color w:val="0D0D0D" w:themeColor="text1" w:themeTint="F2"/>
          <w:lang w:val="sq-AL"/>
        </w:rPr>
        <w:t>klauzolat e devijimit</w:t>
      </w:r>
      <w:r w:rsidR="008A0E5B" w:rsidRPr="00050FA4">
        <w:rPr>
          <w:color w:val="0D0D0D" w:themeColor="text1" w:themeTint="F2"/>
          <w:lang w:val="sq-AL"/>
        </w:rPr>
        <w:t>”</w:t>
      </w:r>
      <w:r w:rsidRPr="00050FA4">
        <w:rPr>
          <w:color w:val="0D0D0D" w:themeColor="text1" w:themeTint="F2"/>
          <w:lang w:val="sq-AL"/>
        </w:rPr>
        <w:t xml:space="preserve"> nga rregullat fiskale gjatë vitit 2020, si klauzola të parashikuara tashmë në </w:t>
      </w:r>
      <w:r w:rsidR="007860C1" w:rsidRPr="00050FA4">
        <w:rPr>
          <w:color w:val="0D0D0D" w:themeColor="text1" w:themeTint="F2"/>
          <w:lang w:val="sq-AL"/>
        </w:rPr>
        <w:t xml:space="preserve">ligjin organik të buxhetit </w:t>
      </w:r>
      <w:r w:rsidRPr="00050FA4">
        <w:rPr>
          <w:color w:val="0D0D0D" w:themeColor="text1" w:themeTint="F2"/>
          <w:lang w:val="sq-AL"/>
        </w:rPr>
        <w:t>(LOB), duke mos cenuar kështu besueshmërinë e financave publike në perceptimin e tregjeve dhe agjentëve ekonomikë. Gjithashtu, me synimin për të ruajtur sa më shumë të ishte e mundur të pac</w:t>
      </w:r>
      <w:r w:rsidR="007860C1" w:rsidRPr="00050FA4">
        <w:rPr>
          <w:color w:val="0D0D0D" w:themeColor="text1" w:themeTint="F2"/>
          <w:lang w:val="sq-AL"/>
        </w:rPr>
        <w:t>e</w:t>
      </w:r>
      <w:r w:rsidRPr="00050FA4">
        <w:rPr>
          <w:color w:val="0D0D0D" w:themeColor="text1" w:themeTint="F2"/>
          <w:lang w:val="sq-AL"/>
        </w:rPr>
        <w:t>nuar kredibilitetin e financave publike në perceptimin e tregjeve, element kyç ky për financat publike</w:t>
      </w:r>
      <w:r w:rsidR="007860C1" w:rsidRPr="00050FA4">
        <w:rPr>
          <w:color w:val="0D0D0D" w:themeColor="text1" w:themeTint="F2"/>
          <w:lang w:val="sq-AL"/>
        </w:rPr>
        <w:t>,</w:t>
      </w:r>
      <w:r w:rsidRPr="00050FA4">
        <w:rPr>
          <w:color w:val="0D0D0D" w:themeColor="text1" w:themeTint="F2"/>
          <w:lang w:val="sq-AL"/>
        </w:rPr>
        <w:t xml:space="preserve"> si një fondament makroekonomik, sidomos për vende të vogla dhe me nevoja rifinancimi </w:t>
      </w:r>
      <w:r w:rsidRPr="00050FA4">
        <w:rPr>
          <w:color w:val="0D0D0D" w:themeColor="text1" w:themeTint="F2"/>
          <w:lang w:val="sq-AL"/>
        </w:rPr>
        <w:lastRenderedPageBreak/>
        <w:t xml:space="preserve">buxhetor </w:t>
      </w:r>
      <w:r w:rsidR="00573D83" w:rsidRPr="000E762F">
        <w:rPr>
          <w:color w:val="0D0D0D" w:themeColor="text1" w:themeTint="F2"/>
          <w:lang w:val="sq-AL"/>
        </w:rPr>
        <w:t>relativisht</w:t>
      </w:r>
      <w:r w:rsidR="00B432F1" w:rsidRPr="000E762F">
        <w:rPr>
          <w:color w:val="0D0D0D" w:themeColor="text1" w:themeTint="F2"/>
          <w:lang w:val="sq-AL"/>
        </w:rPr>
        <w:t xml:space="preserve"> siç është</w:t>
      </w:r>
      <w:r w:rsidR="00B432F1" w:rsidRPr="00050FA4">
        <w:rPr>
          <w:color w:val="0D0D0D" w:themeColor="text1" w:themeTint="F2"/>
          <w:lang w:val="sq-AL"/>
        </w:rPr>
        <w:t xml:space="preserve"> Shqipëria, u ndërmor</w:t>
      </w:r>
      <w:r w:rsidRPr="00050FA4">
        <w:rPr>
          <w:color w:val="0D0D0D" w:themeColor="text1" w:themeTint="F2"/>
          <w:lang w:val="sq-AL"/>
        </w:rPr>
        <w:t xml:space="preserve"> një tjetër iniciativë ligjore në </w:t>
      </w:r>
      <w:r w:rsidR="00B461E7" w:rsidRPr="00050FA4">
        <w:rPr>
          <w:color w:val="0D0D0D" w:themeColor="text1" w:themeTint="F2"/>
          <w:lang w:val="sq-AL"/>
        </w:rPr>
        <w:t xml:space="preserve">korrik </w:t>
      </w:r>
      <w:r w:rsidRPr="00050FA4">
        <w:rPr>
          <w:color w:val="0D0D0D" w:themeColor="text1" w:themeTint="F2"/>
          <w:lang w:val="sq-AL"/>
        </w:rPr>
        <w:t>të 2020</w:t>
      </w:r>
      <w:r w:rsidR="00B461E7" w:rsidRPr="00050FA4">
        <w:rPr>
          <w:color w:val="0D0D0D" w:themeColor="text1" w:themeTint="F2"/>
          <w:lang w:val="sq-AL"/>
        </w:rPr>
        <w:t>-ës</w:t>
      </w:r>
      <w:r w:rsidRPr="00050FA4">
        <w:rPr>
          <w:color w:val="0D0D0D" w:themeColor="text1" w:themeTint="F2"/>
          <w:lang w:val="sq-AL"/>
        </w:rPr>
        <w:t xml:space="preserve"> (në kulmin e pandemisë)</w:t>
      </w:r>
      <w:r w:rsidR="00B461E7" w:rsidRPr="00050FA4">
        <w:rPr>
          <w:color w:val="0D0D0D" w:themeColor="text1" w:themeTint="F2"/>
          <w:lang w:val="sq-AL"/>
        </w:rPr>
        <w:t>,</w:t>
      </w:r>
      <w:r w:rsidRPr="00050FA4">
        <w:rPr>
          <w:color w:val="0D0D0D" w:themeColor="text1" w:themeTint="F2"/>
          <w:lang w:val="sq-AL"/>
        </w:rPr>
        <w:t xml:space="preserve"> duke përfshirë një rregull tjetër të ri fiskal në LOB, i cili sanksiononte ligjërisht që balanca primare e buxhetit të rikthehej në së paku në një nivel të balancuar (pra, jo më e vogël se sa zero) duke filluar nga vitit 2024 e në vijim</w:t>
      </w:r>
      <w:r w:rsidRPr="00050FA4">
        <w:rPr>
          <w:color w:val="0D0D0D" w:themeColor="text1" w:themeTint="F2"/>
          <w:vertAlign w:val="superscript"/>
          <w:lang w:val="sq-AL"/>
        </w:rPr>
        <w:footnoteReference w:id="7"/>
      </w:r>
      <w:r w:rsidRPr="00050FA4">
        <w:rPr>
          <w:color w:val="0D0D0D" w:themeColor="text1" w:themeTint="F2"/>
          <w:lang w:val="sq-AL"/>
        </w:rPr>
        <w:t>.</w:t>
      </w:r>
    </w:p>
    <w:p w14:paraId="4C5B6D4C" w14:textId="3F03E198" w:rsidR="00A65EAE" w:rsidRPr="00050FA4" w:rsidRDefault="00A65EAE" w:rsidP="003F1DA7">
      <w:pPr>
        <w:pStyle w:val="AAAAAAATEXXXX"/>
        <w:rPr>
          <w:color w:val="0D0D0D" w:themeColor="text1" w:themeTint="F2"/>
          <w:lang w:val="sq-AL"/>
        </w:rPr>
      </w:pPr>
      <w:r w:rsidRPr="00050FA4">
        <w:rPr>
          <w:color w:val="0D0D0D" w:themeColor="text1" w:themeTint="F2"/>
          <w:lang w:val="sq-AL"/>
        </w:rPr>
        <w:t>K</w:t>
      </w:r>
      <w:r w:rsidR="004D031A" w:rsidRPr="00050FA4">
        <w:rPr>
          <w:color w:val="0D0D0D" w:themeColor="text1" w:themeTint="F2"/>
          <w:lang w:val="sq-AL"/>
        </w:rPr>
        <w:t>jo</w:t>
      </w:r>
      <w:r w:rsidRPr="00050FA4">
        <w:rPr>
          <w:color w:val="0D0D0D" w:themeColor="text1" w:themeTint="F2"/>
          <w:lang w:val="sq-AL"/>
        </w:rPr>
        <w:t xml:space="preserve"> rregull u mirëprit mjaft pozitivisht nga të gjitha institucionet ndërkombëtare (duke përfshirë patjetër edhe agjencitë e </w:t>
      </w:r>
      <w:r w:rsidRPr="00050FA4">
        <w:rPr>
          <w:i/>
          <w:color w:val="0D0D0D" w:themeColor="text1" w:themeTint="F2"/>
          <w:lang w:val="sq-AL"/>
        </w:rPr>
        <w:t>rating</w:t>
      </w:r>
      <w:r w:rsidRPr="00050FA4">
        <w:rPr>
          <w:color w:val="0D0D0D" w:themeColor="text1" w:themeTint="F2"/>
          <w:lang w:val="sq-AL"/>
        </w:rPr>
        <w:t>-ut) dhe</w:t>
      </w:r>
      <w:r w:rsidR="00B461E7" w:rsidRPr="00050FA4">
        <w:rPr>
          <w:color w:val="0D0D0D" w:themeColor="text1" w:themeTint="F2"/>
          <w:lang w:val="sq-AL"/>
        </w:rPr>
        <w:t>,</w:t>
      </w:r>
      <w:r w:rsidRPr="00050FA4">
        <w:rPr>
          <w:color w:val="0D0D0D" w:themeColor="text1" w:themeTint="F2"/>
          <w:lang w:val="sq-AL"/>
        </w:rPr>
        <w:t xml:space="preserve"> rrjedhimisht</w:t>
      </w:r>
      <w:r w:rsidR="00B461E7" w:rsidRPr="00050FA4">
        <w:rPr>
          <w:color w:val="0D0D0D" w:themeColor="text1" w:themeTint="F2"/>
          <w:lang w:val="sq-AL"/>
        </w:rPr>
        <w:t>,</w:t>
      </w:r>
      <w:r w:rsidRPr="00050FA4">
        <w:rPr>
          <w:color w:val="0D0D0D" w:themeColor="text1" w:themeTint="F2"/>
          <w:lang w:val="sq-AL"/>
        </w:rPr>
        <w:t xml:space="preserve"> nga aktorët ekonomikë në tërësi, si një nismë mjaft e duhur dhe efektive për të ruajtur kredibilitetin dhe </w:t>
      </w:r>
      <w:r w:rsidR="00B432F1" w:rsidRPr="00050FA4">
        <w:rPr>
          <w:color w:val="0D0D0D" w:themeColor="text1" w:themeTint="F2"/>
          <w:lang w:val="sq-AL"/>
        </w:rPr>
        <w:t>qëndrueshmërinë</w:t>
      </w:r>
      <w:r w:rsidRPr="00050FA4">
        <w:rPr>
          <w:color w:val="0D0D0D" w:themeColor="text1" w:themeTint="F2"/>
          <w:lang w:val="sq-AL"/>
        </w:rPr>
        <w:t xml:space="preserve"> e financave publike, jo vetëm në periudhën afatmesme dhe afatgjatë postpandemisë, por madje vlerësojmë se ishte mjaft ndihmuese për të siguruar një financim (huamarrje) relativisht mjaft normal edhe në afatin e shkurtër përgjatë goditjes, pra përgjatë vitit 2020 dhe pjesës së parë të këtij viti, pavarësisht magnitudës mjaft më të lartë të huamarrjes se sa tipikisht.</w:t>
      </w:r>
    </w:p>
    <w:p w14:paraId="6A7CE954" w14:textId="10121639" w:rsidR="00A65EAE" w:rsidRPr="00050FA4" w:rsidRDefault="00A65EAE" w:rsidP="003F1DA7">
      <w:pPr>
        <w:pStyle w:val="AAAAAAATEXXXX"/>
        <w:rPr>
          <w:color w:val="0D0D0D" w:themeColor="text1" w:themeTint="F2"/>
          <w:lang w:val="sq-AL"/>
        </w:rPr>
      </w:pPr>
      <w:r w:rsidRPr="00050FA4">
        <w:rPr>
          <w:color w:val="0D0D0D" w:themeColor="text1" w:themeTint="F2"/>
          <w:lang w:val="sq-AL"/>
        </w:rPr>
        <w:t xml:space="preserve">Nga viti 2022 e në vazhdim, politika fiskale në periudhën afatmesme do të orientohet drejt konsolidimit fiskal, në përputhje me rregullat fiskale të përcaktuara në </w:t>
      </w:r>
      <w:r w:rsidR="00B461E7" w:rsidRPr="00050FA4">
        <w:rPr>
          <w:color w:val="0D0D0D" w:themeColor="text1" w:themeTint="F2"/>
          <w:lang w:val="sq-AL"/>
        </w:rPr>
        <w:t xml:space="preserve">ligjin organik të buxhetit </w:t>
      </w:r>
      <w:r w:rsidRPr="00050FA4">
        <w:rPr>
          <w:color w:val="0D0D0D" w:themeColor="text1" w:themeTint="F2"/>
          <w:lang w:val="sq-AL"/>
        </w:rPr>
        <w:t xml:space="preserve">(shih kutinë më poshtë mbi parimet dhe rregullat fiskale). Konsolidimi fiskal dhe ulja e borxhit publik janë thelbësore për uljen e dobësive të lidhura me borxhin që pengojnë rritjen dhe shkaktojnë paqëndrueshmëri makroekonomike. </w:t>
      </w:r>
    </w:p>
    <w:p w14:paraId="55102ADC" w14:textId="3FDA3CB0" w:rsidR="00A65EAE" w:rsidRPr="00050FA4" w:rsidRDefault="00A65EAE" w:rsidP="003F1DA7">
      <w:pPr>
        <w:pStyle w:val="AAAAAAATEXXXX"/>
        <w:rPr>
          <w:color w:val="0D0D0D" w:themeColor="text1" w:themeTint="F2"/>
          <w:lang w:val="sq-AL"/>
        </w:rPr>
      </w:pPr>
      <w:r w:rsidRPr="00050FA4">
        <w:rPr>
          <w:color w:val="0D0D0D" w:themeColor="text1" w:themeTint="F2"/>
          <w:lang w:val="sq-AL"/>
        </w:rPr>
        <w:t>Politika fiskale do të synojë një trajektore rënëse të borxhit publik, pra një trajektore rënëse graduale vjetore, ndërkohë që balanca primare do të kthehet në nivel pozitiv nga viti 2024 e në vazhdim, në përputhje me rregull</w:t>
      </w:r>
      <w:r w:rsidR="0060613F" w:rsidRPr="00050FA4">
        <w:rPr>
          <w:color w:val="0D0D0D" w:themeColor="text1" w:themeTint="F2"/>
          <w:lang w:val="sq-AL"/>
        </w:rPr>
        <w:t>ë</w:t>
      </w:r>
      <w:r w:rsidRPr="00050FA4">
        <w:rPr>
          <w:color w:val="0D0D0D" w:themeColor="text1" w:themeTint="F2"/>
          <w:lang w:val="sq-AL"/>
        </w:rPr>
        <w:t>n fiskale në LOB. Në të njëjtën kohë, krahas konsolidimit fiskal, do të synojmë të ruajmë një raport të shëndetshëm të shpenzimeve buxhetore korrente dhe kapitale, ku shpenzimet kapitale (d</w:t>
      </w:r>
      <w:r w:rsidR="00E4688D" w:rsidRPr="00050FA4">
        <w:rPr>
          <w:color w:val="0D0D0D" w:themeColor="text1" w:themeTint="F2"/>
          <w:lang w:val="sq-AL"/>
        </w:rPr>
        <w:t>.</w:t>
      </w:r>
      <w:r w:rsidRPr="00050FA4">
        <w:rPr>
          <w:color w:val="0D0D0D" w:themeColor="text1" w:themeTint="F2"/>
          <w:lang w:val="sq-AL"/>
        </w:rPr>
        <w:t>m</w:t>
      </w:r>
      <w:r w:rsidR="00E4688D" w:rsidRPr="00050FA4">
        <w:rPr>
          <w:color w:val="0D0D0D" w:themeColor="text1" w:themeTint="F2"/>
          <w:lang w:val="sq-AL"/>
        </w:rPr>
        <w:t>.</w:t>
      </w:r>
      <w:r w:rsidRPr="00050FA4">
        <w:rPr>
          <w:color w:val="0D0D0D" w:themeColor="text1" w:themeTint="F2"/>
          <w:lang w:val="sq-AL"/>
        </w:rPr>
        <w:t>th. investimet publike) do të synohen në një mesatare prej rreth 5.6 për</w:t>
      </w:r>
      <w:r w:rsidR="00E4688D" w:rsidRPr="00050FA4">
        <w:rPr>
          <w:color w:val="0D0D0D" w:themeColor="text1" w:themeTint="F2"/>
          <w:lang w:val="sq-AL"/>
        </w:rPr>
        <w:t xml:space="preserve"> </w:t>
      </w:r>
      <w:r w:rsidRPr="00050FA4">
        <w:rPr>
          <w:color w:val="0D0D0D" w:themeColor="text1" w:themeTint="F2"/>
          <w:lang w:val="sq-AL"/>
        </w:rPr>
        <w:t>qind të PBB-së në çdo vit buxhetor përgjatë periudhës 2022</w:t>
      </w:r>
      <w:r w:rsidR="00B461E7" w:rsidRPr="00050FA4">
        <w:rPr>
          <w:color w:val="0D0D0D" w:themeColor="text1" w:themeTint="F2"/>
          <w:lang w:val="sq-AL"/>
        </w:rPr>
        <w:t>–</w:t>
      </w:r>
      <w:r w:rsidRPr="00050FA4">
        <w:rPr>
          <w:color w:val="0D0D0D" w:themeColor="text1" w:themeTint="F2"/>
          <w:lang w:val="sq-AL"/>
        </w:rPr>
        <w:t xml:space="preserve">2024 (përfshirë investimet për rindërtimin pas tërmetit). </w:t>
      </w:r>
      <w:r w:rsidR="00E4688D" w:rsidRPr="00050FA4">
        <w:rPr>
          <w:color w:val="0D0D0D" w:themeColor="text1" w:themeTint="F2"/>
          <w:lang w:val="sq-AL"/>
        </w:rPr>
        <w:t>Deficiti</w:t>
      </w:r>
      <w:r w:rsidRPr="00050FA4">
        <w:rPr>
          <w:color w:val="0D0D0D" w:themeColor="text1" w:themeTint="F2"/>
          <w:lang w:val="sq-AL"/>
        </w:rPr>
        <w:t xml:space="preserve"> buxhetor për vitin 2022 planifikohet të jetë në nivelin 5.4 për</w:t>
      </w:r>
      <w:r w:rsidR="00E4688D" w:rsidRPr="00050FA4">
        <w:rPr>
          <w:color w:val="0D0D0D" w:themeColor="text1" w:themeTint="F2"/>
          <w:lang w:val="sq-AL"/>
        </w:rPr>
        <w:t xml:space="preserve"> </w:t>
      </w:r>
      <w:r w:rsidRPr="00050FA4">
        <w:rPr>
          <w:color w:val="0D0D0D" w:themeColor="text1" w:themeTint="F2"/>
          <w:lang w:val="sq-AL"/>
        </w:rPr>
        <w:t>qind të PBB-së nga rreth 5.8 për</w:t>
      </w:r>
      <w:r w:rsidR="00E4688D" w:rsidRPr="00050FA4">
        <w:rPr>
          <w:color w:val="0D0D0D" w:themeColor="text1" w:themeTint="F2"/>
          <w:lang w:val="sq-AL"/>
        </w:rPr>
        <w:t xml:space="preserve"> </w:t>
      </w:r>
      <w:r w:rsidRPr="00050FA4">
        <w:rPr>
          <w:color w:val="0D0D0D" w:themeColor="text1" w:themeTint="F2"/>
          <w:lang w:val="sq-AL"/>
        </w:rPr>
        <w:t>qind i pritshëm për vitin 2021. Balanca primare për vitin 2022 pritet të jetë ende negative në rreth -2.7 për qind, por me një përmirësim në krahasim me rreth - 3.8 për</w:t>
      </w:r>
      <w:r w:rsidR="00E4688D" w:rsidRPr="00050FA4">
        <w:rPr>
          <w:color w:val="0D0D0D" w:themeColor="text1" w:themeTint="F2"/>
          <w:lang w:val="sq-AL"/>
        </w:rPr>
        <w:t xml:space="preserve"> </w:t>
      </w:r>
      <w:r w:rsidRPr="00050FA4">
        <w:rPr>
          <w:color w:val="0D0D0D" w:themeColor="text1" w:themeTint="F2"/>
          <w:lang w:val="sq-AL"/>
        </w:rPr>
        <w:t>qind që pritet për vitin 2021. B</w:t>
      </w:r>
      <w:r w:rsidR="004D4B0B" w:rsidRPr="00050FA4">
        <w:rPr>
          <w:color w:val="0D0D0D" w:themeColor="text1" w:themeTint="F2"/>
          <w:lang w:val="sq-AL"/>
        </w:rPr>
        <w:t>i</w:t>
      </w:r>
      <w:r w:rsidRPr="00050FA4">
        <w:rPr>
          <w:color w:val="0D0D0D" w:themeColor="text1" w:themeTint="F2"/>
          <w:lang w:val="sq-AL"/>
        </w:rPr>
        <w:t>lanc</w:t>
      </w:r>
      <w:r w:rsidR="004D4B0B" w:rsidRPr="00050FA4">
        <w:rPr>
          <w:color w:val="0D0D0D" w:themeColor="text1" w:themeTint="F2"/>
          <w:lang w:val="sq-AL"/>
        </w:rPr>
        <w:t>i</w:t>
      </w:r>
      <w:r w:rsidRPr="00050FA4">
        <w:rPr>
          <w:color w:val="0D0D0D" w:themeColor="text1" w:themeTint="F2"/>
          <w:lang w:val="sq-AL"/>
        </w:rPr>
        <w:t xml:space="preserve"> korrent</w:t>
      </w:r>
      <w:r w:rsidR="004D5FE3" w:rsidRPr="00050FA4">
        <w:rPr>
          <w:color w:val="0D0D0D" w:themeColor="text1" w:themeTint="F2"/>
          <w:lang w:val="sq-AL"/>
        </w:rPr>
        <w:t>e</w:t>
      </w:r>
      <w:r w:rsidRPr="00050FA4">
        <w:rPr>
          <w:color w:val="0D0D0D" w:themeColor="text1" w:themeTint="F2"/>
          <w:lang w:val="sq-AL"/>
        </w:rPr>
        <w:t xml:space="preserve"> fiskal</w:t>
      </w:r>
      <w:r w:rsidR="004D5FE3" w:rsidRPr="00050FA4">
        <w:rPr>
          <w:color w:val="0D0D0D" w:themeColor="text1" w:themeTint="F2"/>
          <w:lang w:val="sq-AL"/>
        </w:rPr>
        <w:t>e</w:t>
      </w:r>
      <w:r w:rsidRPr="00050FA4">
        <w:rPr>
          <w:color w:val="0D0D0D" w:themeColor="text1" w:themeTint="F2"/>
          <w:lang w:val="sq-AL"/>
        </w:rPr>
        <w:t xml:space="preserve"> (diferenca ndërmjet investimeve publike dhe deficitit fiskal) do të jetë pozitiv</w:t>
      </w:r>
      <w:r w:rsidR="004D5FE3" w:rsidRPr="00050FA4">
        <w:rPr>
          <w:color w:val="0D0D0D" w:themeColor="text1" w:themeTint="F2"/>
          <w:lang w:val="sq-AL"/>
        </w:rPr>
        <w:t>e</w:t>
      </w:r>
      <w:r w:rsidRPr="00050FA4">
        <w:rPr>
          <w:color w:val="0D0D0D" w:themeColor="text1" w:themeTint="F2"/>
          <w:lang w:val="sq-AL"/>
        </w:rPr>
        <w:t xml:space="preserve"> në vitin 2022, në nivelin 1 për</w:t>
      </w:r>
      <w:r w:rsidR="00E4688D" w:rsidRPr="00050FA4">
        <w:rPr>
          <w:color w:val="0D0D0D" w:themeColor="text1" w:themeTint="F2"/>
          <w:lang w:val="sq-AL"/>
        </w:rPr>
        <w:t xml:space="preserve"> </w:t>
      </w:r>
      <w:r w:rsidRPr="00050FA4">
        <w:rPr>
          <w:color w:val="0D0D0D" w:themeColor="text1" w:themeTint="F2"/>
          <w:lang w:val="sq-AL"/>
        </w:rPr>
        <w:t>qind të PBB-së nga një nivel pozitiv i pritshëm prej 2.3 për</w:t>
      </w:r>
      <w:r w:rsidR="00E4688D" w:rsidRPr="00050FA4">
        <w:rPr>
          <w:color w:val="0D0D0D" w:themeColor="text1" w:themeTint="F2"/>
          <w:lang w:val="sq-AL"/>
        </w:rPr>
        <w:t xml:space="preserve"> </w:t>
      </w:r>
      <w:r w:rsidRPr="00050FA4">
        <w:rPr>
          <w:color w:val="0D0D0D" w:themeColor="text1" w:themeTint="F2"/>
          <w:lang w:val="sq-AL"/>
        </w:rPr>
        <w:t>qind këtë vit, në përputhje me rregull</w:t>
      </w:r>
      <w:r w:rsidR="0060613F" w:rsidRPr="00050FA4">
        <w:rPr>
          <w:color w:val="0D0D0D" w:themeColor="text1" w:themeTint="F2"/>
          <w:lang w:val="sq-AL"/>
        </w:rPr>
        <w:t>ë</w:t>
      </w:r>
      <w:r w:rsidRPr="00050FA4">
        <w:rPr>
          <w:color w:val="0D0D0D" w:themeColor="text1" w:themeTint="F2"/>
          <w:lang w:val="sq-AL"/>
        </w:rPr>
        <w:t>n fiskal</w:t>
      </w:r>
      <w:r w:rsidR="0060613F" w:rsidRPr="00050FA4">
        <w:rPr>
          <w:color w:val="0D0D0D" w:themeColor="text1" w:themeTint="F2"/>
          <w:lang w:val="sq-AL"/>
        </w:rPr>
        <w:t>e</w:t>
      </w:r>
      <w:r w:rsidRPr="00050FA4">
        <w:rPr>
          <w:color w:val="0D0D0D" w:themeColor="text1" w:themeTint="F2"/>
          <w:lang w:val="sq-AL"/>
        </w:rPr>
        <w:t xml:space="preserve"> përkatës</w:t>
      </w:r>
      <w:r w:rsidR="0060613F" w:rsidRPr="00050FA4">
        <w:rPr>
          <w:color w:val="0D0D0D" w:themeColor="text1" w:themeTint="F2"/>
          <w:lang w:val="sq-AL"/>
        </w:rPr>
        <w:t>e</w:t>
      </w:r>
      <w:r w:rsidRPr="00050FA4">
        <w:rPr>
          <w:color w:val="0D0D0D" w:themeColor="text1" w:themeTint="F2"/>
          <w:lang w:val="sq-AL"/>
        </w:rPr>
        <w:t xml:space="preserve"> (</w:t>
      </w:r>
      <w:r w:rsidR="008A0E5B" w:rsidRPr="00050FA4">
        <w:rPr>
          <w:color w:val="0D0D0D" w:themeColor="text1" w:themeTint="F2"/>
          <w:lang w:val="sq-AL"/>
        </w:rPr>
        <w:t>“</w:t>
      </w:r>
      <w:r w:rsidRPr="00050FA4">
        <w:rPr>
          <w:color w:val="0D0D0D" w:themeColor="text1" w:themeTint="F2"/>
          <w:lang w:val="sq-AL"/>
        </w:rPr>
        <w:t>rregull</w:t>
      </w:r>
      <w:r w:rsidR="0060613F" w:rsidRPr="00050FA4">
        <w:rPr>
          <w:color w:val="0D0D0D" w:themeColor="text1" w:themeTint="F2"/>
          <w:lang w:val="sq-AL"/>
        </w:rPr>
        <w:t>a</w:t>
      </w:r>
      <w:r w:rsidRPr="00050FA4">
        <w:rPr>
          <w:color w:val="0D0D0D" w:themeColor="text1" w:themeTint="F2"/>
          <w:lang w:val="sq-AL"/>
        </w:rPr>
        <w:t xml:space="preserve"> </w:t>
      </w:r>
      <w:r w:rsidR="0060613F" w:rsidRPr="00050FA4">
        <w:rPr>
          <w:color w:val="0D0D0D" w:themeColor="text1" w:themeTint="F2"/>
          <w:lang w:val="sq-AL"/>
        </w:rPr>
        <w:t xml:space="preserve">e </w:t>
      </w:r>
      <w:r w:rsidRPr="00050FA4">
        <w:rPr>
          <w:color w:val="0D0D0D" w:themeColor="text1" w:themeTint="F2"/>
          <w:lang w:val="sq-AL"/>
        </w:rPr>
        <w:t>artë</w:t>
      </w:r>
      <w:r w:rsidR="008A0E5B" w:rsidRPr="00050FA4">
        <w:rPr>
          <w:color w:val="0D0D0D" w:themeColor="text1" w:themeTint="F2"/>
          <w:lang w:val="sq-AL"/>
        </w:rPr>
        <w:t>”</w:t>
      </w:r>
      <w:r w:rsidRPr="00050FA4">
        <w:rPr>
          <w:color w:val="0D0D0D" w:themeColor="text1" w:themeTint="F2"/>
          <w:lang w:val="sq-AL"/>
        </w:rPr>
        <w:t xml:space="preserve"> </w:t>
      </w:r>
      <w:r w:rsidR="0060613F" w:rsidRPr="00050FA4">
        <w:rPr>
          <w:color w:val="0D0D0D" w:themeColor="text1" w:themeTint="F2"/>
          <w:lang w:val="sq-AL"/>
        </w:rPr>
        <w:t>e</w:t>
      </w:r>
      <w:r w:rsidRPr="00050FA4">
        <w:rPr>
          <w:color w:val="0D0D0D" w:themeColor="text1" w:themeTint="F2"/>
          <w:lang w:val="sq-AL"/>
        </w:rPr>
        <w:t xml:space="preserve"> buxhetit). </w:t>
      </w:r>
    </w:p>
    <w:p w14:paraId="6849109D" w14:textId="39CD6B1E" w:rsidR="00A65EAE" w:rsidRPr="00050FA4" w:rsidRDefault="00A65EAE" w:rsidP="003F1DA7">
      <w:pPr>
        <w:pStyle w:val="AAAAAAATEXXXX"/>
        <w:rPr>
          <w:color w:val="0D0D0D" w:themeColor="text1" w:themeTint="F2"/>
          <w:lang w:val="sq-AL"/>
        </w:rPr>
      </w:pPr>
      <w:r w:rsidRPr="00050FA4">
        <w:rPr>
          <w:color w:val="0D0D0D" w:themeColor="text1" w:themeTint="F2"/>
          <w:lang w:val="sq-AL"/>
        </w:rPr>
        <w:t>Për periudhën afatmesme 2022</w:t>
      </w:r>
      <w:r w:rsidR="00B461E7" w:rsidRPr="00050FA4">
        <w:rPr>
          <w:color w:val="0D0D0D" w:themeColor="text1" w:themeTint="F2"/>
          <w:lang w:val="sq-AL"/>
        </w:rPr>
        <w:t>–</w:t>
      </w:r>
      <w:r w:rsidRPr="00050FA4">
        <w:rPr>
          <w:color w:val="0D0D0D" w:themeColor="text1" w:themeTint="F2"/>
          <w:lang w:val="sq-AL"/>
        </w:rPr>
        <w:t>2024, deficiti buxhetor parashikohet mesatarisht në rreth 3.7 për</w:t>
      </w:r>
      <w:r w:rsidR="00E4688D" w:rsidRPr="00050FA4">
        <w:rPr>
          <w:color w:val="0D0D0D" w:themeColor="text1" w:themeTint="F2"/>
          <w:lang w:val="sq-AL"/>
        </w:rPr>
        <w:t xml:space="preserve"> </w:t>
      </w:r>
      <w:r w:rsidRPr="00050FA4">
        <w:rPr>
          <w:color w:val="0D0D0D" w:themeColor="text1" w:themeTint="F2"/>
          <w:lang w:val="sq-AL"/>
        </w:rPr>
        <w:t>qind në vit. Më konkretisht</w:t>
      </w:r>
      <w:r w:rsidR="00FD1F6F" w:rsidRPr="00050FA4">
        <w:rPr>
          <w:color w:val="0D0D0D" w:themeColor="text1" w:themeTint="F2"/>
          <w:lang w:val="sq-AL"/>
        </w:rPr>
        <w:t>,</w:t>
      </w:r>
      <w:r w:rsidRPr="00050FA4">
        <w:rPr>
          <w:color w:val="0D0D0D" w:themeColor="text1" w:themeTint="F2"/>
          <w:lang w:val="sq-AL"/>
        </w:rPr>
        <w:t xml:space="preserve"> bilanci i përgjithshëm fiskal synohet në -5.4, -2.9 dhe -2.8 për</w:t>
      </w:r>
      <w:r w:rsidR="00E4688D" w:rsidRPr="00050FA4">
        <w:rPr>
          <w:color w:val="0D0D0D" w:themeColor="text1" w:themeTint="F2"/>
          <w:lang w:val="sq-AL"/>
        </w:rPr>
        <w:t xml:space="preserve"> </w:t>
      </w:r>
      <w:r w:rsidRPr="00050FA4">
        <w:rPr>
          <w:color w:val="0D0D0D" w:themeColor="text1" w:themeTint="F2"/>
          <w:lang w:val="sq-AL"/>
        </w:rPr>
        <w:t>qind respektivisht për 2022</w:t>
      </w:r>
      <w:r w:rsidR="00646925" w:rsidRPr="00050FA4">
        <w:rPr>
          <w:color w:val="0D0D0D" w:themeColor="text1" w:themeTint="F2"/>
          <w:lang w:val="sq-AL"/>
        </w:rPr>
        <w:t>-shin</w:t>
      </w:r>
      <w:r w:rsidRPr="00050FA4">
        <w:rPr>
          <w:color w:val="0D0D0D" w:themeColor="text1" w:themeTint="F2"/>
          <w:lang w:val="sq-AL"/>
        </w:rPr>
        <w:t>, 2023</w:t>
      </w:r>
      <w:r w:rsidR="00646925" w:rsidRPr="00050FA4">
        <w:rPr>
          <w:color w:val="0D0D0D" w:themeColor="text1" w:themeTint="F2"/>
          <w:lang w:val="sq-AL"/>
        </w:rPr>
        <w:t>-shin</w:t>
      </w:r>
      <w:r w:rsidRPr="00050FA4">
        <w:rPr>
          <w:color w:val="0D0D0D" w:themeColor="text1" w:themeTint="F2"/>
          <w:lang w:val="sq-AL"/>
        </w:rPr>
        <w:t xml:space="preserve"> dhe 2024</w:t>
      </w:r>
      <w:r w:rsidR="00646925" w:rsidRPr="00050FA4">
        <w:rPr>
          <w:color w:val="0D0D0D" w:themeColor="text1" w:themeTint="F2"/>
          <w:lang w:val="sq-AL"/>
        </w:rPr>
        <w:t>-shin</w:t>
      </w:r>
      <w:r w:rsidRPr="00050FA4">
        <w:rPr>
          <w:color w:val="0D0D0D" w:themeColor="text1" w:themeTint="F2"/>
          <w:lang w:val="sq-AL"/>
        </w:rPr>
        <w:t>. Bilanci primar parashikohet mesatarisht në rreth -0.8 për</w:t>
      </w:r>
      <w:r w:rsidR="00E4688D" w:rsidRPr="00050FA4">
        <w:rPr>
          <w:color w:val="0D0D0D" w:themeColor="text1" w:themeTint="F2"/>
          <w:lang w:val="sq-AL"/>
        </w:rPr>
        <w:t xml:space="preserve"> </w:t>
      </w:r>
      <w:r w:rsidRPr="00050FA4">
        <w:rPr>
          <w:color w:val="0D0D0D" w:themeColor="text1" w:themeTint="F2"/>
          <w:lang w:val="sq-AL"/>
        </w:rPr>
        <w:t>qind në vit gjatë periudhës afatmesme vijuese 2022</w:t>
      </w:r>
      <w:r w:rsidR="00B461E7" w:rsidRPr="00050FA4">
        <w:rPr>
          <w:color w:val="0D0D0D" w:themeColor="text1" w:themeTint="F2"/>
          <w:lang w:val="sq-AL"/>
        </w:rPr>
        <w:t>–</w:t>
      </w:r>
      <w:r w:rsidR="00746525" w:rsidRPr="00050FA4">
        <w:rPr>
          <w:color w:val="0D0D0D" w:themeColor="text1" w:themeTint="F2"/>
          <w:lang w:val="sq-AL"/>
        </w:rPr>
        <w:t>2024</w:t>
      </w:r>
      <w:r w:rsidRPr="00050FA4">
        <w:rPr>
          <w:color w:val="0D0D0D" w:themeColor="text1" w:themeTint="F2"/>
          <w:lang w:val="sq-AL"/>
        </w:rPr>
        <w:t>. Në vitin 2022, bilanci primar është projektuar me një deficit primar prej 2.7 për</w:t>
      </w:r>
      <w:r w:rsidR="00E4688D" w:rsidRPr="00050FA4">
        <w:rPr>
          <w:color w:val="0D0D0D" w:themeColor="text1" w:themeTint="F2"/>
          <w:lang w:val="sq-AL"/>
        </w:rPr>
        <w:t xml:space="preserve"> </w:t>
      </w:r>
      <w:r w:rsidRPr="00050FA4">
        <w:rPr>
          <w:color w:val="0D0D0D" w:themeColor="text1" w:themeTint="F2"/>
          <w:lang w:val="sq-AL"/>
        </w:rPr>
        <w:t>qind të PBB-së dhe në vitin 2023</w:t>
      </w:r>
      <w:r w:rsidR="004D4B0B" w:rsidRPr="00050FA4">
        <w:rPr>
          <w:color w:val="0D0D0D" w:themeColor="text1" w:themeTint="F2"/>
          <w:lang w:val="sq-AL"/>
        </w:rPr>
        <w:t>,</w:t>
      </w:r>
      <w:r w:rsidRPr="00050FA4">
        <w:rPr>
          <w:color w:val="0D0D0D" w:themeColor="text1" w:themeTint="F2"/>
          <w:lang w:val="sq-AL"/>
        </w:rPr>
        <w:t xml:space="preserve"> synohet të jetë në balancë, duke vazhduar më tej në vitin 2024 në vlerë pozitive, përkatësisht 0.3 për</w:t>
      </w:r>
      <w:r w:rsidR="00E4688D" w:rsidRPr="00050FA4">
        <w:rPr>
          <w:color w:val="0D0D0D" w:themeColor="text1" w:themeTint="F2"/>
          <w:lang w:val="sq-AL"/>
        </w:rPr>
        <w:t xml:space="preserve"> </w:t>
      </w:r>
      <w:r w:rsidRPr="00050FA4">
        <w:rPr>
          <w:color w:val="0D0D0D" w:themeColor="text1" w:themeTint="F2"/>
          <w:lang w:val="sq-AL"/>
        </w:rPr>
        <w:t>qind. Shpenzimet kapitale parashikohen përkatësisht në 6.4, 5.2 dhe 5.3 për</w:t>
      </w:r>
      <w:r w:rsidR="00E4688D" w:rsidRPr="00050FA4">
        <w:rPr>
          <w:color w:val="0D0D0D" w:themeColor="text1" w:themeTint="F2"/>
          <w:lang w:val="sq-AL"/>
        </w:rPr>
        <w:t xml:space="preserve"> </w:t>
      </w:r>
      <w:r w:rsidRPr="00050FA4">
        <w:rPr>
          <w:color w:val="0D0D0D" w:themeColor="text1" w:themeTint="F2"/>
          <w:lang w:val="sq-AL"/>
        </w:rPr>
        <w:t>qind për vitet 2022, 2023 dhe 2024. Bilanci korrent fiskal synohet mesatarisht në rreth 1.9 për</w:t>
      </w:r>
      <w:r w:rsidR="00E4688D" w:rsidRPr="00050FA4">
        <w:rPr>
          <w:color w:val="0D0D0D" w:themeColor="text1" w:themeTint="F2"/>
          <w:lang w:val="sq-AL"/>
        </w:rPr>
        <w:t xml:space="preserve"> </w:t>
      </w:r>
      <w:r w:rsidRPr="00050FA4">
        <w:rPr>
          <w:color w:val="0D0D0D" w:themeColor="text1" w:themeTint="F2"/>
          <w:lang w:val="sq-AL"/>
        </w:rPr>
        <w:t>qind në vit gjatë periudhës afatmesme 2022</w:t>
      </w:r>
      <w:r w:rsidR="008A0E5B" w:rsidRPr="00050FA4">
        <w:rPr>
          <w:color w:val="0D0D0D" w:themeColor="text1" w:themeTint="F2"/>
          <w:lang w:val="sq-AL"/>
        </w:rPr>
        <w:t>–</w:t>
      </w:r>
      <w:r w:rsidRPr="00050FA4">
        <w:rPr>
          <w:color w:val="0D0D0D" w:themeColor="text1" w:themeTint="F2"/>
          <w:lang w:val="sq-AL"/>
        </w:rPr>
        <w:t>2024. Më konkretisht, bilanci korrent fiskal është parashikuar përkatësisht në 1.0, 2.2 dhe 2.4 për</w:t>
      </w:r>
      <w:r w:rsidR="00E4688D" w:rsidRPr="00050FA4">
        <w:rPr>
          <w:color w:val="0D0D0D" w:themeColor="text1" w:themeTint="F2"/>
          <w:lang w:val="sq-AL"/>
        </w:rPr>
        <w:t xml:space="preserve"> </w:t>
      </w:r>
      <w:r w:rsidRPr="00050FA4">
        <w:rPr>
          <w:color w:val="0D0D0D" w:themeColor="text1" w:themeTint="F2"/>
          <w:lang w:val="sq-AL"/>
        </w:rPr>
        <w:t xml:space="preserve">qind për vitet 2022, 2023 dhe 2024. </w:t>
      </w:r>
    </w:p>
    <w:p w14:paraId="560F36F1" w14:textId="255464AB" w:rsidR="00A65EAE" w:rsidRPr="00050FA4" w:rsidRDefault="00A65EAE" w:rsidP="003F1DA7">
      <w:pPr>
        <w:pStyle w:val="AAAAAAATEXXXX"/>
        <w:rPr>
          <w:color w:val="0D0D0D" w:themeColor="text1" w:themeTint="F2"/>
          <w:lang w:val="sq-AL"/>
        </w:rPr>
      </w:pPr>
      <w:r w:rsidRPr="00050FA4">
        <w:rPr>
          <w:color w:val="0D0D0D" w:themeColor="text1" w:themeTint="F2"/>
          <w:lang w:val="sq-AL"/>
        </w:rPr>
        <w:t xml:space="preserve">Si rrjedhojë, duke filluar nga ky vit (2022) borxhi publik ndaj PBB-së pritet të kthehet në një trajektore </w:t>
      </w:r>
      <w:r w:rsidR="0060613F" w:rsidRPr="00050FA4">
        <w:rPr>
          <w:color w:val="0D0D0D" w:themeColor="text1" w:themeTint="F2"/>
          <w:lang w:val="sq-AL"/>
        </w:rPr>
        <w:t>rënëse, në përputhje me rregullë</w:t>
      </w:r>
      <w:r w:rsidRPr="00050FA4">
        <w:rPr>
          <w:color w:val="0D0D0D" w:themeColor="text1" w:themeTint="F2"/>
          <w:lang w:val="sq-AL"/>
        </w:rPr>
        <w:t>n fiskal</w:t>
      </w:r>
      <w:r w:rsidR="0060613F" w:rsidRPr="00050FA4">
        <w:rPr>
          <w:color w:val="0D0D0D" w:themeColor="text1" w:themeTint="F2"/>
          <w:lang w:val="sq-AL"/>
        </w:rPr>
        <w:t>e</w:t>
      </w:r>
      <w:r w:rsidRPr="00050FA4">
        <w:rPr>
          <w:color w:val="0D0D0D" w:themeColor="text1" w:themeTint="F2"/>
          <w:lang w:val="sq-AL"/>
        </w:rPr>
        <w:t xml:space="preserve"> përkatës</w:t>
      </w:r>
      <w:r w:rsidR="0060613F" w:rsidRPr="00050FA4">
        <w:rPr>
          <w:color w:val="0D0D0D" w:themeColor="text1" w:themeTint="F2"/>
          <w:lang w:val="sq-AL"/>
        </w:rPr>
        <w:t>e</w:t>
      </w:r>
      <w:r w:rsidRPr="00050FA4">
        <w:rPr>
          <w:color w:val="0D0D0D" w:themeColor="text1" w:themeTint="F2"/>
          <w:lang w:val="sq-AL"/>
        </w:rPr>
        <w:t>, ku pritet të bjerë në rreth 78.9 për</w:t>
      </w:r>
      <w:r w:rsidR="00E4688D" w:rsidRPr="00050FA4">
        <w:rPr>
          <w:color w:val="0D0D0D" w:themeColor="text1" w:themeTint="F2"/>
          <w:lang w:val="sq-AL"/>
        </w:rPr>
        <w:t xml:space="preserve"> </w:t>
      </w:r>
      <w:r w:rsidRPr="00050FA4">
        <w:rPr>
          <w:color w:val="0D0D0D" w:themeColor="text1" w:themeTint="F2"/>
          <w:lang w:val="sq-AL"/>
        </w:rPr>
        <w:t>qind të PBB-së nga rreth 80.1 për qind i pritshëm për vitin 2021. Deri në fund të vitit 2023, borxhi publik pritet të bjerë në rreth 77.7 për</w:t>
      </w:r>
      <w:r w:rsidR="00E4688D" w:rsidRPr="00050FA4">
        <w:rPr>
          <w:color w:val="0D0D0D" w:themeColor="text1" w:themeTint="F2"/>
          <w:lang w:val="sq-AL"/>
        </w:rPr>
        <w:t xml:space="preserve"> </w:t>
      </w:r>
      <w:r w:rsidRPr="00050FA4">
        <w:rPr>
          <w:color w:val="0D0D0D" w:themeColor="text1" w:themeTint="F2"/>
          <w:lang w:val="sq-AL"/>
        </w:rPr>
        <w:t>qind të PBB-së dhe rreth 75.8 për</w:t>
      </w:r>
      <w:r w:rsidR="00E4688D" w:rsidRPr="00050FA4">
        <w:rPr>
          <w:color w:val="0D0D0D" w:themeColor="text1" w:themeTint="F2"/>
          <w:lang w:val="sq-AL"/>
        </w:rPr>
        <w:t xml:space="preserve"> </w:t>
      </w:r>
      <w:r w:rsidRPr="00050FA4">
        <w:rPr>
          <w:color w:val="0D0D0D" w:themeColor="text1" w:themeTint="F2"/>
          <w:lang w:val="sq-AL"/>
        </w:rPr>
        <w:t>qind në vitin 2024. Balanca primare do të kthehet në nivel pozitiv (suficit primar) nga viti 2024 e në vazhdim. Ky objektiv është tashmë ligjërisht i detyrueshëm, ku LOB</w:t>
      </w:r>
      <w:r w:rsidR="0061568E" w:rsidRPr="00050FA4">
        <w:rPr>
          <w:color w:val="0D0D0D" w:themeColor="text1" w:themeTint="F2"/>
          <w:lang w:val="sq-AL"/>
        </w:rPr>
        <w:t>-ja</w:t>
      </w:r>
      <w:r w:rsidRPr="00050FA4">
        <w:rPr>
          <w:color w:val="0D0D0D" w:themeColor="text1" w:themeTint="F2"/>
          <w:lang w:val="sq-AL"/>
        </w:rPr>
        <w:t xml:space="preserve"> parashikon që</w:t>
      </w:r>
      <w:r w:rsidR="0061568E" w:rsidRPr="00050FA4">
        <w:rPr>
          <w:color w:val="0D0D0D" w:themeColor="text1" w:themeTint="F2"/>
          <w:lang w:val="sq-AL"/>
        </w:rPr>
        <w:t>,</w:t>
      </w:r>
      <w:r w:rsidRPr="00050FA4">
        <w:rPr>
          <w:color w:val="0D0D0D" w:themeColor="text1" w:themeTint="F2"/>
          <w:lang w:val="sq-AL"/>
        </w:rPr>
        <w:t xml:space="preserve"> duke filluar nga viti buxhetor 2024 dhe për çdo vit pasardhës</w:t>
      </w:r>
      <w:r w:rsidR="0061568E" w:rsidRPr="00050FA4">
        <w:rPr>
          <w:color w:val="0D0D0D" w:themeColor="text1" w:themeTint="F2"/>
          <w:lang w:val="sq-AL"/>
        </w:rPr>
        <w:t>,</w:t>
      </w:r>
      <w:r w:rsidRPr="00050FA4">
        <w:rPr>
          <w:color w:val="0D0D0D" w:themeColor="text1" w:themeTint="F2"/>
          <w:lang w:val="sq-AL"/>
        </w:rPr>
        <w:t xml:space="preserve"> balanca primare faktike nuk mund të rezultojë negative, pra duhet të jetë së paku e balancuar ose pozitive.</w:t>
      </w:r>
      <w:r w:rsidRPr="00050FA4">
        <w:rPr>
          <w:b/>
          <w:bCs/>
          <w:color w:val="0D0D0D" w:themeColor="text1" w:themeTint="F2"/>
          <w:lang w:val="sq-AL"/>
        </w:rPr>
        <w:t xml:space="preserve"> </w:t>
      </w:r>
      <w:r w:rsidRPr="00050FA4">
        <w:rPr>
          <w:color w:val="0D0D0D" w:themeColor="text1" w:themeTint="F2"/>
          <w:lang w:val="sq-AL"/>
        </w:rPr>
        <w:t>Sipas skenarit bazë, borxhi publik pritet të bjerë në rreth 74.6 për</w:t>
      </w:r>
      <w:r w:rsidR="00E4688D" w:rsidRPr="00050FA4">
        <w:rPr>
          <w:color w:val="0D0D0D" w:themeColor="text1" w:themeTint="F2"/>
          <w:lang w:val="sq-AL"/>
        </w:rPr>
        <w:t xml:space="preserve"> </w:t>
      </w:r>
      <w:r w:rsidRPr="00050FA4">
        <w:rPr>
          <w:color w:val="0D0D0D" w:themeColor="text1" w:themeTint="F2"/>
          <w:lang w:val="sq-AL"/>
        </w:rPr>
        <w:t>qind në vitin 2025 dhe më tej në rreth 67.7 për</w:t>
      </w:r>
      <w:r w:rsidR="00E4688D" w:rsidRPr="00050FA4">
        <w:rPr>
          <w:color w:val="0D0D0D" w:themeColor="text1" w:themeTint="F2"/>
          <w:lang w:val="sq-AL"/>
        </w:rPr>
        <w:t xml:space="preserve"> </w:t>
      </w:r>
      <w:r w:rsidRPr="00050FA4">
        <w:rPr>
          <w:color w:val="0D0D0D" w:themeColor="text1" w:themeTint="F2"/>
          <w:lang w:val="sq-AL"/>
        </w:rPr>
        <w:t xml:space="preserve">qind deri në vitin 2028. </w:t>
      </w:r>
    </w:p>
    <w:p w14:paraId="20BBA893" w14:textId="01F82212" w:rsidR="00A65EAE" w:rsidRPr="00050FA4" w:rsidRDefault="00A65EAE" w:rsidP="003F1DA7">
      <w:pPr>
        <w:pStyle w:val="AAAAAAATEXXXX"/>
        <w:rPr>
          <w:color w:val="0D0D0D" w:themeColor="text1" w:themeTint="F2"/>
          <w:lang w:val="sq-AL" w:eastAsia="sq-AL" w:bidi="he-IL"/>
        </w:rPr>
      </w:pPr>
      <w:r w:rsidRPr="00050FA4">
        <w:rPr>
          <w:color w:val="0D0D0D" w:themeColor="text1" w:themeTint="F2"/>
          <w:lang w:val="sq-AL"/>
        </w:rPr>
        <w:t>Në të njëjtën kohë, synohet dhe programohet një nivel i investimeve publike (duke përfshirë vetëm qeverinë qendrore) në një mesatare vjetore prej rreth 5.3% të PBB-së</w:t>
      </w:r>
      <w:r w:rsidR="009A4934" w:rsidRPr="00050FA4">
        <w:rPr>
          <w:color w:val="0D0D0D" w:themeColor="text1" w:themeTint="F2"/>
          <w:lang w:val="sq-AL"/>
        </w:rPr>
        <w:t>,</w:t>
      </w:r>
      <w:r w:rsidRPr="00050FA4">
        <w:rPr>
          <w:color w:val="0D0D0D" w:themeColor="text1" w:themeTint="F2"/>
          <w:lang w:val="sq-AL"/>
        </w:rPr>
        <w:t xml:space="preserve"> gjatë periudhës 2022</w:t>
      </w:r>
      <w:r w:rsidR="0061568E" w:rsidRPr="00050FA4">
        <w:rPr>
          <w:color w:val="0D0D0D" w:themeColor="text1" w:themeTint="F2"/>
          <w:lang w:val="sq-AL"/>
        </w:rPr>
        <w:t>–</w:t>
      </w:r>
      <w:r w:rsidRPr="00050FA4">
        <w:rPr>
          <w:color w:val="0D0D0D" w:themeColor="text1" w:themeTint="F2"/>
          <w:lang w:val="sq-AL"/>
        </w:rPr>
        <w:t>2024, thelbësore për të mbështetur rritjen ekonomike në afatmesëm dhe afatgjatë.</w:t>
      </w:r>
      <w:r w:rsidRPr="00050FA4">
        <w:rPr>
          <w:color w:val="0D0D0D" w:themeColor="text1" w:themeTint="F2"/>
          <w:lang w:val="sq-AL" w:eastAsia="sq-AL" w:bidi="he-IL"/>
        </w:rPr>
        <w:t xml:space="preserve"> </w:t>
      </w:r>
    </w:p>
    <w:p w14:paraId="5943606C" w14:textId="77777777" w:rsidR="00FC5B55" w:rsidRDefault="008A0E5B" w:rsidP="003F1DA7">
      <w:pPr>
        <w:pStyle w:val="AAAAAAATEXXXX"/>
        <w:rPr>
          <w:b/>
          <w:lang w:val="sq-AL"/>
        </w:rPr>
      </w:pPr>
      <w:bookmarkStart w:id="18" w:name="_Toc484076174"/>
      <w:bookmarkStart w:id="19" w:name="_Toc61854154"/>
      <w:bookmarkStart w:id="20" w:name="_Toc93325754"/>
      <w:r w:rsidRPr="00050FA4">
        <w:rPr>
          <w:noProof/>
          <w:color w:val="0D0D0D" w:themeColor="text1" w:themeTint="F2"/>
        </w:rPr>
        <w:lastRenderedPageBreak/>
        <mc:AlternateContent>
          <mc:Choice Requires="wps">
            <w:drawing>
              <wp:inline distT="0" distB="0" distL="0" distR="0" wp14:anchorId="3C3A529B" wp14:editId="247FE365">
                <wp:extent cx="6400165" cy="7011670"/>
                <wp:effectExtent l="0" t="0" r="635" b="0"/>
                <wp:docPr id="56" name="Text Box 56"/>
                <wp:cNvGraphicFramePr/>
                <a:graphic xmlns:a="http://schemas.openxmlformats.org/drawingml/2006/main">
                  <a:graphicData uri="http://schemas.microsoft.com/office/word/2010/wordprocessingShape">
                    <wps:wsp>
                      <wps:cNvSpPr txBox="1"/>
                      <wps:spPr>
                        <a:xfrm>
                          <a:off x="0" y="0"/>
                          <a:ext cx="6400165" cy="7011670"/>
                        </a:xfrm>
                        <a:prstGeom prst="rect">
                          <a:avLst/>
                        </a:prstGeom>
                        <a:solidFill>
                          <a:sysClr val="window" lastClr="FFFFFF">
                            <a:lumMod val="95000"/>
                          </a:sysClr>
                        </a:solidFill>
                        <a:ln w="6350">
                          <a:noFill/>
                        </a:ln>
                        <a:effectLst/>
                      </wps:spPr>
                      <wps:txbx>
                        <w:txbxContent>
                          <w:p w14:paraId="27820551" w14:textId="77777777" w:rsidR="00807D6F" w:rsidRDefault="00807D6F" w:rsidP="000762ED">
                            <w:pPr>
                              <w:jc w:val="center"/>
                              <w:rPr>
                                <w:rFonts w:asciiTheme="majorHAnsi" w:eastAsia="Times New Roman" w:hAnsiTheme="majorHAnsi" w:cstheme="minorHAnsi"/>
                                <w:b/>
                                <w:iCs/>
                                <w:sz w:val="14"/>
                              </w:rPr>
                            </w:pPr>
                          </w:p>
                          <w:p w14:paraId="4212B803" w14:textId="77777777" w:rsidR="00807D6F" w:rsidRPr="008A0E5B" w:rsidRDefault="00807D6F" w:rsidP="000762ED">
                            <w:pPr>
                              <w:jc w:val="center"/>
                              <w:rPr>
                                <w:rFonts w:ascii="Garamond" w:eastAsia="Times New Roman" w:hAnsi="Garamond" w:cstheme="minorHAnsi"/>
                                <w:b/>
                                <w:iCs/>
                                <w:noProof/>
                              </w:rPr>
                            </w:pPr>
                            <w:r w:rsidRPr="008A0E5B">
                              <w:rPr>
                                <w:rFonts w:ascii="Garamond" w:eastAsia="Times New Roman" w:hAnsi="Garamond" w:cstheme="minorHAnsi"/>
                                <w:b/>
                                <w:iCs/>
                              </w:rPr>
                              <w:t>PARIMET DHE RREGULLAT FISKALE</w:t>
                            </w:r>
                          </w:p>
                          <w:p w14:paraId="632A1EC8" w14:textId="77777777" w:rsidR="00807D6F" w:rsidRPr="008A0E5B" w:rsidRDefault="00807D6F" w:rsidP="000762ED">
                            <w:pPr>
                              <w:jc w:val="both"/>
                              <w:rPr>
                                <w:rFonts w:ascii="Garamond" w:eastAsia="Times New Roman" w:hAnsi="Garamond" w:cs="Calibri"/>
                                <w:noProof/>
                                <w:sz w:val="13"/>
                                <w:szCs w:val="18"/>
                              </w:rPr>
                            </w:pPr>
                          </w:p>
                          <w:p w14:paraId="61EBDABC" w14:textId="71982966"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 xml:space="preserve">Në përputhje të plotë me obligimet që rrjedhin prej ligjit organik të </w:t>
                            </w:r>
                            <w:r>
                              <w:rPr>
                                <w:rFonts w:ascii="Garamond" w:eastAsia="Times New Roman" w:hAnsi="Garamond" w:cs="Calibri"/>
                                <w:noProof/>
                                <w:sz w:val="20"/>
                                <w:szCs w:val="20"/>
                              </w:rPr>
                              <w:t>buxhetit (LOB) nr. 9936, datë 26.</w:t>
                            </w:r>
                            <w:r w:rsidRPr="008A0E5B">
                              <w:rPr>
                                <w:rFonts w:ascii="Garamond" w:eastAsia="Times New Roman" w:hAnsi="Garamond" w:cs="Calibri"/>
                                <w:noProof/>
                                <w:sz w:val="20"/>
                                <w:szCs w:val="20"/>
                              </w:rPr>
                              <w:t xml:space="preserve">6.2008, </w:t>
                            </w:r>
                            <w:r>
                              <w:rPr>
                                <w:rFonts w:ascii="Garamond" w:eastAsia="Times New Roman" w:hAnsi="Garamond" w:cs="Calibri"/>
                                <w:noProof/>
                                <w:sz w:val="20"/>
                                <w:szCs w:val="20"/>
                              </w:rPr>
                              <w:t>të</w:t>
                            </w:r>
                            <w:r w:rsidRPr="008A0E5B">
                              <w:rPr>
                                <w:rFonts w:ascii="Garamond" w:eastAsia="Times New Roman" w:hAnsi="Garamond" w:cs="Calibri"/>
                                <w:noProof/>
                                <w:sz w:val="20"/>
                                <w:szCs w:val="20"/>
                              </w:rPr>
                              <w:t xml:space="preserve"> ndryshuar, KMF 2022</w:t>
                            </w:r>
                            <w:r>
                              <w:rPr>
                                <w:rFonts w:ascii="Garamond" w:eastAsia="Times New Roman" w:hAnsi="Garamond" w:cs="Calibri"/>
                                <w:noProof/>
                                <w:sz w:val="20"/>
                                <w:szCs w:val="20"/>
                              </w:rPr>
                              <w:t>–</w:t>
                            </w:r>
                            <w:r w:rsidRPr="008A0E5B">
                              <w:rPr>
                                <w:rFonts w:ascii="Garamond" w:eastAsia="Times New Roman" w:hAnsi="Garamond" w:cs="Calibri"/>
                                <w:noProof/>
                                <w:sz w:val="20"/>
                                <w:szCs w:val="20"/>
                              </w:rPr>
                              <w:t>2024 materializon parimet dhe rregullat fiskale të mëposhtme:</w:t>
                            </w:r>
                          </w:p>
                          <w:p w14:paraId="3C92339F" w14:textId="7062A93D" w:rsidR="00807D6F" w:rsidRPr="008A0E5B" w:rsidRDefault="00807D6F" w:rsidP="00A54446">
                            <w:pPr>
                              <w:ind w:firstLine="288"/>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1. </w:t>
                            </w:r>
                            <w:r w:rsidRPr="008A0E5B">
                              <w:rPr>
                                <w:rFonts w:ascii="Garamond" w:eastAsia="Times New Roman" w:hAnsi="Garamond" w:cs="Calibri"/>
                                <w:i/>
                                <w:noProof/>
                                <w:sz w:val="20"/>
                                <w:szCs w:val="20"/>
                              </w:rPr>
                              <w:t>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w:t>
                            </w:r>
                            <w:r>
                              <w:rPr>
                                <w:rFonts w:ascii="Garamond" w:eastAsia="Times New Roman" w:hAnsi="Garamond" w:cs="Calibri"/>
                                <w:i/>
                                <w:noProof/>
                                <w:sz w:val="20"/>
                                <w:szCs w:val="20"/>
                              </w:rPr>
                              <w:t xml:space="preserve"> </w:t>
                            </w:r>
                            <w:r w:rsidRPr="008A0E5B">
                              <w:rPr>
                                <w:rFonts w:ascii="Garamond" w:eastAsia="Times New Roman" w:hAnsi="Garamond" w:cs="Calibri"/>
                                <w:i/>
                                <w:noProof/>
                                <w:sz w:val="20"/>
                                <w:szCs w:val="20"/>
                              </w:rPr>
                              <w:t>qind të produktit të brendshëm bruto</w:t>
                            </w:r>
                            <w:r>
                              <w:rPr>
                                <w:rFonts w:ascii="Garamond" w:eastAsia="Times New Roman" w:hAnsi="Garamond" w:cs="Calibri"/>
                                <w:i/>
                                <w:noProof/>
                                <w:sz w:val="20"/>
                                <w:szCs w:val="20"/>
                              </w:rPr>
                              <w:t>.</w:t>
                            </w:r>
                          </w:p>
                          <w:p w14:paraId="75817F02" w14:textId="7684BB87"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KMF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i/>
                                <w:noProof/>
                                <w:sz w:val="20"/>
                                <w:szCs w:val="20"/>
                              </w:rPr>
                              <w:t>targeton çdo vit një nivel të borxhit publik total</w:t>
                            </w:r>
                            <w:r>
                              <w:rPr>
                                <w:rFonts w:ascii="Garamond" w:eastAsia="Times New Roman" w:hAnsi="Garamond" w:cs="Calibri"/>
                                <w:b/>
                                <w:i/>
                                <w:noProof/>
                                <w:sz w:val="20"/>
                                <w:szCs w:val="20"/>
                              </w:rPr>
                              <w:t>,</w:t>
                            </w:r>
                            <w:r w:rsidRPr="008A0E5B">
                              <w:rPr>
                                <w:rFonts w:ascii="Garamond" w:eastAsia="Times New Roman" w:hAnsi="Garamond" w:cs="Calibri"/>
                                <w:b/>
                                <w:i/>
                                <w:noProof/>
                                <w:sz w:val="20"/>
                                <w:szCs w:val="20"/>
                              </w:rPr>
                              <w:t xml:space="preserve"> në përqindje të PBB</w:t>
                            </w:r>
                            <w:r>
                              <w:rPr>
                                <w:rFonts w:ascii="Garamond" w:eastAsia="Times New Roman" w:hAnsi="Garamond" w:cs="Calibri"/>
                                <w:b/>
                                <w:i/>
                                <w:noProof/>
                                <w:sz w:val="20"/>
                                <w:szCs w:val="20"/>
                              </w:rPr>
                              <w:t>-së</w:t>
                            </w:r>
                            <w:r w:rsidRPr="008A0E5B">
                              <w:rPr>
                                <w:rFonts w:ascii="Garamond" w:eastAsia="Times New Roman" w:hAnsi="Garamond" w:cs="Calibri"/>
                                <w:b/>
                                <w:i/>
                                <w:noProof/>
                                <w:sz w:val="20"/>
                                <w:szCs w:val="20"/>
                              </w:rPr>
                              <w:t xml:space="preserve"> më të ulët se sa niveli i vitit pararendës.</w:t>
                            </w:r>
                          </w:p>
                          <w:p w14:paraId="07C54350" w14:textId="5F93DDE3" w:rsidR="00807D6F" w:rsidRPr="008A0E5B" w:rsidRDefault="00807D6F" w:rsidP="00A54446">
                            <w:pPr>
                              <w:ind w:firstLine="288"/>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2. </w:t>
                            </w:r>
                            <w:r w:rsidRPr="008A0E5B">
                              <w:rPr>
                                <w:rFonts w:ascii="Garamond" w:eastAsia="Times New Roman" w:hAnsi="Garamond" w:cs="Calibri"/>
                                <w:i/>
                                <w:noProof/>
                                <w:sz w:val="20"/>
                                <w:szCs w:val="20"/>
                              </w:rPr>
                              <w:t>Vlera e produktit të brendshëm bruto</w:t>
                            </w:r>
                            <w:r>
                              <w:rPr>
                                <w:rFonts w:ascii="Garamond" w:eastAsia="Times New Roman" w:hAnsi="Garamond" w:cs="Calibri"/>
                                <w:i/>
                                <w:noProof/>
                                <w:sz w:val="20"/>
                                <w:szCs w:val="20"/>
                              </w:rPr>
                              <w:t>, nominale, në lek</w:t>
                            </w:r>
                            <w:r w:rsidRPr="008A0E5B">
                              <w:rPr>
                                <w:rFonts w:ascii="Garamond" w:eastAsia="Times New Roman" w:hAnsi="Garamond" w:cs="Calibri"/>
                                <w:i/>
                                <w:noProof/>
                                <w:sz w:val="20"/>
                                <w:szCs w:val="20"/>
                              </w:rPr>
                              <w:t>,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(World Economic Outlook), të Fondit Monetar Ndërkombëtar, më i fundit i publikuar në kohën kur ligji vjetor i buxhetit dorëzohet për miratim në Kuvend. Kjo dokumentohet qartësisht në relacionin shoqërues të ligjit vjetor të buxhetit</w:t>
                            </w:r>
                            <w:r>
                              <w:rPr>
                                <w:rFonts w:ascii="Garamond" w:eastAsia="Times New Roman" w:hAnsi="Garamond" w:cs="Calibri"/>
                                <w:i/>
                                <w:noProof/>
                                <w:sz w:val="20"/>
                                <w:szCs w:val="20"/>
                              </w:rPr>
                              <w:t>.</w:t>
                            </w:r>
                            <w:r w:rsidRPr="008A0E5B">
                              <w:rPr>
                                <w:rFonts w:ascii="Garamond" w:eastAsia="Times New Roman" w:hAnsi="Garamond" w:cs="Calibri"/>
                                <w:i/>
                                <w:noProof/>
                                <w:sz w:val="20"/>
                                <w:szCs w:val="20"/>
                              </w:rPr>
                              <w:t xml:space="preserve"> </w:t>
                            </w:r>
                          </w:p>
                          <w:p w14:paraId="583897CB" w14:textId="6F508292" w:rsidR="00807D6F" w:rsidRPr="008A0E5B" w:rsidRDefault="00807D6F" w:rsidP="00A54446">
                            <w:pPr>
                              <w:ind w:firstLine="288"/>
                              <w:jc w:val="both"/>
                              <w:rPr>
                                <w:rFonts w:ascii="Garamond" w:eastAsia="Times New Roman" w:hAnsi="Garamond" w:cs="Calibri"/>
                                <w:b/>
                                <w: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KMF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noProof/>
                                <w:sz w:val="20"/>
                                <w:szCs w:val="20"/>
                              </w:rPr>
                              <w:t>bazohet në projeksionet e mëposhtme të PBB</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xml:space="preserve"> nominale, të cilat paraqiten në mënyrë krahasimore kundrejt projeksioneve më të fundit të FMN</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Në këtë rast, sipas shënimit të bërë në WEO</w:t>
                            </w:r>
                            <w:r>
                              <w:rPr>
                                <w:rFonts w:ascii="Garamond" w:eastAsia="Times New Roman" w:hAnsi="Garamond" w:cs="Calibri"/>
                                <w:b/>
                                <w:noProof/>
                                <w:sz w:val="20"/>
                                <w:szCs w:val="20"/>
                              </w:rPr>
                              <w:t>,</w:t>
                            </w:r>
                            <w:r w:rsidRPr="008A0E5B">
                              <w:rPr>
                                <w:rFonts w:ascii="Garamond" w:eastAsia="Times New Roman" w:hAnsi="Garamond" w:cs="Calibri"/>
                                <w:b/>
                                <w:noProof/>
                                <w:sz w:val="20"/>
                                <w:szCs w:val="20"/>
                              </w:rPr>
                              <w:t xml:space="preserve"> më të fundit të publikuar në muajin tetor 2020, ku thuhet se “Projeksionet WEO u përgatitën përpara fillimit të misionit të artikullit IV</w:t>
                            </w:r>
                            <w:r>
                              <w:rPr>
                                <w:rFonts w:ascii="Garamond" w:eastAsia="Times New Roman" w:hAnsi="Garamond" w:cs="Calibri"/>
                                <w:b/>
                                <w:noProof/>
                                <w:sz w:val="20"/>
                                <w:szCs w:val="20"/>
                              </w:rPr>
                              <w:t>,</w:t>
                            </w:r>
                            <w:r w:rsidRPr="008A0E5B">
                              <w:rPr>
                                <w:rFonts w:ascii="Garamond" w:eastAsia="Times New Roman" w:hAnsi="Garamond" w:cs="Calibri"/>
                                <w:b/>
                                <w:noProof/>
                                <w:sz w:val="20"/>
                                <w:szCs w:val="20"/>
                              </w:rPr>
                              <w:t xml:space="preserve"> që përfundoi më datë 11 tetor 2021</w:t>
                            </w:r>
                            <w:r>
                              <w:rPr>
                                <w:rFonts w:ascii="Garamond" w:eastAsia="Times New Roman" w:hAnsi="Garamond" w:cs="Calibri"/>
                                <w:b/>
                                <w:noProof/>
                                <w:sz w:val="20"/>
                                <w:szCs w:val="20"/>
                              </w:rPr>
                              <w:t>,</w:t>
                            </w:r>
                            <w:r w:rsidRPr="008A0E5B">
                              <w:rPr>
                                <w:rFonts w:ascii="Garamond" w:eastAsia="Times New Roman" w:hAnsi="Garamond" w:cs="Calibri"/>
                                <w:b/>
                                <w:noProof/>
                                <w:sz w:val="20"/>
                                <w:szCs w:val="20"/>
                              </w:rPr>
                              <w:t xml:space="preserve"> dhe kështu nuk pasqyrojnë përditësimet e bëra gjatë misionit”, për referencë janë marrë shifrat e PBB</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xml:space="preserve"> nominale të misionit më të fundit të FMN</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xml:space="preserve"> (misioni i artikullit IV, i kryer në tetor 2021).</w:t>
                            </w:r>
                            <w:r w:rsidRPr="008A0E5B">
                              <w:rPr>
                                <w:rFonts w:ascii="Garamond" w:eastAsia="Times New Roman" w:hAnsi="Garamond" w:cs="Calibri"/>
                                <w:i/>
                                <w:noProof/>
                                <w:sz w:val="20"/>
                                <w:szCs w:val="20"/>
                              </w:rPr>
                              <w:t xml:space="preserve"> </w:t>
                            </w:r>
                          </w:p>
                          <w:p w14:paraId="0E242828" w14:textId="77777777" w:rsidR="00807D6F" w:rsidRPr="008A0E5B" w:rsidRDefault="00807D6F" w:rsidP="000762ED">
                            <w:pPr>
                              <w:jc w:val="both"/>
                              <w:rPr>
                                <w:rFonts w:ascii="Garamond" w:eastAsia="Times New Roman" w:hAnsi="Garamond" w:cs="Calibri"/>
                                <w:b/>
                                <w:i/>
                                <w:noProof/>
                                <w:sz w:val="13"/>
                                <w:szCs w:val="13"/>
                              </w:rPr>
                            </w:pPr>
                          </w:p>
                          <w:p w14:paraId="1C253F1B" w14:textId="77777777" w:rsidR="00807D6F" w:rsidRPr="008A0E5B" w:rsidRDefault="00807D6F" w:rsidP="000762ED">
                            <w:pPr>
                              <w:jc w:val="center"/>
                              <w:rPr>
                                <w:rFonts w:ascii="Garamond" w:hAnsi="Garamond" w:cs="Calibri"/>
                                <w:sz w:val="20"/>
                                <w:szCs w:val="20"/>
                              </w:rPr>
                            </w:pPr>
                            <w:r w:rsidRPr="008A0E5B">
                              <w:rPr>
                                <w:rFonts w:ascii="Garamond" w:hAnsi="Garamond" w:cs="Calibri"/>
                                <w:noProof/>
                                <w:sz w:val="20"/>
                                <w:szCs w:val="20"/>
                                <w:lang w:val="en-US"/>
                              </w:rPr>
                              <w:drawing>
                                <wp:inline distT="0" distB="0" distL="0" distR="0" wp14:anchorId="7077C868" wp14:editId="571ECB2B">
                                  <wp:extent cx="5662972" cy="110578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98624" cy="1112750"/>
                                          </a:xfrm>
                                          <a:prstGeom prst="rect">
                                            <a:avLst/>
                                          </a:prstGeom>
                                          <a:noFill/>
                                          <a:ln>
                                            <a:noFill/>
                                          </a:ln>
                                        </pic:spPr>
                                      </pic:pic>
                                    </a:graphicData>
                                  </a:graphic>
                                </wp:inline>
                              </w:drawing>
                            </w:r>
                          </w:p>
                          <w:p w14:paraId="5BF2A79A" w14:textId="77777777" w:rsidR="00807D6F" w:rsidRPr="008A0E5B" w:rsidRDefault="00807D6F" w:rsidP="000762ED">
                            <w:pPr>
                              <w:jc w:val="both"/>
                              <w:rPr>
                                <w:rFonts w:ascii="Garamond" w:eastAsia="Times New Roman" w:hAnsi="Garamond" w:cs="Calibri"/>
                                <w:noProof/>
                                <w:sz w:val="13"/>
                                <w:szCs w:val="13"/>
                              </w:rPr>
                            </w:pPr>
                            <w:r w:rsidRPr="008A0E5B">
                              <w:rPr>
                                <w:rFonts w:ascii="Garamond" w:eastAsia="Times New Roman" w:hAnsi="Garamond" w:cs="Calibri"/>
                                <w:noProof/>
                                <w:sz w:val="20"/>
                                <w:szCs w:val="20"/>
                              </w:rPr>
                              <w:t xml:space="preserve"> </w:t>
                            </w:r>
                          </w:p>
                          <w:p w14:paraId="0714B303" w14:textId="11488FEA" w:rsidR="00807D6F" w:rsidRPr="008A0E5B" w:rsidRDefault="00807D6F" w:rsidP="00A54446">
                            <w:pPr>
                              <w:ind w:firstLine="288"/>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3. </w:t>
                            </w:r>
                            <w:r w:rsidRPr="008A0E5B">
                              <w:rPr>
                                <w:rFonts w:ascii="Garamond" w:eastAsia="Times New Roman" w:hAnsi="Garamond" w:cs="Calibri"/>
                                <w:i/>
                                <w:noProof/>
                                <w:sz w:val="20"/>
                                <w:szCs w:val="20"/>
                              </w:rPr>
                              <w:t>Në çdo vit buxhetor të planifikuar duhet të përfshihet një kontingjencë e veçantë, prej jo më pak se 0.7 përqind</w:t>
                            </w:r>
                            <w:r>
                              <w:rPr>
                                <w:rFonts w:ascii="Garamond" w:eastAsia="Times New Roman" w:hAnsi="Garamond" w:cs="Calibri"/>
                                <w:i/>
                                <w:noProof/>
                                <w:sz w:val="20"/>
                                <w:szCs w:val="20"/>
                              </w:rPr>
                              <w:t>ësh</w:t>
                            </w:r>
                            <w:r w:rsidRPr="008A0E5B">
                              <w:rPr>
                                <w:rFonts w:ascii="Garamond" w:eastAsia="Times New Roman" w:hAnsi="Garamond" w:cs="Calibri"/>
                                <w:i/>
                                <w:noProof/>
                                <w:sz w:val="20"/>
                                <w:szCs w:val="20"/>
                              </w:rPr>
                              <w:t xml:space="preserve"> e shpenzimeve totale të buxhetit, për të kompensuar rreziqe potenciale nga luhatjet në kurset e këmbimit ose normat e interesit, me ndikim në nivelin e borxhit.</w:t>
                            </w:r>
                          </w:p>
                          <w:p w14:paraId="4908AD6C" w14:textId="7DF9092F"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kuadri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përfshin për çdo vit në një zë të veçantë të tij, emërtuar </w:t>
                            </w:r>
                            <w:r w:rsidRPr="008A0E5B">
                              <w:rPr>
                                <w:rFonts w:ascii="Garamond" w:eastAsia="Times New Roman" w:hAnsi="Garamond" w:cs="Calibri"/>
                                <w:i/>
                                <w:noProof/>
                                <w:sz w:val="20"/>
                                <w:szCs w:val="20"/>
                              </w:rPr>
                              <w:t xml:space="preserve">“Kontigjencë për </w:t>
                            </w:r>
                            <w:r>
                              <w:rPr>
                                <w:rFonts w:ascii="Garamond" w:eastAsia="Times New Roman" w:hAnsi="Garamond" w:cs="Calibri"/>
                                <w:i/>
                                <w:noProof/>
                                <w:sz w:val="20"/>
                                <w:szCs w:val="20"/>
                              </w:rPr>
                              <w:t>luhatjet e normave të interesit</w:t>
                            </w:r>
                            <w:r w:rsidRPr="008A0E5B">
                              <w:rPr>
                                <w:rFonts w:ascii="Garamond" w:eastAsia="Times New Roman" w:hAnsi="Garamond" w:cs="Calibri"/>
                                <w:i/>
                                <w:noProof/>
                                <w:sz w:val="20"/>
                                <w:szCs w:val="20"/>
                              </w:rPr>
                              <w:t xml:space="preserve"> etj.”</w:t>
                            </w:r>
                            <w:r>
                              <w:rPr>
                                <w:rFonts w:ascii="Garamond" w:eastAsia="Times New Roman" w:hAnsi="Garamond" w:cs="Calibri"/>
                                <w:i/>
                                <w:noProof/>
                                <w:sz w:val="20"/>
                                <w:szCs w:val="20"/>
                              </w:rPr>
                              <w:t>,</w:t>
                            </w:r>
                            <w:r w:rsidRPr="008A0E5B">
                              <w:rPr>
                                <w:rFonts w:ascii="Garamond" w:eastAsia="Times New Roman" w:hAnsi="Garamond" w:cs="Calibri"/>
                                <w:i/>
                                <w:noProof/>
                                <w:sz w:val="20"/>
                                <w:szCs w:val="20"/>
                              </w:rPr>
                              <w:t xml:space="preserve"> </w:t>
                            </w:r>
                            <w:r w:rsidRPr="008A0E5B">
                              <w:rPr>
                                <w:rFonts w:ascii="Garamond" w:eastAsia="Times New Roman" w:hAnsi="Garamond" w:cs="Calibri"/>
                                <w:b/>
                                <w:i/>
                                <w:noProof/>
                                <w:sz w:val="20"/>
                                <w:szCs w:val="20"/>
                              </w:rPr>
                              <w:t>një kontigjencë prej mbi 0.7 përqind</w:t>
                            </w:r>
                            <w:r>
                              <w:rPr>
                                <w:rFonts w:ascii="Garamond" w:eastAsia="Times New Roman" w:hAnsi="Garamond" w:cs="Calibri"/>
                                <w:b/>
                                <w:i/>
                                <w:noProof/>
                                <w:sz w:val="20"/>
                                <w:szCs w:val="20"/>
                              </w:rPr>
                              <w:t>ësh</w:t>
                            </w:r>
                            <w:r w:rsidRPr="008A0E5B">
                              <w:rPr>
                                <w:rFonts w:ascii="Garamond" w:eastAsia="Times New Roman" w:hAnsi="Garamond" w:cs="Calibri"/>
                                <w:b/>
                                <w:i/>
                                <w:noProof/>
                                <w:sz w:val="20"/>
                                <w:szCs w:val="20"/>
                              </w:rPr>
                              <w:t xml:space="preserve"> e shpenzimeve totale</w:t>
                            </w:r>
                            <w:r w:rsidRPr="008A0E5B">
                              <w:rPr>
                                <w:rFonts w:ascii="Garamond" w:eastAsia="Times New Roman" w:hAnsi="Garamond" w:cs="Calibri"/>
                                <w:noProof/>
                                <w:sz w:val="20"/>
                                <w:szCs w:val="20"/>
                              </w:rPr>
                              <w:t xml:space="preserve">. </w:t>
                            </w:r>
                          </w:p>
                          <w:p w14:paraId="17245CF2" w14:textId="27D22CB5" w:rsidR="00807D6F" w:rsidRPr="00526A0A" w:rsidRDefault="00807D6F" w:rsidP="00A54446">
                            <w:pPr>
                              <w:ind w:firstLine="288"/>
                              <w:contextualSpacing/>
                              <w:jc w:val="both"/>
                              <w:rPr>
                                <w:rFonts w:ascii="Garamond" w:eastAsia="Times New Roman" w:hAnsi="Garamond" w:cs="Calibri"/>
                                <w:i/>
                                <w:noProof/>
                                <w:color w:val="FF0000"/>
                                <w:sz w:val="20"/>
                                <w:szCs w:val="20"/>
                              </w:rPr>
                            </w:pPr>
                            <w:r>
                              <w:rPr>
                                <w:rFonts w:ascii="Garamond" w:eastAsia="Times New Roman" w:hAnsi="Garamond" w:cs="Calibri"/>
                                <w:i/>
                                <w:noProof/>
                                <w:sz w:val="20"/>
                                <w:szCs w:val="20"/>
                              </w:rPr>
                              <w:t xml:space="preserve">4. </w:t>
                            </w:r>
                            <w:r w:rsidRPr="00526A0A">
                              <w:rPr>
                                <w:rFonts w:ascii="Garamond" w:eastAsia="Times New Roman" w:hAnsi="Garamond" w:cs="Calibri"/>
                                <w:i/>
                                <w:noProof/>
                                <w:sz w:val="20"/>
                                <w:szCs w:val="20"/>
                              </w:rPr>
                              <w:t>Të ardhurat nga privatizimi nuk janë pjesë e procesit të programimit buxhetor. Në rastet e arkëtimit ato pë</w:t>
                            </w:r>
                            <w:r>
                              <w:rPr>
                                <w:rFonts w:ascii="Garamond" w:eastAsia="Times New Roman" w:hAnsi="Garamond" w:cs="Calibri"/>
                                <w:i/>
                                <w:noProof/>
                                <w:sz w:val="20"/>
                                <w:szCs w:val="20"/>
                              </w:rPr>
                              <w:t>rdoren, jo më pak se 50 përqind</w:t>
                            </w:r>
                            <w:r w:rsidRPr="00526A0A">
                              <w:rPr>
                                <w:rFonts w:ascii="Garamond" w:eastAsia="Times New Roman" w:hAnsi="Garamond" w:cs="Calibri"/>
                                <w:i/>
                                <w:noProof/>
                                <w:sz w:val="20"/>
                                <w:szCs w:val="20"/>
                              </w:rPr>
                              <w:t xml:space="preserve"> për uljen e borxhit publik dhe pjesa tjetër për investime publike. Pas arritjes së nivelit të borxhit publik, sipas përcaktimeve të shkronjës “a”, të pikës 1, të nenit 4/1 të ligjit organik të buxhetit nr</w:t>
                            </w:r>
                            <w:r>
                              <w:rPr>
                                <w:rFonts w:ascii="Garamond" w:eastAsia="Times New Roman" w:hAnsi="Garamond" w:cs="Calibri"/>
                                <w:i/>
                                <w:noProof/>
                                <w:sz w:val="20"/>
                                <w:szCs w:val="20"/>
                              </w:rPr>
                              <w:t>.</w:t>
                            </w:r>
                            <w:r w:rsidRPr="00526A0A">
                              <w:rPr>
                                <w:rFonts w:ascii="Garamond" w:eastAsia="Times New Roman" w:hAnsi="Garamond" w:cs="Calibri"/>
                                <w:i/>
                                <w:noProof/>
                                <w:sz w:val="20"/>
                                <w:szCs w:val="20"/>
                              </w:rPr>
                              <w:t xml:space="preserve"> 57/2016, përdorimi i të ardhurave të arkëtuara nga privatizimet përcaktohet në ligjin vjetor të buxhetit.</w:t>
                            </w:r>
                          </w:p>
                          <w:p w14:paraId="6BC7D9CE" w14:textId="627D8621"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kuadri 2022</w:t>
                            </w:r>
                            <w:r>
                              <w:rPr>
                                <w:rFonts w:ascii="Garamond" w:eastAsia="Times New Roman" w:hAnsi="Garamond" w:cs="Calibri"/>
                                <w:noProof/>
                                <w:sz w:val="20"/>
                                <w:szCs w:val="20"/>
                              </w:rPr>
                              <w:t>–</w:t>
                            </w:r>
                            <w:r w:rsidRPr="008A0E5B">
                              <w:rPr>
                                <w:rFonts w:ascii="Garamond" w:eastAsia="Times New Roman" w:hAnsi="Garamond" w:cs="Calibri"/>
                                <w:noProof/>
                                <w:sz w:val="20"/>
                                <w:szCs w:val="20"/>
                              </w:rPr>
                              <w:t>2024</w:t>
                            </w:r>
                            <w:r w:rsidRPr="008A0E5B">
                              <w:rPr>
                                <w:rFonts w:ascii="Garamond" w:eastAsia="Times New Roman" w:hAnsi="Garamond" w:cs="Calibri"/>
                                <w:b/>
                                <w:i/>
                                <w:noProof/>
                                <w:sz w:val="20"/>
                                <w:szCs w:val="20"/>
                              </w:rPr>
                              <w:t xml:space="preserve"> nuk përfshin të hyra nga privatizimet e mundshme</w:t>
                            </w:r>
                            <w:r w:rsidRPr="008A0E5B">
                              <w:rPr>
                                <w:rFonts w:ascii="Garamond" w:eastAsia="Times New Roman" w:hAnsi="Garamond" w:cs="Calibri"/>
                                <w:noProof/>
                                <w:sz w:val="20"/>
                                <w:szCs w:val="20"/>
                              </w:rPr>
                              <w:t>.</w:t>
                            </w:r>
                          </w:p>
                          <w:p w14:paraId="0A17F05B" w14:textId="358D2161" w:rsidR="00807D6F" w:rsidRPr="00526A0A" w:rsidRDefault="00807D6F" w:rsidP="00A54446">
                            <w:pPr>
                              <w:ind w:firstLine="288"/>
                              <w:contextualSpacing/>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5. </w:t>
                            </w:r>
                            <w:r w:rsidRPr="00526A0A">
                              <w:rPr>
                                <w:rFonts w:ascii="Garamond" w:eastAsia="Times New Roman" w:hAnsi="Garamond" w:cs="Calibri"/>
                                <w:i/>
                                <w:noProof/>
                                <w:sz w:val="20"/>
                                <w:szCs w:val="20"/>
                              </w:rPr>
                              <w:t>Masa e deficitit buxhetor nuk mund të tejkalojë masën e shpenzimeve kapitale të parashikuara çdo vit në ligjin e buxhetit.</w:t>
                            </w:r>
                          </w:p>
                          <w:p w14:paraId="0657FD19" w14:textId="447368E4"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w:t>
                            </w:r>
                            <w:r>
                              <w:rPr>
                                <w:rFonts w:ascii="Garamond" w:eastAsia="Times New Roman" w:hAnsi="Garamond" w:cs="Calibri"/>
                                <w:noProof/>
                                <w:sz w:val="20"/>
                                <w:szCs w:val="20"/>
                              </w:rPr>
                              <w:t>a</w:t>
                            </w:r>
                            <w:r w:rsidRPr="008A0E5B">
                              <w:rPr>
                                <w:rFonts w:ascii="Garamond" w:eastAsia="Times New Roman" w:hAnsi="Garamond" w:cs="Calibri"/>
                                <w:noProof/>
                                <w:sz w:val="20"/>
                                <w:szCs w:val="20"/>
                              </w:rPr>
                              <w:t xml:space="preserve"> fiskal</w:t>
                            </w:r>
                            <w:r>
                              <w:rPr>
                                <w:rFonts w:ascii="Garamond" w:eastAsia="Times New Roman" w:hAnsi="Garamond" w:cs="Calibri"/>
                                <w:noProof/>
                                <w:sz w:val="20"/>
                                <w:szCs w:val="20"/>
                              </w:rPr>
                              <w:t>e – “rregulla</w:t>
                            </w:r>
                            <w:r w:rsidRPr="008A0E5B">
                              <w:rPr>
                                <w:rFonts w:ascii="Garamond" w:eastAsia="Times New Roman" w:hAnsi="Garamond" w:cs="Calibri"/>
                                <w:noProof/>
                                <w:sz w:val="20"/>
                                <w:szCs w:val="20"/>
                              </w:rPr>
                              <w:t xml:space="preserve"> </w:t>
                            </w:r>
                            <w:r>
                              <w:rPr>
                                <w:rFonts w:ascii="Garamond" w:eastAsia="Times New Roman" w:hAnsi="Garamond" w:cs="Calibri"/>
                                <w:noProof/>
                                <w:sz w:val="20"/>
                                <w:szCs w:val="20"/>
                              </w:rPr>
                              <w:t>e</w:t>
                            </w:r>
                            <w:r w:rsidRPr="008A0E5B">
                              <w:rPr>
                                <w:rFonts w:ascii="Garamond" w:eastAsia="Times New Roman" w:hAnsi="Garamond" w:cs="Calibri"/>
                                <w:noProof/>
                                <w:sz w:val="20"/>
                                <w:szCs w:val="20"/>
                              </w:rPr>
                              <w:t xml:space="preserve"> artë”)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deficiti i targetuar në kuadrin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i/>
                                <w:noProof/>
                                <w:sz w:val="20"/>
                                <w:szCs w:val="20"/>
                              </w:rPr>
                              <w:t xml:space="preserve">është çdo vit më i ulët se sa shpenzimet kapitale të planifikuara. </w:t>
                            </w:r>
                            <w:r w:rsidRPr="008A0E5B">
                              <w:rPr>
                                <w:rFonts w:ascii="Garamond" w:eastAsia="Times New Roman" w:hAnsi="Garamond" w:cs="Calibri"/>
                                <w:noProof/>
                                <w:sz w:val="20"/>
                                <w:szCs w:val="20"/>
                              </w:rPr>
                              <w:t>Rrjedhimisht, balanca korrente e targetuar është pozitive prej mesatarisht 2.4 përqind</w:t>
                            </w:r>
                            <w:r>
                              <w:rPr>
                                <w:rFonts w:ascii="Garamond" w:eastAsia="Times New Roman" w:hAnsi="Garamond" w:cs="Calibri"/>
                                <w:noProof/>
                                <w:sz w:val="20"/>
                                <w:szCs w:val="20"/>
                              </w:rPr>
                              <w:t>ësh</w:t>
                            </w:r>
                            <w:r w:rsidRPr="008A0E5B">
                              <w:rPr>
                                <w:rFonts w:ascii="Garamond" w:eastAsia="Times New Roman" w:hAnsi="Garamond" w:cs="Calibri"/>
                                <w:noProof/>
                                <w:sz w:val="20"/>
                                <w:szCs w:val="20"/>
                              </w:rPr>
                              <w:t xml:space="preserve"> të PBB</w:t>
                            </w:r>
                            <w:r>
                              <w:rPr>
                                <w:rFonts w:ascii="Garamond" w:eastAsia="Times New Roman" w:hAnsi="Garamond" w:cs="Calibri"/>
                                <w:noProof/>
                                <w:sz w:val="20"/>
                                <w:szCs w:val="20"/>
                              </w:rPr>
                              <w:t>-së</w:t>
                            </w:r>
                            <w:r w:rsidRPr="008A0E5B">
                              <w:rPr>
                                <w:rFonts w:ascii="Garamond" w:eastAsia="Times New Roman" w:hAnsi="Garamond" w:cs="Calibri"/>
                                <w:noProof/>
                                <w:sz w:val="20"/>
                                <w:szCs w:val="20"/>
                              </w:rPr>
                              <w:t xml:space="preserve"> në çdo vit të programuar.</w:t>
                            </w:r>
                          </w:p>
                          <w:p w14:paraId="172AF480" w14:textId="5AE53E2D" w:rsidR="00807D6F" w:rsidRPr="00526A0A" w:rsidRDefault="00807D6F" w:rsidP="00A54446">
                            <w:pPr>
                              <w:ind w:firstLine="288"/>
                              <w:jc w:val="both"/>
                              <w:rPr>
                                <w:rFonts w:ascii="Garamond" w:eastAsia="Times New Roman" w:hAnsi="Garamond" w:cstheme="minorHAnsi"/>
                                <w:sz w:val="20"/>
                                <w:szCs w:val="20"/>
                              </w:rPr>
                            </w:pPr>
                            <w:r>
                              <w:rPr>
                                <w:rFonts w:ascii="Garamond" w:eastAsia="Times New Roman" w:hAnsi="Garamond" w:cstheme="minorHAnsi"/>
                                <w:i/>
                                <w:noProof/>
                                <w:sz w:val="20"/>
                                <w:szCs w:val="20"/>
                              </w:rPr>
                              <w:t xml:space="preserve">6. </w:t>
                            </w:r>
                            <w:r w:rsidRPr="00526A0A">
                              <w:rPr>
                                <w:rFonts w:ascii="Garamond" w:eastAsia="Times New Roman" w:hAnsi="Garamond" w:cstheme="minorHAnsi"/>
                                <w:i/>
                                <w:noProof/>
                                <w:sz w:val="20"/>
                                <w:szCs w:val="20"/>
                              </w:rPr>
                              <w:t>Në çdo vit buxhetor</w:t>
                            </w:r>
                            <w:r>
                              <w:rPr>
                                <w:rFonts w:ascii="Garamond" w:eastAsia="Times New Roman" w:hAnsi="Garamond" w:cstheme="minorHAnsi"/>
                                <w:i/>
                                <w:noProof/>
                                <w:sz w:val="20"/>
                                <w:szCs w:val="20"/>
                              </w:rPr>
                              <w:t>,</w:t>
                            </w:r>
                            <w:r w:rsidRPr="00526A0A">
                              <w:rPr>
                                <w:rFonts w:ascii="Garamond" w:eastAsia="Times New Roman" w:hAnsi="Garamond" w:cstheme="minorHAnsi"/>
                                <w:i/>
                                <w:sz w:val="20"/>
                                <w:szCs w:val="20"/>
                              </w:rPr>
                              <w:t xml:space="preserve"> që prej vitit 2024 e në vijim, balanca primare faktike nuk mund të rezultojë negative, pra duhet të jetë të paktën e balancuar ose pozitive (suficit primar).</w:t>
                            </w:r>
                          </w:p>
                          <w:p w14:paraId="25B4065B" w14:textId="2C2635F2" w:rsidR="00807D6F" w:rsidRPr="008A0E5B" w:rsidRDefault="00807D6F" w:rsidP="00A54446">
                            <w:pPr>
                              <w:ind w:firstLine="288"/>
                              <w:jc w:val="both"/>
                              <w:rPr>
                                <w:rFonts w:ascii="Garamond" w:eastAsia="Times New Roman" w:hAnsi="Garamond" w:cs="Calibri"/>
                                <w:sz w:val="20"/>
                                <w:szCs w:val="20"/>
                              </w:rPr>
                            </w:pPr>
                            <w:r w:rsidRPr="008A0E5B">
                              <w:rPr>
                                <w:rFonts w:ascii="Garamond" w:eastAsia="Times New Roman" w:hAnsi="Garamond" w:cs="Calibri"/>
                                <w:noProof/>
                                <w:sz w:val="20"/>
                                <w:szCs w:val="20"/>
                              </w:rPr>
                              <w:t>Në përputhje me këtë dispozitë, kuadri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sz w:val="20"/>
                                <w:szCs w:val="20"/>
                              </w:rPr>
                              <w:t>targeton një balancë primare të balancuar në vitin 2023 me 0.0 për</w:t>
                            </w:r>
                            <w:r>
                              <w:rPr>
                                <w:rFonts w:ascii="Garamond" w:eastAsia="Times New Roman" w:hAnsi="Garamond" w:cs="Calibri"/>
                                <w:b/>
                                <w:sz w:val="20"/>
                                <w:szCs w:val="20"/>
                              </w:rPr>
                              <w:t xml:space="preserve"> </w:t>
                            </w:r>
                            <w:r w:rsidRPr="008A0E5B">
                              <w:rPr>
                                <w:rFonts w:ascii="Garamond" w:eastAsia="Times New Roman" w:hAnsi="Garamond" w:cs="Calibri"/>
                                <w:b/>
                                <w:sz w:val="20"/>
                                <w:szCs w:val="20"/>
                              </w:rPr>
                              <w:t>qind dhe 0.3 për</w:t>
                            </w:r>
                            <w:r>
                              <w:rPr>
                                <w:rFonts w:ascii="Garamond" w:eastAsia="Times New Roman" w:hAnsi="Garamond" w:cs="Calibri"/>
                                <w:b/>
                                <w:sz w:val="20"/>
                                <w:szCs w:val="20"/>
                              </w:rPr>
                              <w:t xml:space="preserve"> </w:t>
                            </w:r>
                            <w:r w:rsidRPr="008A0E5B">
                              <w:rPr>
                                <w:rFonts w:ascii="Garamond" w:eastAsia="Times New Roman" w:hAnsi="Garamond" w:cs="Calibri"/>
                                <w:b/>
                                <w:sz w:val="20"/>
                                <w:szCs w:val="20"/>
                              </w:rPr>
                              <w:t>qind në vitin 2024</w:t>
                            </w:r>
                            <w:r w:rsidRPr="008A0E5B">
                              <w:rPr>
                                <w:rFonts w:ascii="Garamond" w:eastAsia="Times New Roman" w:hAnsi="Garamond" w:cs="Calibri"/>
                                <w:sz w:val="20"/>
                                <w:szCs w:val="20"/>
                              </w:rPr>
                              <w:t>.</w:t>
                            </w:r>
                          </w:p>
                          <w:p w14:paraId="066487FC" w14:textId="77777777" w:rsidR="00807D6F" w:rsidRPr="008A0E5B" w:rsidRDefault="00807D6F" w:rsidP="009A4934">
                            <w:pPr>
                              <w:ind w:firstLine="288"/>
                              <w:rPr>
                                <w:rFonts w:ascii="Garamond" w:eastAsia="Times New Roman" w:hAnsi="Garamond" w:cstheme="minorHAnsi"/>
                                <w:sz w:val="20"/>
                                <w:szCs w:val="20"/>
                              </w:rPr>
                            </w:pPr>
                            <w:r w:rsidRPr="008A0E5B">
                              <w:rPr>
                                <w:rFonts w:ascii="Garamond" w:eastAsia="Times New Roman" w:hAnsi="Garamond" w:cstheme="minorHAnsi"/>
                                <w:sz w:val="20"/>
                                <w:szCs w:val="20"/>
                              </w:rPr>
                              <w:t>__________</w:t>
                            </w:r>
                          </w:p>
                          <w:p w14:paraId="59C1877E" w14:textId="3D39A753" w:rsidR="00807D6F" w:rsidRPr="008A0E5B" w:rsidRDefault="00807D6F" w:rsidP="000762ED">
                            <w:pPr>
                              <w:rPr>
                                <w:rFonts w:ascii="Garamond" w:hAnsi="Garamond"/>
                                <w:color w:val="0563C1"/>
                                <w:sz w:val="16"/>
                                <w:szCs w:val="16"/>
                                <w:u w:val="single"/>
                              </w:rPr>
                            </w:pPr>
                            <w:r>
                              <w:rPr>
                                <w:rFonts w:ascii="Garamond" w:eastAsia="Times New Roman" w:hAnsi="Garamond" w:cstheme="minorHAnsi"/>
                                <w:i/>
                                <w:iCs/>
                                <w:sz w:val="16"/>
                                <w:szCs w:val="16"/>
                              </w:rPr>
                              <w:t>1. Linku për raportin WEO:</w:t>
                            </w:r>
                            <w:r w:rsidRPr="008A0E5B">
                              <w:rPr>
                                <w:rFonts w:ascii="Garamond" w:eastAsia="Times New Roman" w:hAnsi="Garamond" w:cstheme="minorHAnsi"/>
                                <w:i/>
                                <w:iCs/>
                                <w:sz w:val="16"/>
                                <w:szCs w:val="16"/>
                              </w:rPr>
                              <w:t xml:space="preserve"> </w:t>
                            </w:r>
                            <w:r w:rsidRPr="008A0E5B">
                              <w:rPr>
                                <w:rFonts w:ascii="Garamond" w:hAnsi="Garamond"/>
                                <w:i/>
                                <w:iCs/>
                                <w:color w:val="0432FF"/>
                                <w:sz w:val="16"/>
                                <w:szCs w:val="16"/>
                              </w:rPr>
                              <w:t>https://www.imf.org/en/Publications/WEO/Issues/2021/10/12/world-economic-outlook-october-2021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C3A529B" id="_x0000_t202" coordsize="21600,21600" o:spt="202" path="m,l,21600r21600,l21600,xe">
                <v:stroke joinstyle="miter"/>
                <v:path gradientshapeok="t" o:connecttype="rect"/>
              </v:shapetype>
              <v:shape id="Text Box 56" o:spid="_x0000_s1026" type="#_x0000_t202" style="width:503.95pt;height:5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" fillcolor="#f2f2f2" stroked="f" strokeweight=".5pt">
                <v:textbox>
                  <w:txbxContent>
                    <w:p w14:paraId="27820551" w14:textId="77777777" w:rsidR="00807D6F" w:rsidRDefault="00807D6F" w:rsidP="000762ED">
                      <w:pPr>
                        <w:jc w:val="center"/>
                        <w:rPr>
                          <w:rFonts w:asciiTheme="majorHAnsi" w:eastAsia="Times New Roman" w:hAnsiTheme="majorHAnsi" w:cstheme="minorHAnsi"/>
                          <w:b/>
                          <w:iCs/>
                          <w:sz w:val="14"/>
                        </w:rPr>
                      </w:pPr>
                    </w:p>
                    <w:p w14:paraId="4212B803" w14:textId="77777777" w:rsidR="00807D6F" w:rsidRPr="008A0E5B" w:rsidRDefault="00807D6F" w:rsidP="000762ED">
                      <w:pPr>
                        <w:jc w:val="center"/>
                        <w:rPr>
                          <w:rFonts w:ascii="Garamond" w:eastAsia="Times New Roman" w:hAnsi="Garamond" w:cstheme="minorHAnsi"/>
                          <w:b/>
                          <w:iCs/>
                          <w:noProof/>
                        </w:rPr>
                      </w:pPr>
                      <w:r w:rsidRPr="008A0E5B">
                        <w:rPr>
                          <w:rFonts w:ascii="Garamond" w:eastAsia="Times New Roman" w:hAnsi="Garamond" w:cstheme="minorHAnsi"/>
                          <w:b/>
                          <w:iCs/>
                        </w:rPr>
                        <w:t>PARIMET DHE RREGULLAT FISKALE</w:t>
                      </w:r>
                    </w:p>
                    <w:p w14:paraId="632A1EC8" w14:textId="77777777" w:rsidR="00807D6F" w:rsidRPr="008A0E5B" w:rsidRDefault="00807D6F" w:rsidP="000762ED">
                      <w:pPr>
                        <w:jc w:val="both"/>
                        <w:rPr>
                          <w:rFonts w:ascii="Garamond" w:eastAsia="Times New Roman" w:hAnsi="Garamond" w:cs="Calibri"/>
                          <w:noProof/>
                          <w:sz w:val="13"/>
                          <w:szCs w:val="18"/>
                        </w:rPr>
                      </w:pPr>
                    </w:p>
                    <w:p w14:paraId="61EBDABC" w14:textId="71982966"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 xml:space="preserve">Në përputhje të plotë me obligimet që rrjedhin prej ligjit organik të </w:t>
                      </w:r>
                      <w:r>
                        <w:rPr>
                          <w:rFonts w:ascii="Garamond" w:eastAsia="Times New Roman" w:hAnsi="Garamond" w:cs="Calibri"/>
                          <w:noProof/>
                          <w:sz w:val="20"/>
                          <w:szCs w:val="20"/>
                        </w:rPr>
                        <w:t>buxhetit (LOB) nr. 9936, datë 26.</w:t>
                      </w:r>
                      <w:r w:rsidRPr="008A0E5B">
                        <w:rPr>
                          <w:rFonts w:ascii="Garamond" w:eastAsia="Times New Roman" w:hAnsi="Garamond" w:cs="Calibri"/>
                          <w:noProof/>
                          <w:sz w:val="20"/>
                          <w:szCs w:val="20"/>
                        </w:rPr>
                        <w:t xml:space="preserve">6.2008, </w:t>
                      </w:r>
                      <w:r>
                        <w:rPr>
                          <w:rFonts w:ascii="Garamond" w:eastAsia="Times New Roman" w:hAnsi="Garamond" w:cs="Calibri"/>
                          <w:noProof/>
                          <w:sz w:val="20"/>
                          <w:szCs w:val="20"/>
                        </w:rPr>
                        <w:t>të</w:t>
                      </w:r>
                      <w:r w:rsidRPr="008A0E5B">
                        <w:rPr>
                          <w:rFonts w:ascii="Garamond" w:eastAsia="Times New Roman" w:hAnsi="Garamond" w:cs="Calibri"/>
                          <w:noProof/>
                          <w:sz w:val="20"/>
                          <w:szCs w:val="20"/>
                        </w:rPr>
                        <w:t xml:space="preserve"> ndryshuar, KMF 2022</w:t>
                      </w:r>
                      <w:r>
                        <w:rPr>
                          <w:rFonts w:ascii="Garamond" w:eastAsia="Times New Roman" w:hAnsi="Garamond" w:cs="Calibri"/>
                          <w:noProof/>
                          <w:sz w:val="20"/>
                          <w:szCs w:val="20"/>
                        </w:rPr>
                        <w:t>–</w:t>
                      </w:r>
                      <w:r w:rsidRPr="008A0E5B">
                        <w:rPr>
                          <w:rFonts w:ascii="Garamond" w:eastAsia="Times New Roman" w:hAnsi="Garamond" w:cs="Calibri"/>
                          <w:noProof/>
                          <w:sz w:val="20"/>
                          <w:szCs w:val="20"/>
                        </w:rPr>
                        <w:t>2024 materializon parimet dhe rregullat fiskale të mëposhtme:</w:t>
                      </w:r>
                    </w:p>
                    <w:p w14:paraId="3C92339F" w14:textId="7062A93D" w:rsidR="00807D6F" w:rsidRPr="008A0E5B" w:rsidRDefault="00807D6F" w:rsidP="00A54446">
                      <w:pPr>
                        <w:ind w:firstLine="288"/>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1. </w:t>
                      </w:r>
                      <w:r w:rsidRPr="008A0E5B">
                        <w:rPr>
                          <w:rFonts w:ascii="Garamond" w:eastAsia="Times New Roman" w:hAnsi="Garamond" w:cs="Calibri"/>
                          <w:i/>
                          <w:noProof/>
                          <w:sz w:val="20"/>
                          <w:szCs w:val="20"/>
                        </w:rPr>
                        <w:t>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w:t>
                      </w:r>
                      <w:r>
                        <w:rPr>
                          <w:rFonts w:ascii="Garamond" w:eastAsia="Times New Roman" w:hAnsi="Garamond" w:cs="Calibri"/>
                          <w:i/>
                          <w:noProof/>
                          <w:sz w:val="20"/>
                          <w:szCs w:val="20"/>
                        </w:rPr>
                        <w:t xml:space="preserve"> </w:t>
                      </w:r>
                      <w:r w:rsidRPr="008A0E5B">
                        <w:rPr>
                          <w:rFonts w:ascii="Garamond" w:eastAsia="Times New Roman" w:hAnsi="Garamond" w:cs="Calibri"/>
                          <w:i/>
                          <w:noProof/>
                          <w:sz w:val="20"/>
                          <w:szCs w:val="20"/>
                        </w:rPr>
                        <w:t>qind të produktit të brendshëm bruto</w:t>
                      </w:r>
                      <w:r>
                        <w:rPr>
                          <w:rFonts w:ascii="Garamond" w:eastAsia="Times New Roman" w:hAnsi="Garamond" w:cs="Calibri"/>
                          <w:i/>
                          <w:noProof/>
                          <w:sz w:val="20"/>
                          <w:szCs w:val="20"/>
                        </w:rPr>
                        <w:t>.</w:t>
                      </w:r>
                    </w:p>
                    <w:p w14:paraId="75817F02" w14:textId="7684BB87"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KMF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i/>
                          <w:noProof/>
                          <w:sz w:val="20"/>
                          <w:szCs w:val="20"/>
                        </w:rPr>
                        <w:t>targeton çdo vit një nivel të borxhit publik total</w:t>
                      </w:r>
                      <w:r>
                        <w:rPr>
                          <w:rFonts w:ascii="Garamond" w:eastAsia="Times New Roman" w:hAnsi="Garamond" w:cs="Calibri"/>
                          <w:b/>
                          <w:i/>
                          <w:noProof/>
                          <w:sz w:val="20"/>
                          <w:szCs w:val="20"/>
                        </w:rPr>
                        <w:t>,</w:t>
                      </w:r>
                      <w:r w:rsidRPr="008A0E5B">
                        <w:rPr>
                          <w:rFonts w:ascii="Garamond" w:eastAsia="Times New Roman" w:hAnsi="Garamond" w:cs="Calibri"/>
                          <w:b/>
                          <w:i/>
                          <w:noProof/>
                          <w:sz w:val="20"/>
                          <w:szCs w:val="20"/>
                        </w:rPr>
                        <w:t xml:space="preserve"> në përqindje të PBB</w:t>
                      </w:r>
                      <w:r>
                        <w:rPr>
                          <w:rFonts w:ascii="Garamond" w:eastAsia="Times New Roman" w:hAnsi="Garamond" w:cs="Calibri"/>
                          <w:b/>
                          <w:i/>
                          <w:noProof/>
                          <w:sz w:val="20"/>
                          <w:szCs w:val="20"/>
                        </w:rPr>
                        <w:t>-së</w:t>
                      </w:r>
                      <w:r w:rsidRPr="008A0E5B">
                        <w:rPr>
                          <w:rFonts w:ascii="Garamond" w:eastAsia="Times New Roman" w:hAnsi="Garamond" w:cs="Calibri"/>
                          <w:b/>
                          <w:i/>
                          <w:noProof/>
                          <w:sz w:val="20"/>
                          <w:szCs w:val="20"/>
                        </w:rPr>
                        <w:t xml:space="preserve"> më të ulët se sa niveli i vitit pararendës.</w:t>
                      </w:r>
                    </w:p>
                    <w:p w14:paraId="07C54350" w14:textId="5F93DDE3" w:rsidR="00807D6F" w:rsidRPr="008A0E5B" w:rsidRDefault="00807D6F" w:rsidP="00A54446">
                      <w:pPr>
                        <w:ind w:firstLine="288"/>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2. </w:t>
                      </w:r>
                      <w:r w:rsidRPr="008A0E5B">
                        <w:rPr>
                          <w:rFonts w:ascii="Garamond" w:eastAsia="Times New Roman" w:hAnsi="Garamond" w:cs="Calibri"/>
                          <w:i/>
                          <w:noProof/>
                          <w:sz w:val="20"/>
                          <w:szCs w:val="20"/>
                        </w:rPr>
                        <w:t>Vlera e produktit të brendshëm bruto</w:t>
                      </w:r>
                      <w:r>
                        <w:rPr>
                          <w:rFonts w:ascii="Garamond" w:eastAsia="Times New Roman" w:hAnsi="Garamond" w:cs="Calibri"/>
                          <w:i/>
                          <w:noProof/>
                          <w:sz w:val="20"/>
                          <w:szCs w:val="20"/>
                        </w:rPr>
                        <w:t>, nominale, në lek</w:t>
                      </w:r>
                      <w:r w:rsidRPr="008A0E5B">
                        <w:rPr>
                          <w:rFonts w:ascii="Garamond" w:eastAsia="Times New Roman" w:hAnsi="Garamond" w:cs="Calibri"/>
                          <w:i/>
                          <w:noProof/>
                          <w:sz w:val="20"/>
                          <w:szCs w:val="20"/>
                        </w:rPr>
                        <w:t>,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(World Economic Outlook), të Fondit Monetar Ndërkombëtar, më i fundit i publikuar në kohën kur ligji vjetor i buxhetit dorëzohet për miratim në Kuvend. Kjo dokumentohet qartësisht në relacionin shoqërues të ligjit vjetor të buxhetit</w:t>
                      </w:r>
                      <w:r>
                        <w:rPr>
                          <w:rFonts w:ascii="Garamond" w:eastAsia="Times New Roman" w:hAnsi="Garamond" w:cs="Calibri"/>
                          <w:i/>
                          <w:noProof/>
                          <w:sz w:val="20"/>
                          <w:szCs w:val="20"/>
                        </w:rPr>
                        <w:t>.</w:t>
                      </w:r>
                      <w:r w:rsidRPr="008A0E5B">
                        <w:rPr>
                          <w:rFonts w:ascii="Garamond" w:eastAsia="Times New Roman" w:hAnsi="Garamond" w:cs="Calibri"/>
                          <w:i/>
                          <w:noProof/>
                          <w:sz w:val="20"/>
                          <w:szCs w:val="20"/>
                        </w:rPr>
                        <w:t xml:space="preserve"> </w:t>
                      </w:r>
                    </w:p>
                    <w:p w14:paraId="583897CB" w14:textId="6F508292" w:rsidR="00807D6F" w:rsidRPr="008A0E5B" w:rsidRDefault="00807D6F" w:rsidP="00A54446">
                      <w:pPr>
                        <w:ind w:firstLine="288"/>
                        <w:jc w:val="both"/>
                        <w:rPr>
                          <w:rFonts w:ascii="Garamond" w:eastAsia="Times New Roman" w:hAnsi="Garamond" w:cs="Calibri"/>
                          <w:b/>
                          <w: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KMF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noProof/>
                          <w:sz w:val="20"/>
                          <w:szCs w:val="20"/>
                        </w:rPr>
                        <w:t>bazohet në projeksionet e mëposhtme të PBB</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xml:space="preserve"> nominale, të cilat paraqiten në mënyrë krahasimore kundrejt projeksioneve më të fundit të FMN</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Në këtë rast, sipas shënimit të bërë në WEO</w:t>
                      </w:r>
                      <w:r>
                        <w:rPr>
                          <w:rFonts w:ascii="Garamond" w:eastAsia="Times New Roman" w:hAnsi="Garamond" w:cs="Calibri"/>
                          <w:b/>
                          <w:noProof/>
                          <w:sz w:val="20"/>
                          <w:szCs w:val="20"/>
                        </w:rPr>
                        <w:t>,</w:t>
                      </w:r>
                      <w:r w:rsidRPr="008A0E5B">
                        <w:rPr>
                          <w:rFonts w:ascii="Garamond" w:eastAsia="Times New Roman" w:hAnsi="Garamond" w:cs="Calibri"/>
                          <w:b/>
                          <w:noProof/>
                          <w:sz w:val="20"/>
                          <w:szCs w:val="20"/>
                        </w:rPr>
                        <w:t xml:space="preserve"> më të fundit të publikuar në muajin tetor 2020, ku thuhet se “Projeksionet WEO u përgatitën përpara fillimit të misionit të artikullit IV</w:t>
                      </w:r>
                      <w:r>
                        <w:rPr>
                          <w:rFonts w:ascii="Garamond" w:eastAsia="Times New Roman" w:hAnsi="Garamond" w:cs="Calibri"/>
                          <w:b/>
                          <w:noProof/>
                          <w:sz w:val="20"/>
                          <w:szCs w:val="20"/>
                        </w:rPr>
                        <w:t>,</w:t>
                      </w:r>
                      <w:r w:rsidRPr="008A0E5B">
                        <w:rPr>
                          <w:rFonts w:ascii="Garamond" w:eastAsia="Times New Roman" w:hAnsi="Garamond" w:cs="Calibri"/>
                          <w:b/>
                          <w:noProof/>
                          <w:sz w:val="20"/>
                          <w:szCs w:val="20"/>
                        </w:rPr>
                        <w:t xml:space="preserve"> që përfundoi më datë 11 tetor 2021</w:t>
                      </w:r>
                      <w:r>
                        <w:rPr>
                          <w:rFonts w:ascii="Garamond" w:eastAsia="Times New Roman" w:hAnsi="Garamond" w:cs="Calibri"/>
                          <w:b/>
                          <w:noProof/>
                          <w:sz w:val="20"/>
                          <w:szCs w:val="20"/>
                        </w:rPr>
                        <w:t>,</w:t>
                      </w:r>
                      <w:r w:rsidRPr="008A0E5B">
                        <w:rPr>
                          <w:rFonts w:ascii="Garamond" w:eastAsia="Times New Roman" w:hAnsi="Garamond" w:cs="Calibri"/>
                          <w:b/>
                          <w:noProof/>
                          <w:sz w:val="20"/>
                          <w:szCs w:val="20"/>
                        </w:rPr>
                        <w:t xml:space="preserve"> dhe kështu nuk pasqyrojnë përditësimet e bëra gjatë misionit”, për referencë janë marrë shifrat e PBB</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xml:space="preserve"> nominale të misionit më të fundit të FMN</w:t>
                      </w:r>
                      <w:r>
                        <w:rPr>
                          <w:rFonts w:ascii="Garamond" w:eastAsia="Times New Roman" w:hAnsi="Garamond" w:cs="Calibri"/>
                          <w:b/>
                          <w:noProof/>
                          <w:sz w:val="20"/>
                          <w:szCs w:val="20"/>
                        </w:rPr>
                        <w:t>-së</w:t>
                      </w:r>
                      <w:r w:rsidRPr="008A0E5B">
                        <w:rPr>
                          <w:rFonts w:ascii="Garamond" w:eastAsia="Times New Roman" w:hAnsi="Garamond" w:cs="Calibri"/>
                          <w:b/>
                          <w:noProof/>
                          <w:sz w:val="20"/>
                          <w:szCs w:val="20"/>
                        </w:rPr>
                        <w:t xml:space="preserve"> (misioni i artikullit IV, i kryer në tetor 2021).</w:t>
                      </w:r>
                      <w:r w:rsidRPr="008A0E5B">
                        <w:rPr>
                          <w:rFonts w:ascii="Garamond" w:eastAsia="Times New Roman" w:hAnsi="Garamond" w:cs="Calibri"/>
                          <w:i/>
                          <w:noProof/>
                          <w:sz w:val="20"/>
                          <w:szCs w:val="20"/>
                        </w:rPr>
                        <w:t xml:space="preserve"> </w:t>
                      </w:r>
                    </w:p>
                    <w:p w14:paraId="0E242828" w14:textId="77777777" w:rsidR="00807D6F" w:rsidRPr="008A0E5B" w:rsidRDefault="00807D6F" w:rsidP="000762ED">
                      <w:pPr>
                        <w:jc w:val="both"/>
                        <w:rPr>
                          <w:rFonts w:ascii="Garamond" w:eastAsia="Times New Roman" w:hAnsi="Garamond" w:cs="Calibri"/>
                          <w:b/>
                          <w:i/>
                          <w:noProof/>
                          <w:sz w:val="13"/>
                          <w:szCs w:val="13"/>
                        </w:rPr>
                      </w:pPr>
                    </w:p>
                    <w:p w14:paraId="1C253F1B" w14:textId="77777777" w:rsidR="00807D6F" w:rsidRPr="008A0E5B" w:rsidRDefault="00807D6F" w:rsidP="000762ED">
                      <w:pPr>
                        <w:jc w:val="center"/>
                        <w:rPr>
                          <w:rFonts w:ascii="Garamond" w:hAnsi="Garamond" w:cs="Calibri"/>
                          <w:sz w:val="20"/>
                          <w:szCs w:val="20"/>
                        </w:rPr>
                      </w:pPr>
                      <w:r w:rsidRPr="008A0E5B">
                        <w:rPr>
                          <w:rFonts w:ascii="Garamond" w:hAnsi="Garamond" w:cs="Calibri"/>
                          <w:noProof/>
                          <w:sz w:val="20"/>
                          <w:szCs w:val="20"/>
                          <w:lang w:val="en-US"/>
                        </w:rPr>
                        <w:drawing>
                          <wp:inline distT="0" distB="0" distL="0" distR="0" wp14:anchorId="7077C868" wp14:editId="571ECB2B">
                            <wp:extent cx="5662972" cy="110578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98624" cy="1112750"/>
                                    </a:xfrm>
                                    <a:prstGeom prst="rect">
                                      <a:avLst/>
                                    </a:prstGeom>
                                    <a:noFill/>
                                    <a:ln>
                                      <a:noFill/>
                                    </a:ln>
                                  </pic:spPr>
                                </pic:pic>
                              </a:graphicData>
                            </a:graphic>
                          </wp:inline>
                        </w:drawing>
                      </w:r>
                    </w:p>
                    <w:p w14:paraId="5BF2A79A" w14:textId="77777777" w:rsidR="00807D6F" w:rsidRPr="008A0E5B" w:rsidRDefault="00807D6F" w:rsidP="000762ED">
                      <w:pPr>
                        <w:jc w:val="both"/>
                        <w:rPr>
                          <w:rFonts w:ascii="Garamond" w:eastAsia="Times New Roman" w:hAnsi="Garamond" w:cs="Calibri"/>
                          <w:noProof/>
                          <w:sz w:val="13"/>
                          <w:szCs w:val="13"/>
                        </w:rPr>
                      </w:pPr>
                      <w:r w:rsidRPr="008A0E5B">
                        <w:rPr>
                          <w:rFonts w:ascii="Garamond" w:eastAsia="Times New Roman" w:hAnsi="Garamond" w:cs="Calibri"/>
                          <w:noProof/>
                          <w:sz w:val="20"/>
                          <w:szCs w:val="20"/>
                        </w:rPr>
                        <w:t xml:space="preserve"> </w:t>
                      </w:r>
                    </w:p>
                    <w:p w14:paraId="0714B303" w14:textId="11488FEA" w:rsidR="00807D6F" w:rsidRPr="008A0E5B" w:rsidRDefault="00807D6F" w:rsidP="00A54446">
                      <w:pPr>
                        <w:ind w:firstLine="288"/>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3. </w:t>
                      </w:r>
                      <w:r w:rsidRPr="008A0E5B">
                        <w:rPr>
                          <w:rFonts w:ascii="Garamond" w:eastAsia="Times New Roman" w:hAnsi="Garamond" w:cs="Calibri"/>
                          <w:i/>
                          <w:noProof/>
                          <w:sz w:val="20"/>
                          <w:szCs w:val="20"/>
                        </w:rPr>
                        <w:t>Në çdo vit buxhetor të planifikuar duhet të përfshihet një kontingjencë e veçantë, prej jo më pak se 0.7 përqind</w:t>
                      </w:r>
                      <w:r>
                        <w:rPr>
                          <w:rFonts w:ascii="Garamond" w:eastAsia="Times New Roman" w:hAnsi="Garamond" w:cs="Calibri"/>
                          <w:i/>
                          <w:noProof/>
                          <w:sz w:val="20"/>
                          <w:szCs w:val="20"/>
                        </w:rPr>
                        <w:t>ësh</w:t>
                      </w:r>
                      <w:r w:rsidRPr="008A0E5B">
                        <w:rPr>
                          <w:rFonts w:ascii="Garamond" w:eastAsia="Times New Roman" w:hAnsi="Garamond" w:cs="Calibri"/>
                          <w:i/>
                          <w:noProof/>
                          <w:sz w:val="20"/>
                          <w:szCs w:val="20"/>
                        </w:rPr>
                        <w:t xml:space="preserve"> e shpenzimeve totale të buxhetit, për të kompensuar rreziqe potenciale nga luhatjet në kurset e këmbimit ose normat e interesit, me ndikim në nivelin e borxhit.</w:t>
                      </w:r>
                    </w:p>
                    <w:p w14:paraId="4908AD6C" w14:textId="7DF9092F"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kuadri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përfshin për çdo vit në një zë të veçantë të tij, emërtuar </w:t>
                      </w:r>
                      <w:r w:rsidRPr="008A0E5B">
                        <w:rPr>
                          <w:rFonts w:ascii="Garamond" w:eastAsia="Times New Roman" w:hAnsi="Garamond" w:cs="Calibri"/>
                          <w:i/>
                          <w:noProof/>
                          <w:sz w:val="20"/>
                          <w:szCs w:val="20"/>
                        </w:rPr>
                        <w:t xml:space="preserve">“Kontigjencë për </w:t>
                      </w:r>
                      <w:r>
                        <w:rPr>
                          <w:rFonts w:ascii="Garamond" w:eastAsia="Times New Roman" w:hAnsi="Garamond" w:cs="Calibri"/>
                          <w:i/>
                          <w:noProof/>
                          <w:sz w:val="20"/>
                          <w:szCs w:val="20"/>
                        </w:rPr>
                        <w:t>luhatjet e normave të interesit</w:t>
                      </w:r>
                      <w:r w:rsidRPr="008A0E5B">
                        <w:rPr>
                          <w:rFonts w:ascii="Garamond" w:eastAsia="Times New Roman" w:hAnsi="Garamond" w:cs="Calibri"/>
                          <w:i/>
                          <w:noProof/>
                          <w:sz w:val="20"/>
                          <w:szCs w:val="20"/>
                        </w:rPr>
                        <w:t xml:space="preserve"> etj.”</w:t>
                      </w:r>
                      <w:r>
                        <w:rPr>
                          <w:rFonts w:ascii="Garamond" w:eastAsia="Times New Roman" w:hAnsi="Garamond" w:cs="Calibri"/>
                          <w:i/>
                          <w:noProof/>
                          <w:sz w:val="20"/>
                          <w:szCs w:val="20"/>
                        </w:rPr>
                        <w:t>,</w:t>
                      </w:r>
                      <w:r w:rsidRPr="008A0E5B">
                        <w:rPr>
                          <w:rFonts w:ascii="Garamond" w:eastAsia="Times New Roman" w:hAnsi="Garamond" w:cs="Calibri"/>
                          <w:i/>
                          <w:noProof/>
                          <w:sz w:val="20"/>
                          <w:szCs w:val="20"/>
                        </w:rPr>
                        <w:t xml:space="preserve"> </w:t>
                      </w:r>
                      <w:r w:rsidRPr="008A0E5B">
                        <w:rPr>
                          <w:rFonts w:ascii="Garamond" w:eastAsia="Times New Roman" w:hAnsi="Garamond" w:cs="Calibri"/>
                          <w:b/>
                          <w:i/>
                          <w:noProof/>
                          <w:sz w:val="20"/>
                          <w:szCs w:val="20"/>
                        </w:rPr>
                        <w:t>një kontigjencë prej mbi 0.7 përqind</w:t>
                      </w:r>
                      <w:r>
                        <w:rPr>
                          <w:rFonts w:ascii="Garamond" w:eastAsia="Times New Roman" w:hAnsi="Garamond" w:cs="Calibri"/>
                          <w:b/>
                          <w:i/>
                          <w:noProof/>
                          <w:sz w:val="20"/>
                          <w:szCs w:val="20"/>
                        </w:rPr>
                        <w:t>ësh</w:t>
                      </w:r>
                      <w:r w:rsidRPr="008A0E5B">
                        <w:rPr>
                          <w:rFonts w:ascii="Garamond" w:eastAsia="Times New Roman" w:hAnsi="Garamond" w:cs="Calibri"/>
                          <w:b/>
                          <w:i/>
                          <w:noProof/>
                          <w:sz w:val="20"/>
                          <w:szCs w:val="20"/>
                        </w:rPr>
                        <w:t xml:space="preserve"> e shpenzimeve totale</w:t>
                      </w:r>
                      <w:r w:rsidRPr="008A0E5B">
                        <w:rPr>
                          <w:rFonts w:ascii="Garamond" w:eastAsia="Times New Roman" w:hAnsi="Garamond" w:cs="Calibri"/>
                          <w:noProof/>
                          <w:sz w:val="20"/>
                          <w:szCs w:val="20"/>
                        </w:rPr>
                        <w:t xml:space="preserve">. </w:t>
                      </w:r>
                    </w:p>
                    <w:p w14:paraId="17245CF2" w14:textId="27D22CB5" w:rsidR="00807D6F" w:rsidRPr="00526A0A" w:rsidRDefault="00807D6F" w:rsidP="00A54446">
                      <w:pPr>
                        <w:ind w:firstLine="288"/>
                        <w:contextualSpacing/>
                        <w:jc w:val="both"/>
                        <w:rPr>
                          <w:rFonts w:ascii="Garamond" w:eastAsia="Times New Roman" w:hAnsi="Garamond" w:cs="Calibri"/>
                          <w:i/>
                          <w:noProof/>
                          <w:color w:val="FF0000"/>
                          <w:sz w:val="20"/>
                          <w:szCs w:val="20"/>
                        </w:rPr>
                      </w:pPr>
                      <w:r>
                        <w:rPr>
                          <w:rFonts w:ascii="Garamond" w:eastAsia="Times New Roman" w:hAnsi="Garamond" w:cs="Calibri"/>
                          <w:i/>
                          <w:noProof/>
                          <w:sz w:val="20"/>
                          <w:szCs w:val="20"/>
                        </w:rPr>
                        <w:t xml:space="preserve">4. </w:t>
                      </w:r>
                      <w:r w:rsidRPr="00526A0A">
                        <w:rPr>
                          <w:rFonts w:ascii="Garamond" w:eastAsia="Times New Roman" w:hAnsi="Garamond" w:cs="Calibri"/>
                          <w:i/>
                          <w:noProof/>
                          <w:sz w:val="20"/>
                          <w:szCs w:val="20"/>
                        </w:rPr>
                        <w:t>Të ardhurat nga privatizimi nuk janë pjesë e procesit të programimit buxhetor. Në rastet e arkëtimit ato pë</w:t>
                      </w:r>
                      <w:r>
                        <w:rPr>
                          <w:rFonts w:ascii="Garamond" w:eastAsia="Times New Roman" w:hAnsi="Garamond" w:cs="Calibri"/>
                          <w:i/>
                          <w:noProof/>
                          <w:sz w:val="20"/>
                          <w:szCs w:val="20"/>
                        </w:rPr>
                        <w:t>rdoren, jo më pak se 50 përqind</w:t>
                      </w:r>
                      <w:r w:rsidRPr="00526A0A">
                        <w:rPr>
                          <w:rFonts w:ascii="Garamond" w:eastAsia="Times New Roman" w:hAnsi="Garamond" w:cs="Calibri"/>
                          <w:i/>
                          <w:noProof/>
                          <w:sz w:val="20"/>
                          <w:szCs w:val="20"/>
                        </w:rPr>
                        <w:t xml:space="preserve"> për uljen e borxhit publik dhe pjesa tjetër për investime publike. Pas arritjes së nivelit të borxhit publik, sipas përcaktimeve të shkronjës “a”, të pikës 1, të nenit 4/1 të ligjit organik të buxhetit nr</w:t>
                      </w:r>
                      <w:r>
                        <w:rPr>
                          <w:rFonts w:ascii="Garamond" w:eastAsia="Times New Roman" w:hAnsi="Garamond" w:cs="Calibri"/>
                          <w:i/>
                          <w:noProof/>
                          <w:sz w:val="20"/>
                          <w:szCs w:val="20"/>
                        </w:rPr>
                        <w:t>.</w:t>
                      </w:r>
                      <w:r w:rsidRPr="00526A0A">
                        <w:rPr>
                          <w:rFonts w:ascii="Garamond" w:eastAsia="Times New Roman" w:hAnsi="Garamond" w:cs="Calibri"/>
                          <w:i/>
                          <w:noProof/>
                          <w:sz w:val="20"/>
                          <w:szCs w:val="20"/>
                        </w:rPr>
                        <w:t xml:space="preserve"> 57/2016, përdorimi i të ardhurave të arkëtuara nga privatizimet përcaktohet në ligjin vjetor të buxhetit.</w:t>
                      </w:r>
                    </w:p>
                    <w:p w14:paraId="6BC7D9CE" w14:textId="627D8621"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 fiskal</w:t>
                      </w:r>
                      <w:r>
                        <w:rPr>
                          <w:rFonts w:ascii="Garamond" w:eastAsia="Times New Roman" w:hAnsi="Garamond" w:cs="Calibri"/>
                          <w:noProof/>
                          <w:sz w:val="20"/>
                          <w:szCs w:val="20"/>
                        </w:rPr>
                        <w:t>e</w:t>
                      </w:r>
                      <w:r w:rsidRPr="008A0E5B">
                        <w:rPr>
                          <w:rFonts w:ascii="Garamond" w:eastAsia="Times New Roman" w:hAnsi="Garamond" w:cs="Calibri"/>
                          <w:noProof/>
                          <w:sz w:val="20"/>
                          <w:szCs w:val="20"/>
                        </w:rPr>
                        <w:t>)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kuadri 2022</w:t>
                      </w:r>
                      <w:r>
                        <w:rPr>
                          <w:rFonts w:ascii="Garamond" w:eastAsia="Times New Roman" w:hAnsi="Garamond" w:cs="Calibri"/>
                          <w:noProof/>
                          <w:sz w:val="20"/>
                          <w:szCs w:val="20"/>
                        </w:rPr>
                        <w:t>–</w:t>
                      </w:r>
                      <w:r w:rsidRPr="008A0E5B">
                        <w:rPr>
                          <w:rFonts w:ascii="Garamond" w:eastAsia="Times New Roman" w:hAnsi="Garamond" w:cs="Calibri"/>
                          <w:noProof/>
                          <w:sz w:val="20"/>
                          <w:szCs w:val="20"/>
                        </w:rPr>
                        <w:t>2024</w:t>
                      </w:r>
                      <w:r w:rsidRPr="008A0E5B">
                        <w:rPr>
                          <w:rFonts w:ascii="Garamond" w:eastAsia="Times New Roman" w:hAnsi="Garamond" w:cs="Calibri"/>
                          <w:b/>
                          <w:i/>
                          <w:noProof/>
                          <w:sz w:val="20"/>
                          <w:szCs w:val="20"/>
                        </w:rPr>
                        <w:t xml:space="preserve"> nuk përfshin të hyra nga privatizimet e mundshme</w:t>
                      </w:r>
                      <w:r w:rsidRPr="008A0E5B">
                        <w:rPr>
                          <w:rFonts w:ascii="Garamond" w:eastAsia="Times New Roman" w:hAnsi="Garamond" w:cs="Calibri"/>
                          <w:noProof/>
                          <w:sz w:val="20"/>
                          <w:szCs w:val="20"/>
                        </w:rPr>
                        <w:t>.</w:t>
                      </w:r>
                    </w:p>
                    <w:p w14:paraId="0A17F05B" w14:textId="358D2161" w:rsidR="00807D6F" w:rsidRPr="00526A0A" w:rsidRDefault="00807D6F" w:rsidP="00A54446">
                      <w:pPr>
                        <w:ind w:firstLine="288"/>
                        <w:contextualSpacing/>
                        <w:jc w:val="both"/>
                        <w:rPr>
                          <w:rFonts w:ascii="Garamond" w:eastAsia="Times New Roman" w:hAnsi="Garamond" w:cs="Calibri"/>
                          <w:i/>
                          <w:noProof/>
                          <w:sz w:val="20"/>
                          <w:szCs w:val="20"/>
                        </w:rPr>
                      </w:pPr>
                      <w:r>
                        <w:rPr>
                          <w:rFonts w:ascii="Garamond" w:eastAsia="Times New Roman" w:hAnsi="Garamond" w:cs="Calibri"/>
                          <w:i/>
                          <w:noProof/>
                          <w:sz w:val="20"/>
                          <w:szCs w:val="20"/>
                        </w:rPr>
                        <w:t xml:space="preserve">5. </w:t>
                      </w:r>
                      <w:r w:rsidRPr="00526A0A">
                        <w:rPr>
                          <w:rFonts w:ascii="Garamond" w:eastAsia="Times New Roman" w:hAnsi="Garamond" w:cs="Calibri"/>
                          <w:i/>
                          <w:noProof/>
                          <w:sz w:val="20"/>
                          <w:szCs w:val="20"/>
                        </w:rPr>
                        <w:t>Masa e deficitit buxhetor nuk mund të tejkalojë masën e shpenzimeve kapitale të parashikuara çdo vit në ligjin e buxhetit.</w:t>
                      </w:r>
                    </w:p>
                    <w:p w14:paraId="0657FD19" w14:textId="447368E4" w:rsidR="00807D6F" w:rsidRPr="008A0E5B" w:rsidRDefault="00807D6F" w:rsidP="00A54446">
                      <w:pPr>
                        <w:ind w:firstLine="288"/>
                        <w:jc w:val="both"/>
                        <w:rPr>
                          <w:rFonts w:ascii="Garamond" w:eastAsia="Times New Roman" w:hAnsi="Garamond" w:cs="Calibri"/>
                          <w:noProof/>
                          <w:sz w:val="20"/>
                          <w:szCs w:val="20"/>
                        </w:rPr>
                      </w:pPr>
                      <w:r w:rsidRPr="008A0E5B">
                        <w:rPr>
                          <w:rFonts w:ascii="Garamond" w:eastAsia="Times New Roman" w:hAnsi="Garamond" w:cs="Calibri"/>
                          <w:noProof/>
                          <w:sz w:val="20"/>
                          <w:szCs w:val="20"/>
                        </w:rPr>
                        <w:t>Në përputhje me këtë dispozitë (rregull</w:t>
                      </w:r>
                      <w:r>
                        <w:rPr>
                          <w:rFonts w:ascii="Garamond" w:eastAsia="Times New Roman" w:hAnsi="Garamond" w:cs="Calibri"/>
                          <w:noProof/>
                          <w:sz w:val="20"/>
                          <w:szCs w:val="20"/>
                        </w:rPr>
                        <w:t>a</w:t>
                      </w:r>
                      <w:r w:rsidRPr="008A0E5B">
                        <w:rPr>
                          <w:rFonts w:ascii="Garamond" w:eastAsia="Times New Roman" w:hAnsi="Garamond" w:cs="Calibri"/>
                          <w:noProof/>
                          <w:sz w:val="20"/>
                          <w:szCs w:val="20"/>
                        </w:rPr>
                        <w:t xml:space="preserve"> fiskal</w:t>
                      </w:r>
                      <w:r>
                        <w:rPr>
                          <w:rFonts w:ascii="Garamond" w:eastAsia="Times New Roman" w:hAnsi="Garamond" w:cs="Calibri"/>
                          <w:noProof/>
                          <w:sz w:val="20"/>
                          <w:szCs w:val="20"/>
                        </w:rPr>
                        <w:t>e – “rregulla</w:t>
                      </w:r>
                      <w:r w:rsidRPr="008A0E5B">
                        <w:rPr>
                          <w:rFonts w:ascii="Garamond" w:eastAsia="Times New Roman" w:hAnsi="Garamond" w:cs="Calibri"/>
                          <w:noProof/>
                          <w:sz w:val="20"/>
                          <w:szCs w:val="20"/>
                        </w:rPr>
                        <w:t xml:space="preserve"> </w:t>
                      </w:r>
                      <w:r>
                        <w:rPr>
                          <w:rFonts w:ascii="Garamond" w:eastAsia="Times New Roman" w:hAnsi="Garamond" w:cs="Calibri"/>
                          <w:noProof/>
                          <w:sz w:val="20"/>
                          <w:szCs w:val="20"/>
                        </w:rPr>
                        <w:t>e</w:t>
                      </w:r>
                      <w:r w:rsidRPr="008A0E5B">
                        <w:rPr>
                          <w:rFonts w:ascii="Garamond" w:eastAsia="Times New Roman" w:hAnsi="Garamond" w:cs="Calibri"/>
                          <w:noProof/>
                          <w:sz w:val="20"/>
                          <w:szCs w:val="20"/>
                        </w:rPr>
                        <w:t xml:space="preserve"> artë”) të LOB</w:t>
                      </w:r>
                      <w:r>
                        <w:rPr>
                          <w:rFonts w:ascii="Garamond" w:eastAsia="Times New Roman" w:hAnsi="Garamond" w:cs="Calibri"/>
                          <w:noProof/>
                          <w:sz w:val="20"/>
                          <w:szCs w:val="20"/>
                        </w:rPr>
                        <w:t>-së</w:t>
                      </w:r>
                      <w:r w:rsidRPr="008A0E5B">
                        <w:rPr>
                          <w:rFonts w:ascii="Garamond" w:eastAsia="Times New Roman" w:hAnsi="Garamond" w:cs="Calibri"/>
                          <w:noProof/>
                          <w:sz w:val="20"/>
                          <w:szCs w:val="20"/>
                        </w:rPr>
                        <w:t>, deficiti i targetuar në kuadrin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i/>
                          <w:noProof/>
                          <w:sz w:val="20"/>
                          <w:szCs w:val="20"/>
                        </w:rPr>
                        <w:t xml:space="preserve">është çdo vit më i ulët se sa shpenzimet kapitale të planifikuara. </w:t>
                      </w:r>
                      <w:r w:rsidRPr="008A0E5B">
                        <w:rPr>
                          <w:rFonts w:ascii="Garamond" w:eastAsia="Times New Roman" w:hAnsi="Garamond" w:cs="Calibri"/>
                          <w:noProof/>
                          <w:sz w:val="20"/>
                          <w:szCs w:val="20"/>
                        </w:rPr>
                        <w:t>Rrjedhimisht, balanca korrente e targetuar është pozitive prej mesatarisht 2.4 përqind</w:t>
                      </w:r>
                      <w:r>
                        <w:rPr>
                          <w:rFonts w:ascii="Garamond" w:eastAsia="Times New Roman" w:hAnsi="Garamond" w:cs="Calibri"/>
                          <w:noProof/>
                          <w:sz w:val="20"/>
                          <w:szCs w:val="20"/>
                        </w:rPr>
                        <w:t>ësh</w:t>
                      </w:r>
                      <w:r w:rsidRPr="008A0E5B">
                        <w:rPr>
                          <w:rFonts w:ascii="Garamond" w:eastAsia="Times New Roman" w:hAnsi="Garamond" w:cs="Calibri"/>
                          <w:noProof/>
                          <w:sz w:val="20"/>
                          <w:szCs w:val="20"/>
                        </w:rPr>
                        <w:t xml:space="preserve"> të PBB</w:t>
                      </w:r>
                      <w:r>
                        <w:rPr>
                          <w:rFonts w:ascii="Garamond" w:eastAsia="Times New Roman" w:hAnsi="Garamond" w:cs="Calibri"/>
                          <w:noProof/>
                          <w:sz w:val="20"/>
                          <w:szCs w:val="20"/>
                        </w:rPr>
                        <w:t>-së</w:t>
                      </w:r>
                      <w:r w:rsidRPr="008A0E5B">
                        <w:rPr>
                          <w:rFonts w:ascii="Garamond" w:eastAsia="Times New Roman" w:hAnsi="Garamond" w:cs="Calibri"/>
                          <w:noProof/>
                          <w:sz w:val="20"/>
                          <w:szCs w:val="20"/>
                        </w:rPr>
                        <w:t xml:space="preserve"> në çdo vit të programuar.</w:t>
                      </w:r>
                    </w:p>
                    <w:p w14:paraId="172AF480" w14:textId="5AE53E2D" w:rsidR="00807D6F" w:rsidRPr="00526A0A" w:rsidRDefault="00807D6F" w:rsidP="00A54446">
                      <w:pPr>
                        <w:ind w:firstLine="288"/>
                        <w:jc w:val="both"/>
                        <w:rPr>
                          <w:rFonts w:ascii="Garamond" w:eastAsia="Times New Roman" w:hAnsi="Garamond" w:cstheme="minorHAnsi"/>
                          <w:sz w:val="20"/>
                          <w:szCs w:val="20"/>
                        </w:rPr>
                      </w:pPr>
                      <w:r>
                        <w:rPr>
                          <w:rFonts w:ascii="Garamond" w:eastAsia="Times New Roman" w:hAnsi="Garamond" w:cstheme="minorHAnsi"/>
                          <w:i/>
                          <w:noProof/>
                          <w:sz w:val="20"/>
                          <w:szCs w:val="20"/>
                        </w:rPr>
                        <w:t xml:space="preserve">6. </w:t>
                      </w:r>
                      <w:r w:rsidRPr="00526A0A">
                        <w:rPr>
                          <w:rFonts w:ascii="Garamond" w:eastAsia="Times New Roman" w:hAnsi="Garamond" w:cstheme="minorHAnsi"/>
                          <w:i/>
                          <w:noProof/>
                          <w:sz w:val="20"/>
                          <w:szCs w:val="20"/>
                        </w:rPr>
                        <w:t>Në çdo vit buxhetor</w:t>
                      </w:r>
                      <w:r>
                        <w:rPr>
                          <w:rFonts w:ascii="Garamond" w:eastAsia="Times New Roman" w:hAnsi="Garamond" w:cstheme="minorHAnsi"/>
                          <w:i/>
                          <w:noProof/>
                          <w:sz w:val="20"/>
                          <w:szCs w:val="20"/>
                        </w:rPr>
                        <w:t>,</w:t>
                      </w:r>
                      <w:r w:rsidRPr="00526A0A">
                        <w:rPr>
                          <w:rFonts w:ascii="Garamond" w:eastAsia="Times New Roman" w:hAnsi="Garamond" w:cstheme="minorHAnsi"/>
                          <w:i/>
                          <w:sz w:val="20"/>
                          <w:szCs w:val="20"/>
                        </w:rPr>
                        <w:t xml:space="preserve"> që prej vitit 2024 e në vijim, balanca primare faktike nuk mund të rezultojë negative, pra duhet të jetë të paktën e balancuar ose pozitive (suficit primar).</w:t>
                      </w:r>
                    </w:p>
                    <w:p w14:paraId="25B4065B" w14:textId="2C2635F2" w:rsidR="00807D6F" w:rsidRPr="008A0E5B" w:rsidRDefault="00807D6F" w:rsidP="00A54446">
                      <w:pPr>
                        <w:ind w:firstLine="288"/>
                        <w:jc w:val="both"/>
                        <w:rPr>
                          <w:rFonts w:ascii="Garamond" w:eastAsia="Times New Roman" w:hAnsi="Garamond" w:cs="Calibri"/>
                          <w:sz w:val="20"/>
                          <w:szCs w:val="20"/>
                        </w:rPr>
                      </w:pPr>
                      <w:r w:rsidRPr="008A0E5B">
                        <w:rPr>
                          <w:rFonts w:ascii="Garamond" w:eastAsia="Times New Roman" w:hAnsi="Garamond" w:cs="Calibri"/>
                          <w:noProof/>
                          <w:sz w:val="20"/>
                          <w:szCs w:val="20"/>
                        </w:rPr>
                        <w:t>Në përputhje me këtë dispozitë, kuadri 2022</w:t>
                      </w:r>
                      <w:r>
                        <w:rPr>
                          <w:rFonts w:ascii="Garamond" w:eastAsia="Times New Roman" w:hAnsi="Garamond" w:cs="Calibri"/>
                          <w:noProof/>
                          <w:sz w:val="20"/>
                          <w:szCs w:val="20"/>
                        </w:rPr>
                        <w:t>–</w:t>
                      </w:r>
                      <w:r w:rsidRPr="008A0E5B">
                        <w:rPr>
                          <w:rFonts w:ascii="Garamond" w:eastAsia="Times New Roman" w:hAnsi="Garamond" w:cs="Calibri"/>
                          <w:noProof/>
                          <w:sz w:val="20"/>
                          <w:szCs w:val="20"/>
                        </w:rPr>
                        <w:t xml:space="preserve">2024 </w:t>
                      </w:r>
                      <w:r w:rsidRPr="008A0E5B">
                        <w:rPr>
                          <w:rFonts w:ascii="Garamond" w:eastAsia="Times New Roman" w:hAnsi="Garamond" w:cs="Calibri"/>
                          <w:b/>
                          <w:sz w:val="20"/>
                          <w:szCs w:val="20"/>
                        </w:rPr>
                        <w:t>targeton një balancë primare të balancuar në vitin 2023 me 0.0 për</w:t>
                      </w:r>
                      <w:r>
                        <w:rPr>
                          <w:rFonts w:ascii="Garamond" w:eastAsia="Times New Roman" w:hAnsi="Garamond" w:cs="Calibri"/>
                          <w:b/>
                          <w:sz w:val="20"/>
                          <w:szCs w:val="20"/>
                        </w:rPr>
                        <w:t xml:space="preserve"> </w:t>
                      </w:r>
                      <w:r w:rsidRPr="008A0E5B">
                        <w:rPr>
                          <w:rFonts w:ascii="Garamond" w:eastAsia="Times New Roman" w:hAnsi="Garamond" w:cs="Calibri"/>
                          <w:b/>
                          <w:sz w:val="20"/>
                          <w:szCs w:val="20"/>
                        </w:rPr>
                        <w:t>qind dhe 0.3 për</w:t>
                      </w:r>
                      <w:r>
                        <w:rPr>
                          <w:rFonts w:ascii="Garamond" w:eastAsia="Times New Roman" w:hAnsi="Garamond" w:cs="Calibri"/>
                          <w:b/>
                          <w:sz w:val="20"/>
                          <w:szCs w:val="20"/>
                        </w:rPr>
                        <w:t xml:space="preserve"> </w:t>
                      </w:r>
                      <w:r w:rsidRPr="008A0E5B">
                        <w:rPr>
                          <w:rFonts w:ascii="Garamond" w:eastAsia="Times New Roman" w:hAnsi="Garamond" w:cs="Calibri"/>
                          <w:b/>
                          <w:sz w:val="20"/>
                          <w:szCs w:val="20"/>
                        </w:rPr>
                        <w:t>qind në vitin 2024</w:t>
                      </w:r>
                      <w:r w:rsidRPr="008A0E5B">
                        <w:rPr>
                          <w:rFonts w:ascii="Garamond" w:eastAsia="Times New Roman" w:hAnsi="Garamond" w:cs="Calibri"/>
                          <w:sz w:val="20"/>
                          <w:szCs w:val="20"/>
                        </w:rPr>
                        <w:t>.</w:t>
                      </w:r>
                    </w:p>
                    <w:p w14:paraId="066487FC" w14:textId="77777777" w:rsidR="00807D6F" w:rsidRPr="008A0E5B" w:rsidRDefault="00807D6F" w:rsidP="009A4934">
                      <w:pPr>
                        <w:ind w:firstLine="288"/>
                        <w:rPr>
                          <w:rFonts w:ascii="Garamond" w:eastAsia="Times New Roman" w:hAnsi="Garamond" w:cstheme="minorHAnsi"/>
                          <w:sz w:val="20"/>
                          <w:szCs w:val="20"/>
                        </w:rPr>
                      </w:pPr>
                      <w:r w:rsidRPr="008A0E5B">
                        <w:rPr>
                          <w:rFonts w:ascii="Garamond" w:eastAsia="Times New Roman" w:hAnsi="Garamond" w:cstheme="minorHAnsi"/>
                          <w:sz w:val="20"/>
                          <w:szCs w:val="20"/>
                        </w:rPr>
                        <w:t>__________</w:t>
                      </w:r>
                    </w:p>
                    <w:p w14:paraId="59C1877E" w14:textId="3D39A753" w:rsidR="00807D6F" w:rsidRPr="008A0E5B" w:rsidRDefault="00807D6F" w:rsidP="000762ED">
                      <w:pPr>
                        <w:rPr>
                          <w:rFonts w:ascii="Garamond" w:hAnsi="Garamond"/>
                          <w:color w:val="0563C1"/>
                          <w:sz w:val="16"/>
                          <w:szCs w:val="16"/>
                          <w:u w:val="single"/>
                        </w:rPr>
                      </w:pPr>
                      <w:r>
                        <w:rPr>
                          <w:rFonts w:ascii="Garamond" w:eastAsia="Times New Roman" w:hAnsi="Garamond" w:cstheme="minorHAnsi"/>
                          <w:i/>
                          <w:iCs/>
                          <w:sz w:val="16"/>
                          <w:szCs w:val="16"/>
                        </w:rPr>
                        <w:t>1. Linku për raportin WEO:</w:t>
                      </w:r>
                      <w:r w:rsidRPr="008A0E5B">
                        <w:rPr>
                          <w:rFonts w:ascii="Garamond" w:eastAsia="Times New Roman" w:hAnsi="Garamond" w:cstheme="minorHAnsi"/>
                          <w:i/>
                          <w:iCs/>
                          <w:sz w:val="16"/>
                          <w:szCs w:val="16"/>
                        </w:rPr>
                        <w:t xml:space="preserve"> </w:t>
                      </w:r>
                      <w:r w:rsidRPr="008A0E5B">
                        <w:rPr>
                          <w:rFonts w:ascii="Garamond" w:hAnsi="Garamond"/>
                          <w:i/>
                          <w:iCs/>
                          <w:color w:val="0432FF"/>
                          <w:sz w:val="16"/>
                          <w:szCs w:val="16"/>
                        </w:rPr>
                        <w:t>https://www.imf.org/en/Publications/WEO/Issues/2021/10/12/world-economic-outlook-october-2021</w:t>
                      </w:r>
                    </w:p>
                  </w:txbxContent>
                </v:textbox>
                <w10:anchorlock/>
              </v:shape>
            </w:pict>
          </mc:Fallback>
        </mc:AlternateContent>
      </w:r>
    </w:p>
    <w:p w14:paraId="3A6A3089" w14:textId="77777777" w:rsidR="00FC5B55" w:rsidRDefault="00FC5B55" w:rsidP="003F1DA7">
      <w:pPr>
        <w:pStyle w:val="AAAAAAATEXXXX"/>
        <w:rPr>
          <w:b/>
          <w:lang w:val="sq-AL"/>
        </w:rPr>
      </w:pPr>
    </w:p>
    <w:p w14:paraId="346537F1" w14:textId="08D6FB0F" w:rsidR="00DF1828" w:rsidRPr="00050FA4" w:rsidRDefault="00E4688D" w:rsidP="003F1DA7">
      <w:pPr>
        <w:pStyle w:val="AAAAAAATEXXXX"/>
        <w:rPr>
          <w:b/>
          <w:lang w:val="sq-AL"/>
        </w:rPr>
      </w:pPr>
      <w:r w:rsidRPr="00050FA4">
        <w:rPr>
          <w:b/>
          <w:lang w:val="sq-AL"/>
        </w:rPr>
        <w:t>4.2</w:t>
      </w:r>
      <w:r w:rsidR="000762ED" w:rsidRPr="00050FA4">
        <w:rPr>
          <w:b/>
          <w:lang w:val="sq-AL"/>
        </w:rPr>
        <w:t xml:space="preserve"> </w:t>
      </w:r>
      <w:r w:rsidR="005B4C87" w:rsidRPr="00050FA4">
        <w:rPr>
          <w:b/>
          <w:lang w:val="sq-AL"/>
        </w:rPr>
        <w:t>Implementimi i buxhetit për vitin 20</w:t>
      </w:r>
      <w:bookmarkEnd w:id="18"/>
      <w:r w:rsidR="005B4C87" w:rsidRPr="00050FA4">
        <w:rPr>
          <w:b/>
          <w:lang w:val="sq-AL"/>
        </w:rPr>
        <w:t>2</w:t>
      </w:r>
      <w:bookmarkEnd w:id="19"/>
      <w:r w:rsidR="00A65EAE" w:rsidRPr="00050FA4">
        <w:rPr>
          <w:b/>
          <w:lang w:val="sq-AL"/>
        </w:rPr>
        <w:t>1</w:t>
      </w:r>
      <w:bookmarkEnd w:id="20"/>
    </w:p>
    <w:p w14:paraId="5D4C6B3B" w14:textId="63A8734B" w:rsidR="00A65EAE" w:rsidRPr="00050FA4" w:rsidRDefault="00A65EAE" w:rsidP="003F1DA7">
      <w:pPr>
        <w:pStyle w:val="AAAAAAATEXXXX"/>
        <w:rPr>
          <w:lang w:val="sq-AL"/>
        </w:rPr>
      </w:pPr>
      <w:r w:rsidRPr="00050FA4">
        <w:rPr>
          <w:b/>
          <w:lang w:val="sq-AL"/>
        </w:rPr>
        <w:t xml:space="preserve">Të ardhurat totale </w:t>
      </w:r>
      <w:r w:rsidRPr="00050FA4">
        <w:rPr>
          <w:lang w:val="sq-AL"/>
        </w:rPr>
        <w:t xml:space="preserve">të mbledhura për periudhën </w:t>
      </w:r>
      <w:r w:rsidRPr="00050FA4">
        <w:rPr>
          <w:b/>
          <w:lang w:val="sq-AL"/>
        </w:rPr>
        <w:t>janar</w:t>
      </w:r>
      <w:r w:rsidR="00526A0A" w:rsidRPr="00050FA4">
        <w:rPr>
          <w:b/>
          <w:lang w:val="sq-AL"/>
        </w:rPr>
        <w:t>–</w:t>
      </w:r>
      <w:r w:rsidRPr="00050FA4">
        <w:rPr>
          <w:b/>
          <w:lang w:val="sq-AL"/>
        </w:rPr>
        <w:t>nëntor 2021</w:t>
      </w:r>
      <w:r w:rsidRPr="00050FA4">
        <w:rPr>
          <w:lang w:val="sq-AL"/>
        </w:rPr>
        <w:t xml:space="preserve"> ishin rreth 458 miliardë lekë, duke shënuar një rritje prej 19.4% ose 67.4 miliardë lekë</w:t>
      </w:r>
      <w:r w:rsidR="00904ECF" w:rsidRPr="00050FA4">
        <w:rPr>
          <w:lang w:val="sq-AL"/>
        </w:rPr>
        <w:t>sh</w:t>
      </w:r>
      <w:r w:rsidRPr="00050FA4">
        <w:rPr>
          <w:lang w:val="sq-AL"/>
        </w:rPr>
        <w:t xml:space="preserve"> më shumë se një vit më parë. Të ardhurat nga grantet arritën në 9 miliardë lekë ose 44% të planit vjetor dhe 3.6 miliardë lekë më shumë se e njëjta periudhë e një viti më parë. Të ardhurat e mbledhura nga Drejtoria e Përgjithshme e Doganave (DPD) dhe Drejtoria e Përgjithshme e Tatimeve (DPT), përfshirë kontributet sociale të mbledhura nga DPT për periudhën </w:t>
      </w:r>
      <w:r w:rsidR="00D91AB1" w:rsidRPr="00050FA4">
        <w:rPr>
          <w:lang w:val="sq-AL"/>
        </w:rPr>
        <w:t>janar–nënt</w:t>
      </w:r>
      <w:r w:rsidRPr="00050FA4">
        <w:rPr>
          <w:lang w:val="sq-AL"/>
        </w:rPr>
        <w:t xml:space="preserve">or 2021, ishin 400.4 miliardë lekë, me një realizim prej 105.6% të planit. dhe 17.9% ose 60.8 miliardë lekë më shumë se e njëjta periudhë e vitit të kaluar. Krahasuar me vitin e kaluar, të ardhurat shënuan rritje, si rezultat i ecurisë pozitive në mbledhjen e detyrimeve doganore dhe tatimore nga administratat përkatëse, duke reflektuar në këtë mënyrë rimëkëmbjen e ekonomisë së vendit tonë pas krizës dhe pasojat e shkaktuara </w:t>
      </w:r>
      <w:r w:rsidRPr="00D64367">
        <w:rPr>
          <w:lang w:val="sq-AL"/>
        </w:rPr>
        <w:t xml:space="preserve">nga </w:t>
      </w:r>
      <w:r w:rsidRPr="00050FA4">
        <w:rPr>
          <w:lang w:val="sq-AL"/>
        </w:rPr>
        <w:t xml:space="preserve">tërmeti i vitit 2019 dhe pandemia </w:t>
      </w:r>
      <w:r w:rsidR="00D24918" w:rsidRPr="00050FA4">
        <w:rPr>
          <w:lang w:val="sq-AL"/>
        </w:rPr>
        <w:t>COVID</w:t>
      </w:r>
      <w:r w:rsidRPr="00050FA4">
        <w:rPr>
          <w:lang w:val="sq-AL"/>
        </w:rPr>
        <w:t>-19, e shoqëruar me rritje konomike.</w:t>
      </w:r>
    </w:p>
    <w:p w14:paraId="2BAAAEB8" w14:textId="77777777" w:rsidR="00092FA0" w:rsidRPr="00050FA4" w:rsidRDefault="00092FA0" w:rsidP="003F1DA7">
      <w:pPr>
        <w:ind w:left="7" w:firstLine="284"/>
        <w:rPr>
          <w:rFonts w:ascii="Garamond" w:eastAsia="Times New Roman" w:hAnsi="Garamond"/>
          <w:color w:val="0D0D0D" w:themeColor="text1" w:themeTint="F2"/>
        </w:rPr>
      </w:pPr>
    </w:p>
    <w:p w14:paraId="57BAA6D3" w14:textId="058299F8" w:rsidR="00A65EAE" w:rsidRPr="00050FA4" w:rsidRDefault="00A65EAE" w:rsidP="003F1DA7">
      <w:pPr>
        <w:pStyle w:val="AAAAAAATEXXXX"/>
        <w:jc w:val="center"/>
        <w:rPr>
          <w:b/>
          <w:i/>
          <w:sz w:val="20"/>
          <w:szCs w:val="20"/>
          <w:lang w:val="sq-AL"/>
        </w:rPr>
      </w:pPr>
      <w:r w:rsidRPr="00050FA4">
        <w:rPr>
          <w:rFonts w:eastAsia="Times New Roman"/>
          <w:b/>
          <w:i/>
          <w:sz w:val="20"/>
          <w:szCs w:val="20"/>
          <w:lang w:val="sq-AL"/>
        </w:rPr>
        <w:lastRenderedPageBreak/>
        <w:t xml:space="preserve">Tabelë 4.2.1 </w:t>
      </w:r>
      <w:r w:rsidRPr="00050FA4">
        <w:rPr>
          <w:b/>
          <w:i/>
          <w:sz w:val="20"/>
          <w:szCs w:val="20"/>
          <w:lang w:val="sq-AL"/>
        </w:rPr>
        <w:t>Të ardhurat totale nga tatimet dhe doganat (në milionë lekë)</w:t>
      </w:r>
    </w:p>
    <w:tbl>
      <w:tblPr>
        <w:tblW w:w="4965" w:type="pct"/>
        <w:jc w:val="center"/>
        <w:tblLook w:val="04A0" w:firstRow="1" w:lastRow="0" w:firstColumn="1" w:lastColumn="0" w:noHBand="0" w:noVBand="1"/>
      </w:tblPr>
      <w:tblGrid>
        <w:gridCol w:w="4432"/>
        <w:gridCol w:w="1579"/>
        <w:gridCol w:w="1601"/>
        <w:gridCol w:w="1248"/>
        <w:gridCol w:w="1185"/>
      </w:tblGrid>
      <w:tr w:rsidR="00FA29AB" w:rsidRPr="00050FA4" w14:paraId="4607ED93" w14:textId="77777777" w:rsidTr="00526A0A">
        <w:trPr>
          <w:trHeight w:val="223"/>
          <w:jc w:val="center"/>
        </w:trPr>
        <w:tc>
          <w:tcPr>
            <w:tcW w:w="2206" w:type="pct"/>
            <w:vMerge w:val="restart"/>
            <w:tcBorders>
              <w:top w:val="single" w:sz="4" w:space="0" w:color="auto"/>
              <w:left w:val="single" w:sz="4" w:space="0" w:color="auto"/>
              <w:bottom w:val="single" w:sz="8" w:space="0" w:color="000000"/>
              <w:right w:val="single" w:sz="4" w:space="0" w:color="auto"/>
            </w:tcBorders>
            <w:shd w:val="clear" w:color="auto" w:fill="EDEDED"/>
            <w:vAlign w:val="center"/>
            <w:hideMark/>
          </w:tcPr>
          <w:p w14:paraId="2E9ED82D" w14:textId="7E59829A" w:rsidR="00A65EAE" w:rsidRPr="00050FA4" w:rsidRDefault="00A65EAE" w:rsidP="00526A0A">
            <w:pPr>
              <w:jc w:val="center"/>
              <w:rPr>
                <w:rFonts w:ascii="Garamond" w:eastAsia="Times New Roman" w:hAnsi="Garamond"/>
                <w:b/>
                <w:bCs/>
                <w:color w:val="0D0D0D" w:themeColor="text1" w:themeTint="F2"/>
                <w:sz w:val="20"/>
                <w:szCs w:val="20"/>
              </w:rPr>
            </w:pPr>
            <w:bookmarkStart w:id="21" w:name="page44"/>
            <w:bookmarkEnd w:id="21"/>
            <w:r w:rsidRPr="00050FA4">
              <w:rPr>
                <w:rFonts w:ascii="Garamond" w:hAnsi="Garamond"/>
                <w:b/>
                <w:color w:val="0D0D0D" w:themeColor="text1" w:themeTint="F2"/>
                <w:sz w:val="20"/>
                <w:szCs w:val="20"/>
              </w:rPr>
              <w:t>Lloji i taksës</w:t>
            </w:r>
          </w:p>
        </w:tc>
        <w:tc>
          <w:tcPr>
            <w:tcW w:w="786" w:type="pct"/>
            <w:vMerge w:val="restart"/>
            <w:tcBorders>
              <w:top w:val="single" w:sz="4" w:space="0" w:color="auto"/>
              <w:left w:val="nil"/>
              <w:bottom w:val="single" w:sz="8" w:space="0" w:color="000000"/>
              <w:right w:val="nil"/>
            </w:tcBorders>
            <w:shd w:val="clear" w:color="auto" w:fill="EDEDED"/>
            <w:vAlign w:val="center"/>
          </w:tcPr>
          <w:p w14:paraId="5FF50A00" w14:textId="77777777" w:rsidR="00A65EAE" w:rsidRPr="00050FA4" w:rsidRDefault="00A65EAE" w:rsidP="00526A0A">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Fakt 11M 2021</w:t>
            </w:r>
          </w:p>
        </w:tc>
        <w:tc>
          <w:tcPr>
            <w:tcW w:w="797" w:type="pct"/>
            <w:vMerge w:val="restart"/>
            <w:tcBorders>
              <w:top w:val="single" w:sz="4" w:space="0" w:color="auto"/>
              <w:left w:val="nil"/>
              <w:bottom w:val="single" w:sz="8" w:space="0" w:color="000000"/>
              <w:right w:val="single" w:sz="4" w:space="0" w:color="auto"/>
            </w:tcBorders>
            <w:shd w:val="clear" w:color="auto" w:fill="EDEDED"/>
            <w:vAlign w:val="center"/>
            <w:hideMark/>
          </w:tcPr>
          <w:p w14:paraId="568D7BEA" w14:textId="77777777" w:rsidR="00A65EAE" w:rsidRPr="00050FA4" w:rsidRDefault="00A65EAE" w:rsidP="00526A0A">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Plan 11M 2021</w:t>
            </w:r>
          </w:p>
        </w:tc>
        <w:tc>
          <w:tcPr>
            <w:tcW w:w="1211" w:type="pct"/>
            <w:gridSpan w:val="2"/>
            <w:tcBorders>
              <w:top w:val="single" w:sz="4" w:space="0" w:color="auto"/>
              <w:left w:val="nil"/>
              <w:bottom w:val="single" w:sz="4" w:space="0" w:color="auto"/>
              <w:right w:val="single" w:sz="4" w:space="0" w:color="000000"/>
            </w:tcBorders>
            <w:shd w:val="clear" w:color="auto" w:fill="EDEDED"/>
            <w:vAlign w:val="center"/>
            <w:hideMark/>
          </w:tcPr>
          <w:p w14:paraId="0CD798A7" w14:textId="64B3FDAE" w:rsidR="00A65EAE" w:rsidRPr="00050FA4" w:rsidRDefault="00A65EAE" w:rsidP="00526A0A">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xml:space="preserve">Diferenca </w:t>
            </w:r>
            <w:r w:rsidR="00526A0A" w:rsidRPr="00050FA4">
              <w:rPr>
                <w:rFonts w:ascii="Garamond" w:eastAsia="Times New Roman" w:hAnsi="Garamond"/>
                <w:b/>
                <w:bCs/>
                <w:color w:val="0D0D0D" w:themeColor="text1" w:themeTint="F2"/>
                <w:sz w:val="18"/>
                <w:szCs w:val="18"/>
              </w:rPr>
              <w:t xml:space="preserve">fakt/plan </w:t>
            </w:r>
            <w:r w:rsidRPr="00050FA4">
              <w:rPr>
                <w:rFonts w:ascii="Garamond" w:eastAsia="Times New Roman" w:hAnsi="Garamond"/>
                <w:b/>
                <w:bCs/>
                <w:color w:val="0D0D0D" w:themeColor="text1" w:themeTint="F2"/>
                <w:sz w:val="18"/>
                <w:szCs w:val="18"/>
              </w:rPr>
              <w:t>2021</w:t>
            </w:r>
          </w:p>
        </w:tc>
      </w:tr>
      <w:tr w:rsidR="00FA29AB" w:rsidRPr="00050FA4" w14:paraId="05A114EB" w14:textId="77777777" w:rsidTr="00526A0A">
        <w:trPr>
          <w:trHeight w:val="245"/>
          <w:jc w:val="center"/>
        </w:trPr>
        <w:tc>
          <w:tcPr>
            <w:tcW w:w="0" w:type="auto"/>
            <w:vMerge/>
            <w:tcBorders>
              <w:top w:val="single" w:sz="4" w:space="0" w:color="auto"/>
              <w:left w:val="single" w:sz="4" w:space="0" w:color="auto"/>
              <w:bottom w:val="single" w:sz="8" w:space="0" w:color="000000"/>
              <w:right w:val="single" w:sz="4" w:space="0" w:color="auto"/>
            </w:tcBorders>
            <w:vAlign w:val="center"/>
            <w:hideMark/>
          </w:tcPr>
          <w:p w14:paraId="3931EF01" w14:textId="77777777" w:rsidR="00A65EAE" w:rsidRPr="00050FA4" w:rsidRDefault="00A65EAE" w:rsidP="00526A0A">
            <w:pPr>
              <w:jc w:val="center"/>
              <w:rPr>
                <w:rFonts w:ascii="Garamond" w:eastAsia="Times New Roman" w:hAnsi="Garamond"/>
                <w:b/>
                <w:bCs/>
                <w:color w:val="0D0D0D" w:themeColor="text1" w:themeTint="F2"/>
                <w:sz w:val="20"/>
                <w:szCs w:val="20"/>
              </w:rPr>
            </w:pPr>
          </w:p>
        </w:tc>
        <w:tc>
          <w:tcPr>
            <w:tcW w:w="0" w:type="auto"/>
            <w:vMerge/>
            <w:tcBorders>
              <w:top w:val="single" w:sz="4" w:space="0" w:color="auto"/>
              <w:left w:val="nil"/>
              <w:bottom w:val="single" w:sz="8" w:space="0" w:color="000000"/>
              <w:right w:val="nil"/>
            </w:tcBorders>
            <w:vAlign w:val="center"/>
            <w:hideMark/>
          </w:tcPr>
          <w:p w14:paraId="4BAAC198" w14:textId="77777777" w:rsidR="00A65EAE" w:rsidRPr="00050FA4" w:rsidRDefault="00A65EAE" w:rsidP="00526A0A">
            <w:pPr>
              <w:jc w:val="center"/>
              <w:rPr>
                <w:rFonts w:ascii="Garamond" w:eastAsia="Times New Roman" w:hAnsi="Garamond"/>
                <w:b/>
                <w:bCs/>
                <w:color w:val="0D0D0D" w:themeColor="text1" w:themeTint="F2"/>
                <w:sz w:val="18"/>
                <w:szCs w:val="18"/>
              </w:rPr>
            </w:pPr>
          </w:p>
        </w:tc>
        <w:tc>
          <w:tcPr>
            <w:tcW w:w="0" w:type="auto"/>
            <w:vMerge/>
            <w:tcBorders>
              <w:top w:val="single" w:sz="4" w:space="0" w:color="auto"/>
              <w:left w:val="nil"/>
              <w:bottom w:val="single" w:sz="8" w:space="0" w:color="000000"/>
              <w:right w:val="single" w:sz="4" w:space="0" w:color="auto"/>
            </w:tcBorders>
            <w:vAlign w:val="center"/>
            <w:hideMark/>
          </w:tcPr>
          <w:p w14:paraId="70D1C1F4" w14:textId="77777777" w:rsidR="00A65EAE" w:rsidRPr="00050FA4" w:rsidRDefault="00A65EAE" w:rsidP="00526A0A">
            <w:pPr>
              <w:jc w:val="center"/>
              <w:rPr>
                <w:rFonts w:ascii="Garamond" w:eastAsia="Times New Roman" w:hAnsi="Garamond"/>
                <w:b/>
                <w:bCs/>
                <w:color w:val="0D0D0D" w:themeColor="text1" w:themeTint="F2"/>
                <w:sz w:val="18"/>
                <w:szCs w:val="18"/>
              </w:rPr>
            </w:pPr>
          </w:p>
        </w:tc>
        <w:tc>
          <w:tcPr>
            <w:tcW w:w="621" w:type="pct"/>
            <w:tcBorders>
              <w:top w:val="nil"/>
              <w:left w:val="nil"/>
              <w:bottom w:val="single" w:sz="8" w:space="0" w:color="auto"/>
              <w:right w:val="nil"/>
            </w:tcBorders>
            <w:shd w:val="clear" w:color="auto" w:fill="EDEDED"/>
            <w:vAlign w:val="center"/>
            <w:hideMark/>
          </w:tcPr>
          <w:p w14:paraId="3A0A9066" w14:textId="77761FF1" w:rsidR="00A65EAE" w:rsidRPr="00050FA4" w:rsidRDefault="00E635DE" w:rsidP="00526A0A">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VLERA</w:t>
            </w:r>
          </w:p>
        </w:tc>
        <w:tc>
          <w:tcPr>
            <w:tcW w:w="591" w:type="pct"/>
            <w:tcBorders>
              <w:top w:val="nil"/>
              <w:left w:val="nil"/>
              <w:bottom w:val="single" w:sz="8" w:space="0" w:color="auto"/>
              <w:right w:val="single" w:sz="4" w:space="0" w:color="auto"/>
            </w:tcBorders>
            <w:shd w:val="clear" w:color="auto" w:fill="EDEDED"/>
            <w:vAlign w:val="center"/>
          </w:tcPr>
          <w:p w14:paraId="6CA4B42D" w14:textId="4AF44109" w:rsidR="00A65EAE" w:rsidRPr="00050FA4" w:rsidRDefault="00A65EAE" w:rsidP="00526A0A">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w:t>
            </w:r>
          </w:p>
        </w:tc>
      </w:tr>
      <w:tr w:rsidR="00FA29AB" w:rsidRPr="00050FA4" w14:paraId="3B88AA50" w14:textId="77777777" w:rsidTr="000762ED">
        <w:trPr>
          <w:trHeight w:val="235"/>
          <w:jc w:val="center"/>
        </w:trPr>
        <w:tc>
          <w:tcPr>
            <w:tcW w:w="2206" w:type="pct"/>
            <w:tcBorders>
              <w:top w:val="nil"/>
              <w:left w:val="single" w:sz="4" w:space="0" w:color="auto"/>
              <w:bottom w:val="nil"/>
              <w:right w:val="single" w:sz="4" w:space="0" w:color="auto"/>
            </w:tcBorders>
            <w:shd w:val="clear" w:color="auto" w:fill="FFFFFF"/>
            <w:vAlign w:val="center"/>
            <w:hideMark/>
          </w:tcPr>
          <w:p w14:paraId="0FAC2483" w14:textId="77777777"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Totali i TVSH-së neto</w:t>
            </w:r>
          </w:p>
        </w:tc>
        <w:tc>
          <w:tcPr>
            <w:tcW w:w="786" w:type="pct"/>
            <w:shd w:val="clear" w:color="auto" w:fill="FFFFFF"/>
            <w:vAlign w:val="center"/>
            <w:hideMark/>
          </w:tcPr>
          <w:p w14:paraId="5A015E59"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144,274</w:t>
            </w:r>
          </w:p>
        </w:tc>
        <w:tc>
          <w:tcPr>
            <w:tcW w:w="797" w:type="pct"/>
            <w:tcBorders>
              <w:top w:val="nil"/>
              <w:left w:val="nil"/>
              <w:bottom w:val="nil"/>
              <w:right w:val="single" w:sz="4" w:space="0" w:color="auto"/>
            </w:tcBorders>
            <w:shd w:val="clear" w:color="auto" w:fill="FFFFFF"/>
            <w:vAlign w:val="center"/>
            <w:hideMark/>
          </w:tcPr>
          <w:p w14:paraId="018D7558"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136,861</w:t>
            </w:r>
          </w:p>
        </w:tc>
        <w:tc>
          <w:tcPr>
            <w:tcW w:w="621" w:type="pct"/>
            <w:tcBorders>
              <w:top w:val="nil"/>
              <w:left w:val="single" w:sz="4" w:space="0" w:color="auto"/>
              <w:bottom w:val="nil"/>
              <w:right w:val="nil"/>
            </w:tcBorders>
            <w:shd w:val="clear" w:color="auto" w:fill="FFFFFF"/>
            <w:vAlign w:val="center"/>
            <w:hideMark/>
          </w:tcPr>
          <w:p w14:paraId="2ADB71DC"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7,413</w:t>
            </w:r>
          </w:p>
        </w:tc>
        <w:tc>
          <w:tcPr>
            <w:tcW w:w="591" w:type="pct"/>
            <w:tcBorders>
              <w:top w:val="nil"/>
              <w:left w:val="nil"/>
              <w:bottom w:val="nil"/>
              <w:right w:val="single" w:sz="8" w:space="0" w:color="auto"/>
            </w:tcBorders>
            <w:shd w:val="clear" w:color="auto" w:fill="FFFFFF"/>
            <w:vAlign w:val="center"/>
            <w:hideMark/>
          </w:tcPr>
          <w:p w14:paraId="3FABC3F0"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5.4%</w:t>
            </w:r>
          </w:p>
        </w:tc>
      </w:tr>
      <w:tr w:rsidR="00FA29AB" w:rsidRPr="00050FA4" w14:paraId="6A19FB43" w14:textId="77777777" w:rsidTr="000762ED">
        <w:trPr>
          <w:trHeight w:val="235"/>
          <w:jc w:val="center"/>
        </w:trPr>
        <w:tc>
          <w:tcPr>
            <w:tcW w:w="2206" w:type="pct"/>
            <w:tcBorders>
              <w:top w:val="nil"/>
              <w:left w:val="single" w:sz="4" w:space="0" w:color="auto"/>
              <w:bottom w:val="nil"/>
              <w:right w:val="single" w:sz="4" w:space="0" w:color="auto"/>
            </w:tcBorders>
            <w:shd w:val="clear" w:color="auto" w:fill="FFFFFF"/>
            <w:vAlign w:val="center"/>
            <w:hideMark/>
          </w:tcPr>
          <w:p w14:paraId="04FA923D" w14:textId="77777777"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Tatimi mbi fitimin</w:t>
            </w:r>
          </w:p>
        </w:tc>
        <w:tc>
          <w:tcPr>
            <w:tcW w:w="786" w:type="pct"/>
            <w:shd w:val="clear" w:color="auto" w:fill="FFFFFF"/>
            <w:vAlign w:val="center"/>
            <w:hideMark/>
          </w:tcPr>
          <w:p w14:paraId="1BC8D31A"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30,670</w:t>
            </w:r>
          </w:p>
        </w:tc>
        <w:tc>
          <w:tcPr>
            <w:tcW w:w="797" w:type="pct"/>
            <w:tcBorders>
              <w:top w:val="nil"/>
              <w:left w:val="nil"/>
              <w:bottom w:val="nil"/>
              <w:right w:val="single" w:sz="4" w:space="0" w:color="auto"/>
            </w:tcBorders>
            <w:shd w:val="clear" w:color="auto" w:fill="FFFFFF"/>
            <w:vAlign w:val="center"/>
            <w:hideMark/>
          </w:tcPr>
          <w:p w14:paraId="025754FB"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29,790</w:t>
            </w:r>
          </w:p>
        </w:tc>
        <w:tc>
          <w:tcPr>
            <w:tcW w:w="621" w:type="pct"/>
            <w:tcBorders>
              <w:top w:val="nil"/>
              <w:left w:val="single" w:sz="4" w:space="0" w:color="auto"/>
              <w:bottom w:val="nil"/>
              <w:right w:val="nil"/>
            </w:tcBorders>
            <w:shd w:val="clear" w:color="auto" w:fill="FFFFFF"/>
            <w:vAlign w:val="center"/>
            <w:hideMark/>
          </w:tcPr>
          <w:p w14:paraId="6B63CE10"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880</w:t>
            </w:r>
          </w:p>
        </w:tc>
        <w:tc>
          <w:tcPr>
            <w:tcW w:w="591" w:type="pct"/>
            <w:tcBorders>
              <w:top w:val="nil"/>
              <w:left w:val="nil"/>
              <w:bottom w:val="nil"/>
              <w:right w:val="single" w:sz="8" w:space="0" w:color="auto"/>
            </w:tcBorders>
            <w:shd w:val="clear" w:color="auto" w:fill="FFFFFF"/>
            <w:vAlign w:val="center"/>
            <w:hideMark/>
          </w:tcPr>
          <w:p w14:paraId="6EE53472"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3.0%</w:t>
            </w:r>
          </w:p>
        </w:tc>
      </w:tr>
      <w:tr w:rsidR="00FA29AB" w:rsidRPr="00050FA4" w14:paraId="54E28B6A" w14:textId="77777777" w:rsidTr="000762ED">
        <w:trPr>
          <w:trHeight w:val="235"/>
          <w:jc w:val="center"/>
        </w:trPr>
        <w:tc>
          <w:tcPr>
            <w:tcW w:w="2206" w:type="pct"/>
            <w:tcBorders>
              <w:top w:val="nil"/>
              <w:left w:val="single" w:sz="4" w:space="0" w:color="auto"/>
              <w:bottom w:val="nil"/>
              <w:right w:val="single" w:sz="4" w:space="0" w:color="auto"/>
            </w:tcBorders>
            <w:shd w:val="clear" w:color="auto" w:fill="FFFFFF"/>
            <w:vAlign w:val="center"/>
            <w:hideMark/>
          </w:tcPr>
          <w:p w14:paraId="01C9314E" w14:textId="77777777"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Akciza</w:t>
            </w:r>
          </w:p>
        </w:tc>
        <w:tc>
          <w:tcPr>
            <w:tcW w:w="786" w:type="pct"/>
            <w:shd w:val="clear" w:color="auto" w:fill="FFFFFF"/>
            <w:vAlign w:val="center"/>
            <w:hideMark/>
          </w:tcPr>
          <w:p w14:paraId="1E752965"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46,608</w:t>
            </w:r>
          </w:p>
        </w:tc>
        <w:tc>
          <w:tcPr>
            <w:tcW w:w="797" w:type="pct"/>
            <w:tcBorders>
              <w:top w:val="nil"/>
              <w:left w:val="nil"/>
              <w:bottom w:val="nil"/>
              <w:right w:val="single" w:sz="4" w:space="0" w:color="auto"/>
            </w:tcBorders>
            <w:shd w:val="clear" w:color="auto" w:fill="FFFFFF"/>
            <w:vAlign w:val="center"/>
            <w:hideMark/>
          </w:tcPr>
          <w:p w14:paraId="0FC1DA0B"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44,790</w:t>
            </w:r>
          </w:p>
        </w:tc>
        <w:tc>
          <w:tcPr>
            <w:tcW w:w="621" w:type="pct"/>
            <w:tcBorders>
              <w:top w:val="nil"/>
              <w:left w:val="single" w:sz="4" w:space="0" w:color="auto"/>
              <w:bottom w:val="nil"/>
              <w:right w:val="nil"/>
            </w:tcBorders>
            <w:shd w:val="clear" w:color="auto" w:fill="FFFFFF"/>
            <w:vAlign w:val="center"/>
            <w:hideMark/>
          </w:tcPr>
          <w:p w14:paraId="1AD69404"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1,818</w:t>
            </w:r>
          </w:p>
        </w:tc>
        <w:tc>
          <w:tcPr>
            <w:tcW w:w="591" w:type="pct"/>
            <w:tcBorders>
              <w:top w:val="nil"/>
              <w:left w:val="nil"/>
              <w:bottom w:val="nil"/>
              <w:right w:val="single" w:sz="8" w:space="0" w:color="auto"/>
            </w:tcBorders>
            <w:shd w:val="clear" w:color="auto" w:fill="FFFFFF"/>
            <w:vAlign w:val="center"/>
            <w:hideMark/>
          </w:tcPr>
          <w:p w14:paraId="34F923E3"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4.1%</w:t>
            </w:r>
          </w:p>
        </w:tc>
      </w:tr>
      <w:tr w:rsidR="00FA29AB" w:rsidRPr="00050FA4" w14:paraId="5215E879" w14:textId="77777777" w:rsidTr="000762ED">
        <w:trPr>
          <w:trHeight w:val="245"/>
          <w:jc w:val="center"/>
        </w:trPr>
        <w:tc>
          <w:tcPr>
            <w:tcW w:w="2206" w:type="pct"/>
            <w:tcBorders>
              <w:top w:val="nil"/>
              <w:left w:val="single" w:sz="4" w:space="0" w:color="auto"/>
              <w:bottom w:val="nil"/>
              <w:right w:val="single" w:sz="4" w:space="0" w:color="auto"/>
            </w:tcBorders>
            <w:shd w:val="clear" w:color="auto" w:fill="FFFFFF"/>
            <w:vAlign w:val="center"/>
            <w:hideMark/>
          </w:tcPr>
          <w:p w14:paraId="120B3415" w14:textId="39259C17"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 xml:space="preserve">Tatimi mbi të </w:t>
            </w:r>
            <w:r w:rsidR="00D91AB1" w:rsidRPr="00050FA4">
              <w:rPr>
                <w:rFonts w:ascii="Garamond" w:hAnsi="Garamond"/>
                <w:color w:val="0D0D0D" w:themeColor="text1" w:themeTint="F2"/>
                <w:sz w:val="20"/>
                <w:szCs w:val="20"/>
              </w:rPr>
              <w:t>ardhurat personale</w:t>
            </w:r>
          </w:p>
        </w:tc>
        <w:tc>
          <w:tcPr>
            <w:tcW w:w="786" w:type="pct"/>
            <w:shd w:val="clear" w:color="auto" w:fill="FFFFFF"/>
            <w:vAlign w:val="center"/>
            <w:hideMark/>
          </w:tcPr>
          <w:p w14:paraId="52D9C38C"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36,074</w:t>
            </w:r>
          </w:p>
        </w:tc>
        <w:tc>
          <w:tcPr>
            <w:tcW w:w="797" w:type="pct"/>
            <w:tcBorders>
              <w:top w:val="nil"/>
              <w:left w:val="nil"/>
              <w:bottom w:val="nil"/>
              <w:right w:val="single" w:sz="4" w:space="0" w:color="auto"/>
            </w:tcBorders>
            <w:shd w:val="clear" w:color="auto" w:fill="FFFFFF"/>
            <w:vAlign w:val="center"/>
            <w:hideMark/>
          </w:tcPr>
          <w:p w14:paraId="072FBB5D"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37,386</w:t>
            </w:r>
          </w:p>
        </w:tc>
        <w:tc>
          <w:tcPr>
            <w:tcW w:w="621" w:type="pct"/>
            <w:tcBorders>
              <w:top w:val="nil"/>
              <w:left w:val="single" w:sz="4" w:space="0" w:color="auto"/>
              <w:bottom w:val="nil"/>
              <w:right w:val="nil"/>
            </w:tcBorders>
            <w:shd w:val="clear" w:color="auto" w:fill="FFFFFF"/>
            <w:vAlign w:val="center"/>
            <w:hideMark/>
          </w:tcPr>
          <w:p w14:paraId="4D3388AB"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-1,312</w:t>
            </w:r>
          </w:p>
        </w:tc>
        <w:tc>
          <w:tcPr>
            <w:tcW w:w="591" w:type="pct"/>
            <w:tcBorders>
              <w:top w:val="nil"/>
              <w:left w:val="nil"/>
              <w:bottom w:val="nil"/>
              <w:right w:val="single" w:sz="8" w:space="0" w:color="auto"/>
            </w:tcBorders>
            <w:shd w:val="clear" w:color="auto" w:fill="FFFFFF"/>
            <w:vAlign w:val="center"/>
            <w:hideMark/>
          </w:tcPr>
          <w:p w14:paraId="4D0EF691"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-3.5%</w:t>
            </w:r>
          </w:p>
        </w:tc>
      </w:tr>
      <w:tr w:rsidR="00FA29AB" w:rsidRPr="00050FA4" w14:paraId="46BD4262" w14:textId="77777777" w:rsidTr="000762ED">
        <w:trPr>
          <w:trHeight w:val="235"/>
          <w:jc w:val="center"/>
        </w:trPr>
        <w:tc>
          <w:tcPr>
            <w:tcW w:w="2206" w:type="pct"/>
            <w:tcBorders>
              <w:top w:val="nil"/>
              <w:left w:val="single" w:sz="4" w:space="0" w:color="auto"/>
              <w:bottom w:val="nil"/>
              <w:right w:val="single" w:sz="4" w:space="0" w:color="auto"/>
            </w:tcBorders>
            <w:shd w:val="clear" w:color="auto" w:fill="FFFFFF"/>
            <w:vAlign w:val="center"/>
            <w:hideMark/>
          </w:tcPr>
          <w:p w14:paraId="2D8454F5" w14:textId="4A4D8069"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 xml:space="preserve">Totali i </w:t>
            </w:r>
            <w:r w:rsidR="00D91AB1" w:rsidRPr="00050FA4">
              <w:rPr>
                <w:rFonts w:ascii="Garamond" w:hAnsi="Garamond"/>
                <w:color w:val="0D0D0D" w:themeColor="text1" w:themeTint="F2"/>
                <w:sz w:val="20"/>
                <w:szCs w:val="20"/>
              </w:rPr>
              <w:t>taksave kombëtare</w:t>
            </w:r>
          </w:p>
        </w:tc>
        <w:tc>
          <w:tcPr>
            <w:tcW w:w="786" w:type="pct"/>
            <w:shd w:val="clear" w:color="auto" w:fill="FFFFFF"/>
            <w:vAlign w:val="center"/>
            <w:hideMark/>
          </w:tcPr>
          <w:p w14:paraId="48BBFD2A"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38,483</w:t>
            </w:r>
          </w:p>
        </w:tc>
        <w:tc>
          <w:tcPr>
            <w:tcW w:w="797" w:type="pct"/>
            <w:tcBorders>
              <w:top w:val="nil"/>
              <w:left w:val="nil"/>
              <w:bottom w:val="nil"/>
              <w:right w:val="single" w:sz="4" w:space="0" w:color="auto"/>
            </w:tcBorders>
            <w:shd w:val="clear" w:color="auto" w:fill="FFFFFF"/>
            <w:vAlign w:val="center"/>
            <w:hideMark/>
          </w:tcPr>
          <w:p w14:paraId="6EEC1D01"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34,578</w:t>
            </w:r>
          </w:p>
        </w:tc>
        <w:tc>
          <w:tcPr>
            <w:tcW w:w="621" w:type="pct"/>
            <w:tcBorders>
              <w:top w:val="nil"/>
              <w:left w:val="single" w:sz="4" w:space="0" w:color="auto"/>
              <w:bottom w:val="nil"/>
              <w:right w:val="nil"/>
            </w:tcBorders>
            <w:shd w:val="clear" w:color="auto" w:fill="FFFFFF"/>
            <w:vAlign w:val="center"/>
            <w:hideMark/>
          </w:tcPr>
          <w:p w14:paraId="7321AD04"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3,905</w:t>
            </w:r>
          </w:p>
        </w:tc>
        <w:tc>
          <w:tcPr>
            <w:tcW w:w="591" w:type="pct"/>
            <w:tcBorders>
              <w:top w:val="nil"/>
              <w:left w:val="nil"/>
              <w:bottom w:val="nil"/>
              <w:right w:val="single" w:sz="8" w:space="0" w:color="auto"/>
            </w:tcBorders>
            <w:shd w:val="clear" w:color="auto" w:fill="FFFFFF"/>
            <w:vAlign w:val="center"/>
            <w:hideMark/>
          </w:tcPr>
          <w:p w14:paraId="6DF763D1"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11.3%</w:t>
            </w:r>
          </w:p>
        </w:tc>
      </w:tr>
      <w:tr w:rsidR="00FA29AB" w:rsidRPr="00050FA4" w14:paraId="2CF9B17A" w14:textId="77777777" w:rsidTr="000762ED">
        <w:trPr>
          <w:trHeight w:val="235"/>
          <w:jc w:val="center"/>
        </w:trPr>
        <w:tc>
          <w:tcPr>
            <w:tcW w:w="2206" w:type="pct"/>
            <w:tcBorders>
              <w:top w:val="nil"/>
              <w:left w:val="single" w:sz="4" w:space="0" w:color="auto"/>
              <w:bottom w:val="nil"/>
              <w:right w:val="single" w:sz="4" w:space="0" w:color="auto"/>
            </w:tcBorders>
            <w:shd w:val="clear" w:color="auto" w:fill="FFFFFF"/>
            <w:vAlign w:val="center"/>
            <w:hideMark/>
          </w:tcPr>
          <w:p w14:paraId="65A8945F" w14:textId="321414E1"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 xml:space="preserve">Taksa </w:t>
            </w:r>
            <w:r w:rsidR="00D91AB1" w:rsidRPr="00050FA4">
              <w:rPr>
                <w:rFonts w:ascii="Garamond" w:hAnsi="Garamond"/>
                <w:color w:val="0D0D0D" w:themeColor="text1" w:themeTint="F2"/>
                <w:sz w:val="20"/>
                <w:szCs w:val="20"/>
              </w:rPr>
              <w:t>doganore</w:t>
            </w:r>
          </w:p>
        </w:tc>
        <w:tc>
          <w:tcPr>
            <w:tcW w:w="786" w:type="pct"/>
            <w:shd w:val="clear" w:color="auto" w:fill="FFFFFF"/>
            <w:vAlign w:val="center"/>
            <w:hideMark/>
          </w:tcPr>
          <w:p w14:paraId="0F50FA80"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6,700</w:t>
            </w:r>
          </w:p>
        </w:tc>
        <w:tc>
          <w:tcPr>
            <w:tcW w:w="797" w:type="pct"/>
            <w:tcBorders>
              <w:top w:val="nil"/>
              <w:left w:val="nil"/>
              <w:bottom w:val="nil"/>
              <w:right w:val="single" w:sz="4" w:space="0" w:color="auto"/>
            </w:tcBorders>
            <w:shd w:val="clear" w:color="auto" w:fill="FFFFFF"/>
            <w:vAlign w:val="center"/>
            <w:hideMark/>
          </w:tcPr>
          <w:p w14:paraId="30A6A8E3"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5,877</w:t>
            </w:r>
          </w:p>
        </w:tc>
        <w:tc>
          <w:tcPr>
            <w:tcW w:w="621" w:type="pct"/>
            <w:tcBorders>
              <w:top w:val="nil"/>
              <w:left w:val="single" w:sz="4" w:space="0" w:color="auto"/>
              <w:bottom w:val="nil"/>
              <w:right w:val="nil"/>
            </w:tcBorders>
            <w:shd w:val="clear" w:color="auto" w:fill="FFFFFF"/>
            <w:vAlign w:val="center"/>
            <w:hideMark/>
          </w:tcPr>
          <w:p w14:paraId="04A9E2A3"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823</w:t>
            </w:r>
          </w:p>
        </w:tc>
        <w:tc>
          <w:tcPr>
            <w:tcW w:w="591" w:type="pct"/>
            <w:tcBorders>
              <w:top w:val="nil"/>
              <w:left w:val="nil"/>
              <w:bottom w:val="nil"/>
              <w:right w:val="single" w:sz="8" w:space="0" w:color="auto"/>
            </w:tcBorders>
            <w:shd w:val="clear" w:color="auto" w:fill="FFFFFF"/>
            <w:vAlign w:val="center"/>
            <w:hideMark/>
          </w:tcPr>
          <w:p w14:paraId="04683659"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14.0%</w:t>
            </w:r>
          </w:p>
        </w:tc>
      </w:tr>
      <w:tr w:rsidR="00FA29AB" w:rsidRPr="00050FA4" w14:paraId="4F004BC4" w14:textId="77777777" w:rsidTr="000762ED">
        <w:trPr>
          <w:trHeight w:val="218"/>
          <w:jc w:val="center"/>
        </w:trPr>
        <w:tc>
          <w:tcPr>
            <w:tcW w:w="2206" w:type="pct"/>
            <w:tcBorders>
              <w:top w:val="nil"/>
              <w:left w:val="single" w:sz="4" w:space="0" w:color="auto"/>
              <w:bottom w:val="nil"/>
              <w:right w:val="single" w:sz="4" w:space="0" w:color="auto"/>
            </w:tcBorders>
            <w:shd w:val="clear" w:color="auto" w:fill="EDEDED"/>
            <w:vAlign w:val="center"/>
            <w:hideMark/>
          </w:tcPr>
          <w:p w14:paraId="021A5131" w14:textId="77777777"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TOTALI TAKSA + DOGANA</w:t>
            </w:r>
          </w:p>
        </w:tc>
        <w:tc>
          <w:tcPr>
            <w:tcW w:w="786" w:type="pct"/>
            <w:shd w:val="clear" w:color="auto" w:fill="F2F2F2"/>
            <w:vAlign w:val="center"/>
            <w:hideMark/>
          </w:tcPr>
          <w:p w14:paraId="46A97D4C"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302,809</w:t>
            </w:r>
          </w:p>
        </w:tc>
        <w:tc>
          <w:tcPr>
            <w:tcW w:w="797" w:type="pct"/>
            <w:tcBorders>
              <w:top w:val="nil"/>
              <w:left w:val="nil"/>
              <w:bottom w:val="nil"/>
              <w:right w:val="single" w:sz="4" w:space="0" w:color="auto"/>
            </w:tcBorders>
            <w:shd w:val="clear" w:color="auto" w:fill="F2F2F2"/>
            <w:vAlign w:val="center"/>
            <w:hideMark/>
          </w:tcPr>
          <w:p w14:paraId="6F38A4CD"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289,282</w:t>
            </w:r>
          </w:p>
        </w:tc>
        <w:tc>
          <w:tcPr>
            <w:tcW w:w="621" w:type="pct"/>
            <w:tcBorders>
              <w:top w:val="nil"/>
              <w:left w:val="single" w:sz="4" w:space="0" w:color="auto"/>
              <w:bottom w:val="nil"/>
              <w:right w:val="nil"/>
            </w:tcBorders>
            <w:shd w:val="clear" w:color="auto" w:fill="F2F2F2"/>
            <w:vAlign w:val="center"/>
            <w:hideMark/>
          </w:tcPr>
          <w:p w14:paraId="6B17354C"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13,527</w:t>
            </w:r>
          </w:p>
        </w:tc>
        <w:tc>
          <w:tcPr>
            <w:tcW w:w="591" w:type="pct"/>
            <w:tcBorders>
              <w:top w:val="nil"/>
              <w:left w:val="nil"/>
              <w:bottom w:val="nil"/>
              <w:right w:val="single" w:sz="8" w:space="0" w:color="auto"/>
            </w:tcBorders>
            <w:shd w:val="clear" w:color="auto" w:fill="F2F2F2"/>
            <w:vAlign w:val="center"/>
            <w:hideMark/>
          </w:tcPr>
          <w:p w14:paraId="746482F1" w14:textId="77777777" w:rsidR="00A65EAE" w:rsidRPr="00050FA4" w:rsidRDefault="00A65EAE" w:rsidP="00526A0A">
            <w:pPr>
              <w:jc w:val="right"/>
              <w:rPr>
                <w:rFonts w:ascii="Garamond" w:hAnsi="Garamond"/>
                <w:b/>
                <w:color w:val="0D0D0D" w:themeColor="text1" w:themeTint="F2"/>
                <w:sz w:val="18"/>
                <w:szCs w:val="18"/>
              </w:rPr>
            </w:pPr>
            <w:r w:rsidRPr="00050FA4">
              <w:rPr>
                <w:rFonts w:ascii="Garamond" w:hAnsi="Garamond"/>
                <w:b/>
                <w:color w:val="0D0D0D" w:themeColor="text1" w:themeTint="F2"/>
                <w:sz w:val="18"/>
                <w:szCs w:val="18"/>
              </w:rPr>
              <w:t>4.7%</w:t>
            </w:r>
          </w:p>
        </w:tc>
      </w:tr>
      <w:tr w:rsidR="00FA29AB" w:rsidRPr="00050FA4" w14:paraId="5721FE2D" w14:textId="77777777" w:rsidTr="000762ED">
        <w:trPr>
          <w:trHeight w:val="221"/>
          <w:jc w:val="center"/>
        </w:trPr>
        <w:tc>
          <w:tcPr>
            <w:tcW w:w="2206" w:type="pct"/>
            <w:tcBorders>
              <w:top w:val="nil"/>
              <w:left w:val="single" w:sz="4" w:space="0" w:color="auto"/>
              <w:bottom w:val="single" w:sz="4" w:space="0" w:color="000000"/>
              <w:right w:val="single" w:sz="4" w:space="0" w:color="auto"/>
            </w:tcBorders>
            <w:shd w:val="clear" w:color="auto" w:fill="FFFFFF"/>
            <w:vAlign w:val="center"/>
            <w:hideMark/>
          </w:tcPr>
          <w:p w14:paraId="59676D8D" w14:textId="77777777" w:rsidR="00A65EAE" w:rsidRPr="00050FA4" w:rsidRDefault="00A65EAE" w:rsidP="00526A0A">
            <w:pPr>
              <w:rPr>
                <w:rFonts w:ascii="Garamond" w:eastAsia="Times New Roman" w:hAnsi="Garamond"/>
                <w:b/>
                <w:color w:val="0D0D0D" w:themeColor="text1" w:themeTint="F2"/>
                <w:sz w:val="20"/>
                <w:szCs w:val="20"/>
              </w:rPr>
            </w:pPr>
            <w:r w:rsidRPr="00050FA4">
              <w:rPr>
                <w:rFonts w:ascii="Garamond" w:hAnsi="Garamond"/>
                <w:color w:val="0D0D0D" w:themeColor="text1" w:themeTint="F2"/>
                <w:sz w:val="20"/>
                <w:szCs w:val="20"/>
              </w:rPr>
              <w:t xml:space="preserve">Kontributet e mbledhura </w:t>
            </w:r>
          </w:p>
        </w:tc>
        <w:tc>
          <w:tcPr>
            <w:tcW w:w="786" w:type="pct"/>
            <w:shd w:val="clear" w:color="auto" w:fill="FFFFFF"/>
            <w:vAlign w:val="center"/>
            <w:hideMark/>
          </w:tcPr>
          <w:p w14:paraId="6FE2A1C5"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97,542</w:t>
            </w:r>
          </w:p>
        </w:tc>
        <w:tc>
          <w:tcPr>
            <w:tcW w:w="797" w:type="pct"/>
            <w:tcBorders>
              <w:top w:val="nil"/>
              <w:left w:val="nil"/>
              <w:bottom w:val="nil"/>
              <w:right w:val="single" w:sz="4" w:space="0" w:color="auto"/>
            </w:tcBorders>
            <w:shd w:val="clear" w:color="auto" w:fill="FFFFFF"/>
            <w:vAlign w:val="center"/>
            <w:hideMark/>
          </w:tcPr>
          <w:p w14:paraId="646503D1"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89,705</w:t>
            </w:r>
          </w:p>
        </w:tc>
        <w:tc>
          <w:tcPr>
            <w:tcW w:w="621" w:type="pct"/>
            <w:tcBorders>
              <w:top w:val="nil"/>
              <w:left w:val="single" w:sz="4" w:space="0" w:color="auto"/>
              <w:bottom w:val="nil"/>
              <w:right w:val="nil"/>
            </w:tcBorders>
            <w:shd w:val="clear" w:color="auto" w:fill="FFFFFF"/>
            <w:vAlign w:val="center"/>
            <w:hideMark/>
          </w:tcPr>
          <w:p w14:paraId="12504F81"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7,837</w:t>
            </w:r>
          </w:p>
        </w:tc>
        <w:tc>
          <w:tcPr>
            <w:tcW w:w="591" w:type="pct"/>
            <w:tcBorders>
              <w:top w:val="nil"/>
              <w:left w:val="nil"/>
              <w:bottom w:val="nil"/>
              <w:right w:val="single" w:sz="8" w:space="0" w:color="auto"/>
            </w:tcBorders>
            <w:shd w:val="clear" w:color="auto" w:fill="FFFFFF"/>
            <w:vAlign w:val="center"/>
            <w:hideMark/>
          </w:tcPr>
          <w:p w14:paraId="2E06D4E4" w14:textId="77777777" w:rsidR="00A65EAE" w:rsidRPr="00050FA4" w:rsidRDefault="00A65EAE" w:rsidP="00526A0A">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8.7%</w:t>
            </w:r>
          </w:p>
        </w:tc>
      </w:tr>
      <w:tr w:rsidR="00FA29AB" w:rsidRPr="00050FA4" w14:paraId="4AB19B31" w14:textId="77777777" w:rsidTr="000762ED">
        <w:trPr>
          <w:trHeight w:val="52"/>
          <w:jc w:val="center"/>
        </w:trPr>
        <w:tc>
          <w:tcPr>
            <w:tcW w:w="2206" w:type="pct"/>
            <w:tcBorders>
              <w:top w:val="nil"/>
              <w:left w:val="single" w:sz="4" w:space="0" w:color="auto"/>
              <w:bottom w:val="single" w:sz="4" w:space="0" w:color="auto"/>
              <w:right w:val="single" w:sz="4" w:space="0" w:color="auto"/>
            </w:tcBorders>
            <w:shd w:val="clear" w:color="auto" w:fill="EDEDED"/>
            <w:vAlign w:val="center"/>
            <w:hideMark/>
          </w:tcPr>
          <w:p w14:paraId="4E20EBE6" w14:textId="77777777" w:rsidR="00A65EAE" w:rsidRPr="00050FA4" w:rsidRDefault="00A65EAE" w:rsidP="00526A0A">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TOTALI GDC + GDT (Kontribute)</w:t>
            </w:r>
          </w:p>
        </w:tc>
        <w:tc>
          <w:tcPr>
            <w:tcW w:w="786" w:type="pct"/>
            <w:tcBorders>
              <w:top w:val="single" w:sz="8" w:space="0" w:color="000000"/>
              <w:left w:val="nil"/>
              <w:bottom w:val="single" w:sz="8" w:space="0" w:color="auto"/>
              <w:right w:val="nil"/>
            </w:tcBorders>
            <w:shd w:val="clear" w:color="auto" w:fill="EDEDED"/>
            <w:vAlign w:val="center"/>
            <w:hideMark/>
          </w:tcPr>
          <w:p w14:paraId="6006B171"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400,351</w:t>
            </w:r>
          </w:p>
        </w:tc>
        <w:tc>
          <w:tcPr>
            <w:tcW w:w="797" w:type="pct"/>
            <w:tcBorders>
              <w:top w:val="single" w:sz="8" w:space="0" w:color="000000"/>
              <w:left w:val="nil"/>
              <w:bottom w:val="single" w:sz="8" w:space="0" w:color="auto"/>
              <w:right w:val="single" w:sz="4" w:space="0" w:color="auto"/>
            </w:tcBorders>
            <w:shd w:val="clear" w:color="auto" w:fill="EDEDED"/>
            <w:vAlign w:val="center"/>
            <w:hideMark/>
          </w:tcPr>
          <w:p w14:paraId="7BD2228D"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378,987</w:t>
            </w:r>
          </w:p>
        </w:tc>
        <w:tc>
          <w:tcPr>
            <w:tcW w:w="621" w:type="pct"/>
            <w:tcBorders>
              <w:top w:val="single" w:sz="8" w:space="0" w:color="000000"/>
              <w:left w:val="single" w:sz="4" w:space="0" w:color="auto"/>
              <w:bottom w:val="single" w:sz="8" w:space="0" w:color="auto"/>
              <w:right w:val="nil"/>
            </w:tcBorders>
            <w:shd w:val="clear" w:color="auto" w:fill="EDEDED"/>
            <w:vAlign w:val="center"/>
            <w:hideMark/>
          </w:tcPr>
          <w:p w14:paraId="478467A5"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21,364</w:t>
            </w:r>
          </w:p>
        </w:tc>
        <w:tc>
          <w:tcPr>
            <w:tcW w:w="591" w:type="pct"/>
            <w:tcBorders>
              <w:top w:val="single" w:sz="8" w:space="0" w:color="000000"/>
              <w:left w:val="nil"/>
              <w:bottom w:val="single" w:sz="8" w:space="0" w:color="auto"/>
              <w:right w:val="single" w:sz="8" w:space="0" w:color="auto"/>
            </w:tcBorders>
            <w:shd w:val="clear" w:color="auto" w:fill="EDEDED"/>
            <w:vAlign w:val="center"/>
            <w:hideMark/>
          </w:tcPr>
          <w:p w14:paraId="3D88F87D" w14:textId="77777777" w:rsidR="00A65EAE" w:rsidRPr="00050FA4" w:rsidRDefault="00A65EAE" w:rsidP="00526A0A">
            <w:pPr>
              <w:jc w:val="right"/>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18"/>
                <w:szCs w:val="18"/>
                <w14:shadow w14:blurRad="50800" w14:dist="38100" w14:dir="2700000" w14:sx="100000" w14:sy="100000" w14:kx="0" w14:ky="0" w14:algn="tl">
                  <w14:srgbClr w14:val="000000">
                    <w14:alpha w14:val="60000"/>
                  </w14:srgbClr>
                </w14:shadow>
              </w:rPr>
              <w:t>5.6%</w:t>
            </w:r>
          </w:p>
        </w:tc>
      </w:tr>
    </w:tbl>
    <w:p w14:paraId="1A9B8118" w14:textId="6DD73CE6" w:rsidR="00A65EAE" w:rsidRPr="00050FA4" w:rsidRDefault="00A65EAE" w:rsidP="003F1DA7">
      <w:pPr>
        <w:pStyle w:val="AAAAAAATEXXXX"/>
        <w:jc w:val="center"/>
        <w:rPr>
          <w:sz w:val="20"/>
          <w:szCs w:val="20"/>
          <w:lang w:val="sq-AL"/>
        </w:rPr>
      </w:pPr>
      <w:r w:rsidRPr="00050FA4">
        <w:rPr>
          <w:sz w:val="20"/>
          <w:szCs w:val="20"/>
          <w:lang w:val="sq-AL"/>
        </w:rPr>
        <w:t xml:space="preserve">Burimi: Ministria e </w:t>
      </w:r>
      <w:r w:rsidR="00D24918" w:rsidRPr="00050FA4">
        <w:rPr>
          <w:sz w:val="20"/>
          <w:szCs w:val="20"/>
          <w:lang w:val="sq-AL"/>
        </w:rPr>
        <w:t>Financave</w:t>
      </w:r>
      <w:r w:rsidRPr="00050FA4">
        <w:rPr>
          <w:sz w:val="20"/>
          <w:szCs w:val="20"/>
          <w:lang w:val="sq-AL"/>
        </w:rPr>
        <w:t xml:space="preserve"> dhe Ekonomisë (2021)</w:t>
      </w:r>
    </w:p>
    <w:p w14:paraId="4DFD89CE" w14:textId="77777777" w:rsidR="00092FA0" w:rsidRPr="00050FA4" w:rsidRDefault="00092FA0" w:rsidP="003F1DA7">
      <w:pPr>
        <w:ind w:firstLine="284"/>
        <w:jc w:val="both"/>
        <w:rPr>
          <w:rFonts w:ascii="Garamond" w:eastAsia="Times New Roman" w:hAnsi="Garamond"/>
          <w:color w:val="0D0D0D" w:themeColor="text1" w:themeTint="F2"/>
          <w:sz w:val="20"/>
          <w:szCs w:val="20"/>
        </w:rPr>
      </w:pPr>
    </w:p>
    <w:p w14:paraId="5AB42479" w14:textId="77777777" w:rsidR="00A65EAE" w:rsidRPr="00050FA4" w:rsidRDefault="00A65EAE" w:rsidP="003F1DA7">
      <w:pPr>
        <w:pStyle w:val="AAAAAAATEXXXX"/>
        <w:rPr>
          <w:lang w:val="sq-AL"/>
        </w:rPr>
      </w:pPr>
      <w:r w:rsidRPr="00050FA4">
        <w:rPr>
          <w:lang w:val="sq-AL"/>
        </w:rPr>
        <w:t>Faktorët kryesorë që kanë ndikuar në ecurinë 11-mujore kundrejt planit janë:</w:t>
      </w:r>
    </w:p>
    <w:p w14:paraId="4BE81CFC" w14:textId="7C3E3DB1" w:rsidR="00A65EAE" w:rsidRPr="00050FA4" w:rsidRDefault="0090473F" w:rsidP="003F1DA7">
      <w:pPr>
        <w:pStyle w:val="AAAAAAATEXXXX"/>
        <w:rPr>
          <w:lang w:val="sq-AL"/>
        </w:rPr>
      </w:pPr>
      <w:r w:rsidRPr="00050FA4">
        <w:rPr>
          <w:lang w:val="sq-AL"/>
        </w:rPr>
        <w:t xml:space="preserve">- </w:t>
      </w:r>
      <w:r w:rsidR="00A65EAE" w:rsidRPr="00050FA4">
        <w:rPr>
          <w:lang w:val="sq-AL"/>
        </w:rPr>
        <w:t>Vaksinimi i shpejtë i popullsisë, hapja graduale e ekonomisë dhe sezoni veror, ringjallja e turizmit dhe të gjithë sektorëve të tjerë të ekonomisë që lidhen drejtpërdrejt ose indirekt me turizmin, ndikuan pozitivisht në rritjen ekonomike dhe të ardhurat që ekonomia ka krijuar për buxhetin e shtetit.</w:t>
      </w:r>
    </w:p>
    <w:p w14:paraId="22ACC006" w14:textId="4771C219" w:rsidR="00A65EAE" w:rsidRPr="00050FA4" w:rsidRDefault="0090473F" w:rsidP="003F1DA7">
      <w:pPr>
        <w:pStyle w:val="AAAAAAATEXXXX"/>
        <w:rPr>
          <w:lang w:val="sq-AL"/>
        </w:rPr>
      </w:pPr>
      <w:r w:rsidRPr="00050FA4">
        <w:rPr>
          <w:lang w:val="sq-AL"/>
        </w:rPr>
        <w:t xml:space="preserve">- </w:t>
      </w:r>
      <w:r w:rsidR="00A65EAE" w:rsidRPr="00050FA4">
        <w:rPr>
          <w:lang w:val="sq-AL"/>
        </w:rPr>
        <w:t>Ecuria pozitive e sektorit të ndërtimit, duke përfshirë rindërtimin</w:t>
      </w:r>
      <w:r w:rsidR="00D91AB1" w:rsidRPr="00050FA4">
        <w:rPr>
          <w:lang w:val="sq-AL"/>
        </w:rPr>
        <w:t>,</w:t>
      </w:r>
      <w:r w:rsidR="00A65EAE" w:rsidRPr="00050FA4">
        <w:rPr>
          <w:lang w:val="sq-AL"/>
        </w:rPr>
        <w:t xml:space="preserve"> për shkak të pasojave të tërmetit, kanë rritur xhiron, importet, prodhimin </w:t>
      </w:r>
      <w:r w:rsidR="00643BAF" w:rsidRPr="00050FA4">
        <w:rPr>
          <w:lang w:val="sq-AL"/>
        </w:rPr>
        <w:t>vendës</w:t>
      </w:r>
      <w:r w:rsidR="00A65EAE" w:rsidRPr="00050FA4">
        <w:rPr>
          <w:lang w:val="sq-AL"/>
        </w:rPr>
        <w:t xml:space="preserve"> dhe të ardhurat buxhetore.</w:t>
      </w:r>
    </w:p>
    <w:p w14:paraId="584F5CCD" w14:textId="7230020F" w:rsidR="00A65EAE" w:rsidRPr="00050FA4" w:rsidRDefault="0090473F" w:rsidP="003F1DA7">
      <w:pPr>
        <w:pStyle w:val="AAAAAAATEXXXX"/>
        <w:rPr>
          <w:lang w:val="sq-AL"/>
        </w:rPr>
      </w:pPr>
      <w:r w:rsidRPr="00050FA4">
        <w:rPr>
          <w:lang w:val="sq-AL"/>
        </w:rPr>
        <w:t xml:space="preserve">- </w:t>
      </w:r>
      <w:r w:rsidR="00A65EAE" w:rsidRPr="00050FA4">
        <w:rPr>
          <w:lang w:val="sq-AL"/>
        </w:rPr>
        <w:t xml:space="preserve">Rritja e të ardhurave doganore si rezultat i rritjes së vëllimit të importeve dhe </w:t>
      </w:r>
      <w:r w:rsidR="00D91AB1" w:rsidRPr="00050FA4">
        <w:rPr>
          <w:lang w:val="sq-AL"/>
        </w:rPr>
        <w:t xml:space="preserve">e </w:t>
      </w:r>
      <w:r w:rsidR="00A65EAE" w:rsidRPr="00050FA4">
        <w:rPr>
          <w:lang w:val="sq-AL"/>
        </w:rPr>
        <w:t>rritjes së çmimeve në tregjet ndërkombëtare.</w:t>
      </w:r>
    </w:p>
    <w:p w14:paraId="77A80E45" w14:textId="77777777" w:rsidR="00A65EAE" w:rsidRPr="00050FA4" w:rsidRDefault="00A65EAE" w:rsidP="003F1DA7">
      <w:pPr>
        <w:pStyle w:val="AAAAAAATEXXXX"/>
        <w:rPr>
          <w:lang w:val="sq-AL"/>
        </w:rPr>
      </w:pPr>
      <w:r w:rsidRPr="00050FA4">
        <w:rPr>
          <w:lang w:val="sq-AL"/>
        </w:rPr>
        <w:t>Të ardhurat nga Drejtoria e Përgjithshme e Doganave arritën në 172.3 miliardë lekë, me një realizim prej 112.3% të planit. Krahasuar me të njëjtën periudhë të vitit 2020, janë arkëtuar 25.6%, ose 35.1 miliardë lekë më shumë.</w:t>
      </w:r>
    </w:p>
    <w:p w14:paraId="129C902F" w14:textId="77777777" w:rsidR="00092FA0" w:rsidRPr="00050FA4" w:rsidRDefault="00092FA0" w:rsidP="003F1DA7">
      <w:pPr>
        <w:pStyle w:val="AAAAAAATEXXXX"/>
        <w:rPr>
          <w:lang w:val="sq-AL"/>
        </w:rPr>
      </w:pPr>
    </w:p>
    <w:p w14:paraId="05385931" w14:textId="09B463FB" w:rsidR="00A65EAE" w:rsidRPr="00050FA4" w:rsidRDefault="00A65EAE" w:rsidP="003F1DA7">
      <w:pPr>
        <w:pStyle w:val="AAAAAAATEXXXX"/>
        <w:jc w:val="center"/>
        <w:rPr>
          <w:rFonts w:eastAsia="Times New Roman"/>
          <w:b/>
          <w:i/>
          <w:sz w:val="20"/>
          <w:szCs w:val="20"/>
          <w:lang w:val="sq-AL"/>
        </w:rPr>
      </w:pPr>
      <w:r w:rsidRPr="00050FA4">
        <w:rPr>
          <w:rFonts w:eastAsia="Times New Roman"/>
          <w:b/>
          <w:i/>
          <w:sz w:val="20"/>
          <w:szCs w:val="20"/>
          <w:lang w:val="sq-AL"/>
        </w:rPr>
        <w:t xml:space="preserve">Tabelë 4.2.2 </w:t>
      </w:r>
      <w:r w:rsidRPr="00050FA4">
        <w:rPr>
          <w:b/>
          <w:i/>
          <w:sz w:val="20"/>
          <w:szCs w:val="20"/>
          <w:lang w:val="sq-AL"/>
        </w:rPr>
        <w:t>Të ardhurat e mbledhura nga Drejtoria e Përgjithshme e Doganave (në milionë lekë)</w:t>
      </w:r>
    </w:p>
    <w:tbl>
      <w:tblPr>
        <w:tblW w:w="9487" w:type="dxa"/>
        <w:jc w:val="center"/>
        <w:tblLook w:val="04A0" w:firstRow="1" w:lastRow="0" w:firstColumn="1" w:lastColumn="0" w:noHBand="0" w:noVBand="1"/>
      </w:tblPr>
      <w:tblGrid>
        <w:gridCol w:w="3862"/>
        <w:gridCol w:w="1376"/>
        <w:gridCol w:w="1396"/>
        <w:gridCol w:w="1087"/>
        <w:gridCol w:w="1766"/>
      </w:tblGrid>
      <w:tr w:rsidR="00FA29AB" w:rsidRPr="00050FA4" w14:paraId="477807B3" w14:textId="77777777" w:rsidTr="00D91AB1">
        <w:trPr>
          <w:trHeight w:val="287"/>
          <w:jc w:val="center"/>
        </w:trPr>
        <w:tc>
          <w:tcPr>
            <w:tcW w:w="3862" w:type="dxa"/>
            <w:vMerge w:val="restart"/>
            <w:tcBorders>
              <w:top w:val="single" w:sz="4" w:space="0" w:color="auto"/>
              <w:left w:val="single" w:sz="4" w:space="0" w:color="auto"/>
              <w:bottom w:val="single" w:sz="8" w:space="0" w:color="000000"/>
              <w:right w:val="single" w:sz="4" w:space="0" w:color="auto"/>
            </w:tcBorders>
            <w:shd w:val="clear" w:color="auto" w:fill="EDEDED"/>
            <w:vAlign w:val="center"/>
          </w:tcPr>
          <w:p w14:paraId="5DC26479" w14:textId="77777777" w:rsidR="00A65EAE" w:rsidRPr="00050FA4" w:rsidRDefault="00A65EAE" w:rsidP="00D91AB1">
            <w:pPr>
              <w:jc w:val="center"/>
              <w:rPr>
                <w:rFonts w:ascii="Garamond" w:eastAsia="Times New Roman" w:hAnsi="Garamond"/>
                <w:b/>
                <w:bCs/>
                <w:color w:val="0D0D0D" w:themeColor="text1" w:themeTint="F2"/>
                <w:sz w:val="20"/>
                <w:szCs w:val="20"/>
              </w:rPr>
            </w:pPr>
          </w:p>
          <w:p w14:paraId="05954E3A" w14:textId="77777777" w:rsidR="00A65EAE" w:rsidRPr="00050FA4" w:rsidRDefault="00A65EAE" w:rsidP="00D91AB1">
            <w:pPr>
              <w:jc w:val="center"/>
              <w:rPr>
                <w:rFonts w:ascii="Garamond" w:eastAsia="Times New Roman" w:hAnsi="Garamond"/>
                <w:b/>
                <w:bCs/>
                <w:color w:val="0D0D0D" w:themeColor="text1" w:themeTint="F2"/>
                <w:sz w:val="20"/>
                <w:szCs w:val="20"/>
              </w:rPr>
            </w:pPr>
            <w:r w:rsidRPr="00050FA4">
              <w:rPr>
                <w:rFonts w:ascii="Garamond" w:hAnsi="Garamond"/>
                <w:b/>
                <w:color w:val="0D0D0D" w:themeColor="text1" w:themeTint="F2"/>
                <w:sz w:val="20"/>
                <w:szCs w:val="20"/>
              </w:rPr>
              <w:t>Lloji i taksës</w:t>
            </w:r>
          </w:p>
        </w:tc>
        <w:tc>
          <w:tcPr>
            <w:tcW w:w="1376" w:type="dxa"/>
            <w:vMerge w:val="restart"/>
            <w:tcBorders>
              <w:top w:val="single" w:sz="4" w:space="0" w:color="auto"/>
              <w:left w:val="nil"/>
              <w:bottom w:val="single" w:sz="8" w:space="0" w:color="000000"/>
              <w:right w:val="nil"/>
            </w:tcBorders>
            <w:shd w:val="clear" w:color="auto" w:fill="EDEDED"/>
            <w:vAlign w:val="center"/>
            <w:hideMark/>
          </w:tcPr>
          <w:p w14:paraId="6D672057" w14:textId="77777777" w:rsidR="00A65EAE" w:rsidRPr="00050FA4" w:rsidRDefault="00A65EAE" w:rsidP="00D91AB1">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Fakt 11 M 2021</w:t>
            </w:r>
          </w:p>
        </w:tc>
        <w:tc>
          <w:tcPr>
            <w:tcW w:w="1396" w:type="dxa"/>
            <w:vMerge w:val="restart"/>
            <w:tcBorders>
              <w:top w:val="single" w:sz="4" w:space="0" w:color="auto"/>
              <w:left w:val="nil"/>
              <w:bottom w:val="single" w:sz="8" w:space="0" w:color="000000"/>
              <w:right w:val="single" w:sz="4" w:space="0" w:color="auto"/>
            </w:tcBorders>
            <w:shd w:val="clear" w:color="auto" w:fill="EDEDED"/>
            <w:vAlign w:val="center"/>
            <w:hideMark/>
          </w:tcPr>
          <w:p w14:paraId="28509654" w14:textId="77777777" w:rsidR="00A65EAE" w:rsidRPr="00050FA4" w:rsidRDefault="00A65EAE" w:rsidP="00D91AB1">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Plan 11 M 2021</w:t>
            </w:r>
          </w:p>
        </w:tc>
        <w:tc>
          <w:tcPr>
            <w:tcW w:w="2853" w:type="dxa"/>
            <w:gridSpan w:val="2"/>
            <w:tcBorders>
              <w:top w:val="single" w:sz="4" w:space="0" w:color="auto"/>
              <w:left w:val="nil"/>
              <w:bottom w:val="single" w:sz="4" w:space="0" w:color="auto"/>
              <w:right w:val="single" w:sz="4" w:space="0" w:color="000000"/>
            </w:tcBorders>
            <w:shd w:val="clear" w:color="auto" w:fill="EDEDED"/>
            <w:vAlign w:val="center"/>
            <w:hideMark/>
          </w:tcPr>
          <w:p w14:paraId="36A3DD92" w14:textId="752EF395" w:rsidR="00A65EAE" w:rsidRPr="00050FA4" w:rsidRDefault="00A65EAE" w:rsidP="00D91AB1">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 xml:space="preserve">Diferenca </w:t>
            </w:r>
            <w:r w:rsidR="00E635DE" w:rsidRPr="00050FA4">
              <w:rPr>
                <w:rFonts w:ascii="Garamond" w:eastAsia="Times New Roman" w:hAnsi="Garamond"/>
                <w:b/>
                <w:bCs/>
                <w:color w:val="0D0D0D" w:themeColor="text1" w:themeTint="F2"/>
                <w:sz w:val="20"/>
                <w:szCs w:val="20"/>
              </w:rPr>
              <w:t xml:space="preserve">fakt/plan </w:t>
            </w:r>
            <w:r w:rsidRPr="00050FA4">
              <w:rPr>
                <w:rFonts w:ascii="Garamond" w:eastAsia="Times New Roman" w:hAnsi="Garamond"/>
                <w:b/>
                <w:bCs/>
                <w:color w:val="0D0D0D" w:themeColor="text1" w:themeTint="F2"/>
                <w:sz w:val="20"/>
                <w:szCs w:val="20"/>
              </w:rPr>
              <w:t>2021</w:t>
            </w:r>
          </w:p>
        </w:tc>
      </w:tr>
      <w:tr w:rsidR="00FA29AB" w:rsidRPr="00050FA4" w14:paraId="7EB98118" w14:textId="77777777" w:rsidTr="00D91AB1">
        <w:trPr>
          <w:trHeight w:val="274"/>
          <w:jc w:val="center"/>
        </w:trPr>
        <w:tc>
          <w:tcPr>
            <w:tcW w:w="0" w:type="auto"/>
            <w:vMerge/>
            <w:tcBorders>
              <w:top w:val="single" w:sz="4" w:space="0" w:color="auto"/>
              <w:left w:val="single" w:sz="4" w:space="0" w:color="auto"/>
              <w:bottom w:val="single" w:sz="8" w:space="0" w:color="000000"/>
              <w:right w:val="single" w:sz="4" w:space="0" w:color="auto"/>
            </w:tcBorders>
            <w:vAlign w:val="center"/>
            <w:hideMark/>
          </w:tcPr>
          <w:p w14:paraId="62CC39D0" w14:textId="77777777" w:rsidR="00A65EAE" w:rsidRPr="00050FA4" w:rsidRDefault="00A65EAE" w:rsidP="00D91AB1">
            <w:pPr>
              <w:jc w:val="center"/>
              <w:rPr>
                <w:rFonts w:ascii="Garamond" w:eastAsia="Times New Roman" w:hAnsi="Garamond"/>
                <w:b/>
                <w:bCs/>
                <w:color w:val="0D0D0D" w:themeColor="text1" w:themeTint="F2"/>
                <w:sz w:val="20"/>
                <w:szCs w:val="20"/>
              </w:rPr>
            </w:pPr>
          </w:p>
        </w:tc>
        <w:tc>
          <w:tcPr>
            <w:tcW w:w="0" w:type="auto"/>
            <w:vMerge/>
            <w:tcBorders>
              <w:top w:val="single" w:sz="4" w:space="0" w:color="auto"/>
              <w:left w:val="nil"/>
              <w:bottom w:val="single" w:sz="8" w:space="0" w:color="000000"/>
              <w:right w:val="nil"/>
            </w:tcBorders>
            <w:vAlign w:val="center"/>
            <w:hideMark/>
          </w:tcPr>
          <w:p w14:paraId="4FD2CDF5" w14:textId="77777777" w:rsidR="00A65EAE" w:rsidRPr="00050FA4" w:rsidRDefault="00A65EAE" w:rsidP="00D91AB1">
            <w:pPr>
              <w:jc w:val="center"/>
              <w:rPr>
                <w:rFonts w:ascii="Garamond" w:eastAsia="Times New Roman" w:hAnsi="Garamond"/>
                <w:b/>
                <w:bCs/>
                <w:color w:val="0D0D0D" w:themeColor="text1" w:themeTint="F2"/>
                <w:sz w:val="20"/>
                <w:szCs w:val="20"/>
              </w:rPr>
            </w:pPr>
          </w:p>
        </w:tc>
        <w:tc>
          <w:tcPr>
            <w:tcW w:w="0" w:type="auto"/>
            <w:vMerge/>
            <w:tcBorders>
              <w:top w:val="single" w:sz="4" w:space="0" w:color="auto"/>
              <w:left w:val="nil"/>
              <w:bottom w:val="single" w:sz="8" w:space="0" w:color="000000"/>
              <w:right w:val="single" w:sz="4" w:space="0" w:color="auto"/>
            </w:tcBorders>
            <w:vAlign w:val="center"/>
            <w:hideMark/>
          </w:tcPr>
          <w:p w14:paraId="65341155" w14:textId="77777777" w:rsidR="00A65EAE" w:rsidRPr="00050FA4" w:rsidRDefault="00A65EAE" w:rsidP="00D91AB1">
            <w:pPr>
              <w:jc w:val="center"/>
              <w:rPr>
                <w:rFonts w:ascii="Garamond" w:eastAsia="Times New Roman" w:hAnsi="Garamond"/>
                <w:b/>
                <w:bCs/>
                <w:color w:val="0D0D0D" w:themeColor="text1" w:themeTint="F2"/>
                <w:sz w:val="20"/>
                <w:szCs w:val="20"/>
              </w:rPr>
            </w:pPr>
          </w:p>
        </w:tc>
        <w:tc>
          <w:tcPr>
            <w:tcW w:w="1087" w:type="dxa"/>
            <w:tcBorders>
              <w:top w:val="nil"/>
              <w:left w:val="nil"/>
              <w:bottom w:val="single" w:sz="8" w:space="0" w:color="auto"/>
              <w:right w:val="nil"/>
            </w:tcBorders>
            <w:shd w:val="clear" w:color="auto" w:fill="EDEDED"/>
            <w:vAlign w:val="center"/>
            <w:hideMark/>
          </w:tcPr>
          <w:p w14:paraId="1989E836" w14:textId="77777777" w:rsidR="00A65EAE" w:rsidRPr="00050FA4" w:rsidRDefault="00A65EAE" w:rsidP="00D91AB1">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Vlera</w:t>
            </w:r>
          </w:p>
        </w:tc>
        <w:tc>
          <w:tcPr>
            <w:tcW w:w="1765" w:type="dxa"/>
            <w:tcBorders>
              <w:top w:val="nil"/>
              <w:left w:val="nil"/>
              <w:bottom w:val="single" w:sz="8" w:space="0" w:color="auto"/>
              <w:right w:val="single" w:sz="4" w:space="0" w:color="auto"/>
            </w:tcBorders>
            <w:shd w:val="clear" w:color="auto" w:fill="EDEDED"/>
            <w:vAlign w:val="center"/>
            <w:hideMark/>
          </w:tcPr>
          <w:p w14:paraId="5A9E1C88" w14:textId="77777777" w:rsidR="00A65EAE" w:rsidRPr="00050FA4" w:rsidRDefault="00A65EAE" w:rsidP="00D91AB1">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w:t>
            </w:r>
          </w:p>
        </w:tc>
      </w:tr>
      <w:tr w:rsidR="00FA29AB" w:rsidRPr="00050FA4" w14:paraId="6D241A0D" w14:textId="77777777" w:rsidTr="0090473F">
        <w:trPr>
          <w:trHeight w:val="263"/>
          <w:jc w:val="center"/>
        </w:trPr>
        <w:tc>
          <w:tcPr>
            <w:tcW w:w="3862" w:type="dxa"/>
            <w:tcBorders>
              <w:top w:val="nil"/>
              <w:left w:val="single" w:sz="4" w:space="0" w:color="auto"/>
              <w:bottom w:val="nil"/>
              <w:right w:val="single" w:sz="4" w:space="0" w:color="auto"/>
            </w:tcBorders>
            <w:shd w:val="clear" w:color="auto" w:fill="FFFFFF"/>
            <w:vAlign w:val="center"/>
            <w:hideMark/>
          </w:tcPr>
          <w:p w14:paraId="2D9A60F1" w14:textId="77777777" w:rsidR="00A65EAE" w:rsidRPr="00050FA4" w:rsidRDefault="00A65EAE" w:rsidP="00E635DE">
            <w:pPr>
              <w:rPr>
                <w:rFonts w:ascii="Garamond" w:eastAsia="Times New Roman" w:hAnsi="Garamond"/>
                <w:b/>
                <w:color w:val="0D0D0D" w:themeColor="text1" w:themeTint="F2"/>
                <w:sz w:val="20"/>
                <w:szCs w:val="20"/>
              </w:rPr>
            </w:pPr>
            <w:r w:rsidRPr="00050FA4">
              <w:rPr>
                <w:rFonts w:ascii="Garamond" w:hAnsi="Garamond"/>
                <w:color w:val="0D0D0D" w:themeColor="text1" w:themeTint="F2"/>
                <w:sz w:val="20"/>
                <w:szCs w:val="20"/>
              </w:rPr>
              <w:t>TVSH në import</w:t>
            </w:r>
          </w:p>
        </w:tc>
        <w:tc>
          <w:tcPr>
            <w:tcW w:w="1376" w:type="dxa"/>
            <w:shd w:val="clear" w:color="auto" w:fill="FFFFFF"/>
            <w:vAlign w:val="center"/>
            <w:hideMark/>
          </w:tcPr>
          <w:p w14:paraId="1685D4B2"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116,811</w:t>
            </w:r>
          </w:p>
        </w:tc>
        <w:tc>
          <w:tcPr>
            <w:tcW w:w="1396" w:type="dxa"/>
            <w:shd w:val="clear" w:color="auto" w:fill="FFFFFF"/>
            <w:vAlign w:val="center"/>
            <w:hideMark/>
          </w:tcPr>
          <w:p w14:paraId="273D6DA8"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100,612</w:t>
            </w:r>
          </w:p>
        </w:tc>
        <w:tc>
          <w:tcPr>
            <w:tcW w:w="1087" w:type="dxa"/>
            <w:tcBorders>
              <w:top w:val="nil"/>
              <w:left w:val="single" w:sz="8" w:space="0" w:color="auto"/>
              <w:bottom w:val="nil"/>
              <w:right w:val="nil"/>
            </w:tcBorders>
            <w:shd w:val="clear" w:color="auto" w:fill="FFFFFF"/>
            <w:vAlign w:val="center"/>
            <w:hideMark/>
          </w:tcPr>
          <w:p w14:paraId="7AA49A53"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16,199</w:t>
            </w:r>
          </w:p>
        </w:tc>
        <w:tc>
          <w:tcPr>
            <w:tcW w:w="1765" w:type="dxa"/>
            <w:tcBorders>
              <w:top w:val="nil"/>
              <w:left w:val="nil"/>
              <w:bottom w:val="nil"/>
              <w:right w:val="single" w:sz="8" w:space="0" w:color="auto"/>
            </w:tcBorders>
            <w:shd w:val="clear" w:color="auto" w:fill="FFFFFF"/>
            <w:vAlign w:val="center"/>
            <w:hideMark/>
          </w:tcPr>
          <w:p w14:paraId="17C14942"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16.1%</w:t>
            </w:r>
          </w:p>
        </w:tc>
      </w:tr>
      <w:tr w:rsidR="00FA29AB" w:rsidRPr="00050FA4" w14:paraId="0E65B95F" w14:textId="77777777" w:rsidTr="0090473F">
        <w:trPr>
          <w:trHeight w:val="263"/>
          <w:jc w:val="center"/>
        </w:trPr>
        <w:tc>
          <w:tcPr>
            <w:tcW w:w="3862" w:type="dxa"/>
            <w:tcBorders>
              <w:top w:val="nil"/>
              <w:left w:val="single" w:sz="4" w:space="0" w:color="auto"/>
              <w:bottom w:val="nil"/>
              <w:right w:val="single" w:sz="4" w:space="0" w:color="auto"/>
            </w:tcBorders>
            <w:shd w:val="clear" w:color="auto" w:fill="FFFFFF"/>
            <w:vAlign w:val="center"/>
            <w:hideMark/>
          </w:tcPr>
          <w:p w14:paraId="1D0863F4" w14:textId="77777777" w:rsidR="00A65EAE" w:rsidRPr="00050FA4" w:rsidRDefault="00A65EAE" w:rsidP="00E635DE">
            <w:pPr>
              <w:rPr>
                <w:rFonts w:ascii="Garamond" w:eastAsia="Times New Roman" w:hAnsi="Garamond"/>
                <w:b/>
                <w:color w:val="0D0D0D" w:themeColor="text1" w:themeTint="F2"/>
                <w:sz w:val="20"/>
                <w:szCs w:val="20"/>
              </w:rPr>
            </w:pPr>
            <w:r w:rsidRPr="00050FA4">
              <w:rPr>
                <w:rFonts w:ascii="Garamond" w:hAnsi="Garamond"/>
                <w:color w:val="0D0D0D" w:themeColor="text1" w:themeTint="F2"/>
                <w:sz w:val="20"/>
                <w:szCs w:val="20"/>
              </w:rPr>
              <w:t>Akciza</w:t>
            </w:r>
          </w:p>
        </w:tc>
        <w:tc>
          <w:tcPr>
            <w:tcW w:w="1376" w:type="dxa"/>
            <w:shd w:val="clear" w:color="auto" w:fill="FFFFFF"/>
            <w:vAlign w:val="center"/>
            <w:hideMark/>
          </w:tcPr>
          <w:p w14:paraId="65EF4B99"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46,608</w:t>
            </w:r>
          </w:p>
        </w:tc>
        <w:tc>
          <w:tcPr>
            <w:tcW w:w="1396" w:type="dxa"/>
            <w:shd w:val="clear" w:color="auto" w:fill="FFFFFF"/>
            <w:vAlign w:val="center"/>
            <w:hideMark/>
          </w:tcPr>
          <w:p w14:paraId="2834231F"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44,790</w:t>
            </w:r>
          </w:p>
        </w:tc>
        <w:tc>
          <w:tcPr>
            <w:tcW w:w="1087" w:type="dxa"/>
            <w:tcBorders>
              <w:top w:val="nil"/>
              <w:left w:val="single" w:sz="8" w:space="0" w:color="auto"/>
              <w:bottom w:val="nil"/>
              <w:right w:val="nil"/>
            </w:tcBorders>
            <w:shd w:val="clear" w:color="auto" w:fill="FFFFFF"/>
            <w:vAlign w:val="center"/>
            <w:hideMark/>
          </w:tcPr>
          <w:p w14:paraId="73341D5F"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1,818</w:t>
            </w:r>
          </w:p>
        </w:tc>
        <w:tc>
          <w:tcPr>
            <w:tcW w:w="1765" w:type="dxa"/>
            <w:tcBorders>
              <w:top w:val="nil"/>
              <w:left w:val="nil"/>
              <w:bottom w:val="nil"/>
              <w:right w:val="single" w:sz="8" w:space="0" w:color="auto"/>
            </w:tcBorders>
            <w:shd w:val="clear" w:color="auto" w:fill="FFFFFF"/>
            <w:vAlign w:val="center"/>
            <w:hideMark/>
          </w:tcPr>
          <w:p w14:paraId="3157BFCC"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4.1%</w:t>
            </w:r>
          </w:p>
        </w:tc>
      </w:tr>
      <w:tr w:rsidR="00FA29AB" w:rsidRPr="00050FA4" w14:paraId="001CD1B4" w14:textId="77777777" w:rsidTr="0090473F">
        <w:trPr>
          <w:trHeight w:val="263"/>
          <w:jc w:val="center"/>
        </w:trPr>
        <w:tc>
          <w:tcPr>
            <w:tcW w:w="3862" w:type="dxa"/>
            <w:tcBorders>
              <w:top w:val="nil"/>
              <w:left w:val="single" w:sz="4" w:space="0" w:color="auto"/>
              <w:bottom w:val="nil"/>
              <w:right w:val="single" w:sz="4" w:space="0" w:color="auto"/>
            </w:tcBorders>
            <w:shd w:val="clear" w:color="auto" w:fill="FFFFFF"/>
            <w:vAlign w:val="center"/>
            <w:hideMark/>
          </w:tcPr>
          <w:p w14:paraId="6F853731" w14:textId="77777777" w:rsidR="00A65EAE" w:rsidRPr="00050FA4" w:rsidRDefault="00A65EAE" w:rsidP="00E635DE">
            <w:pPr>
              <w:rPr>
                <w:rFonts w:ascii="Garamond" w:eastAsia="Times New Roman" w:hAnsi="Garamond"/>
                <w:b/>
                <w:color w:val="0D0D0D" w:themeColor="text1" w:themeTint="F2"/>
                <w:sz w:val="20"/>
                <w:szCs w:val="20"/>
              </w:rPr>
            </w:pPr>
            <w:r w:rsidRPr="00050FA4">
              <w:rPr>
                <w:rFonts w:ascii="Garamond" w:hAnsi="Garamond"/>
                <w:color w:val="0D0D0D" w:themeColor="text1" w:themeTint="F2"/>
                <w:sz w:val="20"/>
                <w:szCs w:val="20"/>
              </w:rPr>
              <w:t>Të drejtat e autorit</w:t>
            </w:r>
          </w:p>
        </w:tc>
        <w:tc>
          <w:tcPr>
            <w:tcW w:w="1376" w:type="dxa"/>
            <w:shd w:val="clear" w:color="auto" w:fill="FFFFFF"/>
            <w:vAlign w:val="center"/>
            <w:hideMark/>
          </w:tcPr>
          <w:p w14:paraId="64A35027"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2,208</w:t>
            </w:r>
          </w:p>
        </w:tc>
        <w:tc>
          <w:tcPr>
            <w:tcW w:w="1396" w:type="dxa"/>
            <w:shd w:val="clear" w:color="auto" w:fill="FFFFFF"/>
            <w:vAlign w:val="center"/>
            <w:hideMark/>
          </w:tcPr>
          <w:p w14:paraId="6846E406"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2,211</w:t>
            </w:r>
          </w:p>
        </w:tc>
        <w:tc>
          <w:tcPr>
            <w:tcW w:w="1087" w:type="dxa"/>
            <w:tcBorders>
              <w:top w:val="nil"/>
              <w:left w:val="single" w:sz="8" w:space="0" w:color="auto"/>
              <w:bottom w:val="nil"/>
              <w:right w:val="nil"/>
            </w:tcBorders>
            <w:shd w:val="clear" w:color="auto" w:fill="FFFFFF"/>
            <w:vAlign w:val="center"/>
            <w:hideMark/>
          </w:tcPr>
          <w:p w14:paraId="02A69DB0"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w:t>
            </w:r>
          </w:p>
        </w:tc>
        <w:tc>
          <w:tcPr>
            <w:tcW w:w="1765" w:type="dxa"/>
            <w:tcBorders>
              <w:top w:val="nil"/>
              <w:left w:val="nil"/>
              <w:bottom w:val="nil"/>
              <w:right w:val="single" w:sz="8" w:space="0" w:color="auto"/>
            </w:tcBorders>
            <w:shd w:val="clear" w:color="auto" w:fill="FFFFFF"/>
            <w:vAlign w:val="center"/>
            <w:hideMark/>
          </w:tcPr>
          <w:p w14:paraId="4CFC24CE"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-0.1%</w:t>
            </w:r>
          </w:p>
        </w:tc>
      </w:tr>
      <w:tr w:rsidR="00FA29AB" w:rsidRPr="00050FA4" w14:paraId="4C6992E6" w14:textId="77777777" w:rsidTr="0090473F">
        <w:trPr>
          <w:trHeight w:val="131"/>
          <w:jc w:val="center"/>
        </w:trPr>
        <w:tc>
          <w:tcPr>
            <w:tcW w:w="3862" w:type="dxa"/>
            <w:tcBorders>
              <w:top w:val="nil"/>
              <w:left w:val="single" w:sz="4" w:space="0" w:color="auto"/>
              <w:bottom w:val="nil"/>
              <w:right w:val="single" w:sz="4" w:space="0" w:color="auto"/>
            </w:tcBorders>
            <w:shd w:val="clear" w:color="auto" w:fill="FFFFFF"/>
            <w:vAlign w:val="center"/>
            <w:hideMark/>
          </w:tcPr>
          <w:p w14:paraId="6CA588DB" w14:textId="77777777" w:rsidR="00A65EAE" w:rsidRPr="00050FA4" w:rsidRDefault="00A65EAE" w:rsidP="00E635DE">
            <w:pPr>
              <w:rPr>
                <w:rFonts w:ascii="Garamond" w:eastAsia="Times New Roman" w:hAnsi="Garamond"/>
                <w:b/>
                <w:color w:val="0D0D0D" w:themeColor="text1" w:themeTint="F2"/>
                <w:sz w:val="20"/>
                <w:szCs w:val="20"/>
              </w:rPr>
            </w:pPr>
            <w:r w:rsidRPr="00050FA4">
              <w:rPr>
                <w:rFonts w:ascii="Garamond" w:hAnsi="Garamond"/>
                <w:color w:val="0D0D0D" w:themeColor="text1" w:themeTint="F2"/>
                <w:sz w:val="20"/>
                <w:szCs w:val="20"/>
              </w:rPr>
              <w:t>Taksa doganore</w:t>
            </w:r>
          </w:p>
        </w:tc>
        <w:tc>
          <w:tcPr>
            <w:tcW w:w="1376" w:type="dxa"/>
            <w:shd w:val="clear" w:color="auto" w:fill="FFFFFF"/>
            <w:vAlign w:val="center"/>
            <w:hideMark/>
          </w:tcPr>
          <w:p w14:paraId="258028AE"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6,700</w:t>
            </w:r>
          </w:p>
        </w:tc>
        <w:tc>
          <w:tcPr>
            <w:tcW w:w="1396" w:type="dxa"/>
            <w:shd w:val="clear" w:color="auto" w:fill="FFFFFF"/>
            <w:vAlign w:val="center"/>
            <w:hideMark/>
          </w:tcPr>
          <w:p w14:paraId="40A56B76"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5,877</w:t>
            </w:r>
          </w:p>
        </w:tc>
        <w:tc>
          <w:tcPr>
            <w:tcW w:w="1087" w:type="dxa"/>
            <w:tcBorders>
              <w:top w:val="nil"/>
              <w:left w:val="single" w:sz="8" w:space="0" w:color="auto"/>
              <w:bottom w:val="nil"/>
              <w:right w:val="nil"/>
            </w:tcBorders>
            <w:shd w:val="clear" w:color="auto" w:fill="FFFFFF"/>
            <w:vAlign w:val="center"/>
            <w:hideMark/>
          </w:tcPr>
          <w:p w14:paraId="251855F3"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823</w:t>
            </w:r>
          </w:p>
        </w:tc>
        <w:tc>
          <w:tcPr>
            <w:tcW w:w="1765" w:type="dxa"/>
            <w:tcBorders>
              <w:top w:val="nil"/>
              <w:left w:val="nil"/>
              <w:bottom w:val="nil"/>
              <w:right w:val="single" w:sz="8" w:space="0" w:color="auto"/>
            </w:tcBorders>
            <w:shd w:val="clear" w:color="auto" w:fill="FFFFFF"/>
            <w:vAlign w:val="center"/>
            <w:hideMark/>
          </w:tcPr>
          <w:p w14:paraId="31A61B14" w14:textId="77777777" w:rsidR="00A65EAE" w:rsidRPr="00050FA4" w:rsidRDefault="00A65EAE" w:rsidP="00D91AB1">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14.0%</w:t>
            </w:r>
          </w:p>
        </w:tc>
      </w:tr>
      <w:tr w:rsidR="00FA29AB" w:rsidRPr="00050FA4" w14:paraId="44D0F72C" w14:textId="77777777" w:rsidTr="0090473F">
        <w:trPr>
          <w:trHeight w:val="85"/>
          <w:jc w:val="center"/>
        </w:trPr>
        <w:tc>
          <w:tcPr>
            <w:tcW w:w="3862" w:type="dxa"/>
            <w:tcBorders>
              <w:top w:val="single" w:sz="4" w:space="0" w:color="auto"/>
              <w:left w:val="single" w:sz="4" w:space="0" w:color="auto"/>
              <w:bottom w:val="single" w:sz="4" w:space="0" w:color="auto"/>
              <w:right w:val="single" w:sz="4" w:space="0" w:color="auto"/>
            </w:tcBorders>
            <w:shd w:val="clear" w:color="auto" w:fill="EDEDED"/>
            <w:vAlign w:val="center"/>
            <w:hideMark/>
          </w:tcPr>
          <w:p w14:paraId="09356A15" w14:textId="77777777" w:rsidR="00A65EAE" w:rsidRPr="00050FA4" w:rsidRDefault="00A65EAE" w:rsidP="00E635D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TOTAL DPD</w:t>
            </w:r>
          </w:p>
        </w:tc>
        <w:tc>
          <w:tcPr>
            <w:tcW w:w="1376" w:type="dxa"/>
            <w:tcBorders>
              <w:top w:val="single" w:sz="8" w:space="0" w:color="auto"/>
              <w:left w:val="nil"/>
              <w:bottom w:val="single" w:sz="8" w:space="0" w:color="auto"/>
              <w:right w:val="nil"/>
            </w:tcBorders>
            <w:shd w:val="clear" w:color="auto" w:fill="EDEDED"/>
            <w:vAlign w:val="center"/>
            <w:hideMark/>
          </w:tcPr>
          <w:p w14:paraId="61336A04" w14:textId="77777777" w:rsidR="00A65EAE" w:rsidRPr="00050FA4" w:rsidRDefault="00A65EAE" w:rsidP="00D91AB1">
            <w:pPr>
              <w:jc w:val="right"/>
              <w:rPr>
                <w:rFonts w:ascii="Garamond" w:hAnsi="Garamond"/>
                <w:b/>
                <w:bCs/>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bCs/>
                <w:color w:val="0D0D0D" w:themeColor="text1" w:themeTint="F2"/>
                <w:sz w:val="20"/>
                <w:szCs w:val="20"/>
                <w14:shadow w14:blurRad="50800" w14:dist="38100" w14:dir="2700000" w14:sx="100000" w14:sy="100000" w14:kx="0" w14:ky="0" w14:algn="tl">
                  <w14:srgbClr w14:val="000000">
                    <w14:alpha w14:val="60000"/>
                  </w14:srgbClr>
                </w14:shadow>
              </w:rPr>
              <w:t>172,327</w:t>
            </w:r>
          </w:p>
        </w:tc>
        <w:tc>
          <w:tcPr>
            <w:tcW w:w="1396" w:type="dxa"/>
            <w:tcBorders>
              <w:top w:val="single" w:sz="8" w:space="0" w:color="auto"/>
              <w:left w:val="nil"/>
              <w:bottom w:val="single" w:sz="8" w:space="0" w:color="auto"/>
              <w:right w:val="nil"/>
            </w:tcBorders>
            <w:shd w:val="clear" w:color="auto" w:fill="EDEDED"/>
            <w:vAlign w:val="center"/>
            <w:hideMark/>
          </w:tcPr>
          <w:p w14:paraId="0C76F2C0" w14:textId="77777777" w:rsidR="00A65EAE" w:rsidRPr="00050FA4" w:rsidRDefault="00A65EAE" w:rsidP="00D91AB1">
            <w:pPr>
              <w:jc w:val="right"/>
              <w:rPr>
                <w:rFonts w:ascii="Garamond" w:hAnsi="Garamond"/>
                <w:b/>
                <w:bCs/>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bCs/>
                <w:color w:val="0D0D0D" w:themeColor="text1" w:themeTint="F2"/>
                <w:sz w:val="20"/>
                <w:szCs w:val="20"/>
                <w14:shadow w14:blurRad="50800" w14:dist="38100" w14:dir="2700000" w14:sx="100000" w14:sy="100000" w14:kx="0" w14:ky="0" w14:algn="tl">
                  <w14:srgbClr w14:val="000000">
                    <w14:alpha w14:val="60000"/>
                  </w14:srgbClr>
                </w14:shadow>
              </w:rPr>
              <w:t>153,490</w:t>
            </w:r>
          </w:p>
        </w:tc>
        <w:tc>
          <w:tcPr>
            <w:tcW w:w="1087" w:type="dxa"/>
            <w:tcBorders>
              <w:top w:val="single" w:sz="8" w:space="0" w:color="auto"/>
              <w:left w:val="single" w:sz="8" w:space="0" w:color="auto"/>
              <w:bottom w:val="single" w:sz="8" w:space="0" w:color="auto"/>
              <w:right w:val="nil"/>
            </w:tcBorders>
            <w:shd w:val="clear" w:color="auto" w:fill="EDEDED"/>
            <w:vAlign w:val="center"/>
            <w:hideMark/>
          </w:tcPr>
          <w:p w14:paraId="4A4B5451" w14:textId="77777777" w:rsidR="00A65EAE" w:rsidRPr="00050FA4" w:rsidRDefault="00A65EAE" w:rsidP="00D91AB1">
            <w:pPr>
              <w:jc w:val="right"/>
              <w:rPr>
                <w:rFonts w:ascii="Garamond" w:hAnsi="Garamond"/>
                <w:b/>
                <w:bCs/>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bCs/>
                <w:color w:val="0D0D0D" w:themeColor="text1" w:themeTint="F2"/>
                <w:sz w:val="20"/>
                <w:szCs w:val="20"/>
                <w14:shadow w14:blurRad="50800" w14:dist="38100" w14:dir="2700000" w14:sx="100000" w14:sy="100000" w14:kx="0" w14:ky="0" w14:algn="tl">
                  <w14:srgbClr w14:val="000000">
                    <w14:alpha w14:val="60000"/>
                  </w14:srgbClr>
                </w14:shadow>
              </w:rPr>
              <w:t>18,837</w:t>
            </w:r>
          </w:p>
        </w:tc>
        <w:tc>
          <w:tcPr>
            <w:tcW w:w="1765" w:type="dxa"/>
            <w:tcBorders>
              <w:top w:val="single" w:sz="8" w:space="0" w:color="auto"/>
              <w:left w:val="nil"/>
              <w:bottom w:val="single" w:sz="8" w:space="0" w:color="auto"/>
              <w:right w:val="single" w:sz="8" w:space="0" w:color="auto"/>
            </w:tcBorders>
            <w:shd w:val="clear" w:color="auto" w:fill="EDEDED"/>
            <w:vAlign w:val="center"/>
            <w:hideMark/>
          </w:tcPr>
          <w:p w14:paraId="46EE737A" w14:textId="77777777" w:rsidR="00A65EAE" w:rsidRPr="00050FA4" w:rsidRDefault="00A65EAE" w:rsidP="00D91AB1">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12.3%</w:t>
            </w:r>
          </w:p>
        </w:tc>
      </w:tr>
    </w:tbl>
    <w:p w14:paraId="1FA72362" w14:textId="4F152BA9" w:rsidR="00A65EAE" w:rsidRPr="00050FA4" w:rsidRDefault="00A65EAE" w:rsidP="003F1DA7">
      <w:pPr>
        <w:pStyle w:val="AAAAAAATEXXXX"/>
        <w:jc w:val="center"/>
        <w:rPr>
          <w:sz w:val="20"/>
          <w:szCs w:val="20"/>
          <w:lang w:val="sq-AL"/>
        </w:rPr>
      </w:pPr>
      <w:r w:rsidRPr="00050FA4">
        <w:rPr>
          <w:sz w:val="20"/>
          <w:szCs w:val="20"/>
          <w:lang w:val="sq-AL"/>
        </w:rPr>
        <w:t xml:space="preserve">Burimi: Ministria e </w:t>
      </w:r>
      <w:r w:rsidR="00D24918" w:rsidRPr="00050FA4">
        <w:rPr>
          <w:sz w:val="20"/>
          <w:szCs w:val="20"/>
          <w:lang w:val="sq-AL"/>
        </w:rPr>
        <w:t>Financave</w:t>
      </w:r>
      <w:r w:rsidRPr="00050FA4">
        <w:rPr>
          <w:sz w:val="20"/>
          <w:szCs w:val="20"/>
          <w:lang w:val="sq-AL"/>
        </w:rPr>
        <w:t xml:space="preserve"> dhe Ekonomisë (2021)</w:t>
      </w:r>
    </w:p>
    <w:p w14:paraId="1B542794" w14:textId="77777777" w:rsidR="00092FA0" w:rsidRPr="00050FA4" w:rsidRDefault="00092FA0" w:rsidP="003F1DA7">
      <w:pPr>
        <w:ind w:firstLine="284"/>
        <w:jc w:val="both"/>
        <w:rPr>
          <w:rFonts w:ascii="Garamond" w:eastAsia="Times New Roman" w:hAnsi="Garamond"/>
          <w:color w:val="0D0D0D" w:themeColor="text1" w:themeTint="F2"/>
        </w:rPr>
      </w:pPr>
    </w:p>
    <w:p w14:paraId="6A053C9E" w14:textId="2A3E481E" w:rsidR="00A65EAE" w:rsidRPr="00050FA4" w:rsidRDefault="00A65EAE" w:rsidP="003F1DA7">
      <w:pPr>
        <w:pStyle w:val="AAAAAAATEXXXX"/>
        <w:rPr>
          <w:lang w:val="sq-AL"/>
        </w:rPr>
      </w:pPr>
      <w:r w:rsidRPr="00050FA4">
        <w:rPr>
          <w:lang w:val="sq-AL"/>
        </w:rPr>
        <w:t>Të ardhurat nga tatimi mbi vlerën e shtuar nga importet janë 116.8 miliardë lekë me një realizim 116.1% të planit me një rritje prej 26.9 miliardë lekë</w:t>
      </w:r>
      <w:r w:rsidR="00904ECF" w:rsidRPr="00050FA4">
        <w:rPr>
          <w:lang w:val="sq-AL"/>
        </w:rPr>
        <w:t>sh</w:t>
      </w:r>
      <w:r w:rsidRPr="00050FA4">
        <w:rPr>
          <w:lang w:val="sq-AL"/>
        </w:rPr>
        <w:t xml:space="preserve"> ose 29.9% krahasuar me të njëjtën periudhë të vitit të kaluar. Ecuria e TVSH-së në importe ndikohet nga disa faktorë</w:t>
      </w:r>
      <w:r w:rsidR="00E635DE" w:rsidRPr="00050FA4">
        <w:rPr>
          <w:lang w:val="sq-AL"/>
        </w:rPr>
        <w:t>,</w:t>
      </w:r>
      <w:r w:rsidRPr="00050FA4">
        <w:rPr>
          <w:lang w:val="sq-AL"/>
        </w:rPr>
        <w:t xml:space="preserve"> si:</w:t>
      </w:r>
    </w:p>
    <w:p w14:paraId="65F36751" w14:textId="0CBBF8AC" w:rsidR="00A65EAE" w:rsidRPr="00050FA4" w:rsidRDefault="0090473F" w:rsidP="003F1DA7">
      <w:pPr>
        <w:pStyle w:val="AAAAAAATEXXXX"/>
        <w:rPr>
          <w:lang w:val="sq-AL"/>
        </w:rPr>
      </w:pPr>
      <w:r w:rsidRPr="00050FA4">
        <w:rPr>
          <w:lang w:val="sq-AL"/>
        </w:rPr>
        <w:t xml:space="preserve">- </w:t>
      </w:r>
      <w:r w:rsidR="00A65EAE" w:rsidRPr="00050FA4">
        <w:rPr>
          <w:lang w:val="sq-AL"/>
        </w:rPr>
        <w:t>Rritje e volumit të importeve, e cila ka sjellë një rritje të të ardhurave me 135.6 miliardë lekë ose 31.7% më shumë krahasuar me 11-mujorin e 2020-ës.</w:t>
      </w:r>
    </w:p>
    <w:p w14:paraId="45CF7A2C" w14:textId="223F9675" w:rsidR="00A65EAE" w:rsidRPr="00050FA4" w:rsidRDefault="0090473F" w:rsidP="003F1DA7">
      <w:pPr>
        <w:pStyle w:val="AAAAAAATEXXXX"/>
        <w:rPr>
          <w:lang w:val="sq-AL"/>
        </w:rPr>
      </w:pPr>
      <w:r w:rsidRPr="00050FA4">
        <w:rPr>
          <w:lang w:val="sq-AL"/>
        </w:rPr>
        <w:t xml:space="preserve">- </w:t>
      </w:r>
      <w:r w:rsidR="00A65EAE" w:rsidRPr="00050FA4">
        <w:rPr>
          <w:lang w:val="sq-AL"/>
        </w:rPr>
        <w:t>Rritje e çmimeve të karburanteve në tregjet ndërkombëtare krahasuar me vitin 2020, të cilat zënë një peshë të konsiderueshme prej rreth 15% në strukturën e TVSH-së në importe, duke dhënë një efekt pozitiv prej 1.8 miliardë lekësh.</w:t>
      </w:r>
    </w:p>
    <w:p w14:paraId="438ECB77" w14:textId="37496738" w:rsidR="00A65EAE" w:rsidRPr="00050FA4" w:rsidRDefault="00A65EAE" w:rsidP="003F1DA7">
      <w:pPr>
        <w:pStyle w:val="AAAAAAATEXXXX"/>
        <w:rPr>
          <w:lang w:val="sq-AL"/>
        </w:rPr>
      </w:pPr>
      <w:r w:rsidRPr="00050FA4">
        <w:rPr>
          <w:lang w:val="sq-AL"/>
        </w:rPr>
        <w:t xml:space="preserve">Të ardhurat nga akciza janë 46.6 miliardë lekë, me një realizim 104.1% të planit ose 16.5% më shumë se e njëjta periudhë e vitit 2020. Ecuria </w:t>
      </w:r>
      <w:r w:rsidR="00D91AB1" w:rsidRPr="00050FA4">
        <w:rPr>
          <w:lang w:val="sq-AL"/>
        </w:rPr>
        <w:t>e akcizës për periudhën janar–</w:t>
      </w:r>
      <w:r w:rsidRPr="00050FA4">
        <w:rPr>
          <w:lang w:val="sq-AL"/>
        </w:rPr>
        <w:t>nëntor ndikohet nga disa faktorë:</w:t>
      </w:r>
    </w:p>
    <w:p w14:paraId="58207A22" w14:textId="7C7BD447" w:rsidR="00A65EAE" w:rsidRPr="00050FA4" w:rsidRDefault="0090473F" w:rsidP="003F1DA7">
      <w:pPr>
        <w:pStyle w:val="AAAAAAATEXXXX"/>
        <w:rPr>
          <w:lang w:val="sq-AL"/>
        </w:rPr>
      </w:pPr>
      <w:r w:rsidRPr="00050FA4">
        <w:rPr>
          <w:lang w:val="sq-AL"/>
        </w:rPr>
        <w:t xml:space="preserve">- </w:t>
      </w:r>
      <w:r w:rsidR="00A65EAE" w:rsidRPr="00050FA4">
        <w:rPr>
          <w:lang w:val="sq-AL"/>
        </w:rPr>
        <w:t>Rritje e sasisë së karburanteve të importuara me 17.1% krahasuar me një vit më parë, duke sjellë një efekt pozitiv në akcizë me +3.4 miliardë lekë.</w:t>
      </w:r>
    </w:p>
    <w:p w14:paraId="70FA4563" w14:textId="358B9677" w:rsidR="00A65EAE" w:rsidRPr="00050FA4" w:rsidRDefault="0090473F" w:rsidP="003F1DA7">
      <w:pPr>
        <w:pStyle w:val="AAAAAAATEXXXX"/>
        <w:rPr>
          <w:lang w:val="sq-AL"/>
        </w:rPr>
      </w:pPr>
      <w:r w:rsidRPr="00050FA4">
        <w:rPr>
          <w:lang w:val="sq-AL"/>
        </w:rPr>
        <w:t xml:space="preserve">- </w:t>
      </w:r>
      <w:r w:rsidR="00A65EAE" w:rsidRPr="00050FA4">
        <w:rPr>
          <w:lang w:val="sq-AL"/>
        </w:rPr>
        <w:t>Rritje e importit të cigareve, me 8.9% krahasuar me një vit më parë, duke sjellë një efekt pozitiv në akcizë me +2.4 miliardë lekë.</w:t>
      </w:r>
    </w:p>
    <w:p w14:paraId="4C44DB67" w14:textId="77777777" w:rsidR="00A65EAE" w:rsidRPr="00050FA4" w:rsidRDefault="00A65EAE" w:rsidP="003F1DA7">
      <w:pPr>
        <w:pStyle w:val="AAAAAAATEXXXX"/>
        <w:rPr>
          <w:lang w:val="sq-AL"/>
        </w:rPr>
      </w:pPr>
      <w:r w:rsidRPr="00050FA4">
        <w:rPr>
          <w:lang w:val="sq-AL"/>
        </w:rPr>
        <w:t>Akciza e rimbursuar është 271 milionë lekë ose 49% e akcizës së rimbursuar në të njëjtën periudhë të vitit 2020.</w:t>
      </w:r>
    </w:p>
    <w:p w14:paraId="08A1E2C0" w14:textId="6CE2B32E" w:rsidR="00A65EAE" w:rsidRPr="00050FA4" w:rsidRDefault="00A65EAE" w:rsidP="003F1DA7">
      <w:pPr>
        <w:pStyle w:val="AAAAAAATEXXXX"/>
        <w:rPr>
          <w:lang w:val="sq-AL"/>
        </w:rPr>
      </w:pPr>
      <w:r w:rsidRPr="00050FA4">
        <w:rPr>
          <w:lang w:val="sq-AL"/>
        </w:rPr>
        <w:t xml:space="preserve">Ecuria e të ardhurave nga </w:t>
      </w:r>
      <w:r w:rsidR="007259EF" w:rsidRPr="00050FA4">
        <w:rPr>
          <w:lang w:val="sq-AL"/>
        </w:rPr>
        <w:t xml:space="preserve">renta minerale </w:t>
      </w:r>
      <w:r w:rsidRPr="00050FA4">
        <w:rPr>
          <w:lang w:val="sq-AL"/>
        </w:rPr>
        <w:t xml:space="preserve">gjatë periudhës </w:t>
      </w:r>
      <w:r w:rsidR="007259EF" w:rsidRPr="00050FA4">
        <w:rPr>
          <w:lang w:val="sq-AL"/>
        </w:rPr>
        <w:t xml:space="preserve">janar–nëntor </w:t>
      </w:r>
      <w:r w:rsidRPr="00050FA4">
        <w:rPr>
          <w:lang w:val="sq-AL"/>
        </w:rPr>
        <w:t>2021 ishte 2.2 miliardë lekë me një realizim në masën 99.9% të planit, duke shënuar një rritje prej 32.3% ose 539 milionë lekë</w:t>
      </w:r>
      <w:r w:rsidR="00904ECF" w:rsidRPr="00050FA4">
        <w:rPr>
          <w:lang w:val="sq-AL"/>
        </w:rPr>
        <w:t>sh</w:t>
      </w:r>
      <w:r w:rsidRPr="00050FA4">
        <w:rPr>
          <w:lang w:val="sq-AL"/>
        </w:rPr>
        <w:t xml:space="preserve"> më shumë se e njëjta periudhë e vitit të kaluar. Performanca e </w:t>
      </w:r>
      <w:r w:rsidR="007259EF" w:rsidRPr="00050FA4">
        <w:rPr>
          <w:lang w:val="sq-AL"/>
        </w:rPr>
        <w:t xml:space="preserve">tarifave të minierave </w:t>
      </w:r>
      <w:r w:rsidRPr="00050FA4">
        <w:rPr>
          <w:lang w:val="sq-AL"/>
        </w:rPr>
        <w:t>është ndikuar nga disa faktorë</w:t>
      </w:r>
      <w:r w:rsidR="007259EF" w:rsidRPr="00050FA4">
        <w:rPr>
          <w:lang w:val="sq-AL"/>
        </w:rPr>
        <w:t>,</w:t>
      </w:r>
      <w:r w:rsidRPr="00050FA4">
        <w:rPr>
          <w:lang w:val="sq-AL"/>
        </w:rPr>
        <w:t xml:space="preserve"> si:</w:t>
      </w:r>
    </w:p>
    <w:p w14:paraId="45849B8B" w14:textId="471811A5" w:rsidR="00A65EAE" w:rsidRPr="00050FA4" w:rsidRDefault="0090473F" w:rsidP="003F1DA7">
      <w:pPr>
        <w:pStyle w:val="AAAAAAATEXXXX"/>
        <w:rPr>
          <w:lang w:val="sq-AL"/>
        </w:rPr>
      </w:pPr>
      <w:r w:rsidRPr="00050FA4">
        <w:rPr>
          <w:lang w:val="sq-AL"/>
        </w:rPr>
        <w:t xml:space="preserve">- </w:t>
      </w:r>
      <w:r w:rsidR="00A65EAE" w:rsidRPr="00050FA4">
        <w:rPr>
          <w:lang w:val="sq-AL"/>
        </w:rPr>
        <w:t xml:space="preserve">Rritje e çmimit të naftës bruto në tregjet ndërkombëtare, me efekt 507.8 milionë lekë, por edhe i </w:t>
      </w:r>
      <w:r w:rsidR="00A65EAE" w:rsidRPr="00050FA4">
        <w:rPr>
          <w:lang w:val="sq-AL"/>
        </w:rPr>
        <w:lastRenderedPageBreak/>
        <w:t>shoqëruar me rritje të sasisë së naftës bruto të eksportuar me 2.8% më shumë se vitin e kaluar me efekt +35.2 milionë lekë.</w:t>
      </w:r>
    </w:p>
    <w:p w14:paraId="0B4FFB64" w14:textId="0169CC8C" w:rsidR="00A65EAE" w:rsidRPr="00050FA4" w:rsidRDefault="0090473F" w:rsidP="003F1DA7">
      <w:pPr>
        <w:pStyle w:val="AAAAAAATEXXXX"/>
        <w:rPr>
          <w:lang w:val="sq-AL"/>
        </w:rPr>
      </w:pPr>
      <w:r w:rsidRPr="00050FA4">
        <w:rPr>
          <w:lang w:val="sq-AL"/>
        </w:rPr>
        <w:t xml:space="preserve">- </w:t>
      </w:r>
      <w:r w:rsidR="00A65EAE" w:rsidRPr="00050FA4">
        <w:rPr>
          <w:lang w:val="sq-AL"/>
        </w:rPr>
        <w:t>Rritje e sasisë së mineraleve të eksportuara është shoqëruar me një rritje të lehtë të çmimit të mineraleve në tregjet ndërkombëtare, me efekt 21.7 milionë lekë.</w:t>
      </w:r>
    </w:p>
    <w:p w14:paraId="166BE148" w14:textId="77777777" w:rsidR="00A65EAE" w:rsidRPr="00050FA4" w:rsidRDefault="00A65EAE" w:rsidP="003F1DA7">
      <w:pPr>
        <w:pStyle w:val="AAAAAAATEXXXX"/>
        <w:rPr>
          <w:lang w:val="sq-AL"/>
        </w:rPr>
      </w:pPr>
      <w:r w:rsidRPr="00050FA4">
        <w:rPr>
          <w:lang w:val="sq-AL"/>
        </w:rPr>
        <w:t>Të ardhurat nga taksat doganore ishin 6.7 miliardë lekë, me një realizim prej 114% të planit dhe 19.5% ose 1.1 miliardë lekë më shumë se e njëjta periudhë e një viti më parë.</w:t>
      </w:r>
    </w:p>
    <w:p w14:paraId="6E2DD261" w14:textId="77777777" w:rsidR="004D06BF" w:rsidRPr="00050FA4" w:rsidRDefault="004D06BF" w:rsidP="004D06BF">
      <w:pPr>
        <w:ind w:firstLine="284"/>
        <w:jc w:val="center"/>
        <w:rPr>
          <w:rFonts w:ascii="Garamond" w:eastAsia="Times New Roman" w:hAnsi="Garamond"/>
          <w:b/>
          <w:color w:val="0D0D0D" w:themeColor="text1" w:themeTint="F2"/>
          <w:sz w:val="20"/>
        </w:rPr>
      </w:pPr>
    </w:p>
    <w:p w14:paraId="0CCA3903" w14:textId="75B0104C" w:rsidR="00A65EAE" w:rsidRPr="00050FA4" w:rsidRDefault="00A65EAE" w:rsidP="004D06BF">
      <w:pPr>
        <w:ind w:firstLine="284"/>
        <w:jc w:val="center"/>
        <w:rPr>
          <w:rFonts w:ascii="Garamond" w:eastAsia="Times New Roman" w:hAnsi="Garamond"/>
          <w:b/>
          <w:i/>
          <w:color w:val="0D0D0D" w:themeColor="text1" w:themeTint="F2"/>
          <w:sz w:val="20"/>
        </w:rPr>
      </w:pPr>
      <w:r w:rsidRPr="00050FA4">
        <w:rPr>
          <w:rFonts w:ascii="Garamond" w:eastAsia="Times New Roman" w:hAnsi="Garamond"/>
          <w:b/>
          <w:i/>
          <w:color w:val="0D0D0D" w:themeColor="text1" w:themeTint="F2"/>
          <w:sz w:val="20"/>
        </w:rPr>
        <w:t xml:space="preserve">Grafik 4.2.1: </w:t>
      </w:r>
      <w:r w:rsidRPr="00050FA4">
        <w:rPr>
          <w:rFonts w:ascii="Garamond" w:hAnsi="Garamond"/>
          <w:b/>
          <w:i/>
          <w:color w:val="0D0D0D" w:themeColor="text1" w:themeTint="F2"/>
          <w:sz w:val="20"/>
        </w:rPr>
        <w:t>Kontribuesit kryesorë të të ardhurave doganore</w:t>
      </w:r>
      <w:r w:rsidRPr="00050FA4">
        <w:rPr>
          <w:rFonts w:ascii="Garamond" w:eastAsia="Times New Roman" w:hAnsi="Garamond"/>
          <w:b/>
          <w:i/>
          <w:color w:val="0D0D0D" w:themeColor="text1" w:themeTint="F2"/>
          <w:sz w:val="20"/>
        </w:rPr>
        <w:t xml:space="preserve"> (</w:t>
      </w:r>
      <w:r w:rsidR="00D24918" w:rsidRPr="00050FA4">
        <w:rPr>
          <w:rFonts w:ascii="Garamond" w:eastAsia="Times New Roman" w:hAnsi="Garamond"/>
          <w:b/>
          <w:i/>
          <w:color w:val="0D0D0D" w:themeColor="text1" w:themeTint="F2"/>
          <w:sz w:val="20"/>
        </w:rPr>
        <w:t xml:space="preserve">janar–nëntor </w:t>
      </w:r>
      <w:r w:rsidRPr="00050FA4">
        <w:rPr>
          <w:rFonts w:ascii="Garamond" w:eastAsia="Times New Roman" w:hAnsi="Garamond"/>
          <w:b/>
          <w:i/>
          <w:color w:val="0D0D0D" w:themeColor="text1" w:themeTint="F2"/>
          <w:sz w:val="20"/>
        </w:rPr>
        <w:t>2021/2020)</w:t>
      </w:r>
    </w:p>
    <w:p w14:paraId="053A35BC" w14:textId="6343749D" w:rsidR="002749EB" w:rsidRPr="00050FA4" w:rsidRDefault="007259EF" w:rsidP="00E635DE">
      <w:pPr>
        <w:pStyle w:val="AAAAAAATEXXXX"/>
        <w:jc w:val="center"/>
        <w:rPr>
          <w:sz w:val="20"/>
          <w:szCs w:val="20"/>
          <w:lang w:val="sq-AL"/>
        </w:rPr>
      </w:pPr>
      <w:r w:rsidRPr="00050FA4">
        <w:rPr>
          <w:noProof/>
          <w:color w:val="0D0D0D" w:themeColor="text1" w:themeTint="F2"/>
          <w:sz w:val="20"/>
          <w:szCs w:val="20"/>
        </w:rPr>
        <w:drawing>
          <wp:inline distT="0" distB="0" distL="0" distR="0" wp14:anchorId="315AD47B" wp14:editId="1592337A">
            <wp:extent cx="6024880" cy="204194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7782" cy="2046317"/>
                    </a:xfrm>
                    <a:prstGeom prst="rect">
                      <a:avLst/>
                    </a:prstGeom>
                    <a:noFill/>
                  </pic:spPr>
                </pic:pic>
              </a:graphicData>
            </a:graphic>
          </wp:inline>
        </w:drawing>
      </w:r>
      <w:r w:rsidR="00A65EAE" w:rsidRPr="00050FA4">
        <w:rPr>
          <w:sz w:val="20"/>
          <w:szCs w:val="20"/>
          <w:lang w:val="sq-AL"/>
        </w:rPr>
        <w:t xml:space="preserve">Burimi: Ministria e </w:t>
      </w:r>
      <w:r w:rsidRPr="00050FA4">
        <w:rPr>
          <w:sz w:val="20"/>
          <w:szCs w:val="20"/>
          <w:lang w:val="sq-AL"/>
        </w:rPr>
        <w:t>Financave</w:t>
      </w:r>
      <w:r w:rsidR="00A65EAE" w:rsidRPr="00050FA4">
        <w:rPr>
          <w:sz w:val="20"/>
          <w:szCs w:val="20"/>
          <w:lang w:val="sq-AL"/>
        </w:rPr>
        <w:t xml:space="preserve"> dhe Ekonomisë (2021)</w:t>
      </w:r>
    </w:p>
    <w:p w14:paraId="12CC4320" w14:textId="77777777" w:rsidR="004310F1" w:rsidRPr="00050FA4" w:rsidRDefault="004310F1" w:rsidP="00E635DE">
      <w:pPr>
        <w:pStyle w:val="AAAAAAATEXXXX"/>
        <w:jc w:val="center"/>
        <w:rPr>
          <w:color w:val="0D0D0D" w:themeColor="text1" w:themeTint="F2"/>
          <w:sz w:val="16"/>
          <w:lang w:val="sq-AL"/>
        </w:rPr>
      </w:pPr>
    </w:p>
    <w:p w14:paraId="6A0B21A0" w14:textId="2BAF1018" w:rsidR="00A65EAE" w:rsidRPr="00050FA4" w:rsidRDefault="00A65EAE" w:rsidP="003F1DA7">
      <w:pPr>
        <w:pStyle w:val="AAAAAAATEXXXX"/>
        <w:rPr>
          <w:color w:val="0D0D0D" w:themeColor="text1" w:themeTint="F2"/>
          <w:lang w:val="sq-AL"/>
        </w:rPr>
      </w:pPr>
      <w:r w:rsidRPr="00050FA4">
        <w:rPr>
          <w:color w:val="0D0D0D" w:themeColor="text1" w:themeTint="F2"/>
          <w:lang w:val="sq-AL"/>
        </w:rPr>
        <w:t xml:space="preserve">Të ardhurat e mbledhura nga Drejtoria e Përgjithshme e Tatimeve (duke përfshirë kontributet e sigurimeve shoqërore dhe shëndetësore të mbledhura nga DPT) për periudhën </w:t>
      </w:r>
      <w:r w:rsidR="002C65A3" w:rsidRPr="00050FA4">
        <w:rPr>
          <w:color w:val="0D0D0D" w:themeColor="text1" w:themeTint="F2"/>
          <w:lang w:val="sq-AL"/>
        </w:rPr>
        <w:t xml:space="preserve">janar–nëntor </w:t>
      </w:r>
      <w:r w:rsidRPr="00050FA4">
        <w:rPr>
          <w:color w:val="0D0D0D" w:themeColor="text1" w:themeTint="F2"/>
          <w:lang w:val="sq-AL"/>
        </w:rPr>
        <w:t xml:space="preserve">2021 janë 228 miliardë lekë, me një realizim 101.1% të planit dhe 12.7% ose 25.7 miliardë lekë më shumë se </w:t>
      </w:r>
      <w:r w:rsidR="002C65A3" w:rsidRPr="00050FA4">
        <w:rPr>
          <w:color w:val="0D0D0D" w:themeColor="text1" w:themeTint="F2"/>
          <w:lang w:val="sq-AL"/>
        </w:rPr>
        <w:t xml:space="preserve">në </w:t>
      </w:r>
      <w:r w:rsidRPr="00050FA4">
        <w:rPr>
          <w:color w:val="0D0D0D" w:themeColor="text1" w:themeTint="F2"/>
          <w:lang w:val="sq-AL"/>
        </w:rPr>
        <w:t>të njëjtën periudhë të një viti më parë. Tabela e mëposhtme tregon të dhëna të detajuara mbi performancën tatimore:</w:t>
      </w:r>
    </w:p>
    <w:p w14:paraId="4815EF76" w14:textId="77777777" w:rsidR="00A65EAE" w:rsidRPr="00050FA4" w:rsidRDefault="00A65EAE" w:rsidP="003F1DA7">
      <w:pPr>
        <w:ind w:firstLine="284"/>
        <w:jc w:val="both"/>
        <w:rPr>
          <w:rFonts w:ascii="Garamond" w:eastAsia="Times New Roman" w:hAnsi="Garamond"/>
          <w:color w:val="0D0D0D" w:themeColor="text1" w:themeTint="F2"/>
        </w:rPr>
      </w:pPr>
    </w:p>
    <w:p w14:paraId="0C9050C5" w14:textId="785818C6" w:rsidR="00A65EAE" w:rsidRPr="00050FA4" w:rsidRDefault="00A65EAE" w:rsidP="003F1DA7">
      <w:pPr>
        <w:pStyle w:val="AAAAAAATEXXXX"/>
        <w:jc w:val="center"/>
        <w:rPr>
          <w:b/>
          <w:i/>
          <w:sz w:val="20"/>
          <w:szCs w:val="20"/>
          <w:lang w:val="sq-AL"/>
        </w:rPr>
      </w:pPr>
      <w:r w:rsidRPr="00050FA4">
        <w:rPr>
          <w:rFonts w:eastAsia="Times New Roman"/>
          <w:b/>
          <w:i/>
          <w:sz w:val="20"/>
          <w:szCs w:val="20"/>
          <w:lang w:val="sq-AL"/>
        </w:rPr>
        <w:t xml:space="preserve">Tabelë 4.2.3 </w:t>
      </w:r>
      <w:r w:rsidRPr="00050FA4">
        <w:rPr>
          <w:b/>
          <w:i/>
          <w:sz w:val="20"/>
          <w:szCs w:val="20"/>
          <w:lang w:val="sq-AL"/>
        </w:rPr>
        <w:t>Të ardhurat e mbledhura nga DPT (në milionë lekë)</w:t>
      </w:r>
    </w:p>
    <w:tbl>
      <w:tblPr>
        <w:tblW w:w="5000" w:type="pct"/>
        <w:tblLook w:val="04A0" w:firstRow="1" w:lastRow="0" w:firstColumn="1" w:lastColumn="0" w:noHBand="0" w:noVBand="1"/>
      </w:tblPr>
      <w:tblGrid>
        <w:gridCol w:w="4307"/>
        <w:gridCol w:w="1534"/>
        <w:gridCol w:w="1556"/>
        <w:gridCol w:w="1214"/>
        <w:gridCol w:w="1505"/>
      </w:tblGrid>
      <w:tr w:rsidR="00FA29AB" w:rsidRPr="00050FA4" w14:paraId="020D9F3C" w14:textId="77777777" w:rsidTr="002C65A3">
        <w:trPr>
          <w:trHeight w:val="249"/>
        </w:trPr>
        <w:tc>
          <w:tcPr>
            <w:tcW w:w="2129" w:type="pct"/>
            <w:vMerge w:val="restart"/>
            <w:tcBorders>
              <w:top w:val="single" w:sz="4" w:space="0" w:color="auto"/>
              <w:left w:val="single" w:sz="4" w:space="0" w:color="auto"/>
              <w:bottom w:val="single" w:sz="8" w:space="0" w:color="000000"/>
              <w:right w:val="single" w:sz="4" w:space="0" w:color="auto"/>
            </w:tcBorders>
            <w:shd w:val="clear" w:color="auto" w:fill="EDEDED"/>
            <w:vAlign w:val="center"/>
            <w:hideMark/>
          </w:tcPr>
          <w:p w14:paraId="1777534F" w14:textId="7609446E" w:rsidR="00A65EAE" w:rsidRPr="00050FA4" w:rsidRDefault="00A65EAE" w:rsidP="002C65A3">
            <w:pPr>
              <w:jc w:val="center"/>
              <w:rPr>
                <w:rFonts w:ascii="Garamond" w:eastAsia="Times New Roman" w:hAnsi="Garamond"/>
                <w:b/>
                <w:bCs/>
                <w:color w:val="0D0D0D" w:themeColor="text1" w:themeTint="F2"/>
                <w:sz w:val="20"/>
                <w:szCs w:val="20"/>
              </w:rPr>
            </w:pPr>
            <w:r w:rsidRPr="00050FA4">
              <w:rPr>
                <w:rFonts w:ascii="Garamond" w:hAnsi="Garamond"/>
                <w:b/>
                <w:color w:val="0D0D0D" w:themeColor="text1" w:themeTint="F2"/>
                <w:sz w:val="20"/>
                <w:szCs w:val="20"/>
              </w:rPr>
              <w:t>Lloji i taksës</w:t>
            </w:r>
          </w:p>
        </w:tc>
        <w:tc>
          <w:tcPr>
            <w:tcW w:w="758" w:type="pct"/>
            <w:vMerge w:val="restart"/>
            <w:tcBorders>
              <w:top w:val="single" w:sz="4" w:space="0" w:color="auto"/>
              <w:left w:val="nil"/>
              <w:bottom w:val="single" w:sz="8" w:space="0" w:color="000000"/>
              <w:right w:val="nil"/>
            </w:tcBorders>
            <w:shd w:val="clear" w:color="auto" w:fill="EDEDED"/>
            <w:vAlign w:val="center"/>
            <w:hideMark/>
          </w:tcPr>
          <w:p w14:paraId="57C3CAF3" w14:textId="77777777" w:rsidR="00A65EAE" w:rsidRPr="00050FA4" w:rsidRDefault="00A65EAE" w:rsidP="002C65A3">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Fakt 11 M 2021</w:t>
            </w:r>
          </w:p>
        </w:tc>
        <w:tc>
          <w:tcPr>
            <w:tcW w:w="769" w:type="pct"/>
            <w:vMerge w:val="restart"/>
            <w:tcBorders>
              <w:top w:val="single" w:sz="4" w:space="0" w:color="auto"/>
              <w:left w:val="nil"/>
              <w:bottom w:val="single" w:sz="8" w:space="0" w:color="000000"/>
              <w:right w:val="single" w:sz="4" w:space="0" w:color="auto"/>
            </w:tcBorders>
            <w:shd w:val="clear" w:color="auto" w:fill="EDEDED"/>
            <w:vAlign w:val="center"/>
            <w:hideMark/>
          </w:tcPr>
          <w:p w14:paraId="0D4DB089" w14:textId="77777777" w:rsidR="00A65EAE" w:rsidRPr="00050FA4" w:rsidRDefault="00A65EAE" w:rsidP="002C65A3">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Plan 11M 2021</w:t>
            </w:r>
          </w:p>
        </w:tc>
        <w:tc>
          <w:tcPr>
            <w:tcW w:w="1344" w:type="pct"/>
            <w:gridSpan w:val="2"/>
            <w:tcBorders>
              <w:top w:val="single" w:sz="4" w:space="0" w:color="auto"/>
              <w:left w:val="nil"/>
              <w:bottom w:val="single" w:sz="4" w:space="0" w:color="auto"/>
              <w:right w:val="single" w:sz="4" w:space="0" w:color="000000"/>
            </w:tcBorders>
            <w:shd w:val="clear" w:color="auto" w:fill="EDEDED"/>
            <w:vAlign w:val="center"/>
            <w:hideMark/>
          </w:tcPr>
          <w:p w14:paraId="787A2C97" w14:textId="3D40CA5D" w:rsidR="00A65EAE" w:rsidRPr="00050FA4" w:rsidRDefault="00A65EAE" w:rsidP="002C65A3">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Diferenca Fakt</w:t>
            </w:r>
            <w:r w:rsidR="00535FB4" w:rsidRPr="00050FA4">
              <w:rPr>
                <w:rFonts w:ascii="Garamond" w:eastAsia="Times New Roman" w:hAnsi="Garamond"/>
                <w:b/>
                <w:bCs/>
                <w:color w:val="0D0D0D" w:themeColor="text1" w:themeTint="F2"/>
                <w:sz w:val="20"/>
                <w:szCs w:val="20"/>
              </w:rPr>
              <w:t>/</w:t>
            </w:r>
            <w:r w:rsidRPr="00050FA4">
              <w:rPr>
                <w:rFonts w:ascii="Garamond" w:eastAsia="Times New Roman" w:hAnsi="Garamond"/>
                <w:b/>
                <w:bCs/>
                <w:color w:val="0D0D0D" w:themeColor="text1" w:themeTint="F2"/>
                <w:sz w:val="20"/>
                <w:szCs w:val="20"/>
              </w:rPr>
              <w:t>Plan 2021</w:t>
            </w:r>
          </w:p>
        </w:tc>
      </w:tr>
      <w:tr w:rsidR="00FA29AB" w:rsidRPr="00050FA4" w14:paraId="616C8170" w14:textId="77777777" w:rsidTr="002C65A3">
        <w:trPr>
          <w:trHeight w:val="260"/>
        </w:trPr>
        <w:tc>
          <w:tcPr>
            <w:tcW w:w="0" w:type="auto"/>
            <w:vMerge/>
            <w:tcBorders>
              <w:top w:val="single" w:sz="4" w:space="0" w:color="auto"/>
              <w:left w:val="single" w:sz="4" w:space="0" w:color="auto"/>
              <w:bottom w:val="single" w:sz="8" w:space="0" w:color="000000"/>
              <w:right w:val="single" w:sz="4" w:space="0" w:color="auto"/>
            </w:tcBorders>
            <w:vAlign w:val="center"/>
            <w:hideMark/>
          </w:tcPr>
          <w:p w14:paraId="5FA2765E" w14:textId="77777777" w:rsidR="00A65EAE" w:rsidRPr="00050FA4" w:rsidRDefault="00A65EAE" w:rsidP="002C65A3">
            <w:pPr>
              <w:jc w:val="center"/>
              <w:rPr>
                <w:rFonts w:ascii="Garamond" w:eastAsia="Times New Roman" w:hAnsi="Garamond"/>
                <w:b/>
                <w:bCs/>
                <w:color w:val="0D0D0D" w:themeColor="text1" w:themeTint="F2"/>
                <w:sz w:val="20"/>
                <w:szCs w:val="20"/>
              </w:rPr>
            </w:pPr>
          </w:p>
        </w:tc>
        <w:tc>
          <w:tcPr>
            <w:tcW w:w="0" w:type="auto"/>
            <w:vMerge/>
            <w:tcBorders>
              <w:top w:val="single" w:sz="4" w:space="0" w:color="auto"/>
              <w:left w:val="nil"/>
              <w:bottom w:val="single" w:sz="8" w:space="0" w:color="000000"/>
              <w:right w:val="nil"/>
            </w:tcBorders>
            <w:vAlign w:val="center"/>
            <w:hideMark/>
          </w:tcPr>
          <w:p w14:paraId="76A3EF7B" w14:textId="77777777" w:rsidR="00A65EAE" w:rsidRPr="00050FA4" w:rsidRDefault="00A65EAE" w:rsidP="002C65A3">
            <w:pPr>
              <w:jc w:val="center"/>
              <w:rPr>
                <w:rFonts w:ascii="Garamond" w:eastAsia="Times New Roman" w:hAnsi="Garamond"/>
                <w:b/>
                <w:bCs/>
                <w:color w:val="0D0D0D" w:themeColor="text1" w:themeTint="F2"/>
                <w:sz w:val="20"/>
                <w:szCs w:val="20"/>
              </w:rPr>
            </w:pPr>
          </w:p>
        </w:tc>
        <w:tc>
          <w:tcPr>
            <w:tcW w:w="0" w:type="auto"/>
            <w:vMerge/>
            <w:tcBorders>
              <w:top w:val="single" w:sz="4" w:space="0" w:color="auto"/>
              <w:left w:val="nil"/>
              <w:bottom w:val="single" w:sz="8" w:space="0" w:color="000000"/>
              <w:right w:val="single" w:sz="4" w:space="0" w:color="auto"/>
            </w:tcBorders>
            <w:vAlign w:val="center"/>
            <w:hideMark/>
          </w:tcPr>
          <w:p w14:paraId="0A2731C8" w14:textId="77777777" w:rsidR="00A65EAE" w:rsidRPr="00050FA4" w:rsidRDefault="00A65EAE" w:rsidP="002C65A3">
            <w:pPr>
              <w:jc w:val="center"/>
              <w:rPr>
                <w:rFonts w:ascii="Garamond" w:eastAsia="Times New Roman" w:hAnsi="Garamond"/>
                <w:b/>
                <w:bCs/>
                <w:color w:val="0D0D0D" w:themeColor="text1" w:themeTint="F2"/>
                <w:sz w:val="20"/>
                <w:szCs w:val="20"/>
              </w:rPr>
            </w:pPr>
          </w:p>
        </w:tc>
        <w:tc>
          <w:tcPr>
            <w:tcW w:w="600" w:type="pct"/>
            <w:tcBorders>
              <w:top w:val="nil"/>
              <w:left w:val="nil"/>
              <w:bottom w:val="single" w:sz="8" w:space="0" w:color="auto"/>
              <w:right w:val="nil"/>
            </w:tcBorders>
            <w:shd w:val="clear" w:color="auto" w:fill="EDEDED"/>
            <w:vAlign w:val="center"/>
            <w:hideMark/>
          </w:tcPr>
          <w:p w14:paraId="1CAD6EF2" w14:textId="77777777" w:rsidR="00A65EAE" w:rsidRPr="00050FA4" w:rsidRDefault="00A65EAE" w:rsidP="002C65A3">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vlera</w:t>
            </w:r>
          </w:p>
        </w:tc>
        <w:tc>
          <w:tcPr>
            <w:tcW w:w="744" w:type="pct"/>
            <w:tcBorders>
              <w:top w:val="nil"/>
              <w:left w:val="nil"/>
              <w:bottom w:val="single" w:sz="8" w:space="0" w:color="auto"/>
              <w:right w:val="single" w:sz="4" w:space="0" w:color="auto"/>
            </w:tcBorders>
            <w:shd w:val="clear" w:color="auto" w:fill="EDEDED"/>
            <w:vAlign w:val="center"/>
            <w:hideMark/>
          </w:tcPr>
          <w:p w14:paraId="4485F09D" w14:textId="77777777" w:rsidR="00A65EAE" w:rsidRPr="00050FA4" w:rsidRDefault="00A65EAE" w:rsidP="002C65A3">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w:t>
            </w:r>
          </w:p>
        </w:tc>
      </w:tr>
      <w:tr w:rsidR="00FA29AB" w:rsidRPr="00050FA4" w14:paraId="1ED08E4E" w14:textId="77777777" w:rsidTr="00A65EAE">
        <w:trPr>
          <w:trHeight w:val="249"/>
        </w:trPr>
        <w:tc>
          <w:tcPr>
            <w:tcW w:w="2129" w:type="pct"/>
            <w:tcBorders>
              <w:top w:val="nil"/>
              <w:left w:val="single" w:sz="4" w:space="0" w:color="auto"/>
              <w:bottom w:val="nil"/>
              <w:right w:val="single" w:sz="4" w:space="0" w:color="auto"/>
            </w:tcBorders>
            <w:shd w:val="clear" w:color="auto" w:fill="FFFFFF"/>
            <w:vAlign w:val="center"/>
            <w:hideMark/>
          </w:tcPr>
          <w:p w14:paraId="1AAE8DB1" w14:textId="77777777" w:rsidR="00A65EAE" w:rsidRPr="00050FA4" w:rsidRDefault="00A65EAE" w:rsidP="00E635DE">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TVSH NETO</w:t>
            </w:r>
          </w:p>
        </w:tc>
        <w:tc>
          <w:tcPr>
            <w:tcW w:w="758" w:type="pct"/>
            <w:tcBorders>
              <w:top w:val="single" w:sz="8" w:space="0" w:color="auto"/>
              <w:left w:val="single" w:sz="8" w:space="0" w:color="auto"/>
              <w:bottom w:val="nil"/>
              <w:right w:val="nil"/>
            </w:tcBorders>
            <w:shd w:val="clear" w:color="auto" w:fill="FFFFFF"/>
            <w:vAlign w:val="center"/>
            <w:hideMark/>
          </w:tcPr>
          <w:p w14:paraId="357E7746"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27,463</w:t>
            </w:r>
          </w:p>
        </w:tc>
        <w:tc>
          <w:tcPr>
            <w:tcW w:w="769" w:type="pct"/>
            <w:tcBorders>
              <w:top w:val="single" w:sz="8" w:space="0" w:color="auto"/>
              <w:left w:val="nil"/>
              <w:bottom w:val="nil"/>
              <w:right w:val="single" w:sz="8" w:space="0" w:color="auto"/>
            </w:tcBorders>
            <w:shd w:val="clear" w:color="auto" w:fill="FFFFFF"/>
            <w:vAlign w:val="center"/>
            <w:hideMark/>
          </w:tcPr>
          <w:p w14:paraId="4FB28634"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36,250</w:t>
            </w:r>
          </w:p>
        </w:tc>
        <w:tc>
          <w:tcPr>
            <w:tcW w:w="600" w:type="pct"/>
            <w:shd w:val="clear" w:color="auto" w:fill="FFFFFF"/>
            <w:vAlign w:val="center"/>
            <w:hideMark/>
          </w:tcPr>
          <w:p w14:paraId="0ED36790"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-8,787</w:t>
            </w:r>
          </w:p>
        </w:tc>
        <w:tc>
          <w:tcPr>
            <w:tcW w:w="744" w:type="pct"/>
            <w:tcBorders>
              <w:top w:val="nil"/>
              <w:left w:val="nil"/>
              <w:bottom w:val="nil"/>
              <w:right w:val="single" w:sz="8" w:space="0" w:color="auto"/>
            </w:tcBorders>
            <w:shd w:val="clear" w:color="auto" w:fill="FFFFFF"/>
            <w:vAlign w:val="center"/>
            <w:hideMark/>
          </w:tcPr>
          <w:p w14:paraId="5F38BDA7"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-24.2%</w:t>
            </w:r>
          </w:p>
        </w:tc>
      </w:tr>
      <w:tr w:rsidR="00FA29AB" w:rsidRPr="00050FA4" w14:paraId="6BA41FF9" w14:textId="77777777" w:rsidTr="00A65EAE">
        <w:trPr>
          <w:trHeight w:val="249"/>
        </w:trPr>
        <w:tc>
          <w:tcPr>
            <w:tcW w:w="2129" w:type="pct"/>
            <w:tcBorders>
              <w:top w:val="nil"/>
              <w:left w:val="single" w:sz="4" w:space="0" w:color="auto"/>
              <w:bottom w:val="nil"/>
              <w:right w:val="single" w:sz="4" w:space="0" w:color="auto"/>
            </w:tcBorders>
            <w:shd w:val="clear" w:color="auto" w:fill="FFFFFF"/>
            <w:vAlign w:val="center"/>
            <w:hideMark/>
          </w:tcPr>
          <w:p w14:paraId="41F0099F" w14:textId="77777777" w:rsidR="00A65EAE" w:rsidRPr="00050FA4" w:rsidRDefault="00A65EAE" w:rsidP="00E635DE">
            <w:pPr>
              <w:rPr>
                <w:rFonts w:ascii="Garamond" w:eastAsia="Times New Roman" w:hAnsi="Garamond"/>
                <w:i/>
                <w:iCs/>
                <w:color w:val="0D0D0D" w:themeColor="text1" w:themeTint="F2"/>
                <w:sz w:val="20"/>
                <w:szCs w:val="20"/>
              </w:rPr>
            </w:pPr>
            <w:r w:rsidRPr="00050FA4">
              <w:rPr>
                <w:rFonts w:ascii="Garamond" w:hAnsi="Garamond"/>
                <w:i/>
                <w:color w:val="0D0D0D" w:themeColor="text1" w:themeTint="F2"/>
                <w:sz w:val="20"/>
                <w:szCs w:val="20"/>
              </w:rPr>
              <w:t>TVSH e mbledhur</w:t>
            </w:r>
          </w:p>
        </w:tc>
        <w:tc>
          <w:tcPr>
            <w:tcW w:w="758" w:type="pct"/>
            <w:tcBorders>
              <w:top w:val="nil"/>
              <w:left w:val="single" w:sz="8" w:space="0" w:color="auto"/>
              <w:bottom w:val="nil"/>
              <w:right w:val="nil"/>
            </w:tcBorders>
            <w:shd w:val="clear" w:color="auto" w:fill="FFFFFF"/>
            <w:vAlign w:val="center"/>
            <w:hideMark/>
          </w:tcPr>
          <w:p w14:paraId="30ADF6F3"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49,768</w:t>
            </w:r>
          </w:p>
        </w:tc>
        <w:tc>
          <w:tcPr>
            <w:tcW w:w="769" w:type="pct"/>
            <w:tcBorders>
              <w:top w:val="nil"/>
              <w:left w:val="nil"/>
              <w:bottom w:val="nil"/>
              <w:right w:val="single" w:sz="8" w:space="0" w:color="auto"/>
            </w:tcBorders>
            <w:shd w:val="clear" w:color="auto" w:fill="FFFFFF"/>
            <w:vAlign w:val="center"/>
            <w:hideMark/>
          </w:tcPr>
          <w:p w14:paraId="1CE7881E"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52,150</w:t>
            </w:r>
          </w:p>
        </w:tc>
        <w:tc>
          <w:tcPr>
            <w:tcW w:w="600" w:type="pct"/>
            <w:shd w:val="clear" w:color="auto" w:fill="FFFFFF"/>
            <w:vAlign w:val="center"/>
            <w:hideMark/>
          </w:tcPr>
          <w:p w14:paraId="795DB771"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-2,382</w:t>
            </w:r>
          </w:p>
        </w:tc>
        <w:tc>
          <w:tcPr>
            <w:tcW w:w="744" w:type="pct"/>
            <w:tcBorders>
              <w:top w:val="nil"/>
              <w:left w:val="nil"/>
              <w:bottom w:val="nil"/>
              <w:right w:val="single" w:sz="8" w:space="0" w:color="auto"/>
            </w:tcBorders>
            <w:shd w:val="clear" w:color="auto" w:fill="FFFFFF"/>
            <w:vAlign w:val="center"/>
            <w:hideMark/>
          </w:tcPr>
          <w:p w14:paraId="1B53745F"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-4.6%</w:t>
            </w:r>
          </w:p>
        </w:tc>
      </w:tr>
      <w:tr w:rsidR="00FA29AB" w:rsidRPr="00050FA4" w14:paraId="77C15367" w14:textId="77777777" w:rsidTr="00A65EAE">
        <w:trPr>
          <w:trHeight w:val="249"/>
        </w:trPr>
        <w:tc>
          <w:tcPr>
            <w:tcW w:w="2129" w:type="pct"/>
            <w:tcBorders>
              <w:top w:val="nil"/>
              <w:left w:val="single" w:sz="4" w:space="0" w:color="auto"/>
              <w:bottom w:val="nil"/>
              <w:right w:val="single" w:sz="4" w:space="0" w:color="auto"/>
            </w:tcBorders>
            <w:shd w:val="clear" w:color="auto" w:fill="FFFFFF"/>
            <w:vAlign w:val="center"/>
            <w:hideMark/>
          </w:tcPr>
          <w:p w14:paraId="126B8DE5" w14:textId="77777777" w:rsidR="00A65EAE" w:rsidRPr="00050FA4" w:rsidRDefault="00A65EAE" w:rsidP="00E635DE">
            <w:pPr>
              <w:rPr>
                <w:rFonts w:ascii="Garamond" w:eastAsia="Times New Roman" w:hAnsi="Garamond"/>
                <w:i/>
                <w:iCs/>
                <w:color w:val="0D0D0D" w:themeColor="text1" w:themeTint="F2"/>
                <w:sz w:val="20"/>
                <w:szCs w:val="20"/>
              </w:rPr>
            </w:pPr>
            <w:r w:rsidRPr="00050FA4">
              <w:rPr>
                <w:rFonts w:ascii="Garamond" w:hAnsi="Garamond"/>
                <w:i/>
                <w:color w:val="0D0D0D" w:themeColor="text1" w:themeTint="F2"/>
                <w:sz w:val="20"/>
                <w:szCs w:val="20"/>
              </w:rPr>
              <w:t>Rimbursimi i TVSH-së</w:t>
            </w:r>
          </w:p>
        </w:tc>
        <w:tc>
          <w:tcPr>
            <w:tcW w:w="758" w:type="pct"/>
            <w:tcBorders>
              <w:top w:val="nil"/>
              <w:left w:val="single" w:sz="8" w:space="0" w:color="auto"/>
              <w:bottom w:val="nil"/>
              <w:right w:val="nil"/>
            </w:tcBorders>
            <w:shd w:val="clear" w:color="auto" w:fill="FFFFFF"/>
            <w:vAlign w:val="center"/>
            <w:hideMark/>
          </w:tcPr>
          <w:p w14:paraId="432F362D"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22,305</w:t>
            </w:r>
          </w:p>
        </w:tc>
        <w:tc>
          <w:tcPr>
            <w:tcW w:w="769" w:type="pct"/>
            <w:tcBorders>
              <w:top w:val="nil"/>
              <w:left w:val="nil"/>
              <w:bottom w:val="nil"/>
              <w:right w:val="single" w:sz="8" w:space="0" w:color="auto"/>
            </w:tcBorders>
            <w:shd w:val="clear" w:color="auto" w:fill="FFFFFF"/>
            <w:vAlign w:val="center"/>
            <w:hideMark/>
          </w:tcPr>
          <w:p w14:paraId="053E27BB"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15,900</w:t>
            </w:r>
          </w:p>
        </w:tc>
        <w:tc>
          <w:tcPr>
            <w:tcW w:w="600" w:type="pct"/>
            <w:shd w:val="clear" w:color="auto" w:fill="FFFFFF"/>
            <w:vAlign w:val="center"/>
            <w:hideMark/>
          </w:tcPr>
          <w:p w14:paraId="3C86DA12"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6,405</w:t>
            </w:r>
          </w:p>
        </w:tc>
        <w:tc>
          <w:tcPr>
            <w:tcW w:w="744" w:type="pct"/>
            <w:tcBorders>
              <w:top w:val="nil"/>
              <w:left w:val="nil"/>
              <w:bottom w:val="nil"/>
              <w:right w:val="single" w:sz="8" w:space="0" w:color="auto"/>
            </w:tcBorders>
            <w:shd w:val="clear" w:color="auto" w:fill="FFFFFF"/>
            <w:vAlign w:val="center"/>
            <w:hideMark/>
          </w:tcPr>
          <w:p w14:paraId="1C68B3AA"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40.3%</w:t>
            </w:r>
          </w:p>
        </w:tc>
      </w:tr>
      <w:tr w:rsidR="00FA29AB" w:rsidRPr="00050FA4" w14:paraId="5A47D119" w14:textId="77777777" w:rsidTr="00A65EAE">
        <w:trPr>
          <w:trHeight w:val="249"/>
        </w:trPr>
        <w:tc>
          <w:tcPr>
            <w:tcW w:w="2129" w:type="pct"/>
            <w:tcBorders>
              <w:top w:val="nil"/>
              <w:left w:val="single" w:sz="4" w:space="0" w:color="auto"/>
              <w:bottom w:val="nil"/>
              <w:right w:val="single" w:sz="4" w:space="0" w:color="auto"/>
            </w:tcBorders>
            <w:shd w:val="clear" w:color="auto" w:fill="FFFFFF"/>
            <w:vAlign w:val="center"/>
            <w:hideMark/>
          </w:tcPr>
          <w:p w14:paraId="4EA97DAB" w14:textId="77777777" w:rsidR="00A65EAE" w:rsidRPr="00050FA4" w:rsidRDefault="00A65EAE" w:rsidP="00E635DE">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Tatimi mbi fitimin</w:t>
            </w:r>
          </w:p>
        </w:tc>
        <w:tc>
          <w:tcPr>
            <w:tcW w:w="758" w:type="pct"/>
            <w:tcBorders>
              <w:top w:val="nil"/>
              <w:left w:val="single" w:sz="8" w:space="0" w:color="auto"/>
              <w:bottom w:val="nil"/>
              <w:right w:val="nil"/>
            </w:tcBorders>
            <w:shd w:val="clear" w:color="auto" w:fill="FFFFFF"/>
            <w:vAlign w:val="center"/>
            <w:hideMark/>
          </w:tcPr>
          <w:p w14:paraId="5746EEA6"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30,670</w:t>
            </w:r>
          </w:p>
        </w:tc>
        <w:tc>
          <w:tcPr>
            <w:tcW w:w="769" w:type="pct"/>
            <w:tcBorders>
              <w:top w:val="nil"/>
              <w:left w:val="nil"/>
              <w:bottom w:val="nil"/>
              <w:right w:val="single" w:sz="8" w:space="0" w:color="auto"/>
            </w:tcBorders>
            <w:shd w:val="clear" w:color="auto" w:fill="FFFFFF"/>
            <w:vAlign w:val="center"/>
            <w:hideMark/>
          </w:tcPr>
          <w:p w14:paraId="573E34DD"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29,790</w:t>
            </w:r>
          </w:p>
        </w:tc>
        <w:tc>
          <w:tcPr>
            <w:tcW w:w="600" w:type="pct"/>
            <w:shd w:val="clear" w:color="auto" w:fill="FFFFFF"/>
            <w:vAlign w:val="center"/>
            <w:hideMark/>
          </w:tcPr>
          <w:p w14:paraId="087EE4F8"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880</w:t>
            </w:r>
          </w:p>
        </w:tc>
        <w:tc>
          <w:tcPr>
            <w:tcW w:w="744" w:type="pct"/>
            <w:tcBorders>
              <w:top w:val="nil"/>
              <w:left w:val="nil"/>
              <w:bottom w:val="nil"/>
              <w:right w:val="single" w:sz="8" w:space="0" w:color="auto"/>
            </w:tcBorders>
            <w:shd w:val="clear" w:color="auto" w:fill="FFFFFF"/>
            <w:vAlign w:val="center"/>
            <w:hideMark/>
          </w:tcPr>
          <w:p w14:paraId="0722BA0A"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3.0%</w:t>
            </w:r>
          </w:p>
        </w:tc>
      </w:tr>
      <w:tr w:rsidR="00FA29AB" w:rsidRPr="00050FA4" w14:paraId="71802C31" w14:textId="77777777" w:rsidTr="00A65EAE">
        <w:trPr>
          <w:trHeight w:val="249"/>
        </w:trPr>
        <w:tc>
          <w:tcPr>
            <w:tcW w:w="2129" w:type="pct"/>
            <w:tcBorders>
              <w:top w:val="nil"/>
              <w:left w:val="single" w:sz="4" w:space="0" w:color="auto"/>
              <w:bottom w:val="nil"/>
              <w:right w:val="single" w:sz="4" w:space="0" w:color="auto"/>
            </w:tcBorders>
            <w:shd w:val="clear" w:color="auto" w:fill="FFFFFF"/>
            <w:vAlign w:val="center"/>
            <w:hideMark/>
          </w:tcPr>
          <w:p w14:paraId="102D8028" w14:textId="77777777" w:rsidR="00A65EAE" w:rsidRPr="00050FA4" w:rsidRDefault="00A65EAE" w:rsidP="00E635DE">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Tatimi mbi të Ardhurat Personale</w:t>
            </w:r>
          </w:p>
        </w:tc>
        <w:tc>
          <w:tcPr>
            <w:tcW w:w="758" w:type="pct"/>
            <w:tcBorders>
              <w:top w:val="nil"/>
              <w:left w:val="single" w:sz="8" w:space="0" w:color="auto"/>
              <w:bottom w:val="nil"/>
              <w:right w:val="nil"/>
            </w:tcBorders>
            <w:shd w:val="clear" w:color="auto" w:fill="FFFFFF"/>
            <w:vAlign w:val="center"/>
            <w:hideMark/>
          </w:tcPr>
          <w:p w14:paraId="3C9A2A5D"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36,074</w:t>
            </w:r>
          </w:p>
        </w:tc>
        <w:tc>
          <w:tcPr>
            <w:tcW w:w="769" w:type="pct"/>
            <w:tcBorders>
              <w:top w:val="nil"/>
              <w:left w:val="nil"/>
              <w:bottom w:val="nil"/>
              <w:right w:val="single" w:sz="8" w:space="0" w:color="auto"/>
            </w:tcBorders>
            <w:shd w:val="clear" w:color="auto" w:fill="FFFFFF"/>
            <w:vAlign w:val="center"/>
            <w:hideMark/>
          </w:tcPr>
          <w:p w14:paraId="01581598"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37,386</w:t>
            </w:r>
          </w:p>
        </w:tc>
        <w:tc>
          <w:tcPr>
            <w:tcW w:w="600" w:type="pct"/>
            <w:shd w:val="clear" w:color="auto" w:fill="FFFFFF"/>
            <w:vAlign w:val="center"/>
            <w:hideMark/>
          </w:tcPr>
          <w:p w14:paraId="2B411999"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-1,312</w:t>
            </w:r>
          </w:p>
        </w:tc>
        <w:tc>
          <w:tcPr>
            <w:tcW w:w="744" w:type="pct"/>
            <w:tcBorders>
              <w:top w:val="nil"/>
              <w:left w:val="nil"/>
              <w:bottom w:val="nil"/>
              <w:right w:val="single" w:sz="8" w:space="0" w:color="auto"/>
            </w:tcBorders>
            <w:shd w:val="clear" w:color="auto" w:fill="FFFFFF"/>
            <w:vAlign w:val="center"/>
            <w:hideMark/>
          </w:tcPr>
          <w:p w14:paraId="7B7FD0F4"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-3.5%</w:t>
            </w:r>
          </w:p>
        </w:tc>
      </w:tr>
      <w:tr w:rsidR="00FA29AB" w:rsidRPr="00050FA4" w14:paraId="563FB078" w14:textId="77777777" w:rsidTr="00A65EAE">
        <w:trPr>
          <w:trHeight w:val="249"/>
        </w:trPr>
        <w:tc>
          <w:tcPr>
            <w:tcW w:w="2129" w:type="pct"/>
            <w:tcBorders>
              <w:top w:val="nil"/>
              <w:left w:val="single" w:sz="4" w:space="0" w:color="auto"/>
              <w:bottom w:val="nil"/>
              <w:right w:val="single" w:sz="4" w:space="0" w:color="auto"/>
            </w:tcBorders>
            <w:shd w:val="clear" w:color="auto" w:fill="FFFFFF"/>
            <w:vAlign w:val="center"/>
            <w:hideMark/>
          </w:tcPr>
          <w:p w14:paraId="5D2C4CA9" w14:textId="4D06A08F" w:rsidR="00A65EAE" w:rsidRPr="00050FA4" w:rsidRDefault="00A65EAE" w:rsidP="00E635DE">
            <w:pP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 xml:space="preserve">Taksat </w:t>
            </w:r>
            <w:r w:rsidR="002C65A3" w:rsidRPr="00050FA4">
              <w:rPr>
                <w:rFonts w:ascii="Garamond" w:eastAsia="Times New Roman" w:hAnsi="Garamond"/>
                <w:b/>
                <w:bCs/>
                <w:color w:val="0D0D0D" w:themeColor="text1" w:themeTint="F2"/>
                <w:sz w:val="20"/>
                <w:szCs w:val="20"/>
              </w:rPr>
              <w:t>nacionale</w:t>
            </w:r>
          </w:p>
        </w:tc>
        <w:tc>
          <w:tcPr>
            <w:tcW w:w="758" w:type="pct"/>
            <w:tcBorders>
              <w:top w:val="nil"/>
              <w:left w:val="single" w:sz="8" w:space="0" w:color="auto"/>
              <w:bottom w:val="nil"/>
              <w:right w:val="nil"/>
            </w:tcBorders>
            <w:shd w:val="clear" w:color="auto" w:fill="FFFFFF"/>
            <w:vAlign w:val="center"/>
            <w:hideMark/>
          </w:tcPr>
          <w:p w14:paraId="0785C8CA"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36,275</w:t>
            </w:r>
          </w:p>
        </w:tc>
        <w:tc>
          <w:tcPr>
            <w:tcW w:w="769" w:type="pct"/>
            <w:tcBorders>
              <w:top w:val="nil"/>
              <w:left w:val="nil"/>
              <w:bottom w:val="nil"/>
              <w:right w:val="single" w:sz="8" w:space="0" w:color="auto"/>
            </w:tcBorders>
            <w:shd w:val="clear" w:color="auto" w:fill="FFFFFF"/>
            <w:vAlign w:val="center"/>
            <w:hideMark/>
          </w:tcPr>
          <w:p w14:paraId="3274953F"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32,366</w:t>
            </w:r>
          </w:p>
        </w:tc>
        <w:tc>
          <w:tcPr>
            <w:tcW w:w="600" w:type="pct"/>
            <w:shd w:val="clear" w:color="auto" w:fill="FFFFFF"/>
            <w:vAlign w:val="center"/>
            <w:hideMark/>
          </w:tcPr>
          <w:p w14:paraId="3D8E5DA4"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3,909</w:t>
            </w:r>
          </w:p>
        </w:tc>
        <w:tc>
          <w:tcPr>
            <w:tcW w:w="744" w:type="pct"/>
            <w:tcBorders>
              <w:top w:val="nil"/>
              <w:left w:val="nil"/>
              <w:bottom w:val="nil"/>
              <w:right w:val="single" w:sz="8" w:space="0" w:color="auto"/>
            </w:tcBorders>
            <w:shd w:val="clear" w:color="auto" w:fill="FFFFFF"/>
            <w:vAlign w:val="center"/>
            <w:hideMark/>
          </w:tcPr>
          <w:p w14:paraId="19AB288F"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12.1%</w:t>
            </w:r>
          </w:p>
        </w:tc>
      </w:tr>
      <w:tr w:rsidR="00FA29AB" w:rsidRPr="00050FA4" w14:paraId="64F2B268" w14:textId="77777777" w:rsidTr="00A65EAE">
        <w:trPr>
          <w:trHeight w:val="249"/>
        </w:trPr>
        <w:tc>
          <w:tcPr>
            <w:tcW w:w="2129" w:type="pct"/>
            <w:tcBorders>
              <w:top w:val="nil"/>
              <w:left w:val="single" w:sz="4" w:space="0" w:color="auto"/>
              <w:bottom w:val="nil"/>
              <w:right w:val="single" w:sz="4" w:space="0" w:color="auto"/>
            </w:tcBorders>
            <w:shd w:val="clear" w:color="auto" w:fill="EDEDED"/>
            <w:vAlign w:val="center"/>
            <w:hideMark/>
          </w:tcPr>
          <w:p w14:paraId="6461C01C" w14:textId="77777777" w:rsidR="00A65EAE" w:rsidRPr="00050FA4" w:rsidRDefault="00A65EAE" w:rsidP="00E635DE">
            <w:pP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Total</w:t>
            </w:r>
          </w:p>
        </w:tc>
        <w:tc>
          <w:tcPr>
            <w:tcW w:w="758" w:type="pct"/>
            <w:tcBorders>
              <w:top w:val="nil"/>
              <w:left w:val="single" w:sz="8" w:space="0" w:color="auto"/>
              <w:bottom w:val="nil"/>
              <w:right w:val="nil"/>
            </w:tcBorders>
            <w:shd w:val="clear" w:color="auto" w:fill="F2F2F2"/>
            <w:vAlign w:val="center"/>
            <w:hideMark/>
          </w:tcPr>
          <w:p w14:paraId="1513EE2E" w14:textId="77777777" w:rsidR="00A65EAE" w:rsidRPr="00050FA4" w:rsidRDefault="00A65EAE" w:rsidP="00E635DE">
            <w:pPr>
              <w:jc w:val="right"/>
              <w:rPr>
                <w:rFonts w:ascii="Garamond" w:hAnsi="Garamond"/>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color w:val="0D0D0D" w:themeColor="text1" w:themeTint="F2"/>
                <w:sz w:val="20"/>
                <w:szCs w:val="20"/>
                <w14:shadow w14:blurRad="50800" w14:dist="38100" w14:dir="2700000" w14:sx="100000" w14:sy="100000" w14:kx="0" w14:ky="0" w14:algn="tl">
                  <w14:srgbClr w14:val="000000">
                    <w14:alpha w14:val="60000"/>
                  </w14:srgbClr>
                </w14:shadow>
              </w:rPr>
              <w:t>130,482</w:t>
            </w:r>
          </w:p>
        </w:tc>
        <w:tc>
          <w:tcPr>
            <w:tcW w:w="769" w:type="pct"/>
            <w:tcBorders>
              <w:top w:val="nil"/>
              <w:left w:val="nil"/>
              <w:bottom w:val="nil"/>
              <w:right w:val="single" w:sz="8" w:space="0" w:color="auto"/>
            </w:tcBorders>
            <w:shd w:val="clear" w:color="auto" w:fill="F2F2F2"/>
            <w:vAlign w:val="center"/>
            <w:hideMark/>
          </w:tcPr>
          <w:p w14:paraId="38A525CA" w14:textId="77777777" w:rsidR="00A65EAE" w:rsidRPr="00050FA4" w:rsidRDefault="00A65EAE" w:rsidP="00E635DE">
            <w:pPr>
              <w:jc w:val="right"/>
              <w:rPr>
                <w:rFonts w:ascii="Garamond" w:hAnsi="Garamond"/>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color w:val="0D0D0D" w:themeColor="text1" w:themeTint="F2"/>
                <w:sz w:val="20"/>
                <w:szCs w:val="20"/>
                <w14:shadow w14:blurRad="50800" w14:dist="38100" w14:dir="2700000" w14:sx="100000" w14:sy="100000" w14:kx="0" w14:ky="0" w14:algn="tl">
                  <w14:srgbClr w14:val="000000">
                    <w14:alpha w14:val="60000"/>
                  </w14:srgbClr>
                </w14:shadow>
              </w:rPr>
              <w:t>135,792</w:t>
            </w:r>
          </w:p>
        </w:tc>
        <w:tc>
          <w:tcPr>
            <w:tcW w:w="600" w:type="pct"/>
            <w:shd w:val="clear" w:color="auto" w:fill="F2F2F2"/>
            <w:vAlign w:val="center"/>
            <w:hideMark/>
          </w:tcPr>
          <w:p w14:paraId="32A7905F" w14:textId="77777777" w:rsidR="00A65EAE" w:rsidRPr="00050FA4" w:rsidRDefault="00A65EAE" w:rsidP="00E635DE">
            <w:pPr>
              <w:jc w:val="right"/>
              <w:rPr>
                <w:rFonts w:ascii="Garamond" w:hAnsi="Garamond"/>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color w:val="0D0D0D" w:themeColor="text1" w:themeTint="F2"/>
                <w:sz w:val="20"/>
                <w:szCs w:val="20"/>
                <w14:shadow w14:blurRad="50800" w14:dist="38100" w14:dir="2700000" w14:sx="100000" w14:sy="100000" w14:kx="0" w14:ky="0" w14:algn="tl">
                  <w14:srgbClr w14:val="000000">
                    <w14:alpha w14:val="60000"/>
                  </w14:srgbClr>
                </w14:shadow>
              </w:rPr>
              <w:t>-5,310</w:t>
            </w:r>
          </w:p>
        </w:tc>
        <w:tc>
          <w:tcPr>
            <w:tcW w:w="744" w:type="pct"/>
            <w:tcBorders>
              <w:top w:val="nil"/>
              <w:left w:val="nil"/>
              <w:bottom w:val="nil"/>
              <w:right w:val="single" w:sz="8" w:space="0" w:color="auto"/>
            </w:tcBorders>
            <w:shd w:val="clear" w:color="auto" w:fill="F2F2F2"/>
            <w:vAlign w:val="center"/>
            <w:hideMark/>
          </w:tcPr>
          <w:p w14:paraId="615A6C1E"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-3.9%</w:t>
            </w:r>
          </w:p>
        </w:tc>
      </w:tr>
      <w:tr w:rsidR="00FA29AB" w:rsidRPr="00050FA4" w14:paraId="66A75BDE" w14:textId="77777777" w:rsidTr="00A65EAE">
        <w:trPr>
          <w:trHeight w:val="249"/>
        </w:trPr>
        <w:tc>
          <w:tcPr>
            <w:tcW w:w="2129" w:type="pct"/>
            <w:tcBorders>
              <w:top w:val="nil"/>
              <w:left w:val="single" w:sz="4" w:space="0" w:color="auto"/>
              <w:bottom w:val="single" w:sz="4" w:space="0" w:color="000000"/>
              <w:right w:val="single" w:sz="4" w:space="0" w:color="auto"/>
            </w:tcBorders>
            <w:shd w:val="clear" w:color="auto" w:fill="FFFFFF"/>
            <w:vAlign w:val="center"/>
            <w:hideMark/>
          </w:tcPr>
          <w:p w14:paraId="4DB3351E" w14:textId="77777777" w:rsidR="00A65EAE" w:rsidRPr="00050FA4" w:rsidRDefault="00A65EAE" w:rsidP="00E635DE">
            <w:pPr>
              <w:rPr>
                <w:rFonts w:ascii="Garamond" w:eastAsia="Times New Roman" w:hAnsi="Garamond"/>
                <w:b/>
                <w:bCs/>
                <w:color w:val="0D0D0D" w:themeColor="text1" w:themeTint="F2"/>
                <w:sz w:val="20"/>
                <w:szCs w:val="20"/>
              </w:rPr>
            </w:pPr>
            <w:r w:rsidRPr="00050FA4">
              <w:rPr>
                <w:rFonts w:ascii="Garamond" w:hAnsi="Garamond"/>
                <w:color w:val="0D0D0D" w:themeColor="text1" w:themeTint="F2"/>
                <w:sz w:val="20"/>
                <w:szCs w:val="20"/>
              </w:rPr>
              <w:t>Kontributet</w:t>
            </w:r>
          </w:p>
        </w:tc>
        <w:tc>
          <w:tcPr>
            <w:tcW w:w="758" w:type="pct"/>
            <w:tcBorders>
              <w:top w:val="nil"/>
              <w:left w:val="single" w:sz="8" w:space="0" w:color="auto"/>
              <w:bottom w:val="single" w:sz="8" w:space="0" w:color="auto"/>
              <w:right w:val="nil"/>
            </w:tcBorders>
            <w:shd w:val="clear" w:color="auto" w:fill="FFFFFF"/>
            <w:vAlign w:val="center"/>
            <w:hideMark/>
          </w:tcPr>
          <w:p w14:paraId="6F09AAF8"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97,542</w:t>
            </w:r>
          </w:p>
        </w:tc>
        <w:tc>
          <w:tcPr>
            <w:tcW w:w="769" w:type="pct"/>
            <w:tcBorders>
              <w:top w:val="nil"/>
              <w:left w:val="nil"/>
              <w:bottom w:val="single" w:sz="8" w:space="0" w:color="auto"/>
              <w:right w:val="single" w:sz="8" w:space="0" w:color="auto"/>
            </w:tcBorders>
            <w:shd w:val="clear" w:color="auto" w:fill="FFFFFF"/>
            <w:vAlign w:val="center"/>
            <w:hideMark/>
          </w:tcPr>
          <w:p w14:paraId="60F0DB96"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89,705</w:t>
            </w:r>
          </w:p>
        </w:tc>
        <w:tc>
          <w:tcPr>
            <w:tcW w:w="600" w:type="pct"/>
            <w:shd w:val="clear" w:color="auto" w:fill="FFFFFF"/>
            <w:vAlign w:val="center"/>
            <w:hideMark/>
          </w:tcPr>
          <w:p w14:paraId="1324EE20"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7,837</w:t>
            </w:r>
          </w:p>
        </w:tc>
        <w:tc>
          <w:tcPr>
            <w:tcW w:w="744" w:type="pct"/>
            <w:tcBorders>
              <w:top w:val="nil"/>
              <w:left w:val="nil"/>
              <w:bottom w:val="nil"/>
              <w:right w:val="single" w:sz="8" w:space="0" w:color="auto"/>
            </w:tcBorders>
            <w:shd w:val="clear" w:color="auto" w:fill="FFFFFF"/>
            <w:vAlign w:val="center"/>
            <w:hideMark/>
          </w:tcPr>
          <w:p w14:paraId="0ACFF2EE" w14:textId="77777777" w:rsidR="00A65EAE" w:rsidRPr="00050FA4" w:rsidRDefault="00A65EAE" w:rsidP="00E635D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8.7%</w:t>
            </w:r>
          </w:p>
        </w:tc>
      </w:tr>
      <w:tr w:rsidR="00FA29AB" w:rsidRPr="00050FA4" w14:paraId="1FDE97A4" w14:textId="77777777" w:rsidTr="00A65EAE">
        <w:trPr>
          <w:trHeight w:val="249"/>
        </w:trPr>
        <w:tc>
          <w:tcPr>
            <w:tcW w:w="2129" w:type="pct"/>
            <w:tcBorders>
              <w:top w:val="nil"/>
              <w:left w:val="single" w:sz="4" w:space="0" w:color="auto"/>
              <w:bottom w:val="single" w:sz="4" w:space="0" w:color="auto"/>
              <w:right w:val="single" w:sz="4" w:space="0" w:color="auto"/>
            </w:tcBorders>
            <w:shd w:val="clear" w:color="auto" w:fill="EDEDED"/>
            <w:vAlign w:val="center"/>
            <w:hideMark/>
          </w:tcPr>
          <w:p w14:paraId="3D7C3176" w14:textId="77777777" w:rsidR="00A65EAE" w:rsidRPr="00050FA4" w:rsidRDefault="00A65EAE" w:rsidP="00E635D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TOTAL GDC + Contributions</w:t>
            </w:r>
          </w:p>
        </w:tc>
        <w:tc>
          <w:tcPr>
            <w:tcW w:w="758" w:type="pct"/>
            <w:tcBorders>
              <w:top w:val="nil"/>
              <w:left w:val="single" w:sz="8" w:space="0" w:color="auto"/>
              <w:bottom w:val="single" w:sz="8" w:space="0" w:color="auto"/>
              <w:right w:val="nil"/>
            </w:tcBorders>
            <w:shd w:val="clear" w:color="auto" w:fill="EDEDED"/>
            <w:vAlign w:val="center"/>
            <w:hideMark/>
          </w:tcPr>
          <w:p w14:paraId="60823F3A" w14:textId="77777777" w:rsidR="00A65EAE" w:rsidRPr="00050FA4" w:rsidRDefault="00A65EAE" w:rsidP="00E635DE">
            <w:pPr>
              <w:jc w:val="right"/>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t>228,024</w:t>
            </w:r>
          </w:p>
        </w:tc>
        <w:tc>
          <w:tcPr>
            <w:tcW w:w="769" w:type="pct"/>
            <w:tcBorders>
              <w:top w:val="nil"/>
              <w:left w:val="nil"/>
              <w:bottom w:val="single" w:sz="8" w:space="0" w:color="auto"/>
              <w:right w:val="single" w:sz="8" w:space="0" w:color="auto"/>
            </w:tcBorders>
            <w:shd w:val="clear" w:color="auto" w:fill="EDEDED"/>
            <w:vAlign w:val="center"/>
            <w:hideMark/>
          </w:tcPr>
          <w:p w14:paraId="7FC07938" w14:textId="77777777" w:rsidR="00A65EAE" w:rsidRPr="00050FA4" w:rsidRDefault="00A65EAE" w:rsidP="00E635DE">
            <w:pPr>
              <w:jc w:val="right"/>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t>225,497</w:t>
            </w:r>
          </w:p>
        </w:tc>
        <w:tc>
          <w:tcPr>
            <w:tcW w:w="600" w:type="pct"/>
            <w:tcBorders>
              <w:top w:val="single" w:sz="8" w:space="0" w:color="000000"/>
              <w:left w:val="nil"/>
              <w:bottom w:val="single" w:sz="8" w:space="0" w:color="auto"/>
              <w:right w:val="nil"/>
            </w:tcBorders>
            <w:shd w:val="clear" w:color="auto" w:fill="EDEDED"/>
            <w:vAlign w:val="center"/>
            <w:hideMark/>
          </w:tcPr>
          <w:p w14:paraId="15F761CB" w14:textId="77777777" w:rsidR="00A65EAE" w:rsidRPr="00050FA4" w:rsidRDefault="00A65EAE" w:rsidP="00E635DE">
            <w:pPr>
              <w:jc w:val="right"/>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t>2,527</w:t>
            </w:r>
          </w:p>
        </w:tc>
        <w:tc>
          <w:tcPr>
            <w:tcW w:w="744" w:type="pct"/>
            <w:tcBorders>
              <w:top w:val="single" w:sz="8" w:space="0" w:color="000000"/>
              <w:left w:val="nil"/>
              <w:bottom w:val="single" w:sz="8" w:space="0" w:color="auto"/>
              <w:right w:val="single" w:sz="8" w:space="0" w:color="auto"/>
            </w:tcBorders>
            <w:shd w:val="clear" w:color="auto" w:fill="EDEDED"/>
            <w:vAlign w:val="center"/>
            <w:hideMark/>
          </w:tcPr>
          <w:p w14:paraId="4E6F5361" w14:textId="77777777" w:rsidR="00A65EAE" w:rsidRPr="00050FA4" w:rsidRDefault="00A65EAE" w:rsidP="00E635DE">
            <w:pPr>
              <w:jc w:val="right"/>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pPr>
            <w:r w:rsidRPr="00050FA4">
              <w:rPr>
                <w:rFonts w:ascii="Garamond" w:hAnsi="Garamond"/>
                <w:b/>
                <w:color w:val="0D0D0D" w:themeColor="text1" w:themeTint="F2"/>
                <w:sz w:val="20"/>
                <w:szCs w:val="20"/>
                <w14:shadow w14:blurRad="50800" w14:dist="38100" w14:dir="2700000" w14:sx="100000" w14:sy="100000" w14:kx="0" w14:ky="0" w14:algn="tl">
                  <w14:srgbClr w14:val="000000">
                    <w14:alpha w14:val="60000"/>
                  </w14:srgbClr>
                </w14:shadow>
              </w:rPr>
              <w:t>1.1%</w:t>
            </w:r>
          </w:p>
        </w:tc>
      </w:tr>
    </w:tbl>
    <w:p w14:paraId="396C3B88" w14:textId="52801190" w:rsidR="00A65EAE" w:rsidRPr="00050FA4" w:rsidRDefault="00A65EAE" w:rsidP="003F1DA7">
      <w:pPr>
        <w:pStyle w:val="AAAAAAATEXXXX"/>
        <w:jc w:val="center"/>
        <w:rPr>
          <w:sz w:val="20"/>
          <w:szCs w:val="20"/>
          <w:lang w:val="sq-AL"/>
        </w:rPr>
      </w:pPr>
      <w:r w:rsidRPr="00050FA4">
        <w:rPr>
          <w:sz w:val="20"/>
          <w:szCs w:val="20"/>
          <w:lang w:val="sq-AL"/>
        </w:rPr>
        <w:t xml:space="preserve">Burimi: Ministria e </w:t>
      </w:r>
      <w:r w:rsidR="00D24918" w:rsidRPr="00050FA4">
        <w:rPr>
          <w:sz w:val="20"/>
          <w:szCs w:val="20"/>
          <w:lang w:val="sq-AL"/>
        </w:rPr>
        <w:t>Financave</w:t>
      </w:r>
      <w:r w:rsidRPr="00050FA4">
        <w:rPr>
          <w:sz w:val="20"/>
          <w:szCs w:val="20"/>
          <w:lang w:val="sq-AL"/>
        </w:rPr>
        <w:t xml:space="preserve"> dhe Ekonomisë (2021)</w:t>
      </w:r>
    </w:p>
    <w:p w14:paraId="2B5FC8F7" w14:textId="77777777" w:rsidR="002749EB" w:rsidRPr="00050FA4" w:rsidRDefault="002749EB" w:rsidP="003F1DA7">
      <w:pPr>
        <w:ind w:left="7" w:firstLine="284"/>
        <w:jc w:val="both"/>
        <w:rPr>
          <w:rFonts w:ascii="Garamond" w:eastAsia="Times New Roman" w:hAnsi="Garamond"/>
          <w:color w:val="0D0D0D" w:themeColor="text1" w:themeTint="F2"/>
        </w:rPr>
      </w:pPr>
    </w:p>
    <w:p w14:paraId="083498CA" w14:textId="65463407" w:rsidR="00A65EAE" w:rsidRPr="00050FA4" w:rsidRDefault="00A65EAE" w:rsidP="003F1DA7">
      <w:pPr>
        <w:pStyle w:val="AAAAAAATEXXXX"/>
        <w:rPr>
          <w:lang w:val="sq-AL"/>
        </w:rPr>
      </w:pPr>
      <w:r w:rsidRPr="00050FA4">
        <w:rPr>
          <w:lang w:val="sq-AL"/>
        </w:rPr>
        <w:t>Të ardhurat neto nga TVSH janë 27.5 miliardë lekë, me një realizim 75.8% kundrejt planit dhe 83 milionë lekë ose 0.3% më pak se 11</w:t>
      </w:r>
      <w:r w:rsidR="008530FC" w:rsidRPr="00050FA4">
        <w:rPr>
          <w:lang w:val="sq-AL"/>
        </w:rPr>
        <w:t>-</w:t>
      </w:r>
      <w:r w:rsidRPr="00050FA4">
        <w:rPr>
          <w:lang w:val="sq-AL"/>
        </w:rPr>
        <w:t xml:space="preserve">mujori 2020. Në </w:t>
      </w:r>
      <w:r w:rsidR="00E635DE" w:rsidRPr="00050FA4">
        <w:rPr>
          <w:lang w:val="sq-AL"/>
        </w:rPr>
        <w:t xml:space="preserve">periudhën janar–nëntor </w:t>
      </w:r>
      <w:r w:rsidRPr="00050FA4">
        <w:rPr>
          <w:lang w:val="sq-AL"/>
        </w:rPr>
        <w:t xml:space="preserve">2021, shuma e TVSH-së së rimbursuar është 22.3 miliardë lekë, rreth 52.8% ose 7.7 miliardë lekë më shumë se e njëjta periudhë e vitit 2020. Ecuria e të ardhurave nga TVSH është ndikuar ndjeshëm nga rritja e rimbursimeve, të cilat për 11-mujorin 2021 arritën në 22.3 miliardë lekë, 6.4 miliardë lekë ose 40.3% më shumë se plani i rimbursimit të TVSH-së për 11-mujorin 2021. Sektorët me kontributin më të madh në të ardhurat nga TVSH-ja, krahasuar me 11-mujorin 2020 janë tregtia, ndërtimi </w:t>
      </w:r>
      <w:r w:rsidRPr="003570C4">
        <w:rPr>
          <w:lang w:val="sq-AL"/>
        </w:rPr>
        <w:t>dhe shërbimet. sektorët.</w:t>
      </w:r>
    </w:p>
    <w:tbl>
      <w:tblPr>
        <w:tblStyle w:val="TableGrid4"/>
        <w:tblW w:w="98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05"/>
      </w:tblGrid>
      <w:tr w:rsidR="002749EB" w:rsidRPr="00050FA4" w14:paraId="57394B39" w14:textId="77777777" w:rsidTr="002749EB">
        <w:trPr>
          <w:trHeight w:val="4218"/>
          <w:jc w:val="center"/>
        </w:trPr>
        <w:tc>
          <w:tcPr>
            <w:tcW w:w="4956" w:type="dxa"/>
          </w:tcPr>
          <w:p w14:paraId="1C10A182" w14:textId="77777777" w:rsidR="002749EB" w:rsidRPr="00050FA4" w:rsidRDefault="002749EB" w:rsidP="00E635DE">
            <w:pPr>
              <w:pStyle w:val="AAAAAAATEXXXX"/>
              <w:ind w:firstLine="0"/>
              <w:rPr>
                <w:lang w:val="sq-AL"/>
              </w:rPr>
            </w:pPr>
          </w:p>
          <w:p w14:paraId="7998AD1A" w14:textId="77777777" w:rsidR="00E635DE" w:rsidRPr="00050FA4" w:rsidRDefault="002749EB" w:rsidP="00E635DE">
            <w:pPr>
              <w:pStyle w:val="AAAAAAATEXXXX"/>
              <w:ind w:firstLine="0"/>
              <w:jc w:val="center"/>
              <w:rPr>
                <w:b/>
                <w:i/>
                <w:sz w:val="20"/>
                <w:szCs w:val="20"/>
                <w:lang w:val="sq-AL"/>
              </w:rPr>
            </w:pPr>
            <w:r w:rsidRPr="00050FA4">
              <w:rPr>
                <w:b/>
                <w:i/>
                <w:sz w:val="20"/>
                <w:szCs w:val="20"/>
                <w:lang w:val="sq-AL"/>
              </w:rPr>
              <w:t xml:space="preserve">Grafik 4.2.2 Ecuria e TVSH-së gjatë 11-mujorit 2021 </w:t>
            </w:r>
          </w:p>
          <w:p w14:paraId="4510C9F9" w14:textId="7135A518" w:rsidR="002749EB" w:rsidRPr="00050FA4" w:rsidRDefault="002749EB" w:rsidP="00E635DE">
            <w:pPr>
              <w:pStyle w:val="AAAAAAATEXXXX"/>
              <w:ind w:firstLine="0"/>
              <w:jc w:val="center"/>
              <w:rPr>
                <w:b/>
                <w:i/>
                <w:sz w:val="20"/>
                <w:szCs w:val="20"/>
                <w:lang w:val="sq-AL"/>
              </w:rPr>
            </w:pPr>
            <w:r w:rsidRPr="00050FA4">
              <w:rPr>
                <w:b/>
                <w:i/>
                <w:sz w:val="20"/>
                <w:szCs w:val="20"/>
                <w:lang w:val="sq-AL"/>
              </w:rPr>
              <w:t>(në milionë lekë)</w:t>
            </w:r>
          </w:p>
          <w:p w14:paraId="302135D1" w14:textId="77777777" w:rsidR="002749EB" w:rsidRPr="00050FA4" w:rsidRDefault="002749EB" w:rsidP="00E635DE">
            <w:pPr>
              <w:pStyle w:val="AAAAAAATEXXXX"/>
              <w:ind w:firstLine="0"/>
              <w:rPr>
                <w:sz w:val="18"/>
                <w:szCs w:val="18"/>
                <w:lang w:val="sq-AL"/>
              </w:rPr>
            </w:pPr>
            <w:r w:rsidRPr="00050FA4">
              <w:rPr>
                <w:noProof/>
              </w:rPr>
              <w:drawing>
                <wp:inline distT="0" distB="0" distL="0" distR="0" wp14:anchorId="4C07B41B" wp14:editId="5E9546F3">
                  <wp:extent cx="3009900" cy="2409825"/>
                  <wp:effectExtent l="0" t="0" r="0" b="9525"/>
                  <wp:docPr id="89" name="Chart 89">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F047E5-6EAB-4A82-9D92-22388EA61D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51A5D09" w14:textId="1401547E" w:rsidR="002749EB" w:rsidRPr="00050FA4" w:rsidRDefault="002749EB" w:rsidP="00E635DE">
            <w:pPr>
              <w:pStyle w:val="AAAAAAATEXXXX"/>
              <w:ind w:firstLine="0"/>
              <w:jc w:val="center"/>
              <w:rPr>
                <w:iCs/>
                <w:sz w:val="20"/>
                <w:szCs w:val="20"/>
                <w:lang w:val="sq-AL"/>
              </w:rPr>
            </w:pPr>
            <w:r w:rsidRPr="00050FA4">
              <w:rPr>
                <w:iCs/>
                <w:sz w:val="20"/>
                <w:szCs w:val="20"/>
                <w:lang w:val="sq-AL"/>
              </w:rPr>
              <w:t xml:space="preserve">Burimi: Ministria e </w:t>
            </w:r>
            <w:r w:rsidR="00D24918" w:rsidRPr="00050FA4">
              <w:rPr>
                <w:iCs/>
                <w:sz w:val="20"/>
                <w:szCs w:val="20"/>
                <w:lang w:val="sq-AL"/>
              </w:rPr>
              <w:t>Financave</w:t>
            </w:r>
            <w:r w:rsidRPr="00050FA4">
              <w:rPr>
                <w:iCs/>
                <w:sz w:val="20"/>
                <w:szCs w:val="20"/>
                <w:lang w:val="sq-AL"/>
              </w:rPr>
              <w:t xml:space="preserve"> dhe Ekonomisë (2021)</w:t>
            </w:r>
          </w:p>
        </w:tc>
        <w:tc>
          <w:tcPr>
            <w:tcW w:w="4905" w:type="dxa"/>
          </w:tcPr>
          <w:p w14:paraId="5F6FC808" w14:textId="77777777" w:rsidR="002749EB" w:rsidRPr="00050FA4" w:rsidRDefault="002749EB" w:rsidP="00E635DE">
            <w:pPr>
              <w:pStyle w:val="AAAAAAATEXXXX"/>
              <w:ind w:firstLine="0"/>
              <w:rPr>
                <w:lang w:val="sq-AL"/>
              </w:rPr>
            </w:pPr>
          </w:p>
          <w:p w14:paraId="5E59C9B9" w14:textId="0DF48B82" w:rsidR="002749EB" w:rsidRPr="00050FA4" w:rsidRDefault="002749EB" w:rsidP="00E635DE">
            <w:pPr>
              <w:pStyle w:val="AAAAAAATEXXXX"/>
              <w:ind w:firstLine="0"/>
              <w:jc w:val="center"/>
              <w:rPr>
                <w:rFonts w:eastAsia="Times New Roman"/>
                <w:b/>
                <w:i/>
                <w:sz w:val="20"/>
                <w:szCs w:val="20"/>
                <w:lang w:val="sq-AL"/>
              </w:rPr>
            </w:pPr>
            <w:r w:rsidRPr="00050FA4">
              <w:rPr>
                <w:b/>
                <w:i/>
                <w:sz w:val="20"/>
                <w:szCs w:val="20"/>
                <w:lang w:val="sq-AL"/>
              </w:rPr>
              <w:t>Grafik 4.2.3 Rimbursimet e TVSH-së gjatë 11 muajve 2021</w:t>
            </w:r>
            <w:r w:rsidRPr="00050FA4">
              <w:rPr>
                <w:rFonts w:eastAsia="Times New Roman"/>
                <w:b/>
                <w:i/>
                <w:sz w:val="20"/>
                <w:szCs w:val="20"/>
                <w:lang w:val="sq-AL"/>
              </w:rPr>
              <w:t xml:space="preserve"> (në milionë lekë)</w:t>
            </w:r>
          </w:p>
          <w:p w14:paraId="359CB0D9" w14:textId="77777777" w:rsidR="002749EB" w:rsidRPr="00050FA4" w:rsidRDefault="002749EB" w:rsidP="00E635DE">
            <w:pPr>
              <w:pStyle w:val="AAAAAAATEXXXX"/>
              <w:ind w:firstLine="0"/>
              <w:rPr>
                <w:lang w:val="sq-AL"/>
              </w:rPr>
            </w:pPr>
            <w:r w:rsidRPr="00050FA4">
              <w:rPr>
                <w:noProof/>
              </w:rPr>
              <w:drawing>
                <wp:inline distT="0" distB="0" distL="0" distR="0" wp14:anchorId="1FCFBBA2" wp14:editId="7F5E0A24">
                  <wp:extent cx="2952750" cy="2409825"/>
                  <wp:effectExtent l="0" t="0" r="0" b="9525"/>
                  <wp:docPr id="90" name="Chart 90">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FE5F809-0A55-4167-B2FE-353CF51464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bl>
    <w:p w14:paraId="4D71A696" w14:textId="77777777" w:rsidR="002749EB" w:rsidRPr="00050FA4" w:rsidRDefault="002749EB" w:rsidP="003F1DA7">
      <w:pPr>
        <w:pStyle w:val="AAAAAAATEXXXX"/>
        <w:rPr>
          <w:lang w:val="sq-AL"/>
        </w:rPr>
      </w:pPr>
    </w:p>
    <w:p w14:paraId="2882E93F" w14:textId="6024A671" w:rsidR="00A65EAE" w:rsidRPr="00050FA4" w:rsidRDefault="00A65EAE" w:rsidP="003F1DA7">
      <w:pPr>
        <w:pStyle w:val="AAAAAAATEXXXX"/>
        <w:rPr>
          <w:lang w:val="sq-AL"/>
        </w:rPr>
      </w:pPr>
      <w:r w:rsidRPr="00050FA4">
        <w:rPr>
          <w:lang w:val="sq-AL"/>
        </w:rPr>
        <w:t>Të ardhurat nga tatimi mbi fitimin janë realizuar në vlerën 30.7 miliardë lekë me një realizim 103% të planit, duke shënuar një rritje prej 23.6% ose 5.9 miliardë lekë</w:t>
      </w:r>
      <w:r w:rsidR="00904ECF" w:rsidRPr="00050FA4">
        <w:rPr>
          <w:lang w:val="sq-AL"/>
        </w:rPr>
        <w:t>sh</w:t>
      </w:r>
      <w:r w:rsidRPr="00050FA4">
        <w:rPr>
          <w:lang w:val="sq-AL"/>
        </w:rPr>
        <w:t xml:space="preserve"> më shumë se e njëjta periudhë e një viti më parë. Nga analiza e tatimit mbi fitimin sipas sektorëve rezulton sektori i shërbimeve me një rritje prej 24% krahasuar me 11-mujorin 2020, sektori i ndërtimit me një rritje prej 47% krahasuar me të njëjtën periudhë të një viti më parë dhe sektori i tregtisë</w:t>
      </w:r>
      <w:r w:rsidR="00D24918" w:rsidRPr="00050FA4">
        <w:rPr>
          <w:lang w:val="sq-AL"/>
        </w:rPr>
        <w:t xml:space="preserve">, </w:t>
      </w:r>
      <w:r w:rsidRPr="00050FA4">
        <w:rPr>
          <w:lang w:val="sq-AL"/>
        </w:rPr>
        <w:t>me një rritje prej 23% krahasuar me vitin e kaluar.</w:t>
      </w:r>
    </w:p>
    <w:p w14:paraId="33756269" w14:textId="77777777" w:rsidR="00A65EAE" w:rsidRPr="00050FA4" w:rsidRDefault="00A65EAE" w:rsidP="003F1DA7">
      <w:pPr>
        <w:ind w:firstLine="284"/>
        <w:jc w:val="both"/>
        <w:rPr>
          <w:rFonts w:ascii="Garamond" w:eastAsia="Times New Roman" w:hAnsi="Garamond"/>
          <w:color w:val="0D0D0D" w:themeColor="text1" w:themeTint="F2"/>
        </w:rPr>
      </w:pPr>
    </w:p>
    <w:p w14:paraId="1E7B6ED5" w14:textId="35E36A0D" w:rsidR="002749EB" w:rsidRPr="00050FA4" w:rsidRDefault="00A65EAE" w:rsidP="003F1DA7">
      <w:pPr>
        <w:ind w:firstLine="284"/>
        <w:jc w:val="center"/>
        <w:rPr>
          <w:rFonts w:ascii="Garamond" w:eastAsia="Times New Roman" w:hAnsi="Garamond"/>
          <w:color w:val="0D0D0D" w:themeColor="text1" w:themeTint="F2"/>
          <w:sz w:val="18"/>
          <w:szCs w:val="18"/>
        </w:rPr>
      </w:pPr>
      <w:r w:rsidRPr="00050FA4">
        <w:rPr>
          <w:rFonts w:ascii="Garamond" w:eastAsia="Times New Roman" w:hAnsi="Garamond"/>
          <w:b/>
          <w:i/>
          <w:color w:val="0D0D0D" w:themeColor="text1" w:themeTint="F2"/>
          <w:sz w:val="20"/>
          <w:szCs w:val="20"/>
        </w:rPr>
        <w:t xml:space="preserve">Grafik 4.2.4 </w:t>
      </w:r>
      <w:r w:rsidRPr="00050FA4">
        <w:rPr>
          <w:rFonts w:ascii="Garamond" w:hAnsi="Garamond"/>
          <w:b/>
          <w:i/>
          <w:color w:val="0D0D0D" w:themeColor="text1" w:themeTint="F2"/>
          <w:sz w:val="20"/>
          <w:szCs w:val="20"/>
        </w:rPr>
        <w:t>Ecuria e tatimit mbi fitimin ndër vite për një periudhë 11</w:t>
      </w:r>
      <w:r w:rsidR="00F62C99" w:rsidRPr="00050FA4">
        <w:rPr>
          <w:rFonts w:ascii="Garamond" w:hAnsi="Garamond"/>
          <w:b/>
          <w:i/>
          <w:color w:val="0D0D0D" w:themeColor="text1" w:themeTint="F2"/>
          <w:sz w:val="20"/>
          <w:szCs w:val="20"/>
        </w:rPr>
        <w:t>-</w:t>
      </w:r>
      <w:r w:rsidRPr="00050FA4">
        <w:rPr>
          <w:rFonts w:ascii="Garamond" w:hAnsi="Garamond"/>
          <w:b/>
          <w:i/>
          <w:color w:val="0D0D0D" w:themeColor="text1" w:themeTint="F2"/>
          <w:sz w:val="20"/>
          <w:szCs w:val="20"/>
        </w:rPr>
        <w:t>mujore (në milionë lekë)</w:t>
      </w:r>
    </w:p>
    <w:p w14:paraId="5FD51820" w14:textId="0B6B97DE" w:rsidR="00A65EAE" w:rsidRPr="00050FA4" w:rsidRDefault="00A65EAE" w:rsidP="003F1DA7">
      <w:pPr>
        <w:ind w:firstLine="284"/>
        <w:jc w:val="center"/>
        <w:rPr>
          <w:rFonts w:ascii="Garamond" w:eastAsia="Times New Roman" w:hAnsi="Garamond"/>
          <w:color w:val="0D0D0D" w:themeColor="text1" w:themeTint="F2"/>
          <w:sz w:val="18"/>
          <w:szCs w:val="18"/>
        </w:rPr>
      </w:pPr>
      <w:r w:rsidRPr="00050FA4">
        <w:rPr>
          <w:rFonts w:ascii="Garamond" w:hAnsi="Garamond"/>
          <w:noProof/>
          <w:color w:val="0D0D0D" w:themeColor="text1" w:themeTint="F2"/>
          <w:lang w:val="en-US"/>
        </w:rPr>
        <w:drawing>
          <wp:inline distT="0" distB="0" distL="0" distR="0" wp14:anchorId="5A50CF1F" wp14:editId="58BBED00">
            <wp:extent cx="5611078" cy="2441954"/>
            <wp:effectExtent l="0" t="0" r="8890" b="15875"/>
            <wp:docPr id="91" name="Chart 91">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134116-0F06-49F8-A07A-A4EC84373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D0B652F" w14:textId="40272E1D" w:rsidR="00A65EAE" w:rsidRPr="00050FA4" w:rsidRDefault="00A65EAE" w:rsidP="003F1DA7">
      <w:pPr>
        <w:ind w:firstLine="284"/>
        <w:jc w:val="center"/>
        <w:rPr>
          <w:rFonts w:ascii="Garamond" w:eastAsia="Arial Narrow" w:hAnsi="Garamond"/>
          <w:iCs/>
          <w:color w:val="0D0D0D" w:themeColor="text1" w:themeTint="F2"/>
          <w:sz w:val="20"/>
          <w:szCs w:val="20"/>
        </w:rPr>
      </w:pPr>
      <w:r w:rsidRPr="00050FA4">
        <w:rPr>
          <w:rFonts w:ascii="Garamond" w:eastAsia="Arial Narrow" w:hAnsi="Garamond"/>
          <w:iCs/>
          <w:color w:val="0D0D0D" w:themeColor="text1" w:themeTint="F2"/>
          <w:sz w:val="20"/>
          <w:szCs w:val="20"/>
        </w:rPr>
        <w:t xml:space="preserve">Burimi: Ministria e </w:t>
      </w:r>
      <w:r w:rsidR="00D91854" w:rsidRPr="00050FA4">
        <w:rPr>
          <w:rFonts w:ascii="Garamond" w:eastAsia="Arial Narrow" w:hAnsi="Garamond"/>
          <w:iCs/>
          <w:color w:val="0D0D0D" w:themeColor="text1" w:themeTint="F2"/>
          <w:sz w:val="20"/>
          <w:szCs w:val="20"/>
        </w:rPr>
        <w:t>Financave</w:t>
      </w:r>
      <w:r w:rsidRPr="00050FA4">
        <w:rPr>
          <w:rFonts w:ascii="Garamond" w:eastAsia="Arial Narrow" w:hAnsi="Garamond"/>
          <w:iCs/>
          <w:color w:val="0D0D0D" w:themeColor="text1" w:themeTint="F2"/>
          <w:sz w:val="20"/>
          <w:szCs w:val="20"/>
        </w:rPr>
        <w:t xml:space="preserve"> dhe Ekonomisë (2021)</w:t>
      </w:r>
    </w:p>
    <w:p w14:paraId="09358296" w14:textId="77777777" w:rsidR="00A65EAE" w:rsidRPr="00050FA4" w:rsidRDefault="00A65EAE" w:rsidP="003F1DA7">
      <w:pPr>
        <w:ind w:firstLine="284"/>
        <w:jc w:val="both"/>
        <w:rPr>
          <w:rFonts w:ascii="Garamond" w:eastAsia="Times New Roman" w:hAnsi="Garamond"/>
          <w:color w:val="0D0D0D" w:themeColor="text1" w:themeTint="F2"/>
          <w:sz w:val="20"/>
          <w:szCs w:val="20"/>
        </w:rPr>
      </w:pPr>
    </w:p>
    <w:p w14:paraId="64DF650B" w14:textId="468AC3BC" w:rsidR="00A65EAE" w:rsidRPr="00050FA4" w:rsidRDefault="00A65EAE" w:rsidP="003F1DA7">
      <w:pPr>
        <w:pStyle w:val="AAAAAAATEXXXX"/>
        <w:rPr>
          <w:rStyle w:val="alt-edited"/>
          <w:lang w:val="sq-AL"/>
        </w:rPr>
      </w:pPr>
      <w:r w:rsidRPr="00050FA4">
        <w:rPr>
          <w:rStyle w:val="alt-edited"/>
          <w:lang w:val="sq-AL"/>
        </w:rPr>
        <w:t xml:space="preserve">Të ardhurat nga </w:t>
      </w:r>
      <w:r w:rsidR="00E635DE" w:rsidRPr="00050FA4">
        <w:rPr>
          <w:rStyle w:val="alt-edited"/>
          <w:lang w:val="sq-AL"/>
        </w:rPr>
        <w:t xml:space="preserve">tatimi mbi të ardhurat personale janë </w:t>
      </w:r>
      <w:r w:rsidRPr="00050FA4">
        <w:rPr>
          <w:rStyle w:val="alt-edited"/>
          <w:lang w:val="sq-AL"/>
        </w:rPr>
        <w:t>realizuar me 36.1 miliardë lekë, me një realizim prej 96.5% të planit me një rritje prej 7.1% ose 2.4 miliardë lekë krahasuar me vitin 2020. Ndikim të rëndësishëm në të ardhurat nga tatimi mbi të ardhurat personale kanë pasur:</w:t>
      </w:r>
    </w:p>
    <w:p w14:paraId="69344BCF" w14:textId="6708540B" w:rsidR="00A65EAE" w:rsidRPr="00050FA4" w:rsidRDefault="002749EB" w:rsidP="003F1DA7">
      <w:pPr>
        <w:pStyle w:val="AAAAAAATEXXXX"/>
        <w:rPr>
          <w:rStyle w:val="alt-edited"/>
          <w:lang w:val="sq-AL"/>
        </w:rPr>
      </w:pPr>
      <w:r w:rsidRPr="00050FA4">
        <w:rPr>
          <w:rStyle w:val="alt-edited"/>
          <w:lang w:val="sq-AL"/>
        </w:rPr>
        <w:t xml:space="preserve">- </w:t>
      </w:r>
      <w:r w:rsidR="00A65EAE" w:rsidRPr="00050FA4">
        <w:rPr>
          <w:rStyle w:val="alt-edited"/>
          <w:lang w:val="sq-AL"/>
        </w:rPr>
        <w:t>Të ardhurat nga tatimi mbi tatimin mbi të ardhurat vjetore individuale me një rritje prej 93% krahasuar me 11-mujorin 2020.</w:t>
      </w:r>
    </w:p>
    <w:p w14:paraId="164D24DC" w14:textId="458D2840" w:rsidR="00A65EAE" w:rsidRPr="00050FA4" w:rsidRDefault="002749EB" w:rsidP="003F1DA7">
      <w:pPr>
        <w:pStyle w:val="AAAAAAATEXXXX"/>
        <w:rPr>
          <w:rStyle w:val="alt-edited"/>
          <w:lang w:val="sq-AL"/>
        </w:rPr>
      </w:pPr>
      <w:r w:rsidRPr="00050FA4">
        <w:rPr>
          <w:rStyle w:val="alt-edited"/>
          <w:lang w:val="sq-AL"/>
        </w:rPr>
        <w:t xml:space="preserve">- </w:t>
      </w:r>
      <w:r w:rsidR="00A65EAE" w:rsidRPr="00050FA4">
        <w:rPr>
          <w:rStyle w:val="alt-edited"/>
          <w:lang w:val="sq-AL"/>
        </w:rPr>
        <w:t>Të ardhurat dhe aksionet nga tatimi në dividend me një rritje prej 51% krahasuar me 11-mujorin 2020.</w:t>
      </w:r>
    </w:p>
    <w:p w14:paraId="534DFB90" w14:textId="77777777" w:rsidR="002749EB" w:rsidRPr="00050FA4" w:rsidRDefault="002749EB" w:rsidP="003F1DA7">
      <w:pPr>
        <w:pStyle w:val="AAAAAAATEXXXX"/>
        <w:rPr>
          <w:rStyle w:val="alt-edited"/>
          <w:lang w:val="sq-AL"/>
        </w:rPr>
      </w:pPr>
    </w:p>
    <w:p w14:paraId="3E94572A" w14:textId="77777777" w:rsidR="00B322BC" w:rsidRPr="00050FA4" w:rsidRDefault="00B322BC" w:rsidP="003F1DA7">
      <w:pPr>
        <w:pStyle w:val="AAAAAAATEXXXX"/>
        <w:rPr>
          <w:rStyle w:val="alt-edited"/>
          <w:lang w:val="sq-AL"/>
        </w:rPr>
      </w:pPr>
    </w:p>
    <w:p w14:paraId="5BE0C6FD" w14:textId="77777777" w:rsidR="00B322BC" w:rsidRPr="00050FA4" w:rsidRDefault="00B322BC" w:rsidP="003F1DA7">
      <w:pPr>
        <w:pStyle w:val="AAAAAAATEXXXX"/>
        <w:rPr>
          <w:rStyle w:val="alt-edited"/>
          <w:lang w:val="sq-AL"/>
        </w:rPr>
      </w:pPr>
    </w:p>
    <w:p w14:paraId="593EC4DB" w14:textId="77777777" w:rsidR="00B322BC" w:rsidRPr="00050FA4" w:rsidRDefault="00B322BC" w:rsidP="003F1DA7">
      <w:pPr>
        <w:pStyle w:val="AAAAAAATEXXXX"/>
        <w:rPr>
          <w:rStyle w:val="alt-edited"/>
          <w:lang w:val="sq-AL"/>
        </w:rPr>
      </w:pPr>
    </w:p>
    <w:p w14:paraId="5812E371" w14:textId="77777777" w:rsidR="00B322BC" w:rsidRPr="00050FA4" w:rsidRDefault="00B322BC" w:rsidP="003F1DA7">
      <w:pPr>
        <w:pStyle w:val="AAAAAAATEXXXX"/>
        <w:rPr>
          <w:rStyle w:val="alt-edited"/>
          <w:lang w:val="sq-AL"/>
        </w:rPr>
      </w:pPr>
    </w:p>
    <w:p w14:paraId="67AC56BE" w14:textId="77777777" w:rsidR="00B322BC" w:rsidRPr="00050FA4" w:rsidRDefault="00B322BC" w:rsidP="003F1DA7">
      <w:pPr>
        <w:pStyle w:val="AAAAAAATEXXXX"/>
        <w:rPr>
          <w:rStyle w:val="alt-edited"/>
          <w:lang w:val="sq-AL"/>
        </w:rPr>
      </w:pPr>
    </w:p>
    <w:p w14:paraId="68A1DD12" w14:textId="77777777" w:rsidR="00B322BC" w:rsidRPr="00050FA4" w:rsidRDefault="00E635DE" w:rsidP="003F1DA7">
      <w:pPr>
        <w:pStyle w:val="AAAAAAATEXXXX"/>
        <w:jc w:val="center"/>
        <w:rPr>
          <w:rFonts w:eastAsia="Times New Roman"/>
          <w:b/>
          <w:i/>
          <w:sz w:val="20"/>
          <w:szCs w:val="20"/>
          <w:lang w:val="sq-AL"/>
        </w:rPr>
      </w:pPr>
      <w:r w:rsidRPr="00050FA4">
        <w:rPr>
          <w:rFonts w:eastAsia="Times New Roman"/>
          <w:b/>
          <w:i/>
          <w:sz w:val="20"/>
          <w:szCs w:val="20"/>
          <w:lang w:val="sq-AL"/>
        </w:rPr>
        <w:t>Grafik 4.2.5</w:t>
      </w:r>
      <w:r w:rsidR="00A65EAE" w:rsidRPr="00050FA4">
        <w:rPr>
          <w:rFonts w:eastAsia="Times New Roman"/>
          <w:b/>
          <w:i/>
          <w:sz w:val="20"/>
          <w:szCs w:val="20"/>
          <w:lang w:val="sq-AL"/>
        </w:rPr>
        <w:t xml:space="preserve"> </w:t>
      </w:r>
      <w:r w:rsidR="00A65EAE" w:rsidRPr="00050FA4">
        <w:rPr>
          <w:b/>
          <w:i/>
          <w:sz w:val="20"/>
          <w:szCs w:val="20"/>
          <w:lang w:val="sq-AL"/>
        </w:rPr>
        <w:t>Të ardhurat nga Tatimi mbi të Ardhurat Personale gjatë viteve për periudhën 11-mujore</w:t>
      </w:r>
      <w:r w:rsidR="00092FA0" w:rsidRPr="00050FA4">
        <w:rPr>
          <w:rFonts w:eastAsia="Times New Roman"/>
          <w:b/>
          <w:i/>
          <w:sz w:val="20"/>
          <w:szCs w:val="20"/>
          <w:lang w:val="sq-AL"/>
        </w:rPr>
        <w:t xml:space="preserve"> </w:t>
      </w:r>
    </w:p>
    <w:p w14:paraId="6B85243F" w14:textId="24AAD8C1" w:rsidR="00A65EAE" w:rsidRPr="00050FA4" w:rsidRDefault="00092FA0" w:rsidP="003F1DA7">
      <w:pPr>
        <w:pStyle w:val="AAAAAAATEXXXX"/>
        <w:jc w:val="center"/>
        <w:rPr>
          <w:rFonts w:eastAsia="Times New Roman"/>
          <w:b/>
          <w:i/>
          <w:sz w:val="20"/>
          <w:szCs w:val="20"/>
          <w:lang w:val="sq-AL"/>
        </w:rPr>
      </w:pPr>
      <w:r w:rsidRPr="00050FA4">
        <w:rPr>
          <w:rFonts w:eastAsia="Times New Roman"/>
          <w:b/>
          <w:i/>
          <w:sz w:val="20"/>
          <w:szCs w:val="20"/>
          <w:lang w:val="sq-AL"/>
        </w:rPr>
        <w:t>(</w:t>
      </w:r>
      <w:r w:rsidR="00B322BC" w:rsidRPr="00050FA4">
        <w:rPr>
          <w:rFonts w:eastAsia="Times New Roman"/>
          <w:b/>
          <w:i/>
          <w:sz w:val="20"/>
          <w:szCs w:val="20"/>
          <w:lang w:val="sq-AL"/>
        </w:rPr>
        <w:t>milionë</w:t>
      </w:r>
      <w:r w:rsidRPr="00050FA4">
        <w:rPr>
          <w:rFonts w:eastAsia="Times New Roman"/>
          <w:b/>
          <w:i/>
          <w:sz w:val="20"/>
          <w:szCs w:val="20"/>
          <w:lang w:val="sq-AL"/>
        </w:rPr>
        <w:t xml:space="preserve"> lekë)</w:t>
      </w:r>
    </w:p>
    <w:p w14:paraId="6DCC6970" w14:textId="5C072420" w:rsidR="00A65EAE" w:rsidRPr="00050FA4" w:rsidRDefault="00A65EAE" w:rsidP="003F1DA7">
      <w:pPr>
        <w:ind w:firstLine="284"/>
        <w:jc w:val="center"/>
        <w:rPr>
          <w:rFonts w:ascii="Garamond" w:eastAsia="Times New Roman" w:hAnsi="Garamond"/>
          <w:color w:val="0D0D0D" w:themeColor="text1" w:themeTint="F2"/>
          <w:sz w:val="18"/>
          <w:szCs w:val="18"/>
        </w:rPr>
      </w:pPr>
      <w:r w:rsidRPr="00050FA4">
        <w:rPr>
          <w:rFonts w:ascii="Garamond" w:hAnsi="Garamond"/>
          <w:noProof/>
          <w:color w:val="0D0D0D" w:themeColor="text1" w:themeTint="F2"/>
          <w:lang w:val="en-US"/>
        </w:rPr>
        <w:drawing>
          <wp:inline distT="0" distB="0" distL="0" distR="0" wp14:anchorId="6926B745" wp14:editId="75316816">
            <wp:extent cx="5567291" cy="2363764"/>
            <wp:effectExtent l="0" t="0" r="14605" b="17780"/>
            <wp:docPr id="92" name="Chart 92">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134116-0F06-49F8-A07A-A4EC84373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5F5E4E6" w14:textId="62E6704F" w:rsidR="00A65EAE" w:rsidRPr="00050FA4" w:rsidRDefault="00A65EAE" w:rsidP="003F1DA7">
      <w:pPr>
        <w:ind w:firstLine="284"/>
        <w:jc w:val="center"/>
        <w:rPr>
          <w:rFonts w:ascii="Garamond" w:eastAsia="Arial Narrow" w:hAnsi="Garamond"/>
          <w:iCs/>
          <w:color w:val="0D0D0D" w:themeColor="text1" w:themeTint="F2"/>
          <w:sz w:val="20"/>
          <w:szCs w:val="20"/>
        </w:rPr>
      </w:pPr>
      <w:r w:rsidRPr="00050FA4">
        <w:rPr>
          <w:rFonts w:ascii="Garamond" w:eastAsia="Arial Narrow" w:hAnsi="Garamond"/>
          <w:iCs/>
          <w:color w:val="0D0D0D" w:themeColor="text1" w:themeTint="F2"/>
          <w:sz w:val="20"/>
          <w:szCs w:val="20"/>
        </w:rPr>
        <w:t xml:space="preserve">Burimi: Ministria e </w:t>
      </w:r>
      <w:r w:rsidR="00D24918" w:rsidRPr="00050FA4">
        <w:rPr>
          <w:rFonts w:ascii="Garamond" w:eastAsia="Arial Narrow" w:hAnsi="Garamond"/>
          <w:iCs/>
          <w:color w:val="0D0D0D" w:themeColor="text1" w:themeTint="F2"/>
          <w:sz w:val="20"/>
          <w:szCs w:val="20"/>
        </w:rPr>
        <w:t>Financave</w:t>
      </w:r>
      <w:r w:rsidRPr="00050FA4">
        <w:rPr>
          <w:rFonts w:ascii="Garamond" w:eastAsia="Arial Narrow" w:hAnsi="Garamond"/>
          <w:iCs/>
          <w:color w:val="0D0D0D" w:themeColor="text1" w:themeTint="F2"/>
          <w:sz w:val="20"/>
          <w:szCs w:val="20"/>
        </w:rPr>
        <w:t xml:space="preserve"> dhe Ekonomisë (2021)</w:t>
      </w:r>
    </w:p>
    <w:p w14:paraId="555B2518" w14:textId="77777777" w:rsidR="00A65EAE" w:rsidRPr="00050FA4" w:rsidRDefault="00A65EAE" w:rsidP="003F1DA7">
      <w:pPr>
        <w:ind w:firstLine="284"/>
        <w:jc w:val="both"/>
        <w:rPr>
          <w:rFonts w:ascii="Garamond" w:eastAsia="Times New Roman" w:hAnsi="Garamond"/>
          <w:color w:val="0D0D0D" w:themeColor="text1" w:themeTint="F2"/>
        </w:rPr>
      </w:pPr>
    </w:p>
    <w:p w14:paraId="24AAE5E2" w14:textId="48E69FFA" w:rsidR="00A65EAE" w:rsidRPr="00050FA4" w:rsidRDefault="00A65EAE" w:rsidP="003F1DA7">
      <w:pPr>
        <w:pStyle w:val="AAAAAAATEXXXX"/>
        <w:rPr>
          <w:lang w:val="sq-AL"/>
        </w:rPr>
      </w:pPr>
      <w:r w:rsidRPr="00050FA4">
        <w:rPr>
          <w:lang w:val="sq-AL"/>
        </w:rPr>
        <w:t xml:space="preserve">Të ardhurat nga </w:t>
      </w:r>
      <w:r w:rsidR="00D24918" w:rsidRPr="00050FA4">
        <w:rPr>
          <w:lang w:val="sq-AL"/>
        </w:rPr>
        <w:t xml:space="preserve">taksa kombëtare </w:t>
      </w:r>
      <w:r w:rsidRPr="00050FA4">
        <w:rPr>
          <w:lang w:val="sq-AL"/>
        </w:rPr>
        <w:t>për vitin 2021 ishin 33.1 miliardë lekë, me një realizim prej 112.1% të planit.</w:t>
      </w:r>
    </w:p>
    <w:p w14:paraId="4FA0CF3D" w14:textId="6AE0F69A" w:rsidR="002749EB" w:rsidRPr="00050FA4" w:rsidRDefault="00A65EAE" w:rsidP="00E635DE">
      <w:pPr>
        <w:pStyle w:val="AAAAAAATEXXXX"/>
        <w:jc w:val="center"/>
        <w:rPr>
          <w:lang w:val="sq-AL"/>
        </w:rPr>
      </w:pPr>
      <w:r w:rsidRPr="00050FA4">
        <w:rPr>
          <w:b/>
          <w:i/>
          <w:sz w:val="20"/>
          <w:szCs w:val="20"/>
          <w:lang w:val="sq-AL"/>
        </w:rPr>
        <w:t xml:space="preserve">Grafiku 4.2.6 Ecuria e </w:t>
      </w:r>
      <w:r w:rsidR="00E635DE" w:rsidRPr="00050FA4">
        <w:rPr>
          <w:b/>
          <w:i/>
          <w:sz w:val="20"/>
          <w:szCs w:val="20"/>
          <w:lang w:val="sq-AL"/>
        </w:rPr>
        <w:t>taksës kombëtare ndër vite për periudhën 11-</w:t>
      </w:r>
      <w:r w:rsidRPr="00050FA4">
        <w:rPr>
          <w:b/>
          <w:i/>
          <w:sz w:val="20"/>
          <w:szCs w:val="20"/>
          <w:lang w:val="sq-AL"/>
        </w:rPr>
        <w:t>mujore (në milionë lekë)</w:t>
      </w:r>
    </w:p>
    <w:p w14:paraId="0D41BE7F" w14:textId="71468649" w:rsidR="00A65EAE" w:rsidRPr="00050FA4" w:rsidRDefault="00A65EAE" w:rsidP="003F1DA7">
      <w:pPr>
        <w:ind w:firstLine="284"/>
        <w:jc w:val="center"/>
        <w:rPr>
          <w:rFonts w:ascii="Garamond" w:eastAsia="Arial Narrow" w:hAnsi="Garamond"/>
          <w:i/>
          <w:iCs/>
          <w:color w:val="0D0D0D" w:themeColor="text1" w:themeTint="F2"/>
          <w:sz w:val="18"/>
          <w:szCs w:val="18"/>
        </w:rPr>
      </w:pPr>
      <w:r w:rsidRPr="00050FA4">
        <w:rPr>
          <w:rFonts w:ascii="Garamond" w:hAnsi="Garamond"/>
          <w:noProof/>
          <w:color w:val="0D0D0D" w:themeColor="text1" w:themeTint="F2"/>
          <w:lang w:val="en-US"/>
        </w:rPr>
        <w:drawing>
          <wp:inline distT="0" distB="0" distL="0" distR="0" wp14:anchorId="0D51B832" wp14:editId="5B9E81A8">
            <wp:extent cx="5571556" cy="2204682"/>
            <wp:effectExtent l="0" t="0" r="10160" b="5715"/>
            <wp:docPr id="93" name="Chart 93">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1DA183-90E6-41D7-95F8-3110BA778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E35B600" w14:textId="651E0429" w:rsidR="00A65EAE" w:rsidRPr="00050FA4" w:rsidRDefault="00A65EAE" w:rsidP="003F1DA7">
      <w:pPr>
        <w:ind w:firstLine="284"/>
        <w:jc w:val="center"/>
        <w:rPr>
          <w:rFonts w:ascii="Garamond" w:eastAsia="Times New Roman" w:hAnsi="Garamond"/>
          <w:color w:val="0D0D0D" w:themeColor="text1" w:themeTint="F2"/>
          <w:sz w:val="20"/>
          <w:szCs w:val="20"/>
        </w:rPr>
      </w:pPr>
      <w:r w:rsidRPr="00050FA4">
        <w:rPr>
          <w:rFonts w:ascii="Garamond" w:eastAsia="Arial Narrow" w:hAnsi="Garamond"/>
          <w:iCs/>
          <w:color w:val="0D0D0D" w:themeColor="text1" w:themeTint="F2"/>
          <w:sz w:val="20"/>
          <w:szCs w:val="20"/>
        </w:rPr>
        <w:t xml:space="preserve">Burimi: Ministria e </w:t>
      </w:r>
      <w:r w:rsidR="00D24918" w:rsidRPr="00050FA4">
        <w:rPr>
          <w:rFonts w:ascii="Garamond" w:eastAsia="Arial Narrow" w:hAnsi="Garamond"/>
          <w:iCs/>
          <w:color w:val="0D0D0D" w:themeColor="text1" w:themeTint="F2"/>
          <w:sz w:val="20"/>
          <w:szCs w:val="20"/>
        </w:rPr>
        <w:t>Financave</w:t>
      </w:r>
      <w:r w:rsidRPr="00050FA4">
        <w:rPr>
          <w:rFonts w:ascii="Garamond" w:eastAsia="Arial Narrow" w:hAnsi="Garamond"/>
          <w:iCs/>
          <w:color w:val="0D0D0D" w:themeColor="text1" w:themeTint="F2"/>
          <w:sz w:val="20"/>
          <w:szCs w:val="20"/>
        </w:rPr>
        <w:t xml:space="preserve"> dhe Ekonomisë (2021)</w:t>
      </w:r>
    </w:p>
    <w:p w14:paraId="5D93E9C0" w14:textId="77777777" w:rsidR="00A65EAE" w:rsidRPr="00050FA4" w:rsidRDefault="00A65EAE" w:rsidP="003F1DA7">
      <w:pPr>
        <w:ind w:firstLine="284"/>
        <w:rPr>
          <w:rFonts w:ascii="Garamond" w:hAnsi="Garamond"/>
          <w:color w:val="0D0D0D" w:themeColor="text1" w:themeTint="F2"/>
        </w:rPr>
      </w:pPr>
    </w:p>
    <w:p w14:paraId="0E7B5D18" w14:textId="77777777" w:rsidR="00A65EAE" w:rsidRPr="00050FA4" w:rsidRDefault="00A65EAE" w:rsidP="003F1DA7">
      <w:pPr>
        <w:pStyle w:val="AAAAAAATEXXXX"/>
        <w:rPr>
          <w:lang w:val="sq-AL"/>
        </w:rPr>
      </w:pPr>
      <w:r w:rsidRPr="00050FA4">
        <w:rPr>
          <w:lang w:val="sq-AL"/>
        </w:rPr>
        <w:t>Të ardhurat nga kontributet e mbledhura nga DPT arritën vlerën 97.5 miliardë lekë, 8.7%, ose 7.8 miliardë lekë më shumë se plani dhe një rritje prej vetëm 13.3% ose 11.4 miliardë lekë krahasuar me të njëjtën periudhë të vitit 2020.</w:t>
      </w:r>
    </w:p>
    <w:p w14:paraId="31DB24AE" w14:textId="7F31A46E" w:rsidR="00A65EAE" w:rsidRPr="00050FA4" w:rsidRDefault="00A65EAE" w:rsidP="003F1DA7">
      <w:pPr>
        <w:pStyle w:val="AAAAAAATEXXXX"/>
        <w:rPr>
          <w:rFonts w:eastAsia="Times New Roman"/>
          <w:b/>
          <w:bCs/>
          <w:iCs/>
          <w:lang w:val="sq-AL" w:eastAsia="en-GB"/>
        </w:rPr>
      </w:pPr>
      <w:r w:rsidRPr="00050FA4">
        <w:rPr>
          <w:rFonts w:eastAsia="Times New Roman"/>
          <w:b/>
          <w:bCs/>
          <w:iCs/>
          <w:lang w:val="sq-AL" w:eastAsia="en-GB"/>
        </w:rPr>
        <w:t>Ecuri</w:t>
      </w:r>
      <w:r w:rsidR="00F62C99" w:rsidRPr="00050FA4">
        <w:rPr>
          <w:rFonts w:eastAsia="Times New Roman"/>
          <w:b/>
          <w:bCs/>
          <w:iCs/>
          <w:lang w:val="sq-AL" w:eastAsia="en-GB"/>
        </w:rPr>
        <w:t>a 11-</w:t>
      </w:r>
      <w:r w:rsidRPr="00050FA4">
        <w:rPr>
          <w:rFonts w:eastAsia="Times New Roman"/>
          <w:b/>
          <w:bCs/>
          <w:iCs/>
          <w:lang w:val="sq-AL" w:eastAsia="en-GB"/>
        </w:rPr>
        <w:t xml:space="preserve">mujore 2021 e treguesve kryesorë të shpenzimeve buxhetore </w:t>
      </w:r>
    </w:p>
    <w:p w14:paraId="3F1AFCDB" w14:textId="564299C8" w:rsidR="00A65EAE" w:rsidRPr="00050FA4" w:rsidRDefault="00A65EAE" w:rsidP="003F1DA7">
      <w:pPr>
        <w:pStyle w:val="AAAAAAATEXXXX"/>
        <w:rPr>
          <w:rFonts w:eastAsia="Times New Roman"/>
          <w:szCs w:val="20"/>
          <w:lang w:val="sq-AL" w:eastAsia="en-GB"/>
        </w:rPr>
      </w:pPr>
      <w:r w:rsidRPr="00050FA4">
        <w:rPr>
          <w:rFonts w:eastAsia="Times New Roman"/>
          <w:b/>
          <w:lang w:val="sq-AL"/>
        </w:rPr>
        <w:t>Shpenzimet e përgjithshme publike</w:t>
      </w:r>
      <w:r w:rsidRPr="00050FA4">
        <w:rPr>
          <w:rFonts w:eastAsia="SimSun"/>
          <w:lang w:val="sq-AL"/>
        </w:rPr>
        <w:t xml:space="preserve"> për periudhën njëmbëdhjetëmujore të vitit 2021, arritën në rreth 491.4 miliard</w:t>
      </w:r>
      <w:r w:rsidR="00F05B5D" w:rsidRPr="00050FA4">
        <w:rPr>
          <w:rFonts w:eastAsia="SimSun"/>
          <w:lang w:val="sq-AL"/>
        </w:rPr>
        <w:t>ë</w:t>
      </w:r>
      <w:r w:rsidRPr="00050FA4">
        <w:rPr>
          <w:rFonts w:eastAsia="SimSun"/>
          <w:lang w:val="sq-AL"/>
        </w:rPr>
        <w:t xml:space="preserve"> </w:t>
      </w:r>
      <w:r w:rsidR="00F05B5D" w:rsidRPr="00050FA4">
        <w:rPr>
          <w:rFonts w:eastAsia="SimSun"/>
          <w:lang w:val="sq-AL"/>
        </w:rPr>
        <w:t xml:space="preserve">lekë, </w:t>
      </w:r>
      <w:r w:rsidRPr="00050FA4">
        <w:rPr>
          <w:rFonts w:eastAsia="SimSun"/>
          <w:lang w:val="sq-AL"/>
        </w:rPr>
        <w:t>me një realizim në masën 89.7 për</w:t>
      </w:r>
      <w:r w:rsidR="00D24918" w:rsidRPr="00050FA4">
        <w:rPr>
          <w:rFonts w:eastAsia="SimSun"/>
          <w:lang w:val="sq-AL"/>
        </w:rPr>
        <w:t xml:space="preserve"> </w:t>
      </w:r>
      <w:r w:rsidRPr="00050FA4">
        <w:rPr>
          <w:rFonts w:eastAsia="SimSun"/>
          <w:lang w:val="sq-AL"/>
        </w:rPr>
        <w:t>qind të planit të periudhës, ndërsa krahasuar me të njëjtën periudhë të vitit 2020 ky zë ka rezultuar 7.8 për</w:t>
      </w:r>
      <w:r w:rsidR="00D24918" w:rsidRPr="00050FA4">
        <w:rPr>
          <w:rFonts w:eastAsia="SimSun"/>
          <w:lang w:val="sq-AL"/>
        </w:rPr>
        <w:t xml:space="preserve"> </w:t>
      </w:r>
      <w:r w:rsidRPr="00050FA4">
        <w:rPr>
          <w:rFonts w:eastAsia="SimSun"/>
          <w:lang w:val="sq-AL"/>
        </w:rPr>
        <w:t>qind më i lartë ose rreth 35.7 miliard</w:t>
      </w:r>
      <w:r w:rsidR="00F05B5D" w:rsidRPr="00050FA4">
        <w:rPr>
          <w:rFonts w:eastAsia="SimSun"/>
          <w:lang w:val="sq-AL"/>
        </w:rPr>
        <w:t>ë</w:t>
      </w:r>
      <w:r w:rsidRPr="00050FA4">
        <w:rPr>
          <w:rFonts w:eastAsia="SimSun"/>
          <w:lang w:val="sq-AL"/>
        </w:rPr>
        <w:t xml:space="preserve"> </w:t>
      </w:r>
      <w:r w:rsidR="00F05B5D" w:rsidRPr="00050FA4">
        <w:rPr>
          <w:rFonts w:eastAsia="SimSun"/>
          <w:lang w:val="sq-AL"/>
        </w:rPr>
        <w:t xml:space="preserve">lekë </w:t>
      </w:r>
      <w:r w:rsidRPr="00050FA4">
        <w:rPr>
          <w:rFonts w:eastAsia="SimSun"/>
          <w:lang w:val="sq-AL"/>
        </w:rPr>
        <w:t>më shumë. Në terma vjetorë, shpenzimet e përgjithshme për 11</w:t>
      </w:r>
      <w:r w:rsidR="0096264F" w:rsidRPr="00050FA4">
        <w:rPr>
          <w:rFonts w:eastAsia="SimSun"/>
          <w:lang w:val="sq-AL"/>
        </w:rPr>
        <w:t>-</w:t>
      </w:r>
      <w:r w:rsidRPr="00050FA4">
        <w:rPr>
          <w:rFonts w:eastAsia="SimSun"/>
          <w:lang w:val="sq-AL"/>
        </w:rPr>
        <w:t>mujorin e vitit 2021 u realizuan në masën 82.9 për</w:t>
      </w:r>
      <w:r w:rsidR="00D24918" w:rsidRPr="00050FA4">
        <w:rPr>
          <w:rFonts w:eastAsia="SimSun"/>
          <w:lang w:val="sq-AL"/>
        </w:rPr>
        <w:t xml:space="preserve"> </w:t>
      </w:r>
      <w:r w:rsidRPr="00050FA4">
        <w:rPr>
          <w:rFonts w:eastAsia="SimSun"/>
          <w:lang w:val="sq-AL"/>
        </w:rPr>
        <w:t>qind të planit vjetor sipas buxhetit fillestar dhe 80.5 për</w:t>
      </w:r>
      <w:r w:rsidR="00D24918" w:rsidRPr="00050FA4">
        <w:rPr>
          <w:rFonts w:eastAsia="SimSun"/>
          <w:lang w:val="sq-AL"/>
        </w:rPr>
        <w:t xml:space="preserve"> </w:t>
      </w:r>
      <w:r w:rsidRPr="00050FA4">
        <w:rPr>
          <w:rFonts w:eastAsia="SimSun"/>
          <w:lang w:val="sq-AL"/>
        </w:rPr>
        <w:t xml:space="preserve">qind të planit vjetor të ndryshuar me </w:t>
      </w:r>
      <w:r w:rsidR="009F4959" w:rsidRPr="00050FA4">
        <w:rPr>
          <w:rFonts w:eastAsia="SimSun"/>
          <w:lang w:val="sq-AL"/>
        </w:rPr>
        <w:t>aktin normativ nr</w:t>
      </w:r>
      <w:r w:rsidRPr="00050FA4">
        <w:rPr>
          <w:rFonts w:eastAsia="SimSun"/>
          <w:lang w:val="sq-AL"/>
        </w:rPr>
        <w:t>.</w:t>
      </w:r>
      <w:r w:rsidR="00D24918" w:rsidRPr="00050FA4">
        <w:rPr>
          <w:rFonts w:eastAsia="SimSun"/>
          <w:lang w:val="sq-AL"/>
        </w:rPr>
        <w:t xml:space="preserve"> </w:t>
      </w:r>
      <w:r w:rsidR="009F4959" w:rsidRPr="00050FA4">
        <w:rPr>
          <w:rFonts w:eastAsia="SimSun"/>
          <w:lang w:val="sq-AL"/>
        </w:rPr>
        <w:t>26, datë 22.</w:t>
      </w:r>
      <w:r w:rsidRPr="00050FA4">
        <w:rPr>
          <w:rFonts w:eastAsia="SimSun"/>
          <w:lang w:val="sq-AL"/>
        </w:rPr>
        <w:t>6.2021 (AN nr.</w:t>
      </w:r>
      <w:r w:rsidR="00D24918" w:rsidRPr="00050FA4">
        <w:rPr>
          <w:rFonts w:eastAsia="SimSun"/>
          <w:lang w:val="sq-AL"/>
        </w:rPr>
        <w:t xml:space="preserve"> </w:t>
      </w:r>
      <w:r w:rsidRPr="00050FA4">
        <w:rPr>
          <w:rFonts w:eastAsia="SimSun"/>
          <w:lang w:val="sq-AL"/>
        </w:rPr>
        <w:t>26).</w:t>
      </w:r>
    </w:p>
    <w:p w14:paraId="096328A4" w14:textId="77777777" w:rsidR="00A65EAE" w:rsidRPr="00050FA4" w:rsidRDefault="00A65EAE" w:rsidP="003F1DA7">
      <w:pPr>
        <w:pStyle w:val="AAAAAAATEXXXX"/>
        <w:rPr>
          <w:rFonts w:eastAsia="Times New Roman"/>
          <w:szCs w:val="20"/>
          <w:lang w:val="sq-AL" w:eastAsia="en-GB"/>
        </w:rPr>
      </w:pPr>
    </w:p>
    <w:p w14:paraId="182BF383" w14:textId="77777777" w:rsidR="00F62C99" w:rsidRPr="00050FA4" w:rsidRDefault="00F62C99" w:rsidP="003F1DA7">
      <w:pPr>
        <w:pStyle w:val="AAAAAAATEXXXX"/>
        <w:rPr>
          <w:rFonts w:eastAsia="Times New Roman"/>
          <w:szCs w:val="20"/>
          <w:lang w:val="sq-AL" w:eastAsia="en-GB"/>
        </w:rPr>
      </w:pPr>
    </w:p>
    <w:p w14:paraId="6929A6DA" w14:textId="77777777" w:rsidR="00F62C99" w:rsidRPr="00050FA4" w:rsidRDefault="00F62C99" w:rsidP="003F1DA7">
      <w:pPr>
        <w:pStyle w:val="AAAAAAATEXXXX"/>
        <w:rPr>
          <w:rFonts w:eastAsia="Times New Roman"/>
          <w:szCs w:val="20"/>
          <w:lang w:val="sq-AL" w:eastAsia="en-GB"/>
        </w:rPr>
      </w:pPr>
    </w:p>
    <w:p w14:paraId="7DF2F739" w14:textId="77777777" w:rsidR="00F62C99" w:rsidRPr="00050FA4" w:rsidRDefault="00F62C99" w:rsidP="003F1DA7">
      <w:pPr>
        <w:pStyle w:val="AAAAAAATEXXXX"/>
        <w:rPr>
          <w:rFonts w:eastAsia="Times New Roman"/>
          <w:szCs w:val="20"/>
          <w:lang w:val="sq-AL" w:eastAsia="en-GB"/>
        </w:rPr>
      </w:pPr>
    </w:p>
    <w:p w14:paraId="6D033379" w14:textId="77777777" w:rsidR="00F62C99" w:rsidRPr="00050FA4" w:rsidRDefault="00F62C99" w:rsidP="003F1DA7">
      <w:pPr>
        <w:pStyle w:val="AAAAAAATEXXXX"/>
        <w:rPr>
          <w:rFonts w:eastAsia="Times New Roman"/>
          <w:szCs w:val="20"/>
          <w:lang w:val="sq-AL" w:eastAsia="en-GB"/>
        </w:rPr>
      </w:pPr>
    </w:p>
    <w:p w14:paraId="2EDAAD35" w14:textId="77777777" w:rsidR="00F62C99" w:rsidRPr="00050FA4" w:rsidRDefault="00F62C99" w:rsidP="003F1DA7">
      <w:pPr>
        <w:pStyle w:val="AAAAAAATEXXXX"/>
        <w:rPr>
          <w:rFonts w:eastAsia="Times New Roman"/>
          <w:szCs w:val="20"/>
          <w:lang w:val="sq-AL" w:eastAsia="en-GB"/>
        </w:rPr>
      </w:pPr>
    </w:p>
    <w:p w14:paraId="163394A9" w14:textId="77777777" w:rsidR="00F62C99" w:rsidRPr="00050FA4" w:rsidRDefault="00F62C99" w:rsidP="003F1DA7">
      <w:pPr>
        <w:pStyle w:val="AAAAAAATEXXXX"/>
        <w:rPr>
          <w:rFonts w:eastAsia="Times New Roman"/>
          <w:szCs w:val="20"/>
          <w:lang w:val="sq-AL" w:eastAsia="en-GB"/>
        </w:rPr>
      </w:pPr>
    </w:p>
    <w:p w14:paraId="53DAD908" w14:textId="77777777" w:rsidR="00F62C99" w:rsidRPr="00050FA4" w:rsidRDefault="00F62C99" w:rsidP="003F1DA7">
      <w:pPr>
        <w:pStyle w:val="AAAAAAATEXXXX"/>
        <w:rPr>
          <w:rFonts w:eastAsia="Times New Roman"/>
          <w:szCs w:val="20"/>
          <w:lang w:val="sq-AL" w:eastAsia="en-GB"/>
        </w:rPr>
      </w:pPr>
    </w:p>
    <w:p w14:paraId="0DC4E63F" w14:textId="77777777" w:rsidR="00F62C99" w:rsidRPr="00050FA4" w:rsidRDefault="00F62C99" w:rsidP="003F1DA7">
      <w:pPr>
        <w:pStyle w:val="AAAAAAATEXXXX"/>
        <w:rPr>
          <w:rFonts w:eastAsia="Times New Roman"/>
          <w:szCs w:val="20"/>
          <w:lang w:val="sq-AL" w:eastAsia="en-GB"/>
        </w:rPr>
      </w:pPr>
    </w:p>
    <w:p w14:paraId="3C1ACF34" w14:textId="24B9D149" w:rsidR="00A65EAE" w:rsidRPr="00050FA4" w:rsidRDefault="00A65EAE" w:rsidP="003F1DA7">
      <w:pPr>
        <w:ind w:firstLine="284"/>
        <w:jc w:val="center"/>
        <w:rPr>
          <w:rFonts w:ascii="Garamond" w:eastAsia="SimSun" w:hAnsi="Garamond"/>
          <w:b/>
          <w:i/>
          <w:color w:val="0D0D0D" w:themeColor="text1" w:themeTint="F2"/>
          <w:sz w:val="20"/>
          <w:szCs w:val="20"/>
        </w:rPr>
      </w:pPr>
      <w:r w:rsidRPr="00050FA4">
        <w:rPr>
          <w:rFonts w:ascii="Garamond" w:eastAsia="SimSun" w:hAnsi="Garamond"/>
          <w:b/>
          <w:i/>
          <w:color w:val="0D0D0D" w:themeColor="text1" w:themeTint="F2"/>
          <w:sz w:val="20"/>
          <w:szCs w:val="20"/>
        </w:rPr>
        <w:t>Tabela 4.2.4 Treguesi</w:t>
      </w:r>
      <w:r w:rsidR="00D14221" w:rsidRPr="00050FA4">
        <w:rPr>
          <w:rFonts w:ascii="Garamond" w:eastAsia="SimSun" w:hAnsi="Garamond"/>
          <w:b/>
          <w:i/>
          <w:color w:val="0D0D0D" w:themeColor="text1" w:themeTint="F2"/>
          <w:sz w:val="20"/>
          <w:szCs w:val="20"/>
        </w:rPr>
        <w:t>t fiskalë të konsoliduar për 10-</w:t>
      </w:r>
      <w:r w:rsidRPr="00050FA4">
        <w:rPr>
          <w:rFonts w:ascii="Garamond" w:eastAsia="SimSun" w:hAnsi="Garamond"/>
          <w:b/>
          <w:i/>
          <w:color w:val="0D0D0D" w:themeColor="text1" w:themeTint="F2"/>
          <w:sz w:val="20"/>
          <w:szCs w:val="20"/>
        </w:rPr>
        <w:t>mujorin e vitit 2021 (në milion</w:t>
      </w:r>
      <w:r w:rsidR="00D14221" w:rsidRPr="00050FA4">
        <w:rPr>
          <w:rFonts w:ascii="Garamond" w:eastAsia="SimSun" w:hAnsi="Garamond"/>
          <w:b/>
          <w:i/>
          <w:color w:val="0D0D0D" w:themeColor="text1" w:themeTint="F2"/>
          <w:sz w:val="20"/>
          <w:szCs w:val="20"/>
        </w:rPr>
        <w:t>ë</w:t>
      </w:r>
      <w:r w:rsidRPr="00050FA4">
        <w:rPr>
          <w:rFonts w:ascii="Garamond" w:eastAsia="SimSun" w:hAnsi="Garamond"/>
          <w:b/>
          <w:i/>
          <w:color w:val="0D0D0D" w:themeColor="text1" w:themeTint="F2"/>
          <w:sz w:val="20"/>
          <w:szCs w:val="20"/>
        </w:rPr>
        <w:t xml:space="preserve"> lekë)</w:t>
      </w:r>
    </w:p>
    <w:p w14:paraId="6B8BDD7F" w14:textId="25337D8A" w:rsidR="00A65EAE" w:rsidRPr="00050FA4" w:rsidRDefault="00A65EAE" w:rsidP="003F1DA7">
      <w:pPr>
        <w:ind w:firstLine="284"/>
        <w:jc w:val="center"/>
        <w:rPr>
          <w:rFonts w:ascii="Garamond" w:eastAsia="SimSun" w:hAnsi="Garamond"/>
          <w:color w:val="0D0D0D" w:themeColor="text1" w:themeTint="F2"/>
        </w:rPr>
      </w:pPr>
      <w:r w:rsidRPr="00050FA4">
        <w:rPr>
          <w:rFonts w:ascii="Garamond" w:hAnsi="Garamond"/>
          <w:noProof/>
          <w:color w:val="0D0D0D" w:themeColor="text1" w:themeTint="F2"/>
          <w:lang w:val="en-US"/>
        </w:rPr>
        <w:drawing>
          <wp:inline distT="0" distB="0" distL="0" distR="0" wp14:anchorId="13141FBF" wp14:editId="6DDDC3BD">
            <wp:extent cx="6036438" cy="1430171"/>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7042" cy="1442160"/>
                    </a:xfrm>
                    <a:prstGeom prst="rect">
                      <a:avLst/>
                    </a:prstGeom>
                    <a:noFill/>
                    <a:ln>
                      <a:noFill/>
                    </a:ln>
                  </pic:spPr>
                </pic:pic>
              </a:graphicData>
            </a:graphic>
          </wp:inline>
        </w:drawing>
      </w:r>
    </w:p>
    <w:p w14:paraId="6FBD48A5" w14:textId="77777777" w:rsidR="00A65EAE" w:rsidRPr="00050FA4" w:rsidRDefault="00A65EAE" w:rsidP="003F1DA7">
      <w:pPr>
        <w:pStyle w:val="AAAAAAATEXXXX"/>
        <w:jc w:val="center"/>
        <w:rPr>
          <w:sz w:val="20"/>
          <w:szCs w:val="20"/>
          <w:lang w:val="sq-AL"/>
        </w:rPr>
      </w:pPr>
      <w:r w:rsidRPr="00050FA4">
        <w:rPr>
          <w:sz w:val="20"/>
          <w:szCs w:val="20"/>
          <w:lang w:val="sq-AL"/>
        </w:rPr>
        <w:t>Burimi: Ministria e Financave dhe Ekonomisë (2021)</w:t>
      </w:r>
    </w:p>
    <w:p w14:paraId="4B98D75B" w14:textId="77777777" w:rsidR="00A65EAE" w:rsidRPr="00050FA4" w:rsidRDefault="00A65EAE" w:rsidP="003F1DA7">
      <w:pPr>
        <w:ind w:firstLine="284"/>
        <w:jc w:val="both"/>
        <w:rPr>
          <w:rFonts w:ascii="Garamond" w:eastAsia="SimSun" w:hAnsi="Garamond"/>
          <w:color w:val="0D0D0D" w:themeColor="text1" w:themeTint="F2"/>
          <w:sz w:val="22"/>
          <w:szCs w:val="22"/>
        </w:rPr>
      </w:pPr>
    </w:p>
    <w:p w14:paraId="418A89D0" w14:textId="581D8F9C" w:rsidR="00A65EAE" w:rsidRPr="00050FA4" w:rsidRDefault="00E635DE" w:rsidP="003F1DA7">
      <w:pPr>
        <w:pStyle w:val="AAAAAAATEXXXX"/>
        <w:jc w:val="center"/>
        <w:rPr>
          <w:b/>
          <w:i/>
          <w:sz w:val="20"/>
          <w:lang w:val="sq-AL" w:eastAsia="en-GB"/>
        </w:rPr>
      </w:pPr>
      <w:r w:rsidRPr="00050FA4">
        <w:rPr>
          <w:b/>
          <w:i/>
          <w:sz w:val="20"/>
          <w:lang w:val="sq-AL"/>
        </w:rPr>
        <w:t>Tabela 4.2.5</w:t>
      </w:r>
      <w:r w:rsidR="00A65EAE" w:rsidRPr="00050FA4">
        <w:rPr>
          <w:b/>
          <w:i/>
          <w:sz w:val="20"/>
          <w:lang w:val="sq-AL"/>
        </w:rPr>
        <w:t xml:space="preserve"> Treguesit fiskalë</w:t>
      </w:r>
      <w:r w:rsidRPr="00050FA4">
        <w:rPr>
          <w:b/>
          <w:i/>
          <w:sz w:val="20"/>
          <w:lang w:val="sq-AL" w:eastAsia="en-GB"/>
        </w:rPr>
        <w:t xml:space="preserve"> të konsoliduar për 11-</w:t>
      </w:r>
      <w:r w:rsidR="00A65EAE" w:rsidRPr="00050FA4">
        <w:rPr>
          <w:b/>
          <w:i/>
          <w:sz w:val="20"/>
          <w:lang w:val="sq-AL" w:eastAsia="en-GB"/>
        </w:rPr>
        <w:t>mujorin e vitit 2020 dhe 2021 (në milion</w:t>
      </w:r>
      <w:r w:rsidR="00D14221" w:rsidRPr="00050FA4">
        <w:rPr>
          <w:b/>
          <w:i/>
          <w:sz w:val="20"/>
          <w:lang w:val="sq-AL" w:eastAsia="en-GB"/>
        </w:rPr>
        <w:t>ë</w:t>
      </w:r>
      <w:r w:rsidR="00A65EAE" w:rsidRPr="00050FA4">
        <w:rPr>
          <w:b/>
          <w:i/>
          <w:sz w:val="20"/>
          <w:lang w:val="sq-AL" w:eastAsia="en-GB"/>
        </w:rPr>
        <w:t xml:space="preserve"> lekë)</w:t>
      </w:r>
    </w:p>
    <w:p w14:paraId="7AD5BC89" w14:textId="65C47260" w:rsidR="00A65EAE" w:rsidRPr="00050FA4" w:rsidRDefault="00A65EAE" w:rsidP="003F1DA7">
      <w:pPr>
        <w:ind w:firstLine="284"/>
        <w:jc w:val="center"/>
        <w:rPr>
          <w:rFonts w:ascii="Garamond" w:eastAsia="SimSun" w:hAnsi="Garamond"/>
          <w:color w:val="0D0D0D" w:themeColor="text1" w:themeTint="F2"/>
          <w:lang w:eastAsia="en-GB"/>
        </w:rPr>
      </w:pPr>
      <w:r w:rsidRPr="00050FA4">
        <w:rPr>
          <w:rFonts w:ascii="Garamond" w:eastAsia="SimSun" w:hAnsi="Garamond"/>
          <w:noProof/>
          <w:color w:val="0D0D0D" w:themeColor="text1" w:themeTint="F2"/>
          <w:lang w:val="en-US"/>
        </w:rPr>
        <w:drawing>
          <wp:inline distT="0" distB="0" distL="0" distR="0" wp14:anchorId="0612A41A" wp14:editId="238D3B50">
            <wp:extent cx="5986534" cy="133545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20134" cy="1342953"/>
                    </a:xfrm>
                    <a:prstGeom prst="rect">
                      <a:avLst/>
                    </a:prstGeom>
                    <a:noFill/>
                    <a:ln>
                      <a:noFill/>
                    </a:ln>
                  </pic:spPr>
                </pic:pic>
              </a:graphicData>
            </a:graphic>
          </wp:inline>
        </w:drawing>
      </w:r>
    </w:p>
    <w:p w14:paraId="74AEDB03" w14:textId="77777777" w:rsidR="00A65EAE" w:rsidRPr="00050FA4" w:rsidRDefault="00A65EAE" w:rsidP="003F1DA7">
      <w:pPr>
        <w:pStyle w:val="AAAAAAATEXXXX"/>
        <w:jc w:val="center"/>
        <w:rPr>
          <w:sz w:val="20"/>
          <w:szCs w:val="20"/>
          <w:lang w:val="sq-AL"/>
        </w:rPr>
      </w:pPr>
      <w:r w:rsidRPr="00050FA4">
        <w:rPr>
          <w:sz w:val="20"/>
          <w:szCs w:val="20"/>
          <w:lang w:val="sq-AL"/>
        </w:rPr>
        <w:t>Burimi: Ministria e Financave dhe Ekonomisë (2021)</w:t>
      </w:r>
    </w:p>
    <w:p w14:paraId="37C7E80E" w14:textId="77777777" w:rsidR="00092FA0" w:rsidRPr="00050FA4" w:rsidRDefault="00092FA0" w:rsidP="003F1DA7">
      <w:pPr>
        <w:ind w:firstLine="284"/>
        <w:jc w:val="both"/>
        <w:rPr>
          <w:rFonts w:ascii="Garamond" w:eastAsia="Times New Roman" w:hAnsi="Garamond"/>
          <w:b/>
          <w:color w:val="0D0D0D" w:themeColor="text1" w:themeTint="F2"/>
        </w:rPr>
      </w:pPr>
    </w:p>
    <w:p w14:paraId="7314FD0B" w14:textId="462DB33E" w:rsidR="00A65EAE" w:rsidRPr="00050FA4" w:rsidRDefault="00A65EAE" w:rsidP="003F1DA7">
      <w:pPr>
        <w:ind w:firstLine="284"/>
        <w:jc w:val="both"/>
        <w:rPr>
          <w:rFonts w:ascii="Garamond" w:eastAsia="SimSun" w:hAnsi="Garamond"/>
          <w:color w:val="0D0D0D" w:themeColor="text1" w:themeTint="F2"/>
        </w:rPr>
      </w:pPr>
      <w:r w:rsidRPr="00050FA4">
        <w:rPr>
          <w:rFonts w:ascii="Garamond" w:eastAsia="Times New Roman" w:hAnsi="Garamond"/>
          <w:b/>
          <w:color w:val="0D0D0D" w:themeColor="text1" w:themeTint="F2"/>
        </w:rPr>
        <w:t>Shpenzimet kor</w:t>
      </w:r>
      <w:r w:rsidR="00D24918" w:rsidRPr="00050FA4">
        <w:rPr>
          <w:rFonts w:ascii="Garamond" w:eastAsia="Times New Roman" w:hAnsi="Garamond"/>
          <w:b/>
          <w:color w:val="0D0D0D" w:themeColor="text1" w:themeTint="F2"/>
        </w:rPr>
        <w:t>r</w:t>
      </w:r>
      <w:r w:rsidRPr="00050FA4">
        <w:rPr>
          <w:rFonts w:ascii="Garamond" w:eastAsia="Times New Roman" w:hAnsi="Garamond"/>
          <w:b/>
          <w:color w:val="0D0D0D" w:themeColor="text1" w:themeTint="F2"/>
        </w:rPr>
        <w:t>ente</w:t>
      </w:r>
      <w:r w:rsidR="00E635DE" w:rsidRPr="00050FA4">
        <w:rPr>
          <w:rFonts w:ascii="Garamond" w:eastAsia="SimSun" w:hAnsi="Garamond"/>
          <w:color w:val="0D0D0D" w:themeColor="text1" w:themeTint="F2"/>
        </w:rPr>
        <w:t xml:space="preserve"> për periudhën 11-</w:t>
      </w:r>
      <w:r w:rsidRPr="00050FA4">
        <w:rPr>
          <w:rFonts w:ascii="Garamond" w:eastAsia="SimSun" w:hAnsi="Garamond"/>
          <w:color w:val="0D0D0D" w:themeColor="text1" w:themeTint="F2"/>
        </w:rPr>
        <w:t>mujore të vitit 2021 rezultuan në rreth 404.5 miliard</w:t>
      </w:r>
      <w:r w:rsidR="00E635DE" w:rsidRPr="00050FA4">
        <w:rPr>
          <w:rFonts w:ascii="Garamond" w:eastAsia="SimSun" w:hAnsi="Garamond"/>
          <w:color w:val="0D0D0D" w:themeColor="text1" w:themeTint="F2"/>
        </w:rPr>
        <w:t>ë lekë</w:t>
      </w:r>
      <w:r w:rsidRPr="00050FA4">
        <w:rPr>
          <w:rFonts w:ascii="Garamond" w:eastAsia="SimSun" w:hAnsi="Garamond"/>
          <w:color w:val="0D0D0D" w:themeColor="text1" w:themeTint="F2"/>
        </w:rPr>
        <w:t>, ndërsa krahasuar me të njëjtën periudhë të një viti më parë ky zë ka rezultuar 6.8 për</w:t>
      </w:r>
      <w:r w:rsidR="00D24918" w:rsidRPr="00050FA4">
        <w:rPr>
          <w:rFonts w:ascii="Garamond" w:eastAsia="SimSun" w:hAnsi="Garamond"/>
          <w:color w:val="0D0D0D" w:themeColor="text1" w:themeTint="F2"/>
        </w:rPr>
        <w:t xml:space="preserve"> </w:t>
      </w:r>
      <w:r w:rsidRPr="00050FA4">
        <w:rPr>
          <w:rFonts w:ascii="Garamond" w:eastAsia="SimSun" w:hAnsi="Garamond"/>
          <w:color w:val="0D0D0D" w:themeColor="text1" w:themeTint="F2"/>
        </w:rPr>
        <w:t>qind më i lartë ose rreth 25.6 miliard</w:t>
      </w:r>
      <w:r w:rsidR="00E635DE" w:rsidRPr="00050FA4">
        <w:rPr>
          <w:rFonts w:ascii="Garamond" w:eastAsia="SimSun" w:hAnsi="Garamond"/>
          <w:color w:val="0D0D0D" w:themeColor="text1" w:themeTint="F2"/>
        </w:rPr>
        <w:t>ë</w:t>
      </w:r>
      <w:r w:rsidRPr="00050FA4">
        <w:rPr>
          <w:rFonts w:ascii="Garamond" w:eastAsia="SimSun" w:hAnsi="Garamond"/>
          <w:color w:val="0D0D0D" w:themeColor="text1" w:themeTint="F2"/>
        </w:rPr>
        <w:t xml:space="preserve"> </w:t>
      </w:r>
      <w:r w:rsidR="00E635DE" w:rsidRPr="00050FA4">
        <w:rPr>
          <w:rFonts w:ascii="Garamond" w:eastAsia="SimSun" w:hAnsi="Garamond"/>
          <w:color w:val="0D0D0D" w:themeColor="text1" w:themeTint="F2"/>
        </w:rPr>
        <w:t xml:space="preserve">lekë </w:t>
      </w:r>
      <w:r w:rsidRPr="00050FA4">
        <w:rPr>
          <w:rFonts w:ascii="Garamond" w:eastAsia="SimSun" w:hAnsi="Garamond"/>
          <w:color w:val="0D0D0D" w:themeColor="text1" w:themeTint="F2"/>
        </w:rPr>
        <w:t>më shumë. Në terma vjetorë, shpenzimet ko</w:t>
      </w:r>
      <w:r w:rsidR="00D24918" w:rsidRPr="00050FA4">
        <w:rPr>
          <w:rFonts w:ascii="Garamond" w:eastAsia="SimSun" w:hAnsi="Garamond"/>
          <w:color w:val="0D0D0D" w:themeColor="text1" w:themeTint="F2"/>
        </w:rPr>
        <w:t>r</w:t>
      </w:r>
      <w:r w:rsidRPr="00050FA4">
        <w:rPr>
          <w:rFonts w:ascii="Garamond" w:eastAsia="SimSun" w:hAnsi="Garamond"/>
          <w:color w:val="0D0D0D" w:themeColor="text1" w:themeTint="F2"/>
        </w:rPr>
        <w:t>rente për 11</w:t>
      </w:r>
      <w:r w:rsidR="00D14221" w:rsidRPr="00050FA4">
        <w:rPr>
          <w:rFonts w:ascii="Garamond" w:eastAsia="SimSun" w:hAnsi="Garamond"/>
          <w:color w:val="0D0D0D" w:themeColor="text1" w:themeTint="F2"/>
        </w:rPr>
        <w:t>-</w:t>
      </w:r>
      <w:r w:rsidRPr="00050FA4">
        <w:rPr>
          <w:rFonts w:ascii="Garamond" w:eastAsia="SimSun" w:hAnsi="Garamond"/>
          <w:color w:val="0D0D0D" w:themeColor="text1" w:themeTint="F2"/>
        </w:rPr>
        <w:t>mujorin e vitit 2021 u realizuan në masën 86.5 për</w:t>
      </w:r>
      <w:r w:rsidR="00D24918" w:rsidRPr="00050FA4">
        <w:rPr>
          <w:rFonts w:ascii="Garamond" w:eastAsia="SimSun" w:hAnsi="Garamond"/>
          <w:color w:val="0D0D0D" w:themeColor="text1" w:themeTint="F2"/>
        </w:rPr>
        <w:t xml:space="preserve"> </w:t>
      </w:r>
      <w:r w:rsidRPr="00050FA4">
        <w:rPr>
          <w:rFonts w:ascii="Garamond" w:eastAsia="SimSun" w:hAnsi="Garamond"/>
          <w:color w:val="0D0D0D" w:themeColor="text1" w:themeTint="F2"/>
        </w:rPr>
        <w:t>qind të planit vjetor sipas buxhetit fillestar dhe 86.3 për</w:t>
      </w:r>
      <w:r w:rsidR="00D24918" w:rsidRPr="00050FA4">
        <w:rPr>
          <w:rFonts w:ascii="Garamond" w:eastAsia="SimSun" w:hAnsi="Garamond"/>
          <w:color w:val="0D0D0D" w:themeColor="text1" w:themeTint="F2"/>
        </w:rPr>
        <w:t xml:space="preserve"> </w:t>
      </w:r>
      <w:r w:rsidRPr="00050FA4">
        <w:rPr>
          <w:rFonts w:ascii="Garamond" w:eastAsia="SimSun" w:hAnsi="Garamond"/>
          <w:color w:val="0D0D0D" w:themeColor="text1" w:themeTint="F2"/>
        </w:rPr>
        <w:t xml:space="preserve">qind të planit vjetor të ndryshuar me </w:t>
      </w:r>
      <w:r w:rsidR="00D14221" w:rsidRPr="00050FA4">
        <w:rPr>
          <w:rFonts w:ascii="Garamond" w:eastAsia="SimSun" w:hAnsi="Garamond"/>
          <w:color w:val="0D0D0D" w:themeColor="text1" w:themeTint="F2"/>
        </w:rPr>
        <w:t xml:space="preserve">aktin normativ </w:t>
      </w:r>
      <w:r w:rsidRPr="00050FA4">
        <w:rPr>
          <w:rFonts w:ascii="Garamond" w:eastAsia="SimSun" w:hAnsi="Garamond"/>
          <w:color w:val="0D0D0D" w:themeColor="text1" w:themeTint="F2"/>
        </w:rPr>
        <w:t>nr.</w:t>
      </w:r>
      <w:r w:rsidR="00D24918" w:rsidRPr="00050FA4">
        <w:rPr>
          <w:rFonts w:ascii="Garamond" w:eastAsia="SimSun" w:hAnsi="Garamond"/>
          <w:color w:val="0D0D0D" w:themeColor="text1" w:themeTint="F2"/>
        </w:rPr>
        <w:t xml:space="preserve"> </w:t>
      </w:r>
      <w:r w:rsidRPr="00050FA4">
        <w:rPr>
          <w:rFonts w:ascii="Garamond" w:eastAsia="SimSun" w:hAnsi="Garamond"/>
          <w:color w:val="0D0D0D" w:themeColor="text1" w:themeTint="F2"/>
        </w:rPr>
        <w:t xml:space="preserve">26. </w:t>
      </w:r>
    </w:p>
    <w:p w14:paraId="39BBA45C" w14:textId="2243C0E7" w:rsidR="00A65EAE" w:rsidRPr="00050FA4" w:rsidRDefault="00A65EAE" w:rsidP="003F1DA7">
      <w:pPr>
        <w:ind w:firstLine="284"/>
        <w:jc w:val="both"/>
        <w:rPr>
          <w:rFonts w:ascii="Garamond" w:eastAsia="SimSun" w:hAnsi="Garamond"/>
          <w:color w:val="0D0D0D" w:themeColor="text1" w:themeTint="F2"/>
        </w:rPr>
      </w:pPr>
      <w:r w:rsidRPr="00050FA4">
        <w:rPr>
          <w:rFonts w:ascii="Garamond" w:eastAsia="SimSun" w:hAnsi="Garamond"/>
          <w:color w:val="0D0D0D" w:themeColor="text1" w:themeTint="F2"/>
        </w:rPr>
        <w:t>Zërat kryesorë që ndikuan në nivelin e realizimit të shpenzimeve kor</w:t>
      </w:r>
      <w:r w:rsidR="00D24918" w:rsidRPr="00050FA4">
        <w:rPr>
          <w:rFonts w:ascii="Garamond" w:eastAsia="SimSun" w:hAnsi="Garamond"/>
          <w:color w:val="0D0D0D" w:themeColor="text1" w:themeTint="F2"/>
        </w:rPr>
        <w:t>r</w:t>
      </w:r>
      <w:r w:rsidR="00D14221" w:rsidRPr="00050FA4">
        <w:rPr>
          <w:rFonts w:ascii="Garamond" w:eastAsia="SimSun" w:hAnsi="Garamond"/>
          <w:color w:val="0D0D0D" w:themeColor="text1" w:themeTint="F2"/>
        </w:rPr>
        <w:t>ente kundrejt planit 11-</w:t>
      </w:r>
      <w:r w:rsidRPr="00050FA4">
        <w:rPr>
          <w:rFonts w:ascii="Garamond" w:eastAsia="SimSun" w:hAnsi="Garamond"/>
          <w:color w:val="0D0D0D" w:themeColor="text1" w:themeTint="F2"/>
        </w:rPr>
        <w:t xml:space="preserve">mujor janë përkatësisht: </w:t>
      </w:r>
    </w:p>
    <w:p w14:paraId="6E9D3AA1" w14:textId="2871FCE9" w:rsidR="00A65EAE" w:rsidRPr="00050FA4" w:rsidRDefault="004D40B1" w:rsidP="003F1DA7">
      <w:pPr>
        <w:widowControl w:val="0"/>
        <w:ind w:firstLine="284"/>
        <w:jc w:val="both"/>
        <w:rPr>
          <w:rFonts w:ascii="Garamond" w:eastAsia="SimSun" w:hAnsi="Garamond"/>
          <w:color w:val="0D0D0D" w:themeColor="text1" w:themeTint="F2"/>
        </w:rPr>
      </w:pPr>
      <w:r w:rsidRPr="00050FA4">
        <w:rPr>
          <w:rFonts w:ascii="Garamond" w:eastAsia="SimSun" w:hAnsi="Garamond"/>
          <w:i/>
          <w:color w:val="0D0D0D" w:themeColor="text1" w:themeTint="F2"/>
        </w:rPr>
        <w:t xml:space="preserve">- </w:t>
      </w:r>
      <w:r w:rsidR="00A65EAE" w:rsidRPr="00050FA4">
        <w:rPr>
          <w:rFonts w:ascii="Garamond" w:eastAsia="SimSun" w:hAnsi="Garamond"/>
          <w:i/>
          <w:color w:val="0D0D0D" w:themeColor="text1" w:themeTint="F2"/>
        </w:rPr>
        <w:t xml:space="preserve">Shpenzimet për fonde speciale: </w:t>
      </w:r>
      <w:r w:rsidR="00A65EAE" w:rsidRPr="00050FA4">
        <w:rPr>
          <w:rFonts w:ascii="Garamond" w:eastAsia="SimSun" w:hAnsi="Garamond"/>
          <w:color w:val="0D0D0D" w:themeColor="text1" w:themeTint="F2"/>
        </w:rPr>
        <w:t>100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të periudhës, 90.5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vjetor fillestar dhe 91.2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vjetor të ndryshuar me AN</w:t>
      </w:r>
      <w:r w:rsidR="001E376A" w:rsidRPr="00050FA4">
        <w:rPr>
          <w:rFonts w:ascii="Garamond" w:eastAsia="SimSun" w:hAnsi="Garamond"/>
          <w:color w:val="0D0D0D" w:themeColor="text1" w:themeTint="F2"/>
        </w:rPr>
        <w:t>-në</w:t>
      </w:r>
      <w:r w:rsidR="00A65EAE" w:rsidRPr="00050FA4">
        <w:rPr>
          <w:rFonts w:ascii="Garamond" w:eastAsia="SimSun" w:hAnsi="Garamond"/>
          <w:color w:val="0D0D0D" w:themeColor="text1" w:themeTint="F2"/>
        </w:rPr>
        <w:t xml:space="preserve"> nr.</w:t>
      </w:r>
      <w:r w:rsidR="00F62C99"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26.</w:t>
      </w:r>
    </w:p>
    <w:p w14:paraId="20DF3132" w14:textId="3377ABFC" w:rsidR="00A65EAE" w:rsidRPr="00050FA4" w:rsidRDefault="004D40B1" w:rsidP="003F1DA7">
      <w:pPr>
        <w:widowControl w:val="0"/>
        <w:ind w:firstLine="284"/>
        <w:jc w:val="both"/>
        <w:rPr>
          <w:rFonts w:ascii="Garamond" w:eastAsia="SimSun" w:hAnsi="Garamond"/>
          <w:color w:val="0D0D0D" w:themeColor="text1" w:themeTint="F2"/>
        </w:rPr>
      </w:pPr>
      <w:r w:rsidRPr="00050FA4">
        <w:rPr>
          <w:rFonts w:ascii="Garamond" w:eastAsia="SimSun" w:hAnsi="Garamond"/>
          <w:i/>
          <w:color w:val="0D0D0D" w:themeColor="text1" w:themeTint="F2"/>
        </w:rPr>
        <w:t xml:space="preserve">- </w:t>
      </w:r>
      <w:r w:rsidR="00A65EAE" w:rsidRPr="00050FA4">
        <w:rPr>
          <w:rFonts w:ascii="Garamond" w:eastAsia="SimSun" w:hAnsi="Garamond"/>
          <w:i/>
          <w:color w:val="0D0D0D" w:themeColor="text1" w:themeTint="F2"/>
        </w:rPr>
        <w:t xml:space="preserve">Shpenzimet operative mirëmbajtje: </w:t>
      </w:r>
      <w:r w:rsidR="00A65EAE" w:rsidRPr="00050FA4">
        <w:rPr>
          <w:rFonts w:ascii="Garamond" w:eastAsia="SimSun" w:hAnsi="Garamond"/>
          <w:color w:val="0D0D0D" w:themeColor="text1" w:themeTint="F2"/>
        </w:rPr>
        <w:t>97.1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të periudhës, 92.2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vjetor fillestar dhe 88.5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 xml:space="preserve">qind të planit vjetor të ndryshuar. </w:t>
      </w:r>
    </w:p>
    <w:p w14:paraId="2D6F04A3" w14:textId="32B943DA" w:rsidR="00A65EAE" w:rsidRPr="00050FA4" w:rsidRDefault="004D40B1" w:rsidP="003F1DA7">
      <w:pPr>
        <w:widowControl w:val="0"/>
        <w:ind w:firstLine="284"/>
        <w:jc w:val="both"/>
        <w:rPr>
          <w:rFonts w:ascii="Garamond" w:eastAsia="SimSun" w:hAnsi="Garamond"/>
          <w:color w:val="0D0D0D" w:themeColor="text1" w:themeTint="F2"/>
        </w:rPr>
      </w:pPr>
      <w:r w:rsidRPr="00050FA4">
        <w:rPr>
          <w:rFonts w:ascii="Garamond" w:eastAsia="SimSun" w:hAnsi="Garamond"/>
          <w:i/>
          <w:color w:val="0D0D0D" w:themeColor="text1" w:themeTint="F2"/>
        </w:rPr>
        <w:t xml:space="preserve">- </w:t>
      </w:r>
      <w:r w:rsidR="00A65EAE" w:rsidRPr="00050FA4">
        <w:rPr>
          <w:rFonts w:ascii="Garamond" w:eastAsia="SimSun" w:hAnsi="Garamond"/>
          <w:i/>
          <w:color w:val="0D0D0D" w:themeColor="text1" w:themeTint="F2"/>
        </w:rPr>
        <w:t xml:space="preserve">Shpenzimet e tjera sociale: </w:t>
      </w:r>
      <w:r w:rsidR="00A65EAE" w:rsidRPr="00050FA4">
        <w:rPr>
          <w:rFonts w:ascii="Garamond" w:eastAsia="SimSun" w:hAnsi="Garamond"/>
          <w:color w:val="0D0D0D" w:themeColor="text1" w:themeTint="F2"/>
        </w:rPr>
        <w:t>96.6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të periudhës, 88.7 për</w:t>
      </w:r>
      <w:r w:rsidR="00D24918" w:rsidRPr="00050FA4">
        <w:rPr>
          <w:rFonts w:ascii="Garamond" w:eastAsia="SimSun" w:hAnsi="Garamond"/>
          <w:color w:val="0D0D0D" w:themeColor="text1" w:themeTint="F2"/>
        </w:rPr>
        <w:t xml:space="preserve"> </w:t>
      </w:r>
      <w:r w:rsidR="00A65EAE" w:rsidRPr="00050FA4">
        <w:rPr>
          <w:rFonts w:ascii="Garamond" w:eastAsia="SimSun" w:hAnsi="Garamond"/>
          <w:color w:val="0D0D0D" w:themeColor="text1" w:themeTint="F2"/>
        </w:rPr>
        <w:t>qind të planit vjetor fillestar dhe të ndryshuar.</w:t>
      </w:r>
    </w:p>
    <w:p w14:paraId="1A56A6E5" w14:textId="7C67FA11" w:rsidR="00A65EAE" w:rsidRPr="00050FA4" w:rsidRDefault="00A65EAE" w:rsidP="003F1DA7">
      <w:pPr>
        <w:ind w:firstLine="284"/>
        <w:jc w:val="both"/>
        <w:rPr>
          <w:rFonts w:ascii="Garamond" w:eastAsia="SimSun" w:hAnsi="Garamond"/>
          <w:color w:val="0D0D0D" w:themeColor="text1" w:themeTint="F2"/>
        </w:rPr>
      </w:pPr>
      <w:r w:rsidRPr="00050FA4">
        <w:rPr>
          <w:rFonts w:ascii="Garamond" w:eastAsia="SimSun" w:hAnsi="Garamond"/>
          <w:color w:val="0D0D0D" w:themeColor="text1" w:themeTint="F2"/>
        </w:rPr>
        <w:t>Analiza e detajuar e zërave kryesorë të shpenzimeve kor</w:t>
      </w:r>
      <w:r w:rsidR="00D24918" w:rsidRPr="00050FA4">
        <w:rPr>
          <w:rFonts w:ascii="Garamond" w:eastAsia="SimSun" w:hAnsi="Garamond"/>
          <w:color w:val="0D0D0D" w:themeColor="text1" w:themeTint="F2"/>
        </w:rPr>
        <w:t>r</w:t>
      </w:r>
      <w:r w:rsidRPr="00050FA4">
        <w:rPr>
          <w:rFonts w:ascii="Garamond" w:eastAsia="SimSun" w:hAnsi="Garamond"/>
          <w:color w:val="0D0D0D" w:themeColor="text1" w:themeTint="F2"/>
        </w:rPr>
        <w:t>ente dhe kapitale paraqitet si më</w:t>
      </w:r>
      <w:r w:rsidR="00D24918" w:rsidRPr="00050FA4">
        <w:rPr>
          <w:rFonts w:ascii="Garamond" w:eastAsia="SimSun" w:hAnsi="Garamond"/>
          <w:color w:val="0D0D0D" w:themeColor="text1" w:themeTint="F2"/>
        </w:rPr>
        <w:t xml:space="preserve"> </w:t>
      </w:r>
      <w:r w:rsidRPr="00050FA4">
        <w:rPr>
          <w:rFonts w:ascii="Garamond" w:eastAsia="SimSun" w:hAnsi="Garamond"/>
          <w:color w:val="0D0D0D" w:themeColor="text1" w:themeTint="F2"/>
        </w:rPr>
        <w:t>poshtë vijon:</w:t>
      </w:r>
    </w:p>
    <w:p w14:paraId="094D6507" w14:textId="77777777" w:rsidR="00A65EAE" w:rsidRPr="00050FA4" w:rsidRDefault="00A65EAE" w:rsidP="003F1DA7">
      <w:pPr>
        <w:ind w:firstLine="284"/>
        <w:jc w:val="both"/>
        <w:rPr>
          <w:rFonts w:ascii="Garamond" w:eastAsia="SimSun" w:hAnsi="Garamond"/>
          <w:color w:val="0D0D0D" w:themeColor="text1" w:themeTint="F2"/>
          <w:sz w:val="22"/>
        </w:rPr>
      </w:pPr>
    </w:p>
    <w:p w14:paraId="79297C1B" w14:textId="732F01EB" w:rsidR="00A65EAE" w:rsidRPr="00050FA4" w:rsidRDefault="00A65EAE" w:rsidP="003F1DA7">
      <w:pPr>
        <w:pStyle w:val="AAAAAAATEXXXX"/>
        <w:jc w:val="center"/>
        <w:rPr>
          <w:b/>
          <w:i/>
          <w:sz w:val="20"/>
          <w:szCs w:val="20"/>
          <w:lang w:val="sq-AL"/>
        </w:rPr>
      </w:pPr>
      <w:r w:rsidRPr="00050FA4">
        <w:rPr>
          <w:b/>
          <w:i/>
          <w:sz w:val="20"/>
          <w:szCs w:val="20"/>
          <w:lang w:val="sq-AL"/>
        </w:rPr>
        <w:t xml:space="preserve">Grafiku 4.2.6 Struktura e </w:t>
      </w:r>
      <w:r w:rsidR="00E635DE" w:rsidRPr="00050FA4">
        <w:rPr>
          <w:b/>
          <w:i/>
          <w:sz w:val="20"/>
          <w:szCs w:val="20"/>
          <w:lang w:val="sq-AL"/>
        </w:rPr>
        <w:t>shpenzimeve korrente</w:t>
      </w:r>
    </w:p>
    <w:p w14:paraId="478B0B59" w14:textId="516A815B" w:rsidR="00A65EAE" w:rsidRPr="00050FA4" w:rsidRDefault="00A65EAE" w:rsidP="003F1DA7">
      <w:pPr>
        <w:ind w:firstLine="284"/>
        <w:jc w:val="center"/>
        <w:rPr>
          <w:rFonts w:ascii="Garamond" w:eastAsia="SimSun" w:hAnsi="Garamond"/>
          <w:color w:val="0D0D0D" w:themeColor="text1" w:themeTint="F2"/>
        </w:rPr>
      </w:pPr>
      <w:r w:rsidRPr="00050FA4">
        <w:rPr>
          <w:rFonts w:ascii="Garamond" w:eastAsia="SimSun" w:hAnsi="Garamond"/>
          <w:noProof/>
          <w:color w:val="0D0D0D" w:themeColor="text1" w:themeTint="F2"/>
          <w:lang w:val="en-US"/>
        </w:rPr>
        <w:drawing>
          <wp:inline distT="0" distB="0" distL="0" distR="0" wp14:anchorId="142E3863" wp14:editId="261B61FC">
            <wp:extent cx="4114800" cy="22669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14800" cy="2266950"/>
                    </a:xfrm>
                    <a:prstGeom prst="rect">
                      <a:avLst/>
                    </a:prstGeom>
                    <a:noFill/>
                    <a:ln>
                      <a:noFill/>
                    </a:ln>
                  </pic:spPr>
                </pic:pic>
              </a:graphicData>
            </a:graphic>
          </wp:inline>
        </w:drawing>
      </w:r>
    </w:p>
    <w:p w14:paraId="3C3F32C5" w14:textId="7DF16FFF" w:rsidR="00A65EAE" w:rsidRPr="00050FA4" w:rsidRDefault="00A65EAE" w:rsidP="003F1DA7">
      <w:pPr>
        <w:pStyle w:val="AAAAAAATEXXXX"/>
        <w:jc w:val="center"/>
        <w:rPr>
          <w:sz w:val="20"/>
          <w:szCs w:val="20"/>
          <w:lang w:val="sq-AL"/>
        </w:rPr>
      </w:pPr>
      <w:r w:rsidRPr="00050FA4">
        <w:rPr>
          <w:sz w:val="20"/>
          <w:szCs w:val="20"/>
          <w:lang w:val="sq-AL"/>
        </w:rPr>
        <w:t>Burimi: Ministria e Financave dhe Ekonomisë (2021)</w:t>
      </w:r>
    </w:p>
    <w:p w14:paraId="5F8B7672" w14:textId="77777777" w:rsidR="00A65EAE" w:rsidRPr="00050FA4" w:rsidRDefault="00A65EAE" w:rsidP="003F1DA7">
      <w:pPr>
        <w:ind w:firstLine="284"/>
        <w:jc w:val="both"/>
        <w:rPr>
          <w:rFonts w:ascii="Garamond" w:eastAsia="SimSun" w:hAnsi="Garamond"/>
          <w:color w:val="0D0D0D" w:themeColor="text1" w:themeTint="F2"/>
          <w:sz w:val="20"/>
          <w:szCs w:val="20"/>
        </w:rPr>
      </w:pPr>
    </w:p>
    <w:p w14:paraId="044BED2D" w14:textId="5B735E82" w:rsidR="00A65EAE" w:rsidRPr="00050FA4" w:rsidRDefault="004D40B1" w:rsidP="003F1DA7">
      <w:pPr>
        <w:pStyle w:val="AAAAAAATEXXXX"/>
        <w:rPr>
          <w:lang w:val="sq-AL"/>
        </w:rPr>
      </w:pPr>
      <w:r w:rsidRPr="00050FA4">
        <w:rPr>
          <w:b/>
          <w:sz w:val="22"/>
          <w:szCs w:val="22"/>
          <w:lang w:val="sq-AL" w:eastAsia="en-GB"/>
        </w:rPr>
        <w:t xml:space="preserve">- </w:t>
      </w:r>
      <w:r w:rsidR="00A65EAE" w:rsidRPr="00050FA4">
        <w:rPr>
          <w:b/>
          <w:sz w:val="22"/>
          <w:szCs w:val="22"/>
          <w:lang w:val="sq-AL" w:eastAsia="en-GB"/>
        </w:rPr>
        <w:t xml:space="preserve">Shpenzimet e Personelit </w:t>
      </w:r>
      <w:r w:rsidR="00E635DE" w:rsidRPr="00050FA4">
        <w:rPr>
          <w:lang w:val="sq-AL"/>
        </w:rPr>
        <w:t>për periudhën 11-</w:t>
      </w:r>
      <w:r w:rsidR="00A65EAE" w:rsidRPr="00050FA4">
        <w:rPr>
          <w:lang w:val="sq-AL"/>
        </w:rPr>
        <w:t>mujore të vitit 2021, përfaqësuan 18.7 për</w:t>
      </w:r>
      <w:r w:rsidR="00E635DE" w:rsidRPr="00050FA4">
        <w:rPr>
          <w:lang w:val="sq-AL"/>
        </w:rPr>
        <w:t xml:space="preserve"> </w:t>
      </w:r>
      <w:r w:rsidR="00A65EAE" w:rsidRPr="00050FA4">
        <w:rPr>
          <w:lang w:val="sq-AL"/>
        </w:rPr>
        <w:t xml:space="preserve">qind të totalit të </w:t>
      </w:r>
      <w:r w:rsidR="00A65EAE" w:rsidRPr="00050FA4">
        <w:rPr>
          <w:lang w:val="sq-AL"/>
        </w:rPr>
        <w:lastRenderedPageBreak/>
        <w:t>shpenzimeve kor</w:t>
      </w:r>
      <w:r w:rsidR="00D455B1" w:rsidRPr="00050FA4">
        <w:rPr>
          <w:lang w:val="sq-AL"/>
        </w:rPr>
        <w:t>r</w:t>
      </w:r>
      <w:r w:rsidR="00A65EAE" w:rsidRPr="00050FA4">
        <w:rPr>
          <w:lang w:val="sq-AL"/>
        </w:rPr>
        <w:t>ente. Niveli i shpenzimeve faktike të personelit prej rreth 75.5 miliard</w:t>
      </w:r>
      <w:r w:rsidR="00904ECF" w:rsidRPr="00050FA4">
        <w:rPr>
          <w:lang w:val="sq-AL"/>
        </w:rPr>
        <w:t>ë</w:t>
      </w:r>
      <w:r w:rsidR="00A65EAE" w:rsidRPr="00050FA4">
        <w:rPr>
          <w:lang w:val="sq-AL"/>
        </w:rPr>
        <w:t xml:space="preserve"> </w:t>
      </w:r>
      <w:r w:rsidR="00904ECF" w:rsidRPr="00050FA4">
        <w:rPr>
          <w:lang w:val="sq-AL"/>
        </w:rPr>
        <w:t>lekësh</w:t>
      </w:r>
      <w:r w:rsidR="00A65EAE" w:rsidRPr="00050FA4">
        <w:rPr>
          <w:lang w:val="sq-AL"/>
        </w:rPr>
        <w:t>, realizon nivelin e parashikuar për k</w:t>
      </w:r>
      <w:r w:rsidR="00F62C99" w:rsidRPr="00050FA4">
        <w:rPr>
          <w:lang w:val="sq-AL"/>
        </w:rPr>
        <w:t>ëtë zë në planin e periudhës 11-</w:t>
      </w:r>
      <w:r w:rsidR="00A65EAE" w:rsidRPr="00050FA4">
        <w:rPr>
          <w:lang w:val="sq-AL"/>
        </w:rPr>
        <w:t>mujore në masën 91.4 për</w:t>
      </w:r>
      <w:r w:rsidR="00D455B1" w:rsidRPr="00050FA4">
        <w:rPr>
          <w:lang w:val="sq-AL"/>
        </w:rPr>
        <w:t xml:space="preserve"> </w:t>
      </w:r>
      <w:r w:rsidR="00A65EAE" w:rsidRPr="00050FA4">
        <w:rPr>
          <w:lang w:val="sq-AL"/>
        </w:rPr>
        <w:t>qind. Krahasuar me të njëjtën periudhë të vitit 2020, ky zë është 8.3 për</w:t>
      </w:r>
      <w:r w:rsidR="00D455B1" w:rsidRPr="00050FA4">
        <w:rPr>
          <w:lang w:val="sq-AL"/>
        </w:rPr>
        <w:t xml:space="preserve"> </w:t>
      </w:r>
      <w:r w:rsidR="00A65EAE" w:rsidRPr="00050FA4">
        <w:rPr>
          <w:lang w:val="sq-AL"/>
        </w:rPr>
        <w:t>qind më i lartë ose rreth 5.76 miliard</w:t>
      </w:r>
      <w:r w:rsidR="00904ECF" w:rsidRPr="00050FA4">
        <w:rPr>
          <w:lang w:val="sq-AL"/>
        </w:rPr>
        <w:t>ë</w:t>
      </w:r>
      <w:r w:rsidR="00A65EAE" w:rsidRPr="00050FA4">
        <w:rPr>
          <w:lang w:val="sq-AL"/>
        </w:rPr>
        <w:t xml:space="preserve"> </w:t>
      </w:r>
      <w:r w:rsidR="00904ECF" w:rsidRPr="00050FA4">
        <w:rPr>
          <w:lang w:val="sq-AL"/>
        </w:rPr>
        <w:t xml:space="preserve">lekë </w:t>
      </w:r>
      <w:r w:rsidR="00A65EAE" w:rsidRPr="00050FA4">
        <w:rPr>
          <w:lang w:val="sq-AL"/>
        </w:rPr>
        <w:t>më shumë. Në terma vjetorë ky zë rezulton 82.2 për</w:t>
      </w:r>
      <w:r w:rsidR="00D455B1" w:rsidRPr="00050FA4">
        <w:rPr>
          <w:lang w:val="sq-AL"/>
        </w:rPr>
        <w:t xml:space="preserve"> </w:t>
      </w:r>
      <w:r w:rsidR="00A65EAE" w:rsidRPr="00050FA4">
        <w:rPr>
          <w:lang w:val="sq-AL"/>
        </w:rPr>
        <w:t>qind e planit vjetor fillestar dhe 82.9 për</w:t>
      </w:r>
      <w:r w:rsidR="00D455B1" w:rsidRPr="00050FA4">
        <w:rPr>
          <w:lang w:val="sq-AL"/>
        </w:rPr>
        <w:t xml:space="preserve"> </w:t>
      </w:r>
      <w:r w:rsidR="00A65EAE" w:rsidRPr="00050FA4">
        <w:rPr>
          <w:lang w:val="sq-AL"/>
        </w:rPr>
        <w:t>qind të planit vjetor të ndryshuar.</w:t>
      </w:r>
    </w:p>
    <w:p w14:paraId="158CE756" w14:textId="768B2B02" w:rsidR="00A65EAE" w:rsidRPr="00050FA4" w:rsidRDefault="004D40B1" w:rsidP="003F1DA7">
      <w:pPr>
        <w:pStyle w:val="AAAAAAATEXXXX"/>
        <w:rPr>
          <w:lang w:val="sq-AL"/>
        </w:rPr>
      </w:pPr>
      <w:r w:rsidRPr="00050FA4">
        <w:rPr>
          <w:lang w:val="sq-AL" w:eastAsia="en-GB"/>
        </w:rPr>
        <w:t xml:space="preserve">- </w:t>
      </w:r>
      <w:r w:rsidR="00A65EAE" w:rsidRPr="00050FA4">
        <w:rPr>
          <w:lang w:val="sq-AL" w:eastAsia="en-GB"/>
        </w:rPr>
        <w:t>Shpenzimet për paga</w:t>
      </w:r>
      <w:r w:rsidR="009B1D6B" w:rsidRPr="00050FA4">
        <w:rPr>
          <w:lang w:val="sq-AL" w:eastAsia="en-GB"/>
        </w:rPr>
        <w:t xml:space="preserve"> </w:t>
      </w:r>
      <w:r w:rsidR="00A65EAE" w:rsidRPr="00050FA4">
        <w:rPr>
          <w:lang w:val="sq-AL"/>
        </w:rPr>
        <w:t>për periudhën 11</w:t>
      </w:r>
      <w:r w:rsidR="00E635DE" w:rsidRPr="00050FA4">
        <w:rPr>
          <w:lang w:val="sq-AL"/>
        </w:rPr>
        <w:t>-</w:t>
      </w:r>
      <w:r w:rsidR="00A65EAE" w:rsidRPr="00050FA4">
        <w:rPr>
          <w:lang w:val="sq-AL"/>
        </w:rPr>
        <w:t>mujore të vitit 2021 u realizuan në masën rreth 64.5 miliard</w:t>
      </w:r>
      <w:r w:rsidR="00E635DE" w:rsidRPr="00050FA4">
        <w:rPr>
          <w:lang w:val="sq-AL"/>
        </w:rPr>
        <w:t>ë</w:t>
      </w:r>
      <w:r w:rsidR="00A65EAE" w:rsidRPr="00050FA4">
        <w:rPr>
          <w:lang w:val="sq-AL"/>
        </w:rPr>
        <w:t xml:space="preserve"> </w:t>
      </w:r>
      <w:r w:rsidR="00443C7A" w:rsidRPr="00050FA4">
        <w:rPr>
          <w:lang w:val="sq-AL"/>
        </w:rPr>
        <w:t xml:space="preserve">lekë </w:t>
      </w:r>
      <w:r w:rsidR="00A65EAE" w:rsidRPr="00050FA4">
        <w:rPr>
          <w:lang w:val="sq-AL"/>
        </w:rPr>
        <w:t>ose 99.5 për</w:t>
      </w:r>
      <w:r w:rsidR="00E635DE" w:rsidRPr="00050FA4">
        <w:rPr>
          <w:lang w:val="sq-AL"/>
        </w:rPr>
        <w:t xml:space="preserve"> </w:t>
      </w:r>
      <w:r w:rsidR="00A65EAE" w:rsidRPr="00050FA4">
        <w:rPr>
          <w:lang w:val="sq-AL"/>
        </w:rPr>
        <w:t>qind të planit të periudhës. Krahasuar me të njëjtën periudhë të vitit 2020, ky zë rezulton 8.1 për</w:t>
      </w:r>
      <w:r w:rsidR="004A3466" w:rsidRPr="00050FA4">
        <w:rPr>
          <w:lang w:val="sq-AL"/>
        </w:rPr>
        <w:t xml:space="preserve"> </w:t>
      </w:r>
      <w:r w:rsidR="00A65EAE" w:rsidRPr="00050FA4">
        <w:rPr>
          <w:lang w:val="sq-AL"/>
        </w:rPr>
        <w:t>qind më i lartë ose rreth 4.8 miliard</w:t>
      </w:r>
      <w:r w:rsidR="00443C7A" w:rsidRPr="00050FA4">
        <w:rPr>
          <w:lang w:val="sq-AL"/>
        </w:rPr>
        <w:t>ë</w:t>
      </w:r>
      <w:r w:rsidR="00A65EAE" w:rsidRPr="00050FA4">
        <w:rPr>
          <w:lang w:val="sq-AL"/>
        </w:rPr>
        <w:t xml:space="preserve"> </w:t>
      </w:r>
      <w:r w:rsidR="00443C7A" w:rsidRPr="00050FA4">
        <w:rPr>
          <w:lang w:val="sq-AL"/>
        </w:rPr>
        <w:t xml:space="preserve">lekë </w:t>
      </w:r>
      <w:r w:rsidR="00A65EAE" w:rsidRPr="00050FA4">
        <w:rPr>
          <w:lang w:val="sq-AL"/>
        </w:rPr>
        <w:t>më shumë. Në terma vjetorë, shpenzimet për paga rezultojnë 90.8 për</w:t>
      </w:r>
      <w:r w:rsidR="00E635DE" w:rsidRPr="00050FA4">
        <w:rPr>
          <w:lang w:val="sq-AL"/>
        </w:rPr>
        <w:t xml:space="preserve"> </w:t>
      </w:r>
      <w:r w:rsidR="00A65EAE" w:rsidRPr="00050FA4">
        <w:rPr>
          <w:lang w:val="sq-AL"/>
        </w:rPr>
        <w:t>qind e planit vjetor fillestar dhe 91.1 për</w:t>
      </w:r>
      <w:r w:rsidR="00E635DE" w:rsidRPr="00050FA4">
        <w:rPr>
          <w:lang w:val="sq-AL"/>
        </w:rPr>
        <w:t xml:space="preserve"> </w:t>
      </w:r>
      <w:r w:rsidR="00A65EAE" w:rsidRPr="00050FA4">
        <w:rPr>
          <w:lang w:val="sq-AL"/>
        </w:rPr>
        <w:t>qind të planit vjetor të ndryshuar.</w:t>
      </w:r>
    </w:p>
    <w:p w14:paraId="59937C52" w14:textId="159D2520" w:rsidR="00A65EAE" w:rsidRPr="00050FA4" w:rsidRDefault="004D40B1" w:rsidP="003F1DA7">
      <w:pPr>
        <w:pStyle w:val="AAAAAAATEXXXX"/>
        <w:rPr>
          <w:lang w:val="sq-AL"/>
        </w:rPr>
      </w:pPr>
      <w:r w:rsidRPr="00050FA4">
        <w:rPr>
          <w:lang w:val="sq-AL" w:eastAsia="en-GB"/>
        </w:rPr>
        <w:t xml:space="preserve">- </w:t>
      </w:r>
      <w:r w:rsidR="00A65EAE" w:rsidRPr="00050FA4">
        <w:rPr>
          <w:lang w:val="sq-AL" w:eastAsia="en-GB"/>
        </w:rPr>
        <w:t>Shpenzimet për sigurime shoqërore rezultuan në rreth 10.4 miliard</w:t>
      </w:r>
      <w:r w:rsidR="00443C7A" w:rsidRPr="00050FA4">
        <w:rPr>
          <w:lang w:val="sq-AL" w:eastAsia="en-GB"/>
        </w:rPr>
        <w:t xml:space="preserve">ë lekë </w:t>
      </w:r>
      <w:r w:rsidR="00A65EAE" w:rsidRPr="00050FA4">
        <w:rPr>
          <w:lang w:val="sq-AL" w:eastAsia="en-GB"/>
        </w:rPr>
        <w:t>ose 98.2 për</w:t>
      </w:r>
      <w:r w:rsidR="004A3466" w:rsidRPr="00050FA4">
        <w:rPr>
          <w:lang w:val="sq-AL" w:eastAsia="en-GB"/>
        </w:rPr>
        <w:t xml:space="preserve"> </w:t>
      </w:r>
      <w:r w:rsidR="00A65EAE" w:rsidRPr="00050FA4">
        <w:rPr>
          <w:lang w:val="sq-AL" w:eastAsia="en-GB"/>
        </w:rPr>
        <w:t>qind të planit të periudhës. Krahasuar me të njëjtën periudhë të vitit 2020, ky zë rezulton 8.4 për</w:t>
      </w:r>
      <w:r w:rsidR="004A3466" w:rsidRPr="00050FA4">
        <w:rPr>
          <w:lang w:val="sq-AL" w:eastAsia="en-GB"/>
        </w:rPr>
        <w:t xml:space="preserve"> </w:t>
      </w:r>
      <w:r w:rsidR="00A65EAE" w:rsidRPr="00050FA4">
        <w:rPr>
          <w:lang w:val="sq-AL" w:eastAsia="en-GB"/>
        </w:rPr>
        <w:t>qind më i lartë ose 811 milion</w:t>
      </w:r>
      <w:r w:rsidR="00443C7A" w:rsidRPr="00050FA4">
        <w:rPr>
          <w:lang w:val="sq-AL" w:eastAsia="en-GB"/>
        </w:rPr>
        <w:t>ë</w:t>
      </w:r>
      <w:r w:rsidR="00A65EAE" w:rsidRPr="00050FA4">
        <w:rPr>
          <w:lang w:val="sq-AL" w:eastAsia="en-GB"/>
        </w:rPr>
        <w:t xml:space="preserve"> </w:t>
      </w:r>
      <w:r w:rsidR="00443C7A" w:rsidRPr="00050FA4">
        <w:rPr>
          <w:lang w:val="sq-AL" w:eastAsia="en-GB"/>
        </w:rPr>
        <w:t xml:space="preserve">lekë </w:t>
      </w:r>
      <w:r w:rsidR="00A65EAE" w:rsidRPr="00050FA4">
        <w:rPr>
          <w:lang w:val="sq-AL" w:eastAsia="en-GB"/>
        </w:rPr>
        <w:t>më shumë. Në terma vjetorë, shpenzimet për sigurime shoqërore rezultojnë 89.2 për</w:t>
      </w:r>
      <w:r w:rsidR="004A3466" w:rsidRPr="00050FA4">
        <w:rPr>
          <w:lang w:val="sq-AL" w:eastAsia="en-GB"/>
        </w:rPr>
        <w:t xml:space="preserve"> </w:t>
      </w:r>
      <w:r w:rsidR="00A65EAE" w:rsidRPr="00050FA4">
        <w:rPr>
          <w:lang w:val="sq-AL" w:eastAsia="en-GB"/>
        </w:rPr>
        <w:t>qind e planit vjetor fillestar dhe 89.6 për</w:t>
      </w:r>
      <w:r w:rsidR="004A3466" w:rsidRPr="00050FA4">
        <w:rPr>
          <w:lang w:val="sq-AL" w:eastAsia="en-GB"/>
        </w:rPr>
        <w:t xml:space="preserve"> </w:t>
      </w:r>
      <w:r w:rsidR="00A65EAE" w:rsidRPr="00050FA4">
        <w:rPr>
          <w:lang w:val="sq-AL" w:eastAsia="en-GB"/>
        </w:rPr>
        <w:t>qind të planit vjetor të ndryshuar.</w:t>
      </w:r>
    </w:p>
    <w:p w14:paraId="6DE47636" w14:textId="28E6FB3F" w:rsidR="00A65EAE" w:rsidRPr="00050FA4" w:rsidRDefault="004D40B1" w:rsidP="003F1DA7">
      <w:pPr>
        <w:pStyle w:val="AAAAAAATEXXXX"/>
        <w:rPr>
          <w:lang w:val="sq-AL"/>
        </w:rPr>
      </w:pPr>
      <w:r w:rsidRPr="00050FA4">
        <w:rPr>
          <w:b/>
          <w:lang w:val="sq-AL" w:eastAsia="en-GB"/>
        </w:rPr>
        <w:t xml:space="preserve">- </w:t>
      </w:r>
      <w:r w:rsidR="00A65EAE" w:rsidRPr="00050FA4">
        <w:rPr>
          <w:b/>
          <w:lang w:val="sq-AL" w:eastAsia="en-GB"/>
        </w:rPr>
        <w:t xml:space="preserve">Shpenzimet për </w:t>
      </w:r>
      <w:r w:rsidR="00A72535" w:rsidRPr="00050FA4">
        <w:rPr>
          <w:b/>
          <w:lang w:val="sq-AL" w:eastAsia="en-GB"/>
        </w:rPr>
        <w:t>interesa</w:t>
      </w:r>
      <w:r w:rsidR="00A72535" w:rsidRPr="00050FA4">
        <w:rPr>
          <w:lang w:val="sq-AL"/>
        </w:rPr>
        <w:t xml:space="preserve"> </w:t>
      </w:r>
      <w:r w:rsidR="00A65EAE" w:rsidRPr="00050FA4">
        <w:rPr>
          <w:lang w:val="sq-AL"/>
        </w:rPr>
        <w:t xml:space="preserve">për periudhën </w:t>
      </w:r>
      <w:r w:rsidR="00F62C99" w:rsidRPr="00050FA4">
        <w:rPr>
          <w:lang w:val="sq-AL"/>
        </w:rPr>
        <w:t>11-mujore</w:t>
      </w:r>
      <w:r w:rsidR="00A65EAE" w:rsidRPr="00050FA4">
        <w:rPr>
          <w:lang w:val="sq-AL"/>
        </w:rPr>
        <w:t xml:space="preserve"> të vitit 2021 kanë përfaqësuar 8.5 për</w:t>
      </w:r>
      <w:r w:rsidR="004A3466" w:rsidRPr="00050FA4">
        <w:rPr>
          <w:lang w:val="sq-AL"/>
        </w:rPr>
        <w:t xml:space="preserve"> </w:t>
      </w:r>
      <w:r w:rsidR="00A65EAE" w:rsidRPr="00050FA4">
        <w:rPr>
          <w:lang w:val="sq-AL"/>
        </w:rPr>
        <w:t>qind të shpenzimeve kor</w:t>
      </w:r>
      <w:r w:rsidR="004A3466" w:rsidRPr="00050FA4">
        <w:rPr>
          <w:lang w:val="sq-AL"/>
        </w:rPr>
        <w:t>r</w:t>
      </w:r>
      <w:r w:rsidR="00A65EAE" w:rsidRPr="00050FA4">
        <w:rPr>
          <w:lang w:val="sq-AL"/>
        </w:rPr>
        <w:t xml:space="preserve">ente. Niveli faktik i tyre prej rreth 34.4 </w:t>
      </w:r>
      <w:r w:rsidR="00082344" w:rsidRPr="00050FA4">
        <w:rPr>
          <w:lang w:val="sq-AL"/>
        </w:rPr>
        <w:t xml:space="preserve">miliardë lekësh </w:t>
      </w:r>
      <w:r w:rsidR="00A65EAE" w:rsidRPr="00050FA4">
        <w:rPr>
          <w:lang w:val="sq-AL"/>
        </w:rPr>
        <w:t>ka rezultuar në masën 93.9 për</w:t>
      </w:r>
      <w:r w:rsidR="004A3466" w:rsidRPr="00050FA4">
        <w:rPr>
          <w:lang w:val="sq-AL"/>
        </w:rPr>
        <w:t xml:space="preserve"> </w:t>
      </w:r>
      <w:r w:rsidR="00A65EAE" w:rsidRPr="00050FA4">
        <w:rPr>
          <w:lang w:val="sq-AL"/>
        </w:rPr>
        <w:t>qind të planit të periudhës. Në raport me planin vjetor fillestar dhe të ndryshuar, në nivel 11</w:t>
      </w:r>
      <w:r w:rsidR="002137B7" w:rsidRPr="00050FA4">
        <w:rPr>
          <w:lang w:val="sq-AL"/>
        </w:rPr>
        <w:t>-</w:t>
      </w:r>
      <w:r w:rsidR="00A65EAE" w:rsidRPr="00050FA4">
        <w:rPr>
          <w:lang w:val="sq-AL"/>
        </w:rPr>
        <w:t>mujori këto shpenzime janë realizuar në masën 78.6 për</w:t>
      </w:r>
      <w:r w:rsidR="004A3466" w:rsidRPr="00050FA4">
        <w:rPr>
          <w:lang w:val="sq-AL"/>
        </w:rPr>
        <w:t xml:space="preserve"> </w:t>
      </w:r>
      <w:r w:rsidR="00A65EAE" w:rsidRPr="00050FA4">
        <w:rPr>
          <w:lang w:val="sq-AL"/>
        </w:rPr>
        <w:t>qind të tij, ndërsa krahasuar me të njëjtën periudhë të vitit 2020, ky zë ka rezultuar 5.6 për</w:t>
      </w:r>
      <w:r w:rsidR="00A72535" w:rsidRPr="00050FA4">
        <w:rPr>
          <w:lang w:val="sq-AL"/>
        </w:rPr>
        <w:t xml:space="preserve"> </w:t>
      </w:r>
      <w:r w:rsidR="00A65EAE" w:rsidRPr="00050FA4">
        <w:rPr>
          <w:lang w:val="sq-AL"/>
        </w:rPr>
        <w:t>qind më i lartë ose rreth 1.8 miliard</w:t>
      </w:r>
      <w:r w:rsidR="00F62C99" w:rsidRPr="00050FA4">
        <w:rPr>
          <w:lang w:val="sq-AL"/>
        </w:rPr>
        <w:t>ë</w:t>
      </w:r>
      <w:r w:rsidR="00A65EAE" w:rsidRPr="00050FA4">
        <w:rPr>
          <w:lang w:val="sq-AL"/>
        </w:rPr>
        <w:t xml:space="preserve"> </w:t>
      </w:r>
      <w:r w:rsidR="00F62C99" w:rsidRPr="00050FA4">
        <w:rPr>
          <w:lang w:val="sq-AL"/>
        </w:rPr>
        <w:t xml:space="preserve">lekë </w:t>
      </w:r>
      <w:r w:rsidR="00A65EAE" w:rsidRPr="00050FA4">
        <w:rPr>
          <w:lang w:val="sq-AL"/>
        </w:rPr>
        <w:t>më shumë.</w:t>
      </w:r>
    </w:p>
    <w:p w14:paraId="10B5AB5A" w14:textId="5CFC4D49" w:rsidR="00A65EAE" w:rsidRPr="00050FA4" w:rsidRDefault="004D40B1" w:rsidP="003F1DA7">
      <w:pPr>
        <w:pStyle w:val="AAAAAAATEXXXX"/>
        <w:rPr>
          <w:lang w:val="sq-AL"/>
        </w:rPr>
      </w:pPr>
      <w:r w:rsidRPr="00050FA4">
        <w:rPr>
          <w:b/>
          <w:lang w:val="sq-AL" w:eastAsia="en-GB"/>
        </w:rPr>
        <w:t xml:space="preserve">- </w:t>
      </w:r>
      <w:r w:rsidR="00A65EAE" w:rsidRPr="00050FA4">
        <w:rPr>
          <w:b/>
          <w:lang w:val="sq-AL" w:eastAsia="en-GB"/>
        </w:rPr>
        <w:t xml:space="preserve">Shpenzimet </w:t>
      </w:r>
      <w:r w:rsidR="00A72535" w:rsidRPr="00050FA4">
        <w:rPr>
          <w:b/>
          <w:lang w:val="sq-AL" w:eastAsia="en-GB"/>
        </w:rPr>
        <w:t>operative dhe mirëmbajtje</w:t>
      </w:r>
      <w:r w:rsidR="00A72535" w:rsidRPr="00050FA4">
        <w:rPr>
          <w:lang w:val="sq-AL"/>
        </w:rPr>
        <w:t xml:space="preserve">, </w:t>
      </w:r>
      <w:r w:rsidR="00A65EAE" w:rsidRPr="00050FA4">
        <w:rPr>
          <w:lang w:val="sq-AL"/>
        </w:rPr>
        <w:t xml:space="preserve">gjatë periudhës </w:t>
      </w:r>
      <w:r w:rsidR="00F62C99" w:rsidRPr="00050FA4">
        <w:rPr>
          <w:lang w:val="sq-AL"/>
        </w:rPr>
        <w:t>11-mujore</w:t>
      </w:r>
      <w:r w:rsidR="00A65EAE" w:rsidRPr="00050FA4">
        <w:rPr>
          <w:lang w:val="sq-AL"/>
        </w:rPr>
        <w:t xml:space="preserve"> të vitit 2021, kanë shënuar një realizim në masën rreth 46 miliard</w:t>
      </w:r>
      <w:r w:rsidR="002137B7" w:rsidRPr="00050FA4">
        <w:rPr>
          <w:lang w:val="sq-AL"/>
        </w:rPr>
        <w:t>ë</w:t>
      </w:r>
      <w:r w:rsidR="00A65EAE" w:rsidRPr="00050FA4">
        <w:rPr>
          <w:lang w:val="sq-AL"/>
        </w:rPr>
        <w:t xml:space="preserve"> </w:t>
      </w:r>
      <w:r w:rsidR="002137B7" w:rsidRPr="00050FA4">
        <w:rPr>
          <w:lang w:val="sq-AL"/>
        </w:rPr>
        <w:t>lekë</w:t>
      </w:r>
      <w:r w:rsidR="00A65EAE" w:rsidRPr="00050FA4">
        <w:rPr>
          <w:lang w:val="sq-AL"/>
        </w:rPr>
        <w:t xml:space="preserve"> ose 97.1 për</w:t>
      </w:r>
      <w:r w:rsidR="004A3466" w:rsidRPr="00050FA4">
        <w:rPr>
          <w:lang w:val="sq-AL"/>
        </w:rPr>
        <w:t xml:space="preserve"> </w:t>
      </w:r>
      <w:r w:rsidR="00A65EAE" w:rsidRPr="00050FA4">
        <w:rPr>
          <w:lang w:val="sq-AL"/>
        </w:rPr>
        <w:t>qind të planit të periudhës. Niveli faktik i tyre ka rezultuar në masën 92.2 për</w:t>
      </w:r>
      <w:r w:rsidR="007A06B3" w:rsidRPr="00050FA4">
        <w:rPr>
          <w:lang w:val="sq-AL"/>
        </w:rPr>
        <w:t xml:space="preserve"> </w:t>
      </w:r>
      <w:r w:rsidR="00A65EAE" w:rsidRPr="00050FA4">
        <w:rPr>
          <w:lang w:val="sq-AL"/>
        </w:rPr>
        <w:t>qind të planit vjetor fillestar dhe 88.5 për</w:t>
      </w:r>
      <w:r w:rsidR="00225C27" w:rsidRPr="00050FA4">
        <w:rPr>
          <w:lang w:val="sq-AL"/>
        </w:rPr>
        <w:t xml:space="preserve"> </w:t>
      </w:r>
      <w:r w:rsidR="00A65EAE" w:rsidRPr="00050FA4">
        <w:rPr>
          <w:lang w:val="sq-AL"/>
        </w:rPr>
        <w:t>qind të planit vjetor ndryshuar me AN nr.</w:t>
      </w:r>
      <w:r w:rsidR="00225C27" w:rsidRPr="00050FA4">
        <w:rPr>
          <w:lang w:val="sq-AL"/>
        </w:rPr>
        <w:t xml:space="preserve"> </w:t>
      </w:r>
      <w:r w:rsidR="00A65EAE" w:rsidRPr="00050FA4">
        <w:rPr>
          <w:lang w:val="sq-AL"/>
        </w:rPr>
        <w:t>26. Krahasuar me të njëjtën periudhë të vitit 2020, ky zë ka rezultuar 12.5 për</w:t>
      </w:r>
      <w:r w:rsidR="007A06B3" w:rsidRPr="00050FA4">
        <w:rPr>
          <w:lang w:val="sq-AL"/>
        </w:rPr>
        <w:t xml:space="preserve"> </w:t>
      </w:r>
      <w:r w:rsidR="00A65EAE" w:rsidRPr="00050FA4">
        <w:rPr>
          <w:lang w:val="sq-AL"/>
        </w:rPr>
        <w:t>qind më i lartë ose rreth 5.1 miliard</w:t>
      </w:r>
      <w:r w:rsidR="00225C27" w:rsidRPr="00050FA4">
        <w:rPr>
          <w:lang w:val="sq-AL"/>
        </w:rPr>
        <w:t>ë</w:t>
      </w:r>
      <w:r w:rsidR="00A65EAE" w:rsidRPr="00050FA4">
        <w:rPr>
          <w:lang w:val="sq-AL"/>
        </w:rPr>
        <w:t xml:space="preserve"> </w:t>
      </w:r>
      <w:r w:rsidR="00225C27" w:rsidRPr="00050FA4">
        <w:rPr>
          <w:lang w:val="sq-AL"/>
        </w:rPr>
        <w:t xml:space="preserve">lekë </w:t>
      </w:r>
      <w:r w:rsidR="00A65EAE" w:rsidRPr="00050FA4">
        <w:rPr>
          <w:lang w:val="sq-AL"/>
        </w:rPr>
        <w:t xml:space="preserve">më shumë. </w:t>
      </w:r>
    </w:p>
    <w:p w14:paraId="2B6507F7" w14:textId="4DD2F38C" w:rsidR="00A65EAE" w:rsidRPr="00050FA4" w:rsidRDefault="004D40B1" w:rsidP="003F1DA7">
      <w:pPr>
        <w:pStyle w:val="AAAAAAATEXXXX"/>
        <w:rPr>
          <w:lang w:val="sq-AL"/>
        </w:rPr>
      </w:pPr>
      <w:r w:rsidRPr="00050FA4">
        <w:rPr>
          <w:b/>
          <w:lang w:val="sq-AL" w:eastAsia="en-GB"/>
        </w:rPr>
        <w:t xml:space="preserve">- </w:t>
      </w:r>
      <w:r w:rsidR="00A65EAE" w:rsidRPr="00050FA4">
        <w:rPr>
          <w:b/>
          <w:lang w:val="sq-AL" w:eastAsia="en-GB"/>
        </w:rPr>
        <w:t xml:space="preserve">Shpenzimet për </w:t>
      </w:r>
      <w:r w:rsidR="00A72535" w:rsidRPr="00050FA4">
        <w:rPr>
          <w:b/>
          <w:lang w:val="sq-AL" w:eastAsia="en-GB"/>
        </w:rPr>
        <w:t>subvencione</w:t>
      </w:r>
      <w:r w:rsidR="00F62C99" w:rsidRPr="00050FA4">
        <w:rPr>
          <w:lang w:val="sq-AL"/>
        </w:rPr>
        <w:t>, gjatë periudhës 10-</w:t>
      </w:r>
      <w:r w:rsidR="00A65EAE" w:rsidRPr="00050FA4">
        <w:rPr>
          <w:lang w:val="sq-AL"/>
        </w:rPr>
        <w:t>mujore të vitit 2021, përfaqësuan 0.2 për</w:t>
      </w:r>
      <w:r w:rsidR="007A06B3" w:rsidRPr="00050FA4">
        <w:rPr>
          <w:lang w:val="sq-AL"/>
        </w:rPr>
        <w:t xml:space="preserve"> </w:t>
      </w:r>
      <w:r w:rsidR="00A65EAE" w:rsidRPr="00050FA4">
        <w:rPr>
          <w:lang w:val="sq-AL"/>
        </w:rPr>
        <w:t>qind të totalit të shpenzimeve ko</w:t>
      </w:r>
      <w:r w:rsidR="007A06B3" w:rsidRPr="00050FA4">
        <w:rPr>
          <w:lang w:val="sq-AL"/>
        </w:rPr>
        <w:t>r</w:t>
      </w:r>
      <w:r w:rsidR="00A65EAE" w:rsidRPr="00050FA4">
        <w:rPr>
          <w:lang w:val="sq-AL"/>
        </w:rPr>
        <w:t>rente. Niveli faktik i tyre rezultoi në masën 838 milion</w:t>
      </w:r>
      <w:r w:rsidR="00225C27" w:rsidRPr="00050FA4">
        <w:rPr>
          <w:lang w:val="sq-AL"/>
        </w:rPr>
        <w:t>ë</w:t>
      </w:r>
      <w:r w:rsidR="00A65EAE" w:rsidRPr="00050FA4">
        <w:rPr>
          <w:lang w:val="sq-AL"/>
        </w:rPr>
        <w:t xml:space="preserve"> </w:t>
      </w:r>
      <w:r w:rsidR="00225C27" w:rsidRPr="00050FA4">
        <w:rPr>
          <w:lang w:val="sq-AL"/>
        </w:rPr>
        <w:t>lekë</w:t>
      </w:r>
      <w:r w:rsidR="00A65EAE" w:rsidRPr="00050FA4">
        <w:rPr>
          <w:lang w:val="sq-AL"/>
        </w:rPr>
        <w:t>, me një realizim në masën 75.8 për</w:t>
      </w:r>
      <w:r w:rsidR="007A06B3" w:rsidRPr="00050FA4">
        <w:rPr>
          <w:lang w:val="sq-AL"/>
        </w:rPr>
        <w:t xml:space="preserve"> </w:t>
      </w:r>
      <w:r w:rsidR="00A65EAE" w:rsidRPr="00050FA4">
        <w:rPr>
          <w:lang w:val="sq-AL"/>
        </w:rPr>
        <w:t>qind të planit të periudhës. Në terma vjetorë ky zë rezulton në masën 54.1 për</w:t>
      </w:r>
      <w:r w:rsidR="007A06B3" w:rsidRPr="00050FA4">
        <w:rPr>
          <w:lang w:val="sq-AL"/>
        </w:rPr>
        <w:t xml:space="preserve"> </w:t>
      </w:r>
      <w:r w:rsidR="00A65EAE" w:rsidRPr="00050FA4">
        <w:rPr>
          <w:lang w:val="sq-AL"/>
        </w:rPr>
        <w:t>qind të planit vjetor fillestar dhe të ndryshuar. Krahasuar me të njëjtën periudhë të vitit 2020, shpenzimet për subvencione rezultojnë 8.3 për</w:t>
      </w:r>
      <w:r w:rsidR="007A06B3" w:rsidRPr="00050FA4">
        <w:rPr>
          <w:lang w:val="sq-AL"/>
        </w:rPr>
        <w:t xml:space="preserve"> </w:t>
      </w:r>
      <w:r w:rsidR="00A65EAE" w:rsidRPr="00050FA4">
        <w:rPr>
          <w:lang w:val="sq-AL"/>
        </w:rPr>
        <w:t>qind më të ulëta ose rreth 76 milion</w:t>
      </w:r>
      <w:r w:rsidR="00225C27" w:rsidRPr="00050FA4">
        <w:rPr>
          <w:lang w:val="sq-AL"/>
        </w:rPr>
        <w:t>ë</w:t>
      </w:r>
      <w:r w:rsidR="00A65EAE" w:rsidRPr="00050FA4">
        <w:rPr>
          <w:lang w:val="sq-AL"/>
        </w:rPr>
        <w:t xml:space="preserve"> </w:t>
      </w:r>
      <w:r w:rsidR="00225C27" w:rsidRPr="00050FA4">
        <w:rPr>
          <w:lang w:val="sq-AL"/>
        </w:rPr>
        <w:t xml:space="preserve">lekë </w:t>
      </w:r>
      <w:r w:rsidR="00A65EAE" w:rsidRPr="00050FA4">
        <w:rPr>
          <w:lang w:val="sq-AL"/>
        </w:rPr>
        <w:t>më pak.</w:t>
      </w:r>
    </w:p>
    <w:p w14:paraId="436647E7" w14:textId="10C50336" w:rsidR="00A65EAE" w:rsidRPr="00050FA4" w:rsidRDefault="004D40B1" w:rsidP="003F1DA7">
      <w:pPr>
        <w:pStyle w:val="AAAAAAATEXXXX"/>
        <w:rPr>
          <w:lang w:val="sq-AL"/>
        </w:rPr>
      </w:pPr>
      <w:r w:rsidRPr="00050FA4">
        <w:rPr>
          <w:b/>
          <w:lang w:val="sq-AL" w:eastAsia="en-GB"/>
        </w:rPr>
        <w:t xml:space="preserve">- </w:t>
      </w:r>
      <w:r w:rsidR="00A65EAE" w:rsidRPr="00050FA4">
        <w:rPr>
          <w:b/>
          <w:lang w:val="sq-AL" w:eastAsia="en-GB"/>
        </w:rPr>
        <w:t xml:space="preserve">Shpenzimet për </w:t>
      </w:r>
      <w:r w:rsidR="00A72535" w:rsidRPr="00050FA4">
        <w:rPr>
          <w:b/>
          <w:lang w:val="sq-AL" w:eastAsia="en-GB"/>
        </w:rPr>
        <w:t xml:space="preserve">fondet speciale </w:t>
      </w:r>
      <w:r w:rsidR="00A65EAE" w:rsidRPr="00050FA4">
        <w:rPr>
          <w:lang w:val="sq-AL"/>
        </w:rPr>
        <w:t xml:space="preserve">gjatë periudhës </w:t>
      </w:r>
      <w:r w:rsidR="00F62C99" w:rsidRPr="00050FA4">
        <w:rPr>
          <w:lang w:val="sq-AL"/>
        </w:rPr>
        <w:t>11-mujore</w:t>
      </w:r>
      <w:r w:rsidR="00A65EAE" w:rsidRPr="00050FA4">
        <w:rPr>
          <w:lang w:val="sq-AL"/>
        </w:rPr>
        <w:t xml:space="preserve"> të vitit 2021 rezultuan në nivelin rreth 176.7 miliard</w:t>
      </w:r>
      <w:r w:rsidR="00225C27" w:rsidRPr="00050FA4">
        <w:rPr>
          <w:lang w:val="sq-AL"/>
        </w:rPr>
        <w:t>ë</w:t>
      </w:r>
      <w:r w:rsidR="00A65EAE" w:rsidRPr="00050FA4">
        <w:rPr>
          <w:lang w:val="sq-AL"/>
        </w:rPr>
        <w:t xml:space="preserve"> </w:t>
      </w:r>
      <w:r w:rsidR="00225C27" w:rsidRPr="00050FA4">
        <w:rPr>
          <w:lang w:val="sq-AL"/>
        </w:rPr>
        <w:t>lekë</w:t>
      </w:r>
      <w:r w:rsidR="00A65EAE" w:rsidRPr="00050FA4">
        <w:rPr>
          <w:lang w:val="sq-AL"/>
        </w:rPr>
        <w:t>, me një realizim prej 100 përqind</w:t>
      </w:r>
      <w:r w:rsidR="00082344" w:rsidRPr="00050FA4">
        <w:rPr>
          <w:lang w:val="sq-AL"/>
        </w:rPr>
        <w:t>ësh</w:t>
      </w:r>
      <w:r w:rsidR="00A65EAE" w:rsidRPr="00050FA4">
        <w:rPr>
          <w:lang w:val="sq-AL"/>
        </w:rPr>
        <w:t xml:space="preserve"> kundrejt planit të periudhës, 90.5 për</w:t>
      </w:r>
      <w:r w:rsidR="007A06B3" w:rsidRPr="00050FA4">
        <w:rPr>
          <w:lang w:val="sq-AL"/>
        </w:rPr>
        <w:t xml:space="preserve"> </w:t>
      </w:r>
      <w:r w:rsidR="00A65EAE" w:rsidRPr="00050FA4">
        <w:rPr>
          <w:lang w:val="sq-AL"/>
        </w:rPr>
        <w:t>qind të planit vjetor</w:t>
      </w:r>
      <w:r w:rsidR="00225C27" w:rsidRPr="00050FA4">
        <w:rPr>
          <w:lang w:val="sq-AL"/>
        </w:rPr>
        <w:t>,</w:t>
      </w:r>
      <w:r w:rsidR="00A65EAE" w:rsidRPr="00050FA4">
        <w:rPr>
          <w:lang w:val="sq-AL"/>
        </w:rPr>
        <w:t xml:space="preserve"> sipas </w:t>
      </w:r>
      <w:r w:rsidR="00082344" w:rsidRPr="00050FA4">
        <w:rPr>
          <w:lang w:val="sq-AL"/>
        </w:rPr>
        <w:t xml:space="preserve">buxhetit fillestar </w:t>
      </w:r>
      <w:r w:rsidR="00A65EAE" w:rsidRPr="00050FA4">
        <w:rPr>
          <w:lang w:val="sq-AL"/>
        </w:rPr>
        <w:t>dhe 91.2 për</w:t>
      </w:r>
      <w:r w:rsidR="007A06B3" w:rsidRPr="00050FA4">
        <w:rPr>
          <w:lang w:val="sq-AL"/>
        </w:rPr>
        <w:t xml:space="preserve"> </w:t>
      </w:r>
      <w:r w:rsidR="00A65EAE" w:rsidRPr="00050FA4">
        <w:rPr>
          <w:lang w:val="sq-AL"/>
        </w:rPr>
        <w:t>qind të planit vjetor të ndryshuar. Përkatësisht:</w:t>
      </w:r>
    </w:p>
    <w:p w14:paraId="45E140A9" w14:textId="5D08EA3E" w:rsidR="00A65EAE" w:rsidRPr="00050FA4" w:rsidRDefault="004D40B1" w:rsidP="003F1DA7">
      <w:pPr>
        <w:pStyle w:val="AAAAAAATEXXXX"/>
        <w:rPr>
          <w:rFonts w:eastAsia="Times New Roman"/>
          <w:lang w:val="sq-AL"/>
        </w:rPr>
      </w:pPr>
      <w:r w:rsidRPr="00050FA4">
        <w:rPr>
          <w:i/>
          <w:lang w:val="sq-AL"/>
        </w:rPr>
        <w:t xml:space="preserve">- </w:t>
      </w:r>
      <w:r w:rsidR="00A65EAE" w:rsidRPr="00050FA4">
        <w:rPr>
          <w:i/>
          <w:lang w:val="sq-AL"/>
        </w:rPr>
        <w:t xml:space="preserve">Shpenzimet për </w:t>
      </w:r>
      <w:r w:rsidR="00225C27" w:rsidRPr="00050FA4">
        <w:rPr>
          <w:i/>
          <w:lang w:val="sq-AL"/>
        </w:rPr>
        <w:t xml:space="preserve">sigurime shoqërore </w:t>
      </w:r>
      <w:r w:rsidR="00A65EAE" w:rsidRPr="00050FA4">
        <w:rPr>
          <w:lang w:val="sq-AL"/>
        </w:rPr>
        <w:t>u realizuan në masën rreth 131.1 miliard</w:t>
      </w:r>
      <w:r w:rsidR="00225C27" w:rsidRPr="00050FA4">
        <w:rPr>
          <w:lang w:val="sq-AL"/>
        </w:rPr>
        <w:t>ë</w:t>
      </w:r>
      <w:r w:rsidR="00A65EAE" w:rsidRPr="00050FA4">
        <w:rPr>
          <w:lang w:val="sq-AL"/>
        </w:rPr>
        <w:t xml:space="preserve"> </w:t>
      </w:r>
      <w:r w:rsidR="00225C27" w:rsidRPr="00050FA4">
        <w:rPr>
          <w:lang w:val="sq-AL"/>
        </w:rPr>
        <w:t>lekë</w:t>
      </w:r>
      <w:r w:rsidR="00A65EAE" w:rsidRPr="00050FA4">
        <w:rPr>
          <w:lang w:val="sq-AL"/>
        </w:rPr>
        <w:t>, duke rezultuar 101.3 për</w:t>
      </w:r>
      <w:r w:rsidR="007A06B3" w:rsidRPr="00050FA4">
        <w:rPr>
          <w:lang w:val="sq-AL"/>
        </w:rPr>
        <w:t xml:space="preserve"> </w:t>
      </w:r>
      <w:r w:rsidR="00A65EAE" w:rsidRPr="00050FA4">
        <w:rPr>
          <w:lang w:val="sq-AL"/>
        </w:rPr>
        <w:t>qind e planit të periudhës dhe 92.2 për</w:t>
      </w:r>
      <w:r w:rsidR="007A06B3" w:rsidRPr="00050FA4">
        <w:rPr>
          <w:lang w:val="sq-AL"/>
        </w:rPr>
        <w:t xml:space="preserve"> </w:t>
      </w:r>
      <w:r w:rsidR="00A65EAE" w:rsidRPr="00050FA4">
        <w:rPr>
          <w:lang w:val="sq-AL"/>
        </w:rPr>
        <w:t>qind e planit vjetor fillestar dhe të ndryshuar.</w:t>
      </w:r>
    </w:p>
    <w:p w14:paraId="6D7A61C4" w14:textId="11EE5DCB" w:rsidR="00A65EAE" w:rsidRPr="00050FA4" w:rsidRDefault="004D40B1" w:rsidP="003F1DA7">
      <w:pPr>
        <w:pStyle w:val="AAAAAAATEXXXX"/>
        <w:rPr>
          <w:rFonts w:eastAsia="Times New Roman"/>
          <w:lang w:val="sq-AL"/>
        </w:rPr>
      </w:pPr>
      <w:r w:rsidRPr="00050FA4">
        <w:rPr>
          <w:i/>
          <w:lang w:val="sq-AL"/>
        </w:rPr>
        <w:t xml:space="preserve">- </w:t>
      </w:r>
      <w:r w:rsidR="00A65EAE" w:rsidRPr="00050FA4">
        <w:rPr>
          <w:i/>
          <w:lang w:val="sq-AL"/>
        </w:rPr>
        <w:t xml:space="preserve">Shpenzimet për </w:t>
      </w:r>
      <w:r w:rsidR="00225C27" w:rsidRPr="00050FA4">
        <w:rPr>
          <w:i/>
          <w:lang w:val="sq-AL"/>
        </w:rPr>
        <w:t xml:space="preserve">sigurime </w:t>
      </w:r>
      <w:r w:rsidR="00A65EAE" w:rsidRPr="00050FA4">
        <w:rPr>
          <w:i/>
          <w:lang w:val="sq-AL"/>
        </w:rPr>
        <w:t>shëndetësore</w:t>
      </w:r>
      <w:r w:rsidR="00A65EAE" w:rsidRPr="00050FA4">
        <w:rPr>
          <w:lang w:val="sq-AL"/>
        </w:rPr>
        <w:t xml:space="preserve"> u realizuan në rreth 43.9 </w:t>
      </w:r>
      <w:r w:rsidR="00225C27" w:rsidRPr="00050FA4">
        <w:rPr>
          <w:lang w:val="sq-AL"/>
        </w:rPr>
        <w:t>miliardë lekë</w:t>
      </w:r>
      <w:r w:rsidR="00A65EAE" w:rsidRPr="00050FA4">
        <w:rPr>
          <w:lang w:val="sq-AL"/>
        </w:rPr>
        <w:t>, duke rezultuar 103.8 për</w:t>
      </w:r>
      <w:r w:rsidR="007A06B3" w:rsidRPr="00050FA4">
        <w:rPr>
          <w:lang w:val="sq-AL"/>
        </w:rPr>
        <w:t xml:space="preserve"> </w:t>
      </w:r>
      <w:r w:rsidR="00A65EAE" w:rsidRPr="00050FA4">
        <w:rPr>
          <w:lang w:val="sq-AL"/>
        </w:rPr>
        <w:t>qind e planit të periudhës ose 92.4 për</w:t>
      </w:r>
      <w:r w:rsidR="007A06B3" w:rsidRPr="00050FA4">
        <w:rPr>
          <w:lang w:val="sq-AL"/>
        </w:rPr>
        <w:t xml:space="preserve"> </w:t>
      </w:r>
      <w:r w:rsidR="00A65EAE" w:rsidRPr="00050FA4">
        <w:rPr>
          <w:lang w:val="sq-AL"/>
        </w:rPr>
        <w:t>qind e planit vjetor fillestar dhe 95.1 për</w:t>
      </w:r>
      <w:r w:rsidR="007A06B3" w:rsidRPr="00050FA4">
        <w:rPr>
          <w:lang w:val="sq-AL"/>
        </w:rPr>
        <w:t xml:space="preserve"> </w:t>
      </w:r>
      <w:r w:rsidR="00A65EAE" w:rsidRPr="00050FA4">
        <w:rPr>
          <w:lang w:val="sq-AL"/>
        </w:rPr>
        <w:t>qind e planit vjetor të ndryshuar.</w:t>
      </w:r>
    </w:p>
    <w:p w14:paraId="0B059C42" w14:textId="09E43FDB" w:rsidR="00A65EAE" w:rsidRPr="00050FA4" w:rsidRDefault="004D40B1" w:rsidP="003F1DA7">
      <w:pPr>
        <w:pStyle w:val="AAAAAAATEXXXX"/>
        <w:rPr>
          <w:rFonts w:eastAsia="Times New Roman"/>
          <w:lang w:val="sq-AL"/>
        </w:rPr>
      </w:pPr>
      <w:r w:rsidRPr="00050FA4">
        <w:rPr>
          <w:i/>
          <w:lang w:val="sq-AL"/>
        </w:rPr>
        <w:t xml:space="preserve">- </w:t>
      </w:r>
      <w:r w:rsidR="00A65EAE" w:rsidRPr="00050FA4">
        <w:rPr>
          <w:i/>
          <w:lang w:val="sq-AL"/>
        </w:rPr>
        <w:t>Shpenzimet për kompensimin e pronarëve</w:t>
      </w:r>
      <w:r w:rsidR="00A65EAE" w:rsidRPr="00050FA4">
        <w:rPr>
          <w:lang w:val="sq-AL"/>
        </w:rPr>
        <w:t xml:space="preserve"> u realizuan në rreth 1.67 miliard</w:t>
      </w:r>
      <w:r w:rsidR="00225C27" w:rsidRPr="00050FA4">
        <w:rPr>
          <w:lang w:val="sq-AL"/>
        </w:rPr>
        <w:t>ë</w:t>
      </w:r>
      <w:r w:rsidR="00A65EAE" w:rsidRPr="00050FA4">
        <w:rPr>
          <w:lang w:val="sq-AL"/>
        </w:rPr>
        <w:t xml:space="preserve"> </w:t>
      </w:r>
      <w:r w:rsidR="00225C27" w:rsidRPr="00050FA4">
        <w:rPr>
          <w:lang w:val="sq-AL"/>
        </w:rPr>
        <w:t>lekë</w:t>
      </w:r>
      <w:r w:rsidR="00A65EAE" w:rsidRPr="00050FA4">
        <w:rPr>
          <w:lang w:val="sq-AL"/>
        </w:rPr>
        <w:t>, duke rezultuar 61 për</w:t>
      </w:r>
      <w:r w:rsidR="007A06B3" w:rsidRPr="00050FA4">
        <w:rPr>
          <w:lang w:val="sq-AL"/>
        </w:rPr>
        <w:t xml:space="preserve"> </w:t>
      </w:r>
      <w:r w:rsidR="00A65EAE" w:rsidRPr="00050FA4">
        <w:rPr>
          <w:lang w:val="sq-AL"/>
        </w:rPr>
        <w:t>qind e planit të periudhës dhe 55.5 për</w:t>
      </w:r>
      <w:r w:rsidR="007A06B3" w:rsidRPr="00050FA4">
        <w:rPr>
          <w:lang w:val="sq-AL"/>
        </w:rPr>
        <w:t xml:space="preserve"> </w:t>
      </w:r>
      <w:r w:rsidR="00A65EAE" w:rsidRPr="00050FA4">
        <w:rPr>
          <w:lang w:val="sq-AL"/>
        </w:rPr>
        <w:t>qind e planit vjetor fillestar dhe të ndryshuar.</w:t>
      </w:r>
    </w:p>
    <w:p w14:paraId="7EC32E9E" w14:textId="26FB4189" w:rsidR="00A65EAE" w:rsidRPr="00050FA4" w:rsidRDefault="00A65EAE" w:rsidP="003F1DA7">
      <w:pPr>
        <w:pStyle w:val="AAAAAAATEXXXX"/>
        <w:rPr>
          <w:lang w:val="sq-AL"/>
        </w:rPr>
      </w:pPr>
      <w:r w:rsidRPr="00050FA4">
        <w:rPr>
          <w:lang w:val="sq-AL"/>
        </w:rPr>
        <w:t xml:space="preserve">Kundrejt </w:t>
      </w:r>
      <w:r w:rsidR="004E2A95" w:rsidRPr="00050FA4">
        <w:rPr>
          <w:lang w:val="sq-AL"/>
        </w:rPr>
        <w:t>s</w:t>
      </w:r>
      <w:r w:rsidRPr="00050FA4">
        <w:rPr>
          <w:lang w:val="sq-AL"/>
        </w:rPr>
        <w:t>ë njëjtës periudhë të vitit 2020, shpenzimet për sigurime shoqërore janë rreth 12.9 miliard</w:t>
      </w:r>
      <w:r w:rsidR="00225C27" w:rsidRPr="00050FA4">
        <w:rPr>
          <w:lang w:val="sq-AL"/>
        </w:rPr>
        <w:t>ë</w:t>
      </w:r>
      <w:r w:rsidRPr="00050FA4">
        <w:rPr>
          <w:lang w:val="sq-AL"/>
        </w:rPr>
        <w:t xml:space="preserve"> </w:t>
      </w:r>
      <w:r w:rsidR="00225C27" w:rsidRPr="00050FA4">
        <w:rPr>
          <w:lang w:val="sq-AL"/>
        </w:rPr>
        <w:t xml:space="preserve">lekë </w:t>
      </w:r>
      <w:r w:rsidRPr="00050FA4">
        <w:rPr>
          <w:lang w:val="sq-AL"/>
        </w:rPr>
        <w:t>më të larta, shpenzimet për sigurime shëndetësore janë rreth 5.9 miliard</w:t>
      </w:r>
      <w:r w:rsidR="00225C27" w:rsidRPr="00050FA4">
        <w:rPr>
          <w:lang w:val="sq-AL"/>
        </w:rPr>
        <w:t>ë</w:t>
      </w:r>
      <w:r w:rsidRPr="00050FA4">
        <w:rPr>
          <w:lang w:val="sq-AL"/>
        </w:rPr>
        <w:t xml:space="preserve"> </w:t>
      </w:r>
      <w:r w:rsidR="00225C27" w:rsidRPr="00050FA4">
        <w:rPr>
          <w:lang w:val="sq-AL"/>
        </w:rPr>
        <w:t>lekë</w:t>
      </w:r>
      <w:r w:rsidRPr="00050FA4">
        <w:rPr>
          <w:lang w:val="sq-AL"/>
        </w:rPr>
        <w:t xml:space="preserve"> më të larta dhe shpenzimet për kompensimin e pronarëve 34 milion</w:t>
      </w:r>
      <w:r w:rsidR="00225C27" w:rsidRPr="00050FA4">
        <w:rPr>
          <w:lang w:val="sq-AL"/>
        </w:rPr>
        <w:t>ë</w:t>
      </w:r>
      <w:r w:rsidRPr="00050FA4">
        <w:rPr>
          <w:lang w:val="sq-AL"/>
        </w:rPr>
        <w:t xml:space="preserve"> </w:t>
      </w:r>
      <w:r w:rsidR="00225C27" w:rsidRPr="00050FA4">
        <w:rPr>
          <w:lang w:val="sq-AL"/>
        </w:rPr>
        <w:t xml:space="preserve">lekë </w:t>
      </w:r>
      <w:r w:rsidRPr="00050FA4">
        <w:rPr>
          <w:lang w:val="sq-AL"/>
        </w:rPr>
        <w:t>më të ulëta.</w:t>
      </w:r>
    </w:p>
    <w:p w14:paraId="58E17924" w14:textId="36DCFA9D" w:rsidR="00A65EAE" w:rsidRPr="00050FA4" w:rsidRDefault="004D40B1" w:rsidP="003F1DA7">
      <w:pPr>
        <w:pStyle w:val="AAAAAAATEXXXX"/>
        <w:rPr>
          <w:lang w:val="sq-AL"/>
        </w:rPr>
      </w:pPr>
      <w:r w:rsidRPr="00050FA4">
        <w:rPr>
          <w:b/>
          <w:lang w:val="sq-AL" w:eastAsia="en-GB"/>
        </w:rPr>
        <w:t xml:space="preserve">- </w:t>
      </w:r>
      <w:r w:rsidR="00A65EAE" w:rsidRPr="00050FA4">
        <w:rPr>
          <w:b/>
          <w:lang w:val="sq-AL" w:eastAsia="en-GB"/>
        </w:rPr>
        <w:t xml:space="preserve">Shpenzimet e tjera sociale </w:t>
      </w:r>
      <w:r w:rsidR="00A65EAE" w:rsidRPr="00050FA4">
        <w:rPr>
          <w:lang w:val="sq-AL"/>
        </w:rPr>
        <w:t>për periudhën 11-mujore të vitit 2021 rezultuan në rreth 25.45 miliard</w:t>
      </w:r>
      <w:r w:rsidR="00594E92" w:rsidRPr="00050FA4">
        <w:rPr>
          <w:lang w:val="sq-AL"/>
        </w:rPr>
        <w:t>ë</w:t>
      </w:r>
      <w:r w:rsidR="00A65EAE" w:rsidRPr="00050FA4">
        <w:rPr>
          <w:lang w:val="sq-AL"/>
        </w:rPr>
        <w:t xml:space="preserve"> </w:t>
      </w:r>
      <w:r w:rsidR="00225C27" w:rsidRPr="00050FA4">
        <w:rPr>
          <w:lang w:val="sq-AL"/>
        </w:rPr>
        <w:t>lekë</w:t>
      </w:r>
      <w:r w:rsidR="00A65EAE" w:rsidRPr="00050FA4">
        <w:rPr>
          <w:lang w:val="sq-AL"/>
        </w:rPr>
        <w:t>, me një realizim prej 96.6 përqind</w:t>
      </w:r>
      <w:r w:rsidR="00082344" w:rsidRPr="00050FA4">
        <w:rPr>
          <w:lang w:val="sq-AL"/>
        </w:rPr>
        <w:t>ësh</w:t>
      </w:r>
      <w:r w:rsidR="00A65EAE" w:rsidRPr="00050FA4">
        <w:rPr>
          <w:lang w:val="sq-AL"/>
        </w:rPr>
        <w:t xml:space="preserve"> të planit të periudhës ose 88.7 për</w:t>
      </w:r>
      <w:r w:rsidR="00082344" w:rsidRPr="00050FA4">
        <w:rPr>
          <w:lang w:val="sq-AL"/>
        </w:rPr>
        <w:t xml:space="preserve"> </w:t>
      </w:r>
      <w:r w:rsidR="00A65EAE" w:rsidRPr="00050FA4">
        <w:rPr>
          <w:lang w:val="sq-AL"/>
        </w:rPr>
        <w:t>qind të planit vjetor fillestar dhe të ndryshuar. Respektivisht:</w:t>
      </w:r>
    </w:p>
    <w:p w14:paraId="5CF152B6" w14:textId="15001F95" w:rsidR="00A65EAE" w:rsidRPr="00050FA4" w:rsidRDefault="004D40B1" w:rsidP="003F1DA7">
      <w:pPr>
        <w:pStyle w:val="AAAAAAATEXXXX"/>
        <w:rPr>
          <w:lang w:val="sq-AL"/>
        </w:rPr>
      </w:pPr>
      <w:r w:rsidRPr="00050FA4">
        <w:rPr>
          <w:i/>
          <w:lang w:val="sq-AL"/>
        </w:rPr>
        <w:t xml:space="preserve">- </w:t>
      </w:r>
      <w:r w:rsidR="00A65EAE" w:rsidRPr="00050FA4">
        <w:rPr>
          <w:i/>
          <w:lang w:val="sq-AL"/>
        </w:rPr>
        <w:t xml:space="preserve">Shpenzimet për </w:t>
      </w:r>
      <w:r w:rsidR="00594E92" w:rsidRPr="00050FA4">
        <w:rPr>
          <w:i/>
          <w:lang w:val="sq-AL"/>
        </w:rPr>
        <w:t>papunësinë</w:t>
      </w:r>
      <w:r w:rsidR="00594E92" w:rsidRPr="00050FA4">
        <w:rPr>
          <w:lang w:val="sq-AL"/>
        </w:rPr>
        <w:t xml:space="preserve"> për 11-</w:t>
      </w:r>
      <w:r w:rsidR="00A65EAE" w:rsidRPr="00050FA4">
        <w:rPr>
          <w:lang w:val="sq-AL"/>
        </w:rPr>
        <w:t>mujorin e vitit 2021 janë realizuar në masën 895 milion</w:t>
      </w:r>
      <w:r w:rsidR="00A72535" w:rsidRPr="00050FA4">
        <w:rPr>
          <w:lang w:val="sq-AL"/>
        </w:rPr>
        <w:t>ë</w:t>
      </w:r>
      <w:r w:rsidR="00A65EAE" w:rsidRPr="00050FA4">
        <w:rPr>
          <w:lang w:val="sq-AL"/>
        </w:rPr>
        <w:t xml:space="preserve"> </w:t>
      </w:r>
      <w:r w:rsidR="00594E92" w:rsidRPr="00050FA4">
        <w:rPr>
          <w:lang w:val="sq-AL"/>
        </w:rPr>
        <w:t xml:space="preserve">lekë </w:t>
      </w:r>
      <w:r w:rsidR="00A65EAE" w:rsidRPr="00050FA4">
        <w:rPr>
          <w:lang w:val="sq-AL"/>
        </w:rPr>
        <w:t>ose 116.9 për</w:t>
      </w:r>
      <w:r w:rsidR="007A06B3" w:rsidRPr="00050FA4">
        <w:rPr>
          <w:lang w:val="sq-AL"/>
        </w:rPr>
        <w:t xml:space="preserve"> </w:t>
      </w:r>
      <w:r w:rsidR="00A65EAE" w:rsidRPr="00050FA4">
        <w:rPr>
          <w:lang w:val="sq-AL"/>
        </w:rPr>
        <w:t>qind e planit të periudhës dhe 111.9 për</w:t>
      </w:r>
      <w:r w:rsidR="007A06B3" w:rsidRPr="00050FA4">
        <w:rPr>
          <w:lang w:val="sq-AL"/>
        </w:rPr>
        <w:t xml:space="preserve"> </w:t>
      </w:r>
      <w:r w:rsidR="00A65EAE" w:rsidRPr="00050FA4">
        <w:rPr>
          <w:lang w:val="sq-AL"/>
        </w:rPr>
        <w:t xml:space="preserve">qind e planit vjetor fillestar dhe të ndryshuar. Kundrejt </w:t>
      </w:r>
      <w:r w:rsidR="004E2A95" w:rsidRPr="00050FA4">
        <w:rPr>
          <w:lang w:val="sq-AL"/>
        </w:rPr>
        <w:t>s</w:t>
      </w:r>
      <w:r w:rsidR="00A65EAE" w:rsidRPr="00050FA4">
        <w:rPr>
          <w:lang w:val="sq-AL"/>
        </w:rPr>
        <w:t>ë njëjtës periudhë të vitit 2020 shpenzimet për këtë zë rezultojnë me një rritje në masën 11.6 për</w:t>
      </w:r>
      <w:r w:rsidR="00A72535" w:rsidRPr="00050FA4">
        <w:rPr>
          <w:lang w:val="sq-AL"/>
        </w:rPr>
        <w:t xml:space="preserve"> </w:t>
      </w:r>
      <w:r w:rsidR="00A65EAE" w:rsidRPr="00050FA4">
        <w:rPr>
          <w:lang w:val="sq-AL"/>
        </w:rPr>
        <w:t>qind ose 93 milion</w:t>
      </w:r>
      <w:r w:rsidR="006B405B" w:rsidRPr="00050FA4">
        <w:rPr>
          <w:lang w:val="sq-AL"/>
        </w:rPr>
        <w:t>ë</w:t>
      </w:r>
      <w:r w:rsidR="00A65EAE" w:rsidRPr="00050FA4">
        <w:rPr>
          <w:lang w:val="sq-AL"/>
        </w:rPr>
        <w:t xml:space="preserve"> </w:t>
      </w:r>
      <w:r w:rsidR="006B405B" w:rsidRPr="00050FA4">
        <w:rPr>
          <w:lang w:val="sq-AL"/>
        </w:rPr>
        <w:t>lekë</w:t>
      </w:r>
      <w:r w:rsidR="00A65EAE" w:rsidRPr="00050FA4">
        <w:rPr>
          <w:lang w:val="sq-AL"/>
        </w:rPr>
        <w:t xml:space="preserve"> më shumë.</w:t>
      </w:r>
    </w:p>
    <w:p w14:paraId="30FEFAE4" w14:textId="785D9E83" w:rsidR="00A65EAE" w:rsidRPr="00050FA4" w:rsidRDefault="004D40B1" w:rsidP="003F1DA7">
      <w:pPr>
        <w:pStyle w:val="AAAAAAATEXXXX"/>
        <w:rPr>
          <w:lang w:val="sq-AL"/>
        </w:rPr>
      </w:pPr>
      <w:r w:rsidRPr="00050FA4">
        <w:rPr>
          <w:i/>
          <w:lang w:val="sq-AL"/>
        </w:rPr>
        <w:t xml:space="preserve">- </w:t>
      </w:r>
      <w:r w:rsidR="00A65EAE" w:rsidRPr="00050FA4">
        <w:rPr>
          <w:i/>
          <w:lang w:val="sq-AL"/>
        </w:rPr>
        <w:t xml:space="preserve">Shpenzimet për </w:t>
      </w:r>
      <w:r w:rsidR="006B405B" w:rsidRPr="00050FA4">
        <w:rPr>
          <w:i/>
          <w:lang w:val="sq-AL"/>
        </w:rPr>
        <w:t>ndihmën ekonomike dhe pagesën e paaftësisë</w:t>
      </w:r>
      <w:r w:rsidR="006B405B" w:rsidRPr="00050FA4">
        <w:rPr>
          <w:lang w:val="sq-AL"/>
        </w:rPr>
        <w:t xml:space="preserve"> </w:t>
      </w:r>
      <w:r w:rsidR="00A65EAE" w:rsidRPr="00050FA4">
        <w:rPr>
          <w:lang w:val="sq-AL"/>
        </w:rPr>
        <w:t>për periudhën 11</w:t>
      </w:r>
      <w:r w:rsidR="00A72535" w:rsidRPr="00050FA4">
        <w:rPr>
          <w:lang w:val="sq-AL"/>
        </w:rPr>
        <w:t>-</w:t>
      </w:r>
      <w:r w:rsidR="00A65EAE" w:rsidRPr="00050FA4">
        <w:rPr>
          <w:lang w:val="sq-AL"/>
        </w:rPr>
        <w:t xml:space="preserve">mujore të vitit 2021 u realizuan në masën rreth 20.9 </w:t>
      </w:r>
      <w:r w:rsidR="006B405B" w:rsidRPr="00050FA4">
        <w:rPr>
          <w:lang w:val="sq-AL"/>
        </w:rPr>
        <w:t xml:space="preserve">miliardë lekë, </w:t>
      </w:r>
      <w:r w:rsidR="00A65EAE" w:rsidRPr="00050FA4">
        <w:rPr>
          <w:lang w:val="sq-AL"/>
        </w:rPr>
        <w:t>duke rezultuar 92.5 për</w:t>
      </w:r>
      <w:r w:rsidR="007A06B3" w:rsidRPr="00050FA4">
        <w:rPr>
          <w:lang w:val="sq-AL"/>
        </w:rPr>
        <w:t xml:space="preserve"> </w:t>
      </w:r>
      <w:r w:rsidR="00A65EAE" w:rsidRPr="00050FA4">
        <w:rPr>
          <w:lang w:val="sq-AL"/>
        </w:rPr>
        <w:t>qind e planit të periudhës. Në raport me planin vjetor fillestar dhe të ndryshuar, ato janë realizuar në masën 84.5 për</w:t>
      </w:r>
      <w:r w:rsidR="007A06B3" w:rsidRPr="00050FA4">
        <w:rPr>
          <w:lang w:val="sq-AL"/>
        </w:rPr>
        <w:t xml:space="preserve"> </w:t>
      </w:r>
      <w:r w:rsidR="00A65EAE" w:rsidRPr="00050FA4">
        <w:rPr>
          <w:lang w:val="sq-AL"/>
        </w:rPr>
        <w:t xml:space="preserve">qind të tij. Kundrejt </w:t>
      </w:r>
      <w:r w:rsidR="004E2A95" w:rsidRPr="00050FA4">
        <w:rPr>
          <w:lang w:val="sq-AL"/>
        </w:rPr>
        <w:t>s</w:t>
      </w:r>
      <w:r w:rsidR="00A65EAE" w:rsidRPr="00050FA4">
        <w:rPr>
          <w:lang w:val="sq-AL"/>
        </w:rPr>
        <w:t>ë njëjtës periudhë të vitit 2020 shpenzimet për këtë zë rezultojnë pothuajse në të njëjtin nivel.</w:t>
      </w:r>
    </w:p>
    <w:p w14:paraId="40EBD073" w14:textId="5AAA0F16" w:rsidR="00A65EAE" w:rsidRPr="00050FA4" w:rsidRDefault="004D40B1" w:rsidP="003F1DA7">
      <w:pPr>
        <w:pStyle w:val="AAAAAAATEXXXX"/>
        <w:rPr>
          <w:lang w:val="sq-AL"/>
        </w:rPr>
      </w:pPr>
      <w:r w:rsidRPr="00050FA4">
        <w:rPr>
          <w:i/>
          <w:lang w:val="sq-AL"/>
        </w:rPr>
        <w:t xml:space="preserve">- </w:t>
      </w:r>
      <w:r w:rsidR="00A65EAE" w:rsidRPr="00050FA4">
        <w:rPr>
          <w:i/>
          <w:lang w:val="sq-AL"/>
        </w:rPr>
        <w:t>Shpenzimet për kompensimin e ish-të përndjekurve politik</w:t>
      </w:r>
      <w:r w:rsidR="006B405B" w:rsidRPr="00050FA4">
        <w:rPr>
          <w:i/>
          <w:lang w:val="sq-AL"/>
        </w:rPr>
        <w:t>ë</w:t>
      </w:r>
      <w:r w:rsidR="00A65EAE" w:rsidRPr="00050FA4">
        <w:rPr>
          <w:i/>
          <w:lang w:val="sq-AL" w:eastAsia="en-GB"/>
        </w:rPr>
        <w:t xml:space="preserve"> </w:t>
      </w:r>
      <w:r w:rsidR="00A65EAE" w:rsidRPr="00050FA4">
        <w:rPr>
          <w:lang w:val="sq-AL"/>
        </w:rPr>
        <w:t xml:space="preserve">për periudhën </w:t>
      </w:r>
      <w:r w:rsidR="00F62C99" w:rsidRPr="00050FA4">
        <w:rPr>
          <w:lang w:val="sq-AL"/>
        </w:rPr>
        <w:t>11-mujore</w:t>
      </w:r>
      <w:r w:rsidR="00A65EAE" w:rsidRPr="00050FA4">
        <w:rPr>
          <w:lang w:val="sq-AL"/>
        </w:rPr>
        <w:t xml:space="preserve"> të vitit 2021 u realizuan në masën 690 milion</w:t>
      </w:r>
      <w:r w:rsidR="006B405B" w:rsidRPr="00050FA4">
        <w:rPr>
          <w:lang w:val="sq-AL"/>
        </w:rPr>
        <w:t>ë</w:t>
      </w:r>
      <w:r w:rsidR="00A65EAE" w:rsidRPr="00050FA4">
        <w:rPr>
          <w:lang w:val="sq-AL"/>
        </w:rPr>
        <w:t xml:space="preserve"> </w:t>
      </w:r>
      <w:r w:rsidR="006B405B" w:rsidRPr="00050FA4">
        <w:rPr>
          <w:lang w:val="sq-AL"/>
        </w:rPr>
        <w:t>lekë</w:t>
      </w:r>
      <w:r w:rsidR="00A65EAE" w:rsidRPr="00050FA4">
        <w:rPr>
          <w:lang w:val="sq-AL"/>
        </w:rPr>
        <w:t xml:space="preserve"> ose 78.2 për</w:t>
      </w:r>
      <w:r w:rsidR="007A06B3" w:rsidRPr="00050FA4">
        <w:rPr>
          <w:lang w:val="sq-AL"/>
        </w:rPr>
        <w:t xml:space="preserve"> </w:t>
      </w:r>
      <w:r w:rsidR="00A65EAE" w:rsidRPr="00050FA4">
        <w:rPr>
          <w:lang w:val="sq-AL"/>
        </w:rPr>
        <w:t>qind të planit të periudhës dhe 69 për</w:t>
      </w:r>
      <w:r w:rsidR="007A06B3" w:rsidRPr="00050FA4">
        <w:rPr>
          <w:lang w:val="sq-AL"/>
        </w:rPr>
        <w:t xml:space="preserve"> </w:t>
      </w:r>
      <w:r w:rsidR="00A65EAE" w:rsidRPr="00050FA4">
        <w:rPr>
          <w:lang w:val="sq-AL"/>
        </w:rPr>
        <w:t xml:space="preserve">qind të planit vjetor fillestar dhe të ndryshuar. Krahasuar me të njëjtën periudhë të vitit 2020, shpenzimet për këtë zë rezultojnë me një </w:t>
      </w:r>
      <w:r w:rsidR="00A65EAE" w:rsidRPr="00050FA4">
        <w:rPr>
          <w:lang w:val="sq-AL"/>
        </w:rPr>
        <w:lastRenderedPageBreak/>
        <w:t>ulje në masën 26.5 për</w:t>
      </w:r>
      <w:r w:rsidR="007A06B3" w:rsidRPr="00050FA4">
        <w:rPr>
          <w:lang w:val="sq-AL"/>
        </w:rPr>
        <w:t xml:space="preserve"> </w:t>
      </w:r>
      <w:r w:rsidR="00A65EAE" w:rsidRPr="00050FA4">
        <w:rPr>
          <w:lang w:val="sq-AL"/>
        </w:rPr>
        <w:t>qind ose 248 milion</w:t>
      </w:r>
      <w:r w:rsidR="006B405B" w:rsidRPr="00050FA4">
        <w:rPr>
          <w:lang w:val="sq-AL"/>
        </w:rPr>
        <w:t>ë</w:t>
      </w:r>
      <w:r w:rsidR="00A65EAE" w:rsidRPr="00050FA4">
        <w:rPr>
          <w:lang w:val="sq-AL"/>
        </w:rPr>
        <w:t xml:space="preserve"> </w:t>
      </w:r>
      <w:r w:rsidR="006B405B" w:rsidRPr="00050FA4">
        <w:rPr>
          <w:lang w:val="sq-AL"/>
        </w:rPr>
        <w:t xml:space="preserve">lekë </w:t>
      </w:r>
      <w:r w:rsidR="00A65EAE" w:rsidRPr="00050FA4">
        <w:rPr>
          <w:lang w:val="sq-AL"/>
        </w:rPr>
        <w:t>më pak.</w:t>
      </w:r>
    </w:p>
    <w:p w14:paraId="31A89A87" w14:textId="0352485E" w:rsidR="00A65EAE" w:rsidRPr="00050FA4" w:rsidRDefault="004D40B1" w:rsidP="003F1DA7">
      <w:pPr>
        <w:pStyle w:val="AAAAAAATEXXXX"/>
        <w:rPr>
          <w:lang w:val="sq-AL"/>
        </w:rPr>
      </w:pPr>
      <w:r w:rsidRPr="00050FA4">
        <w:rPr>
          <w:i/>
          <w:lang w:val="sq-AL"/>
        </w:rPr>
        <w:t xml:space="preserve">- </w:t>
      </w:r>
      <w:r w:rsidR="00A65EAE" w:rsidRPr="00050FA4">
        <w:rPr>
          <w:i/>
          <w:lang w:val="sq-AL"/>
        </w:rPr>
        <w:t xml:space="preserve">Shpenzimet për bonusin e lindjeve </w:t>
      </w:r>
      <w:r w:rsidR="00A65EAE" w:rsidRPr="00050FA4">
        <w:rPr>
          <w:lang w:val="sq-AL"/>
        </w:rPr>
        <w:t xml:space="preserve">për periudhën </w:t>
      </w:r>
      <w:r w:rsidR="00F62C99" w:rsidRPr="00050FA4">
        <w:rPr>
          <w:lang w:val="sq-AL"/>
        </w:rPr>
        <w:t>11-mujore</w:t>
      </w:r>
      <w:r w:rsidR="00A65EAE" w:rsidRPr="00050FA4">
        <w:rPr>
          <w:lang w:val="sq-AL"/>
        </w:rPr>
        <w:t xml:space="preserve"> të vitit 2021 u realizuan në masën 3 miliard</w:t>
      </w:r>
      <w:r w:rsidR="006B405B" w:rsidRPr="00050FA4">
        <w:rPr>
          <w:lang w:val="sq-AL"/>
        </w:rPr>
        <w:t>ë</w:t>
      </w:r>
      <w:r w:rsidR="00A65EAE" w:rsidRPr="00050FA4">
        <w:rPr>
          <w:lang w:val="sq-AL"/>
        </w:rPr>
        <w:t xml:space="preserve"> </w:t>
      </w:r>
      <w:r w:rsidR="006B405B" w:rsidRPr="00050FA4">
        <w:rPr>
          <w:lang w:val="sq-AL"/>
        </w:rPr>
        <w:t>lekë,</w:t>
      </w:r>
      <w:r w:rsidR="00A65EAE" w:rsidRPr="00050FA4">
        <w:rPr>
          <w:lang w:val="sq-AL"/>
        </w:rPr>
        <w:t xml:space="preserve"> duke rezultuar 139.5 për</w:t>
      </w:r>
      <w:r w:rsidR="007A06B3" w:rsidRPr="00050FA4">
        <w:rPr>
          <w:lang w:val="sq-AL"/>
        </w:rPr>
        <w:t xml:space="preserve"> </w:t>
      </w:r>
      <w:r w:rsidR="00A65EAE" w:rsidRPr="00050FA4">
        <w:rPr>
          <w:lang w:val="sq-AL"/>
        </w:rPr>
        <w:t>qind e planit të periudhës ose 136.4 për</w:t>
      </w:r>
      <w:r w:rsidR="007A06B3" w:rsidRPr="00050FA4">
        <w:rPr>
          <w:lang w:val="sq-AL"/>
        </w:rPr>
        <w:t xml:space="preserve"> </w:t>
      </w:r>
      <w:r w:rsidR="00A65EAE" w:rsidRPr="00050FA4">
        <w:rPr>
          <w:lang w:val="sq-AL"/>
        </w:rPr>
        <w:t>qind e planit vjetor filles</w:t>
      </w:r>
      <w:r w:rsidR="004E2A95" w:rsidRPr="00050FA4">
        <w:rPr>
          <w:lang w:val="sq-AL"/>
        </w:rPr>
        <w:t>tar dhe të ndryshuar. Kundrejt s</w:t>
      </w:r>
      <w:r w:rsidR="00A65EAE" w:rsidRPr="00050FA4">
        <w:rPr>
          <w:lang w:val="sq-AL"/>
        </w:rPr>
        <w:t>ë njëjtës periudhë të vitit 2020 shpenzimet për këtë zë rezultojnë me një rritje prej 19 përqind</w:t>
      </w:r>
      <w:r w:rsidR="00082344" w:rsidRPr="00050FA4">
        <w:rPr>
          <w:lang w:val="sq-AL"/>
        </w:rPr>
        <w:t>ësh</w:t>
      </w:r>
      <w:r w:rsidR="00A65EAE" w:rsidRPr="00050FA4">
        <w:rPr>
          <w:lang w:val="sq-AL"/>
        </w:rPr>
        <w:t xml:space="preserve"> ose 480 milion</w:t>
      </w:r>
      <w:r w:rsidR="00082344" w:rsidRPr="00050FA4">
        <w:rPr>
          <w:lang w:val="sq-AL"/>
        </w:rPr>
        <w:t>ë</w:t>
      </w:r>
      <w:r w:rsidR="00A65EAE" w:rsidRPr="00050FA4">
        <w:rPr>
          <w:lang w:val="sq-AL"/>
        </w:rPr>
        <w:t xml:space="preserve"> </w:t>
      </w:r>
      <w:r w:rsidR="007A06B3" w:rsidRPr="00050FA4">
        <w:rPr>
          <w:lang w:val="sq-AL"/>
        </w:rPr>
        <w:t xml:space="preserve">lekë </w:t>
      </w:r>
      <w:r w:rsidR="00A65EAE" w:rsidRPr="00050FA4">
        <w:rPr>
          <w:lang w:val="sq-AL"/>
        </w:rPr>
        <w:t>më shumë.</w:t>
      </w:r>
    </w:p>
    <w:p w14:paraId="3BB1041C" w14:textId="20FEB4A5" w:rsidR="00A65EAE" w:rsidRPr="00050FA4" w:rsidRDefault="004D40B1" w:rsidP="003F1DA7">
      <w:pPr>
        <w:pStyle w:val="AAAAAAATEXXXX"/>
        <w:rPr>
          <w:rFonts w:eastAsia="Times New Roman"/>
          <w:lang w:val="sq-AL"/>
        </w:rPr>
      </w:pPr>
      <w:r w:rsidRPr="00050FA4">
        <w:rPr>
          <w:b/>
          <w:lang w:val="sq-AL" w:eastAsia="en-GB"/>
        </w:rPr>
        <w:t xml:space="preserve">- </w:t>
      </w:r>
      <w:r w:rsidR="00A65EAE" w:rsidRPr="00050FA4">
        <w:rPr>
          <w:b/>
          <w:lang w:val="sq-AL" w:eastAsia="en-GB"/>
        </w:rPr>
        <w:t xml:space="preserve">Shpenzimet për </w:t>
      </w:r>
      <w:r w:rsidR="00A72535" w:rsidRPr="00050FA4">
        <w:rPr>
          <w:b/>
          <w:lang w:val="sq-AL" w:eastAsia="en-GB"/>
        </w:rPr>
        <w:t>pushtetin v</w:t>
      </w:r>
      <w:r w:rsidR="00A65EAE" w:rsidRPr="00050FA4">
        <w:rPr>
          <w:b/>
          <w:lang w:val="sq-AL" w:eastAsia="en-GB"/>
        </w:rPr>
        <w:t>endor</w:t>
      </w:r>
      <w:r w:rsidR="00A65EAE" w:rsidRPr="00050FA4">
        <w:rPr>
          <w:lang w:val="sq-AL" w:eastAsia="en-GB"/>
        </w:rPr>
        <w:t xml:space="preserve"> </w:t>
      </w:r>
      <w:r w:rsidR="00A65EAE" w:rsidRPr="00050FA4">
        <w:rPr>
          <w:rFonts w:eastAsia="Times New Roman"/>
          <w:lang w:val="sq-AL"/>
        </w:rPr>
        <w:t>gjatë 11</w:t>
      </w:r>
      <w:r w:rsidR="00A72535" w:rsidRPr="00050FA4">
        <w:rPr>
          <w:rFonts w:eastAsia="Times New Roman"/>
          <w:lang w:val="sq-AL"/>
        </w:rPr>
        <w:t>-</w:t>
      </w:r>
      <w:r w:rsidR="00A65EAE" w:rsidRPr="00050FA4">
        <w:rPr>
          <w:rFonts w:eastAsia="Times New Roman"/>
          <w:lang w:val="sq-AL"/>
        </w:rPr>
        <w:t>mujorit 2021, përfaqësuan 11.2 për qind të totalit të shpenzimeve korrente. Niveli i tyre aktual prej rreth 45.5 miliardë lekësh, përfaqëson 86.8 për qind realizim të nivelit të parashikuar për këtë zë në 11</w:t>
      </w:r>
      <w:r w:rsidR="00A72535" w:rsidRPr="00050FA4">
        <w:rPr>
          <w:rFonts w:eastAsia="Times New Roman"/>
          <w:lang w:val="sq-AL"/>
        </w:rPr>
        <w:t>-</w:t>
      </w:r>
      <w:r w:rsidR="00A65EAE" w:rsidRPr="00050FA4">
        <w:rPr>
          <w:rFonts w:eastAsia="Times New Roman"/>
          <w:lang w:val="sq-AL"/>
        </w:rPr>
        <w:t>mujor, në ose 80 për qind të planit vjetor</w:t>
      </w:r>
      <w:r w:rsidR="00DF60DF" w:rsidRPr="00050FA4">
        <w:rPr>
          <w:rFonts w:eastAsia="Times New Roman"/>
          <w:lang w:val="sq-AL"/>
        </w:rPr>
        <w:t>,</w:t>
      </w:r>
      <w:r w:rsidR="00A65EAE" w:rsidRPr="00050FA4">
        <w:rPr>
          <w:rFonts w:eastAsia="Times New Roman"/>
          <w:lang w:val="sq-AL"/>
        </w:rPr>
        <w:t xml:space="preserve"> sipas buxhetit fillestar dhe 78.6 për qind të planit vjetor të ndryshuar. Krahasuar me të njëjtën periudhë të vitit 2020, ky zë rezultoi 12 për qind më i ulët ose rreth 6.19 miliardë lekë më pak, por në vitin 2020 shpenzimet për pushtetin vendor gjatë njëmbëdhjetëmujorit përfshinin edhe shpenzimet për fondin e rindërtimit, i cili gjatë njëmbëdhjetëmujorit të vitit 2021 rezulton të jetë 14 miliardë lekë.</w:t>
      </w:r>
    </w:p>
    <w:p w14:paraId="03699415" w14:textId="6EC37061" w:rsidR="00A65EAE" w:rsidRPr="00050FA4" w:rsidRDefault="00A65EAE" w:rsidP="003F1DA7">
      <w:pPr>
        <w:pStyle w:val="AAAAAAATEXXXX"/>
        <w:rPr>
          <w:lang w:val="sq-AL"/>
        </w:rPr>
      </w:pPr>
      <w:r w:rsidRPr="00050FA4">
        <w:rPr>
          <w:rFonts w:eastAsia="Times New Roman"/>
          <w:b/>
          <w:lang w:val="sq-AL"/>
        </w:rPr>
        <w:t>Shpenzimet kapitale</w:t>
      </w:r>
      <w:r w:rsidRPr="00050FA4">
        <w:rPr>
          <w:lang w:val="sq-AL"/>
        </w:rPr>
        <w:t xml:space="preserve"> për periudhën </w:t>
      </w:r>
      <w:r w:rsidR="00F62C99" w:rsidRPr="00050FA4">
        <w:rPr>
          <w:lang w:val="sq-AL"/>
        </w:rPr>
        <w:t>11-mujore</w:t>
      </w:r>
      <w:r w:rsidRPr="00050FA4">
        <w:rPr>
          <w:lang w:val="sq-AL"/>
        </w:rPr>
        <w:t xml:space="preserve"> të vitit 2021 kanë një realizim në masën rreth 63.04 miliard</w:t>
      </w:r>
      <w:r w:rsidR="00DF60DF" w:rsidRPr="00050FA4">
        <w:rPr>
          <w:lang w:val="sq-AL"/>
        </w:rPr>
        <w:t>ë</w:t>
      </w:r>
      <w:r w:rsidRPr="00050FA4">
        <w:rPr>
          <w:lang w:val="sq-AL"/>
        </w:rPr>
        <w:t xml:space="preserve"> </w:t>
      </w:r>
      <w:r w:rsidR="00DF60DF" w:rsidRPr="00050FA4">
        <w:rPr>
          <w:lang w:val="sq-AL"/>
        </w:rPr>
        <w:t>lekë</w:t>
      </w:r>
      <w:r w:rsidRPr="00050FA4">
        <w:rPr>
          <w:lang w:val="sq-AL"/>
        </w:rPr>
        <w:t xml:space="preserve"> ose 69.2 për</w:t>
      </w:r>
      <w:r w:rsidR="002612AF" w:rsidRPr="00050FA4">
        <w:rPr>
          <w:lang w:val="sq-AL"/>
        </w:rPr>
        <w:t xml:space="preserve"> </w:t>
      </w:r>
      <w:r w:rsidRPr="00050FA4">
        <w:rPr>
          <w:lang w:val="sq-AL"/>
        </w:rPr>
        <w:t>qind në raport me fondet e planifikuara për këtë periudhë. Krahasuar me të njëjtën periudhë të vitit 2020, ky zë është 1.4 për</w:t>
      </w:r>
      <w:r w:rsidR="002612AF" w:rsidRPr="00050FA4">
        <w:rPr>
          <w:lang w:val="sq-AL"/>
        </w:rPr>
        <w:t xml:space="preserve"> </w:t>
      </w:r>
      <w:r w:rsidRPr="00050FA4">
        <w:rPr>
          <w:lang w:val="sq-AL"/>
        </w:rPr>
        <w:t>qind më i ulët ose 866 milion</w:t>
      </w:r>
      <w:r w:rsidR="00DF60DF" w:rsidRPr="00050FA4">
        <w:rPr>
          <w:lang w:val="sq-AL"/>
        </w:rPr>
        <w:t>ë</w:t>
      </w:r>
      <w:r w:rsidRPr="00050FA4">
        <w:rPr>
          <w:lang w:val="sq-AL"/>
        </w:rPr>
        <w:t xml:space="preserve"> </w:t>
      </w:r>
      <w:r w:rsidR="00A72535" w:rsidRPr="00050FA4">
        <w:rPr>
          <w:lang w:val="sq-AL"/>
        </w:rPr>
        <w:t>lekë</w:t>
      </w:r>
      <w:r w:rsidRPr="00050FA4">
        <w:rPr>
          <w:lang w:val="sq-AL"/>
        </w:rPr>
        <w:t xml:space="preserve"> më pak. Respektivisht:</w:t>
      </w:r>
    </w:p>
    <w:p w14:paraId="0462A221" w14:textId="305EF2DF" w:rsidR="00A65EAE" w:rsidRPr="00050FA4" w:rsidRDefault="004D40B1" w:rsidP="003F1DA7">
      <w:pPr>
        <w:pStyle w:val="AAAAAAATEXXXX"/>
        <w:rPr>
          <w:lang w:val="sq-AL"/>
        </w:rPr>
      </w:pPr>
      <w:r w:rsidRPr="00050FA4">
        <w:rPr>
          <w:i/>
          <w:lang w:val="sq-AL"/>
        </w:rPr>
        <w:t xml:space="preserve">- </w:t>
      </w:r>
      <w:r w:rsidR="00A65EAE" w:rsidRPr="00050FA4">
        <w:rPr>
          <w:i/>
          <w:lang w:val="sq-AL"/>
        </w:rPr>
        <w:t xml:space="preserve">Financimi i brendshëm </w:t>
      </w:r>
      <w:r w:rsidR="00A65EAE" w:rsidRPr="00050FA4">
        <w:rPr>
          <w:lang w:val="sq-AL"/>
        </w:rPr>
        <w:t xml:space="preserve">ka shënuar një realizim prej rreth 40.5 </w:t>
      </w:r>
      <w:r w:rsidR="00082344" w:rsidRPr="00050FA4">
        <w:rPr>
          <w:lang w:val="sq-AL"/>
        </w:rPr>
        <w:t xml:space="preserve">miliardë lekësh </w:t>
      </w:r>
      <w:r w:rsidR="00A65EAE" w:rsidRPr="00050FA4">
        <w:rPr>
          <w:lang w:val="sq-AL"/>
        </w:rPr>
        <w:t>ose 67 për</w:t>
      </w:r>
      <w:r w:rsidR="002612AF" w:rsidRPr="00050FA4">
        <w:rPr>
          <w:lang w:val="sq-AL"/>
        </w:rPr>
        <w:t xml:space="preserve"> </w:t>
      </w:r>
      <w:r w:rsidR="00A65EAE" w:rsidRPr="00050FA4">
        <w:rPr>
          <w:lang w:val="sq-AL"/>
        </w:rPr>
        <w:t>qind të planit të periudhës. Krahasuar me të njëjtën periudhë të vitit 2020, ky zë ka rezultuar 3.8 për</w:t>
      </w:r>
      <w:r w:rsidR="002612AF" w:rsidRPr="00050FA4">
        <w:rPr>
          <w:lang w:val="sq-AL"/>
        </w:rPr>
        <w:t xml:space="preserve"> </w:t>
      </w:r>
      <w:r w:rsidR="00A65EAE" w:rsidRPr="00050FA4">
        <w:rPr>
          <w:lang w:val="sq-AL"/>
        </w:rPr>
        <w:t>qind më i ulët ose rreth 1.6 miliard</w:t>
      </w:r>
      <w:r w:rsidR="00DF60DF" w:rsidRPr="00050FA4">
        <w:rPr>
          <w:lang w:val="sq-AL"/>
        </w:rPr>
        <w:t>ë</w:t>
      </w:r>
      <w:r w:rsidR="00A65EAE" w:rsidRPr="00050FA4">
        <w:rPr>
          <w:lang w:val="sq-AL"/>
        </w:rPr>
        <w:t xml:space="preserve"> </w:t>
      </w:r>
      <w:r w:rsidR="00DF60DF" w:rsidRPr="00050FA4">
        <w:rPr>
          <w:lang w:val="sq-AL"/>
        </w:rPr>
        <w:t>lekë</w:t>
      </w:r>
      <w:r w:rsidR="00A65EAE" w:rsidRPr="00050FA4">
        <w:rPr>
          <w:lang w:val="sq-AL"/>
        </w:rPr>
        <w:t xml:space="preserve"> më pak.</w:t>
      </w:r>
    </w:p>
    <w:p w14:paraId="56F27DD1" w14:textId="5ECFB231" w:rsidR="00A65EAE" w:rsidRPr="00050FA4" w:rsidRDefault="008C7652" w:rsidP="003F1DA7">
      <w:pPr>
        <w:pStyle w:val="AAAAAAATEXXXX"/>
        <w:rPr>
          <w:lang w:val="sq-AL"/>
        </w:rPr>
      </w:pPr>
      <w:r w:rsidRPr="00050FA4">
        <w:rPr>
          <w:i/>
          <w:lang w:val="sq-AL"/>
        </w:rPr>
        <w:t xml:space="preserve">- </w:t>
      </w:r>
      <w:r w:rsidR="00A65EAE" w:rsidRPr="00050FA4">
        <w:rPr>
          <w:i/>
          <w:lang w:val="sq-AL"/>
        </w:rPr>
        <w:t xml:space="preserve">Investimet nga të </w:t>
      </w:r>
      <w:r w:rsidR="00DF60DF" w:rsidRPr="00050FA4">
        <w:rPr>
          <w:i/>
          <w:lang w:val="sq-AL"/>
        </w:rPr>
        <w:t>ardhurat e arsimit të lartë</w:t>
      </w:r>
      <w:r w:rsidR="00DF60DF" w:rsidRPr="00050FA4">
        <w:rPr>
          <w:lang w:val="sq-AL"/>
        </w:rPr>
        <w:t xml:space="preserve"> janë realizuar </w:t>
      </w:r>
      <w:r w:rsidR="00A65EAE" w:rsidRPr="00050FA4">
        <w:rPr>
          <w:lang w:val="sq-AL"/>
        </w:rPr>
        <w:t>në masën 629 milion</w:t>
      </w:r>
      <w:r w:rsidR="00A72535" w:rsidRPr="00050FA4">
        <w:rPr>
          <w:lang w:val="sq-AL"/>
        </w:rPr>
        <w:t>ë</w:t>
      </w:r>
      <w:r w:rsidR="00A65EAE" w:rsidRPr="00050FA4">
        <w:rPr>
          <w:lang w:val="sq-AL"/>
        </w:rPr>
        <w:t xml:space="preserve"> </w:t>
      </w:r>
      <w:r w:rsidR="00A72535" w:rsidRPr="00050FA4">
        <w:rPr>
          <w:lang w:val="sq-AL"/>
        </w:rPr>
        <w:t xml:space="preserve">lekë </w:t>
      </w:r>
      <w:r w:rsidR="00A65EAE" w:rsidRPr="00050FA4">
        <w:rPr>
          <w:lang w:val="sq-AL"/>
        </w:rPr>
        <w:t>ose 74.2 për</w:t>
      </w:r>
      <w:r w:rsidR="002612AF" w:rsidRPr="00050FA4">
        <w:rPr>
          <w:lang w:val="sq-AL"/>
        </w:rPr>
        <w:t xml:space="preserve"> </w:t>
      </w:r>
      <w:r w:rsidR="00A65EAE" w:rsidRPr="00050FA4">
        <w:rPr>
          <w:lang w:val="sq-AL"/>
        </w:rPr>
        <w:t>qind të planit të periudhës. Krahasuar me të njëjtën periudhë të vitit 2020, ky zë ka rezultuar 30.1 për</w:t>
      </w:r>
      <w:r w:rsidR="00A72535" w:rsidRPr="00050FA4">
        <w:rPr>
          <w:lang w:val="sq-AL"/>
        </w:rPr>
        <w:t xml:space="preserve"> </w:t>
      </w:r>
      <w:r w:rsidR="00A65EAE" w:rsidRPr="00050FA4">
        <w:rPr>
          <w:lang w:val="sq-AL"/>
        </w:rPr>
        <w:t>qind më i ulët ose 271 milion</w:t>
      </w:r>
      <w:r w:rsidR="002612AF" w:rsidRPr="00050FA4">
        <w:rPr>
          <w:lang w:val="sq-AL"/>
        </w:rPr>
        <w:t>ë</w:t>
      </w:r>
      <w:r w:rsidR="00A65EAE" w:rsidRPr="00050FA4">
        <w:rPr>
          <w:lang w:val="sq-AL"/>
        </w:rPr>
        <w:t xml:space="preserve"> </w:t>
      </w:r>
      <w:r w:rsidR="002612AF" w:rsidRPr="00050FA4">
        <w:rPr>
          <w:lang w:val="sq-AL"/>
        </w:rPr>
        <w:t xml:space="preserve">lekë </w:t>
      </w:r>
      <w:r w:rsidR="00A65EAE" w:rsidRPr="00050FA4">
        <w:rPr>
          <w:lang w:val="sq-AL"/>
        </w:rPr>
        <w:t>më pak.</w:t>
      </w:r>
    </w:p>
    <w:p w14:paraId="2FD18CC0" w14:textId="7258B414" w:rsidR="00A65EAE" w:rsidRPr="00050FA4" w:rsidRDefault="008C7652" w:rsidP="003F1DA7">
      <w:pPr>
        <w:pStyle w:val="AAAAAAATEXXXX"/>
        <w:rPr>
          <w:lang w:val="sq-AL"/>
        </w:rPr>
      </w:pPr>
      <w:r w:rsidRPr="00050FA4">
        <w:rPr>
          <w:i/>
          <w:lang w:val="sq-AL"/>
        </w:rPr>
        <w:t xml:space="preserve">- </w:t>
      </w:r>
      <w:r w:rsidR="00A65EAE" w:rsidRPr="00050FA4">
        <w:rPr>
          <w:i/>
          <w:lang w:val="sq-AL"/>
        </w:rPr>
        <w:t>Financimi i huaj</w:t>
      </w:r>
      <w:r w:rsidR="00A65EAE" w:rsidRPr="00050FA4">
        <w:rPr>
          <w:lang w:val="sq-AL"/>
        </w:rPr>
        <w:t xml:space="preserve"> ka shënuar një realizim prej rreth 21.9 miliard</w:t>
      </w:r>
      <w:r w:rsidR="00A72535" w:rsidRPr="00050FA4">
        <w:rPr>
          <w:lang w:val="sq-AL"/>
        </w:rPr>
        <w:t>ë</w:t>
      </w:r>
      <w:r w:rsidR="00A65EAE" w:rsidRPr="00050FA4">
        <w:rPr>
          <w:lang w:val="sq-AL"/>
        </w:rPr>
        <w:t xml:space="preserve"> </w:t>
      </w:r>
      <w:r w:rsidR="00A72535" w:rsidRPr="00050FA4">
        <w:rPr>
          <w:lang w:val="sq-AL"/>
        </w:rPr>
        <w:t>lekë</w:t>
      </w:r>
      <w:r w:rsidR="00082344" w:rsidRPr="00050FA4">
        <w:rPr>
          <w:lang w:val="sq-AL"/>
        </w:rPr>
        <w:t>sh</w:t>
      </w:r>
      <w:r w:rsidR="00A65EAE" w:rsidRPr="00050FA4">
        <w:rPr>
          <w:lang w:val="sq-AL"/>
        </w:rPr>
        <w:t xml:space="preserve"> ose 73.4 për</w:t>
      </w:r>
      <w:r w:rsidR="00A72535" w:rsidRPr="00050FA4">
        <w:rPr>
          <w:lang w:val="sq-AL"/>
        </w:rPr>
        <w:t xml:space="preserve"> </w:t>
      </w:r>
      <w:r w:rsidR="00A65EAE" w:rsidRPr="00050FA4">
        <w:rPr>
          <w:lang w:val="sq-AL"/>
        </w:rPr>
        <w:t>qind të planit të periudhës. Krahasuar me të njëjtën periudhë të vitit 2020, ky zë ka rezultuar 4.8 për</w:t>
      </w:r>
      <w:r w:rsidR="00A72535" w:rsidRPr="00050FA4">
        <w:rPr>
          <w:lang w:val="sq-AL"/>
        </w:rPr>
        <w:t xml:space="preserve"> </w:t>
      </w:r>
      <w:r w:rsidR="00A65EAE" w:rsidRPr="00050FA4">
        <w:rPr>
          <w:lang w:val="sq-AL"/>
        </w:rPr>
        <w:t>qind më i lartë ose rreth 1 miliardë lekë më shumë.</w:t>
      </w:r>
    </w:p>
    <w:p w14:paraId="5704CC76" w14:textId="12973267" w:rsidR="00A65EAE" w:rsidRPr="00050FA4" w:rsidRDefault="00A65EAE" w:rsidP="003F1DA7">
      <w:pPr>
        <w:pStyle w:val="AAAAAAATEXXXX"/>
        <w:rPr>
          <w:lang w:val="sq-AL"/>
        </w:rPr>
      </w:pPr>
      <w:r w:rsidRPr="00050FA4">
        <w:rPr>
          <w:i/>
          <w:lang w:val="sq-AL"/>
        </w:rPr>
        <w:t>Në terma vjetorë,</w:t>
      </w:r>
      <w:r w:rsidRPr="00050FA4">
        <w:rPr>
          <w:lang w:val="sq-AL"/>
        </w:rPr>
        <w:t xml:space="preserve"> shpenzimet kapitale janë realizuar në masën 67.8 për</w:t>
      </w:r>
      <w:r w:rsidR="00A72535" w:rsidRPr="00050FA4">
        <w:rPr>
          <w:lang w:val="sq-AL"/>
        </w:rPr>
        <w:t xml:space="preserve"> </w:t>
      </w:r>
      <w:r w:rsidRPr="00050FA4">
        <w:rPr>
          <w:lang w:val="sq-AL"/>
        </w:rPr>
        <w:t>qind të planit vjetor fillestar dhe 60.4 për</w:t>
      </w:r>
      <w:r w:rsidR="002612AF" w:rsidRPr="00050FA4">
        <w:rPr>
          <w:lang w:val="sq-AL"/>
        </w:rPr>
        <w:t xml:space="preserve"> </w:t>
      </w:r>
      <w:r w:rsidRPr="00050FA4">
        <w:rPr>
          <w:lang w:val="sq-AL"/>
        </w:rPr>
        <w:t>qind të planit vjetor të ndryshuar me AN nr.</w:t>
      </w:r>
      <w:r w:rsidR="002612AF" w:rsidRPr="00050FA4">
        <w:rPr>
          <w:lang w:val="sq-AL"/>
        </w:rPr>
        <w:t xml:space="preserve"> </w:t>
      </w:r>
      <w:r w:rsidRPr="00050FA4">
        <w:rPr>
          <w:lang w:val="sq-AL"/>
        </w:rPr>
        <w:t>26. Konkretisht:</w:t>
      </w:r>
    </w:p>
    <w:p w14:paraId="6E24BDBB" w14:textId="6F08F86A" w:rsidR="00A65EAE" w:rsidRPr="00050FA4" w:rsidRDefault="008C7652" w:rsidP="003F1DA7">
      <w:pPr>
        <w:pStyle w:val="AAAAAAATEXXXX"/>
        <w:rPr>
          <w:i/>
          <w:lang w:val="sq-AL"/>
        </w:rPr>
      </w:pPr>
      <w:r w:rsidRPr="00050FA4">
        <w:rPr>
          <w:i/>
          <w:lang w:val="sq-AL"/>
        </w:rPr>
        <w:t xml:space="preserve">- </w:t>
      </w:r>
      <w:r w:rsidR="00A65EAE" w:rsidRPr="00050FA4">
        <w:rPr>
          <w:i/>
          <w:lang w:val="sq-AL"/>
        </w:rPr>
        <w:t xml:space="preserve">Financimi i brendshëm </w:t>
      </w:r>
      <w:r w:rsidR="00A65EAE" w:rsidRPr="00050FA4">
        <w:rPr>
          <w:lang w:val="sq-AL"/>
        </w:rPr>
        <w:t>është realizuar në masën 70.3 për</w:t>
      </w:r>
      <w:r w:rsidR="002612AF" w:rsidRPr="00050FA4">
        <w:rPr>
          <w:lang w:val="sq-AL"/>
        </w:rPr>
        <w:t xml:space="preserve"> </w:t>
      </w:r>
      <w:r w:rsidR="00A65EAE" w:rsidRPr="00050FA4">
        <w:rPr>
          <w:lang w:val="sq-AL"/>
        </w:rPr>
        <w:t>qind të planit vjetor fillestar dhe 58.8 për</w:t>
      </w:r>
      <w:r w:rsidR="002612AF" w:rsidRPr="00050FA4">
        <w:rPr>
          <w:lang w:val="sq-AL"/>
        </w:rPr>
        <w:t xml:space="preserve"> </w:t>
      </w:r>
      <w:r w:rsidR="00A65EAE" w:rsidRPr="00050FA4">
        <w:rPr>
          <w:lang w:val="sq-AL"/>
        </w:rPr>
        <w:t>qind të planit vjetor të ndryshuar;</w:t>
      </w:r>
    </w:p>
    <w:p w14:paraId="128F9A3C" w14:textId="0A734A41" w:rsidR="00A65EAE" w:rsidRPr="00050FA4" w:rsidRDefault="008C7652" w:rsidP="003F1DA7">
      <w:pPr>
        <w:pStyle w:val="AAAAAAATEXXXX"/>
        <w:rPr>
          <w:lang w:val="sq-AL"/>
        </w:rPr>
      </w:pPr>
      <w:r w:rsidRPr="00050FA4">
        <w:rPr>
          <w:i/>
          <w:lang w:val="sq-AL"/>
        </w:rPr>
        <w:t xml:space="preserve">- </w:t>
      </w:r>
      <w:r w:rsidR="00A65EAE" w:rsidRPr="00050FA4">
        <w:rPr>
          <w:i/>
          <w:lang w:val="sq-AL"/>
        </w:rPr>
        <w:t xml:space="preserve">Investimet nga të </w:t>
      </w:r>
      <w:r w:rsidR="00DB5589" w:rsidRPr="00050FA4">
        <w:rPr>
          <w:i/>
          <w:lang w:val="sq-AL"/>
        </w:rPr>
        <w:t>ardhurat e arsimit të lartë</w:t>
      </w:r>
      <w:r w:rsidR="00DB5589" w:rsidRPr="00050FA4">
        <w:rPr>
          <w:lang w:val="sq-AL"/>
        </w:rPr>
        <w:t xml:space="preserve"> </w:t>
      </w:r>
      <w:r w:rsidR="00A65EAE" w:rsidRPr="00050FA4">
        <w:rPr>
          <w:lang w:val="sq-AL"/>
        </w:rPr>
        <w:t>kanë rezultuar 62.9 për</w:t>
      </w:r>
      <w:r w:rsidR="002612AF" w:rsidRPr="00050FA4">
        <w:rPr>
          <w:lang w:val="sq-AL"/>
        </w:rPr>
        <w:t xml:space="preserve"> </w:t>
      </w:r>
      <w:r w:rsidR="00A65EAE" w:rsidRPr="00050FA4">
        <w:rPr>
          <w:lang w:val="sq-AL"/>
        </w:rPr>
        <w:t>qind të planit vjetor fillestar dhe të ndryshuar.</w:t>
      </w:r>
    </w:p>
    <w:p w14:paraId="2A1CA778" w14:textId="15A8ECF6" w:rsidR="00A65EAE" w:rsidRPr="00050FA4" w:rsidRDefault="008C7652" w:rsidP="003F1DA7">
      <w:pPr>
        <w:pStyle w:val="AAAAAAATEXXXX"/>
        <w:rPr>
          <w:lang w:val="sq-AL"/>
        </w:rPr>
      </w:pPr>
      <w:r w:rsidRPr="00050FA4">
        <w:rPr>
          <w:i/>
          <w:lang w:val="sq-AL"/>
        </w:rPr>
        <w:t xml:space="preserve">- </w:t>
      </w:r>
      <w:r w:rsidR="00A65EAE" w:rsidRPr="00050FA4">
        <w:rPr>
          <w:i/>
          <w:lang w:val="sq-AL"/>
        </w:rPr>
        <w:t>Financimi i huaj</w:t>
      </w:r>
      <w:r w:rsidR="00A65EAE" w:rsidRPr="00050FA4">
        <w:rPr>
          <w:lang w:val="sq-AL"/>
        </w:rPr>
        <w:t xml:space="preserve"> është realizuar në masën 63.6 për</w:t>
      </w:r>
      <w:r w:rsidR="002612AF" w:rsidRPr="00050FA4">
        <w:rPr>
          <w:lang w:val="sq-AL"/>
        </w:rPr>
        <w:t xml:space="preserve"> </w:t>
      </w:r>
      <w:r w:rsidR="00A65EAE" w:rsidRPr="00050FA4">
        <w:rPr>
          <w:lang w:val="sq-AL"/>
        </w:rPr>
        <w:t xml:space="preserve">qind të planit vjetor fillestar dhe të ndryshuar. </w:t>
      </w:r>
    </w:p>
    <w:p w14:paraId="597C96B6" w14:textId="50C6987B" w:rsidR="00A65EAE" w:rsidRPr="00050FA4" w:rsidRDefault="00A65EAE" w:rsidP="003F1DA7">
      <w:pPr>
        <w:pStyle w:val="AAAAAAATEXXXX"/>
        <w:rPr>
          <w:rStyle w:val="alt-edited"/>
          <w:lang w:val="sq-AL"/>
        </w:rPr>
      </w:pPr>
      <w:r w:rsidRPr="00050FA4">
        <w:rPr>
          <w:rStyle w:val="alt-edited"/>
          <w:lang w:val="sq-AL"/>
        </w:rPr>
        <w:t>Fondi i rindërtimit për 11</w:t>
      </w:r>
      <w:r w:rsidR="00DB5589" w:rsidRPr="00050FA4">
        <w:rPr>
          <w:rStyle w:val="alt-edited"/>
          <w:lang w:val="sq-AL"/>
        </w:rPr>
        <w:t>-</w:t>
      </w:r>
      <w:r w:rsidRPr="00050FA4">
        <w:rPr>
          <w:rStyle w:val="alt-edited"/>
          <w:lang w:val="sq-AL"/>
        </w:rPr>
        <w:t>mujorin e vitit 2021 ka rezultuar rreth 23.16 miliard</w:t>
      </w:r>
      <w:r w:rsidR="00DB5589" w:rsidRPr="00050FA4">
        <w:rPr>
          <w:rStyle w:val="alt-edited"/>
          <w:lang w:val="sq-AL"/>
        </w:rPr>
        <w:t>ë</w:t>
      </w:r>
      <w:r w:rsidRPr="00050FA4">
        <w:rPr>
          <w:rStyle w:val="alt-edited"/>
          <w:lang w:val="sq-AL"/>
        </w:rPr>
        <w:t xml:space="preserve"> </w:t>
      </w:r>
      <w:r w:rsidR="00DB5589" w:rsidRPr="00050FA4">
        <w:rPr>
          <w:rStyle w:val="alt-edited"/>
          <w:lang w:val="sq-AL"/>
        </w:rPr>
        <w:t>lekë</w:t>
      </w:r>
      <w:r w:rsidRPr="00050FA4">
        <w:rPr>
          <w:rStyle w:val="alt-edited"/>
          <w:lang w:val="sq-AL"/>
        </w:rPr>
        <w:t xml:space="preserve"> nga rreth 25.3 miliard të planifikuara për këtë periudhë, duke rezultuar 91.5 për</w:t>
      </w:r>
      <w:r w:rsidR="002612AF" w:rsidRPr="00050FA4">
        <w:rPr>
          <w:rStyle w:val="alt-edited"/>
          <w:lang w:val="sq-AL"/>
        </w:rPr>
        <w:t xml:space="preserve"> </w:t>
      </w:r>
      <w:r w:rsidRPr="00050FA4">
        <w:rPr>
          <w:rStyle w:val="alt-edited"/>
          <w:lang w:val="sq-AL"/>
        </w:rPr>
        <w:t>qind e planit t</w:t>
      </w:r>
      <w:r w:rsidR="00DB5589" w:rsidRPr="00050FA4">
        <w:rPr>
          <w:rStyle w:val="alt-edited"/>
          <w:lang w:val="sq-AL"/>
        </w:rPr>
        <w:t>ë periudhës. Nga ky realizim 11-</w:t>
      </w:r>
      <w:r w:rsidRPr="00050FA4">
        <w:rPr>
          <w:rStyle w:val="alt-edited"/>
          <w:lang w:val="sq-AL"/>
        </w:rPr>
        <w:t>mujor i fondit të rindërtimit rreth 14.02 miliard</w:t>
      </w:r>
      <w:r w:rsidR="00DB5589" w:rsidRPr="00050FA4">
        <w:rPr>
          <w:rStyle w:val="alt-edited"/>
          <w:lang w:val="sq-AL"/>
        </w:rPr>
        <w:t>ë</w:t>
      </w:r>
      <w:r w:rsidRPr="00050FA4">
        <w:rPr>
          <w:rStyle w:val="alt-edited"/>
          <w:lang w:val="sq-AL"/>
        </w:rPr>
        <w:t xml:space="preserve"> </w:t>
      </w:r>
      <w:r w:rsidR="00DB5589" w:rsidRPr="00050FA4">
        <w:rPr>
          <w:rStyle w:val="alt-edited"/>
          <w:lang w:val="sq-AL"/>
        </w:rPr>
        <w:t>lekë</w:t>
      </w:r>
      <w:r w:rsidRPr="00050FA4">
        <w:rPr>
          <w:rStyle w:val="alt-edited"/>
          <w:lang w:val="sq-AL"/>
        </w:rPr>
        <w:t xml:space="preserve"> janë shpenzime nga </w:t>
      </w:r>
      <w:r w:rsidR="00DB5589" w:rsidRPr="00050FA4">
        <w:rPr>
          <w:rStyle w:val="alt-edited"/>
          <w:lang w:val="sq-AL"/>
        </w:rPr>
        <w:t xml:space="preserve">qeverisja vendore </w:t>
      </w:r>
      <w:r w:rsidRPr="00050FA4">
        <w:rPr>
          <w:rStyle w:val="alt-edited"/>
          <w:lang w:val="sq-AL"/>
        </w:rPr>
        <w:t>dhe rreth 9.14 miliard</w:t>
      </w:r>
      <w:r w:rsidR="00E062E8" w:rsidRPr="00050FA4">
        <w:rPr>
          <w:rStyle w:val="alt-edited"/>
          <w:lang w:val="sq-AL"/>
        </w:rPr>
        <w:t xml:space="preserve">ë lekë </w:t>
      </w:r>
      <w:r w:rsidRPr="00050FA4">
        <w:rPr>
          <w:rStyle w:val="alt-edited"/>
          <w:lang w:val="sq-AL"/>
        </w:rPr>
        <w:t xml:space="preserve">nga </w:t>
      </w:r>
      <w:r w:rsidR="00DB5589" w:rsidRPr="00050FA4">
        <w:rPr>
          <w:rStyle w:val="alt-edited"/>
          <w:lang w:val="sq-AL"/>
        </w:rPr>
        <w:t>qeverisja q</w:t>
      </w:r>
      <w:r w:rsidRPr="00050FA4">
        <w:rPr>
          <w:rStyle w:val="alt-edited"/>
          <w:lang w:val="sq-AL"/>
        </w:rPr>
        <w:t xml:space="preserve">endrore. Për periudhën </w:t>
      </w:r>
      <w:r w:rsidR="00F62C99" w:rsidRPr="00050FA4">
        <w:rPr>
          <w:rStyle w:val="alt-edited"/>
          <w:lang w:val="sq-AL"/>
        </w:rPr>
        <w:t>11-mujore</w:t>
      </w:r>
      <w:r w:rsidRPr="00050FA4">
        <w:rPr>
          <w:rStyle w:val="alt-edited"/>
          <w:lang w:val="sq-AL"/>
        </w:rPr>
        <w:t>, shpenzimet për fondin e rindërtimit përbëjnë 4.71 për</w:t>
      </w:r>
      <w:r w:rsidR="002612AF" w:rsidRPr="00050FA4">
        <w:rPr>
          <w:rStyle w:val="alt-edited"/>
          <w:lang w:val="sq-AL"/>
        </w:rPr>
        <w:t xml:space="preserve"> </w:t>
      </w:r>
      <w:r w:rsidRPr="00050FA4">
        <w:rPr>
          <w:rStyle w:val="alt-edited"/>
          <w:lang w:val="sq-AL"/>
        </w:rPr>
        <w:t>qind të totalit të shpenzimeve të përgjithshme. Në terma vjetor</w:t>
      </w:r>
      <w:r w:rsidR="00A7354F" w:rsidRPr="00050FA4">
        <w:rPr>
          <w:rStyle w:val="alt-edited"/>
          <w:lang w:val="sq-AL"/>
        </w:rPr>
        <w:t>ë</w:t>
      </w:r>
      <w:r w:rsidRPr="00050FA4">
        <w:rPr>
          <w:rStyle w:val="alt-edited"/>
          <w:lang w:val="sq-AL"/>
        </w:rPr>
        <w:t>, këto shpenzime rezultojnë 82.7 për</w:t>
      </w:r>
      <w:r w:rsidR="002612AF" w:rsidRPr="00050FA4">
        <w:rPr>
          <w:rStyle w:val="alt-edited"/>
          <w:lang w:val="sq-AL"/>
        </w:rPr>
        <w:t xml:space="preserve"> </w:t>
      </w:r>
      <w:r w:rsidRPr="00050FA4">
        <w:rPr>
          <w:rStyle w:val="alt-edited"/>
          <w:lang w:val="sq-AL"/>
        </w:rPr>
        <w:t>qind e planit vjetor fillestar dhe të ndryshuar.</w:t>
      </w:r>
    </w:p>
    <w:p w14:paraId="1BAEA753" w14:textId="1BF604E9" w:rsidR="00A65EAE" w:rsidRPr="00050FA4" w:rsidRDefault="00A65EAE" w:rsidP="003F1DA7">
      <w:pPr>
        <w:pStyle w:val="AAAAAAATEXXXX"/>
        <w:rPr>
          <w:rStyle w:val="alt-edited"/>
          <w:lang w:val="sq-AL"/>
        </w:rPr>
      </w:pPr>
      <w:r w:rsidRPr="00050FA4">
        <w:rPr>
          <w:rStyle w:val="alt-edited"/>
          <w:lang w:val="sq-AL"/>
        </w:rPr>
        <w:t xml:space="preserve">Niveli i deficitit për periudhën </w:t>
      </w:r>
      <w:r w:rsidR="00F62C99" w:rsidRPr="00050FA4">
        <w:rPr>
          <w:rStyle w:val="alt-edited"/>
          <w:lang w:val="sq-AL"/>
        </w:rPr>
        <w:t>11-mujore</w:t>
      </w:r>
      <w:r w:rsidRPr="00050FA4">
        <w:rPr>
          <w:rStyle w:val="alt-edited"/>
          <w:lang w:val="sq-AL"/>
        </w:rPr>
        <w:t xml:space="preserve"> të vitit 2021 rezultoi në rreth 33 miliard</w:t>
      </w:r>
      <w:r w:rsidR="00351796" w:rsidRPr="00050FA4">
        <w:rPr>
          <w:rStyle w:val="alt-edited"/>
          <w:lang w:val="sq-AL"/>
        </w:rPr>
        <w:t>ë</w:t>
      </w:r>
      <w:r w:rsidRPr="00050FA4">
        <w:rPr>
          <w:rStyle w:val="alt-edited"/>
          <w:lang w:val="sq-AL"/>
        </w:rPr>
        <w:t xml:space="preserve"> </w:t>
      </w:r>
      <w:r w:rsidR="00351796" w:rsidRPr="00050FA4">
        <w:rPr>
          <w:rStyle w:val="alt-edited"/>
          <w:lang w:val="sq-AL"/>
        </w:rPr>
        <w:t xml:space="preserve">lekë </w:t>
      </w:r>
      <w:r w:rsidRPr="00050FA4">
        <w:rPr>
          <w:rStyle w:val="alt-edited"/>
          <w:lang w:val="sq-AL"/>
        </w:rPr>
        <w:t>ose rreth 39.9 miliard</w:t>
      </w:r>
      <w:r w:rsidR="00DB5589" w:rsidRPr="00050FA4">
        <w:rPr>
          <w:rStyle w:val="alt-edited"/>
          <w:lang w:val="sq-AL"/>
        </w:rPr>
        <w:t>ë</w:t>
      </w:r>
      <w:r w:rsidRPr="00050FA4">
        <w:rPr>
          <w:rStyle w:val="alt-edited"/>
          <w:lang w:val="sq-AL"/>
        </w:rPr>
        <w:t xml:space="preserve"> </w:t>
      </w:r>
      <w:r w:rsidR="00DB5589" w:rsidRPr="00050FA4">
        <w:rPr>
          <w:rStyle w:val="alt-edited"/>
          <w:lang w:val="sq-AL"/>
        </w:rPr>
        <w:t>lekë</w:t>
      </w:r>
      <w:r w:rsidRPr="00050FA4">
        <w:rPr>
          <w:rStyle w:val="alt-edited"/>
          <w:lang w:val="sq-AL"/>
        </w:rPr>
        <w:t xml:space="preserve"> më pak se e njëjta periudhë e një viti më parë. Për periudhën </w:t>
      </w:r>
      <w:r w:rsidR="00F62C99" w:rsidRPr="00050FA4">
        <w:rPr>
          <w:rStyle w:val="alt-edited"/>
          <w:lang w:val="sq-AL"/>
        </w:rPr>
        <w:t>11-mujore</w:t>
      </w:r>
      <w:r w:rsidRPr="00050FA4">
        <w:rPr>
          <w:rStyle w:val="alt-edited"/>
          <w:lang w:val="sq-AL"/>
        </w:rPr>
        <w:t xml:space="preserve"> niveli i deficitit rezulton 31.5 për</w:t>
      </w:r>
      <w:r w:rsidR="002612AF" w:rsidRPr="00050FA4">
        <w:rPr>
          <w:rStyle w:val="alt-edited"/>
          <w:lang w:val="sq-AL"/>
        </w:rPr>
        <w:t xml:space="preserve"> </w:t>
      </w:r>
      <w:r w:rsidRPr="00050FA4">
        <w:rPr>
          <w:rStyle w:val="alt-edited"/>
          <w:lang w:val="sq-AL"/>
        </w:rPr>
        <w:t xml:space="preserve">qind e planit të periudhës prej rreth 104.76 </w:t>
      </w:r>
      <w:r w:rsidR="00082344" w:rsidRPr="00050FA4">
        <w:rPr>
          <w:lang w:val="sq-AL"/>
        </w:rPr>
        <w:t>miliardë lekësh</w:t>
      </w:r>
      <w:r w:rsidR="00082344" w:rsidRPr="00050FA4">
        <w:rPr>
          <w:rStyle w:val="alt-edited"/>
          <w:lang w:val="sq-AL"/>
        </w:rPr>
        <w:t xml:space="preserve">. </w:t>
      </w:r>
      <w:r w:rsidRPr="00050FA4">
        <w:rPr>
          <w:rStyle w:val="alt-edited"/>
          <w:lang w:val="sq-AL"/>
        </w:rPr>
        <w:t>Në terma vjetor</w:t>
      </w:r>
      <w:r w:rsidR="00A7354F" w:rsidRPr="00050FA4">
        <w:rPr>
          <w:rStyle w:val="alt-edited"/>
          <w:lang w:val="sq-AL"/>
        </w:rPr>
        <w:t>ë</w:t>
      </w:r>
      <w:r w:rsidRPr="00050FA4">
        <w:rPr>
          <w:rStyle w:val="alt-edited"/>
          <w:lang w:val="sq-AL"/>
        </w:rPr>
        <w:t>, niveli i deficiti është realizuar 30.3 për</w:t>
      </w:r>
      <w:r w:rsidR="002612AF" w:rsidRPr="00050FA4">
        <w:rPr>
          <w:rStyle w:val="alt-edited"/>
          <w:lang w:val="sq-AL"/>
        </w:rPr>
        <w:t xml:space="preserve"> </w:t>
      </w:r>
      <w:r w:rsidRPr="00050FA4">
        <w:rPr>
          <w:rStyle w:val="alt-edited"/>
          <w:lang w:val="sq-AL"/>
        </w:rPr>
        <w:t>qind e planit vjetor fillestar dhe 27.4 për</w:t>
      </w:r>
      <w:r w:rsidR="002612AF" w:rsidRPr="00050FA4">
        <w:rPr>
          <w:rStyle w:val="alt-edited"/>
          <w:lang w:val="sq-AL"/>
        </w:rPr>
        <w:t xml:space="preserve"> </w:t>
      </w:r>
      <w:r w:rsidRPr="00050FA4">
        <w:rPr>
          <w:rStyle w:val="alt-edited"/>
          <w:lang w:val="sq-AL"/>
        </w:rPr>
        <w:t>qind e planit vjetor të ndryshuar.</w:t>
      </w:r>
    </w:p>
    <w:p w14:paraId="77B92791" w14:textId="77777777" w:rsidR="00A65EAE" w:rsidRPr="00050FA4" w:rsidRDefault="00A65EAE" w:rsidP="003F1DA7">
      <w:pPr>
        <w:ind w:firstLine="284"/>
        <w:jc w:val="both"/>
        <w:rPr>
          <w:rFonts w:ascii="Garamond" w:eastAsia="Times New Roman" w:hAnsi="Garamond"/>
          <w:color w:val="0D0D0D" w:themeColor="text1" w:themeTint="F2"/>
        </w:rPr>
      </w:pPr>
    </w:p>
    <w:p w14:paraId="482729B9" w14:textId="77777777" w:rsidR="00DB5589" w:rsidRPr="00050FA4" w:rsidRDefault="00DB5589" w:rsidP="003F1DA7">
      <w:pPr>
        <w:pStyle w:val="AAAAAAATEXXXX"/>
        <w:jc w:val="center"/>
        <w:rPr>
          <w:b/>
          <w:i/>
          <w:sz w:val="20"/>
          <w:szCs w:val="20"/>
          <w:lang w:val="sq-AL"/>
        </w:rPr>
      </w:pPr>
    </w:p>
    <w:p w14:paraId="21787833" w14:textId="77777777" w:rsidR="00DB5589" w:rsidRPr="00050FA4" w:rsidRDefault="00DB5589" w:rsidP="003F1DA7">
      <w:pPr>
        <w:pStyle w:val="AAAAAAATEXXXX"/>
        <w:jc w:val="center"/>
        <w:rPr>
          <w:b/>
          <w:i/>
          <w:sz w:val="20"/>
          <w:szCs w:val="20"/>
          <w:lang w:val="sq-AL"/>
        </w:rPr>
      </w:pPr>
    </w:p>
    <w:p w14:paraId="25A7F5C6" w14:textId="77777777" w:rsidR="00DB5589" w:rsidRPr="00050FA4" w:rsidRDefault="00DB5589" w:rsidP="003F1DA7">
      <w:pPr>
        <w:pStyle w:val="AAAAAAATEXXXX"/>
        <w:jc w:val="center"/>
        <w:rPr>
          <w:b/>
          <w:i/>
          <w:sz w:val="20"/>
          <w:szCs w:val="20"/>
          <w:lang w:val="sq-AL"/>
        </w:rPr>
      </w:pPr>
    </w:p>
    <w:p w14:paraId="378C7E14" w14:textId="77777777" w:rsidR="00DB5589" w:rsidRPr="00050FA4" w:rsidRDefault="00DB5589" w:rsidP="003F1DA7">
      <w:pPr>
        <w:pStyle w:val="AAAAAAATEXXXX"/>
        <w:jc w:val="center"/>
        <w:rPr>
          <w:b/>
          <w:i/>
          <w:sz w:val="20"/>
          <w:szCs w:val="20"/>
          <w:lang w:val="sq-AL"/>
        </w:rPr>
      </w:pPr>
    </w:p>
    <w:p w14:paraId="23CD943E" w14:textId="77777777" w:rsidR="00DB5589" w:rsidRPr="00050FA4" w:rsidRDefault="00DB5589" w:rsidP="003F1DA7">
      <w:pPr>
        <w:pStyle w:val="AAAAAAATEXXXX"/>
        <w:jc w:val="center"/>
        <w:rPr>
          <w:b/>
          <w:i/>
          <w:sz w:val="20"/>
          <w:szCs w:val="20"/>
          <w:lang w:val="sq-AL"/>
        </w:rPr>
      </w:pPr>
    </w:p>
    <w:p w14:paraId="20BCD33C" w14:textId="77777777" w:rsidR="00DB5589" w:rsidRPr="00050FA4" w:rsidRDefault="00DB5589" w:rsidP="003F1DA7">
      <w:pPr>
        <w:pStyle w:val="AAAAAAATEXXXX"/>
        <w:jc w:val="center"/>
        <w:rPr>
          <w:b/>
          <w:i/>
          <w:sz w:val="20"/>
          <w:szCs w:val="20"/>
          <w:lang w:val="sq-AL"/>
        </w:rPr>
      </w:pPr>
    </w:p>
    <w:p w14:paraId="07006DEE" w14:textId="77777777" w:rsidR="00DB5589" w:rsidRPr="00050FA4" w:rsidRDefault="00DB5589" w:rsidP="003F1DA7">
      <w:pPr>
        <w:pStyle w:val="AAAAAAATEXXXX"/>
        <w:jc w:val="center"/>
        <w:rPr>
          <w:b/>
          <w:i/>
          <w:sz w:val="20"/>
          <w:szCs w:val="20"/>
          <w:lang w:val="sq-AL"/>
        </w:rPr>
      </w:pPr>
    </w:p>
    <w:p w14:paraId="368601BA" w14:textId="77777777" w:rsidR="00DB5589" w:rsidRPr="00050FA4" w:rsidRDefault="00DB5589" w:rsidP="003F1DA7">
      <w:pPr>
        <w:pStyle w:val="AAAAAAATEXXXX"/>
        <w:jc w:val="center"/>
        <w:rPr>
          <w:b/>
          <w:i/>
          <w:sz w:val="20"/>
          <w:szCs w:val="20"/>
          <w:lang w:val="sq-AL"/>
        </w:rPr>
      </w:pPr>
    </w:p>
    <w:p w14:paraId="4DFD143C" w14:textId="77777777" w:rsidR="00DB5589" w:rsidRPr="00050FA4" w:rsidRDefault="00DB5589" w:rsidP="003F1DA7">
      <w:pPr>
        <w:pStyle w:val="AAAAAAATEXXXX"/>
        <w:jc w:val="center"/>
        <w:rPr>
          <w:b/>
          <w:i/>
          <w:sz w:val="20"/>
          <w:szCs w:val="20"/>
          <w:lang w:val="sq-AL"/>
        </w:rPr>
      </w:pPr>
    </w:p>
    <w:p w14:paraId="00FE2F92" w14:textId="77777777" w:rsidR="00DB5589" w:rsidRPr="00050FA4" w:rsidRDefault="00DB5589" w:rsidP="003F1DA7">
      <w:pPr>
        <w:pStyle w:val="AAAAAAATEXXXX"/>
        <w:jc w:val="center"/>
        <w:rPr>
          <w:b/>
          <w:i/>
          <w:sz w:val="20"/>
          <w:szCs w:val="20"/>
          <w:lang w:val="sq-AL"/>
        </w:rPr>
      </w:pPr>
    </w:p>
    <w:p w14:paraId="3273AB7D" w14:textId="77777777" w:rsidR="00DB5589" w:rsidRPr="00050FA4" w:rsidRDefault="00DB5589" w:rsidP="003F1DA7">
      <w:pPr>
        <w:pStyle w:val="AAAAAAATEXXXX"/>
        <w:jc w:val="center"/>
        <w:rPr>
          <w:b/>
          <w:i/>
          <w:sz w:val="20"/>
          <w:szCs w:val="20"/>
          <w:lang w:val="sq-AL"/>
        </w:rPr>
      </w:pPr>
    </w:p>
    <w:p w14:paraId="1A869DC6" w14:textId="77777777" w:rsidR="00DB5589" w:rsidRPr="00050FA4" w:rsidRDefault="00DB5589" w:rsidP="003F1DA7">
      <w:pPr>
        <w:pStyle w:val="AAAAAAATEXXXX"/>
        <w:jc w:val="center"/>
        <w:rPr>
          <w:b/>
          <w:i/>
          <w:sz w:val="20"/>
          <w:szCs w:val="20"/>
          <w:lang w:val="sq-AL"/>
        </w:rPr>
      </w:pPr>
    </w:p>
    <w:p w14:paraId="395F7F39" w14:textId="77777777" w:rsidR="00DB5589" w:rsidRPr="00050FA4" w:rsidRDefault="00DB5589" w:rsidP="003F1DA7">
      <w:pPr>
        <w:pStyle w:val="AAAAAAATEXXXX"/>
        <w:jc w:val="center"/>
        <w:rPr>
          <w:b/>
          <w:i/>
          <w:sz w:val="20"/>
          <w:szCs w:val="20"/>
          <w:lang w:val="sq-AL"/>
        </w:rPr>
      </w:pPr>
    </w:p>
    <w:p w14:paraId="5CBDBA0A" w14:textId="08122D45" w:rsidR="008C7652" w:rsidRPr="00050FA4" w:rsidRDefault="00A65EAE" w:rsidP="003F1DA7">
      <w:pPr>
        <w:pStyle w:val="AAAAAAATEXXXX"/>
        <w:jc w:val="center"/>
        <w:rPr>
          <w:b/>
          <w:i/>
          <w:sz w:val="20"/>
          <w:szCs w:val="20"/>
          <w:lang w:val="sq-AL"/>
        </w:rPr>
      </w:pPr>
      <w:r w:rsidRPr="00050FA4">
        <w:rPr>
          <w:b/>
          <w:i/>
          <w:sz w:val="20"/>
          <w:szCs w:val="20"/>
          <w:lang w:val="sq-AL"/>
        </w:rPr>
        <w:lastRenderedPageBreak/>
        <w:t xml:space="preserve">Tabelë 4.2.6 Zërat kryesorë të shpenzimeve të përgjithshme publike për </w:t>
      </w:r>
      <w:r w:rsidR="00C13F1A" w:rsidRPr="00050FA4">
        <w:rPr>
          <w:b/>
          <w:i/>
          <w:sz w:val="20"/>
          <w:szCs w:val="20"/>
          <w:lang w:val="sq-AL"/>
        </w:rPr>
        <w:t>11-mujor</w:t>
      </w:r>
      <w:r w:rsidRPr="00050FA4">
        <w:rPr>
          <w:b/>
          <w:i/>
          <w:sz w:val="20"/>
          <w:szCs w:val="20"/>
          <w:lang w:val="sq-AL"/>
        </w:rPr>
        <w:t>in e vitit 2021</w:t>
      </w:r>
    </w:p>
    <w:p w14:paraId="152FE2BC" w14:textId="75970C70" w:rsidR="00A65EAE" w:rsidRPr="00050FA4" w:rsidRDefault="00A65EAE" w:rsidP="003F1DA7">
      <w:pPr>
        <w:pStyle w:val="AAAAAAATEXXXX"/>
        <w:jc w:val="center"/>
        <w:rPr>
          <w:b/>
          <w:i/>
          <w:sz w:val="20"/>
          <w:szCs w:val="20"/>
          <w:lang w:val="sq-AL"/>
        </w:rPr>
      </w:pPr>
      <w:r w:rsidRPr="00050FA4">
        <w:rPr>
          <w:b/>
          <w:i/>
          <w:sz w:val="20"/>
          <w:szCs w:val="20"/>
          <w:lang w:val="sq-AL"/>
        </w:rPr>
        <w:t xml:space="preserve"> (në milionë lekë)</w:t>
      </w:r>
    </w:p>
    <w:p w14:paraId="6919FFEA" w14:textId="0E97484F" w:rsidR="00A65EAE" w:rsidRPr="00050FA4" w:rsidRDefault="00A65EAE" w:rsidP="003F1DA7">
      <w:pPr>
        <w:ind w:firstLine="284"/>
        <w:jc w:val="center"/>
        <w:rPr>
          <w:rFonts w:ascii="Garamond" w:eastAsia="Times New Roman" w:hAnsi="Garamond"/>
          <w:color w:val="0D0D0D" w:themeColor="text1" w:themeTint="F2"/>
        </w:rPr>
      </w:pPr>
      <w:r w:rsidRPr="00050FA4">
        <w:rPr>
          <w:rFonts w:ascii="Garamond" w:hAnsi="Garamond"/>
          <w:noProof/>
          <w:color w:val="0D0D0D" w:themeColor="text1" w:themeTint="F2"/>
          <w:lang w:val="en-US"/>
        </w:rPr>
        <w:drawing>
          <wp:inline distT="0" distB="0" distL="0" distR="0" wp14:anchorId="4C35F79E" wp14:editId="4F7D1717">
            <wp:extent cx="5858444" cy="2888222"/>
            <wp:effectExtent l="0" t="0" r="952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67321" cy="2892598"/>
                    </a:xfrm>
                    <a:prstGeom prst="rect">
                      <a:avLst/>
                    </a:prstGeom>
                    <a:noFill/>
                    <a:ln>
                      <a:noFill/>
                    </a:ln>
                  </pic:spPr>
                </pic:pic>
              </a:graphicData>
            </a:graphic>
          </wp:inline>
        </w:drawing>
      </w:r>
    </w:p>
    <w:p w14:paraId="257BA800" w14:textId="77777777" w:rsidR="00A65EAE" w:rsidRPr="00050FA4" w:rsidRDefault="00A65EAE" w:rsidP="003F1DA7">
      <w:pPr>
        <w:pStyle w:val="AAAAAAATEXXXX"/>
        <w:jc w:val="center"/>
        <w:rPr>
          <w:sz w:val="20"/>
          <w:szCs w:val="20"/>
          <w:lang w:val="sq-AL"/>
        </w:rPr>
      </w:pPr>
      <w:r w:rsidRPr="00050FA4">
        <w:rPr>
          <w:sz w:val="20"/>
          <w:szCs w:val="20"/>
          <w:lang w:val="sq-AL"/>
        </w:rPr>
        <w:t>Burimi: Ministria e Financave dhe Ekonomisë (2021)</w:t>
      </w:r>
    </w:p>
    <w:p w14:paraId="13E8C25F" w14:textId="77777777" w:rsidR="00A65EAE" w:rsidRPr="00050FA4" w:rsidRDefault="00A65EAE" w:rsidP="003F1DA7">
      <w:pPr>
        <w:ind w:firstLine="284"/>
        <w:jc w:val="both"/>
        <w:rPr>
          <w:rFonts w:ascii="Garamond" w:eastAsia="SimSun" w:hAnsi="Garamond"/>
          <w:color w:val="0D0D0D" w:themeColor="text1" w:themeTint="F2"/>
          <w:sz w:val="20"/>
          <w:szCs w:val="20"/>
        </w:rPr>
      </w:pPr>
    </w:p>
    <w:p w14:paraId="63757D18" w14:textId="6A2B4246" w:rsidR="00A65EAE" w:rsidRPr="00050FA4" w:rsidRDefault="00A72535" w:rsidP="003F1DA7">
      <w:pPr>
        <w:pStyle w:val="AAAAAAATEXXXX"/>
        <w:rPr>
          <w:b/>
          <w:lang w:val="sq-AL"/>
        </w:rPr>
      </w:pPr>
      <w:r w:rsidRPr="00050FA4">
        <w:rPr>
          <w:b/>
          <w:lang w:val="sq-AL"/>
        </w:rPr>
        <w:t>Masat e marra anti-</w:t>
      </w:r>
      <w:r w:rsidR="00A65EAE" w:rsidRPr="00050FA4">
        <w:rPr>
          <w:b/>
          <w:lang w:val="sq-AL"/>
        </w:rPr>
        <w:t>COVID</w:t>
      </w:r>
      <w:r w:rsidRPr="00050FA4">
        <w:rPr>
          <w:b/>
          <w:lang w:val="sq-AL"/>
        </w:rPr>
        <w:t>-</w:t>
      </w:r>
      <w:r w:rsidR="00A65EAE" w:rsidRPr="00050FA4">
        <w:rPr>
          <w:b/>
          <w:lang w:val="sq-AL"/>
        </w:rPr>
        <w:t xml:space="preserve">19 </w:t>
      </w:r>
      <w:r w:rsidRPr="00050FA4">
        <w:rPr>
          <w:b/>
          <w:lang w:val="sq-AL"/>
        </w:rPr>
        <w:t>–</w:t>
      </w:r>
      <w:r w:rsidR="00A65EAE" w:rsidRPr="00050FA4">
        <w:rPr>
          <w:b/>
          <w:lang w:val="sq-AL"/>
        </w:rPr>
        <w:t xml:space="preserve"> Financimi nga fondi rezervë i buxh</w:t>
      </w:r>
      <w:r w:rsidR="00DB5589" w:rsidRPr="00050FA4">
        <w:rPr>
          <w:b/>
          <w:lang w:val="sq-AL"/>
        </w:rPr>
        <w:t>etit të shtetit, për vitin 2021</w:t>
      </w:r>
    </w:p>
    <w:p w14:paraId="2D4CDF9B" w14:textId="30C0EE87" w:rsidR="00A65EAE" w:rsidRPr="00050FA4" w:rsidRDefault="00A65EAE" w:rsidP="003F1DA7">
      <w:pPr>
        <w:pStyle w:val="AAAAAAATEXXXX"/>
        <w:rPr>
          <w:lang w:val="sq-AL"/>
        </w:rPr>
      </w:pPr>
      <w:r w:rsidRPr="00050FA4">
        <w:rPr>
          <w:lang w:val="sq-AL"/>
        </w:rPr>
        <w:t>Sipas ligjit nr.</w:t>
      </w:r>
      <w:r w:rsidR="004117C4" w:rsidRPr="00050FA4">
        <w:rPr>
          <w:lang w:val="sq-AL"/>
        </w:rPr>
        <w:t xml:space="preserve"> </w:t>
      </w:r>
      <w:r w:rsidRPr="00050FA4">
        <w:rPr>
          <w:lang w:val="sq-AL"/>
        </w:rPr>
        <w:t>137/2020</w:t>
      </w:r>
      <w:r w:rsidR="00EE7E01" w:rsidRPr="00050FA4">
        <w:rPr>
          <w:lang w:val="sq-AL"/>
        </w:rPr>
        <w:t>,</w:t>
      </w:r>
      <w:r w:rsidRPr="00050FA4">
        <w:rPr>
          <w:lang w:val="sq-AL"/>
        </w:rPr>
        <w:t xml:space="preserve"> </w:t>
      </w:r>
      <w:r w:rsidR="008A0E5B" w:rsidRPr="00050FA4">
        <w:rPr>
          <w:lang w:val="sq-AL"/>
        </w:rPr>
        <w:t>“</w:t>
      </w:r>
      <w:r w:rsidRPr="00050FA4">
        <w:rPr>
          <w:lang w:val="sq-AL"/>
        </w:rPr>
        <w:t>Për buxhetin e vitit 2021</w:t>
      </w:r>
      <w:r w:rsidR="00A72535" w:rsidRPr="00050FA4">
        <w:rPr>
          <w:lang w:val="sq-AL"/>
        </w:rPr>
        <w:t>”</w:t>
      </w:r>
      <w:r w:rsidRPr="00050FA4">
        <w:rPr>
          <w:lang w:val="sq-AL"/>
        </w:rPr>
        <w:t xml:space="preserve">, </w:t>
      </w:r>
      <w:r w:rsidR="00EE7E01" w:rsidRPr="00050FA4">
        <w:rPr>
          <w:lang w:val="sq-AL"/>
        </w:rPr>
        <w:t>të</w:t>
      </w:r>
      <w:r w:rsidRPr="00050FA4">
        <w:rPr>
          <w:lang w:val="sq-AL"/>
        </w:rPr>
        <w:t xml:space="preserve"> ndryshuar, në buxhetin e MSHMS</w:t>
      </w:r>
      <w:r w:rsidR="00A72535" w:rsidRPr="00050FA4">
        <w:rPr>
          <w:lang w:val="sq-AL"/>
        </w:rPr>
        <w:t>-së</w:t>
      </w:r>
      <w:r w:rsidRPr="00050FA4">
        <w:rPr>
          <w:lang w:val="sq-AL"/>
        </w:rPr>
        <w:t xml:space="preserve"> janë planifikuar fonde në një vlerë prej rreth 6 miliardë lekësh</w:t>
      </w:r>
      <w:r w:rsidR="00890D6C" w:rsidRPr="00050FA4">
        <w:rPr>
          <w:lang w:val="sq-AL"/>
        </w:rPr>
        <w:t>,</w:t>
      </w:r>
      <w:r w:rsidRPr="00050FA4">
        <w:rPr>
          <w:lang w:val="sq-AL"/>
        </w:rPr>
        <w:t xml:space="preserve"> për t</w:t>
      </w:r>
      <w:r w:rsidR="00890D6C" w:rsidRPr="00050FA4">
        <w:rPr>
          <w:lang w:val="sq-AL"/>
        </w:rPr>
        <w:t>’</w:t>
      </w:r>
      <w:r w:rsidRPr="00050FA4">
        <w:rPr>
          <w:lang w:val="sq-AL"/>
        </w:rPr>
        <w:t xml:space="preserve">u përdorur në kuadër të masave të marra kundër pandemisë </w:t>
      </w:r>
      <w:r w:rsidR="004117C4" w:rsidRPr="00050FA4">
        <w:rPr>
          <w:lang w:val="sq-AL"/>
        </w:rPr>
        <w:t>COVID</w:t>
      </w:r>
      <w:r w:rsidRPr="00050FA4">
        <w:rPr>
          <w:lang w:val="sq-AL"/>
        </w:rPr>
        <w:t xml:space="preserve">-19. </w:t>
      </w:r>
    </w:p>
    <w:p w14:paraId="792B07A2" w14:textId="662703ED" w:rsidR="00A65EAE" w:rsidRPr="00050FA4" w:rsidRDefault="00A65EAE" w:rsidP="003F1DA7">
      <w:pPr>
        <w:pStyle w:val="AAAAAAATEXXXX"/>
        <w:rPr>
          <w:lang w:val="sq-AL"/>
        </w:rPr>
      </w:pPr>
      <w:r w:rsidRPr="00050FA4">
        <w:rPr>
          <w:lang w:val="sq-AL"/>
        </w:rPr>
        <w:t>Në</w:t>
      </w:r>
      <w:r w:rsidR="003E64D0" w:rsidRPr="00050FA4">
        <w:rPr>
          <w:lang w:val="sq-AL"/>
        </w:rPr>
        <w:t>përmjet VKM-së nr. 85, datë 10.</w:t>
      </w:r>
      <w:r w:rsidRPr="00050FA4">
        <w:rPr>
          <w:lang w:val="sq-AL"/>
        </w:rPr>
        <w:t>2.2021</w:t>
      </w:r>
      <w:r w:rsidR="003E64D0" w:rsidRPr="00050FA4">
        <w:rPr>
          <w:lang w:val="sq-AL"/>
        </w:rPr>
        <w:t>,</w:t>
      </w:r>
      <w:r w:rsidRPr="00050FA4">
        <w:rPr>
          <w:lang w:val="sq-AL"/>
        </w:rPr>
        <w:t xml:space="preserve"> </w:t>
      </w:r>
      <w:r w:rsidR="008A0E5B" w:rsidRPr="00050FA4">
        <w:rPr>
          <w:lang w:val="sq-AL"/>
        </w:rPr>
        <w:t>“</w:t>
      </w:r>
      <w:r w:rsidRPr="00050FA4">
        <w:rPr>
          <w:i/>
          <w:lang w:val="sq-AL"/>
        </w:rPr>
        <w:t>Për një shtesë në VKM</w:t>
      </w:r>
      <w:r w:rsidR="003E64D0" w:rsidRPr="00050FA4">
        <w:rPr>
          <w:i/>
          <w:lang w:val="sq-AL"/>
        </w:rPr>
        <w:t>-në</w:t>
      </w:r>
      <w:r w:rsidRPr="00050FA4">
        <w:rPr>
          <w:i/>
          <w:lang w:val="sq-AL"/>
        </w:rPr>
        <w:t xml:space="preserve"> nr.</w:t>
      </w:r>
      <w:r w:rsidR="003E64D0" w:rsidRPr="00050FA4">
        <w:rPr>
          <w:i/>
          <w:lang w:val="sq-AL"/>
        </w:rPr>
        <w:t xml:space="preserve"> 597, datë 4.</w:t>
      </w:r>
      <w:r w:rsidRPr="00050FA4">
        <w:rPr>
          <w:i/>
          <w:lang w:val="sq-AL"/>
        </w:rPr>
        <w:t>9.2019</w:t>
      </w:r>
      <w:r w:rsidR="003E64D0" w:rsidRPr="00050FA4">
        <w:rPr>
          <w:i/>
          <w:lang w:val="sq-AL"/>
        </w:rPr>
        <w:t>,</w:t>
      </w:r>
      <w:r w:rsidRPr="00050FA4">
        <w:rPr>
          <w:i/>
          <w:lang w:val="sq-AL"/>
        </w:rPr>
        <w:t xml:space="preserve"> </w:t>
      </w:r>
      <w:r w:rsidR="008A0E5B" w:rsidRPr="00050FA4">
        <w:rPr>
          <w:i/>
          <w:lang w:val="sq-AL"/>
        </w:rPr>
        <w:t>“</w:t>
      </w:r>
      <w:r w:rsidRPr="00050FA4">
        <w:rPr>
          <w:i/>
          <w:lang w:val="sq-AL"/>
        </w:rPr>
        <w:t>Për përcaktimin e procedurave, dokumentacionit dhe masës mujore të ndihmës ekonomike dhe përdorimit të fondeve shtesë mbi fondin e kushtëzuar për ndihmën ekonomike</w:t>
      </w:r>
      <w:r w:rsidR="008A0E5B" w:rsidRPr="00050FA4">
        <w:rPr>
          <w:lang w:val="sq-AL"/>
        </w:rPr>
        <w:t>”</w:t>
      </w:r>
      <w:r w:rsidR="00EE7E01" w:rsidRPr="00050FA4">
        <w:rPr>
          <w:lang w:val="sq-AL"/>
        </w:rPr>
        <w:t>, në kuadër të masave anti-</w:t>
      </w:r>
      <w:r w:rsidR="003E64D0" w:rsidRPr="00050FA4">
        <w:rPr>
          <w:lang w:val="sq-AL"/>
        </w:rPr>
        <w:t>COVID</w:t>
      </w:r>
      <w:r w:rsidRPr="00050FA4">
        <w:rPr>
          <w:lang w:val="sq-AL"/>
        </w:rPr>
        <w:t xml:space="preserve">-19, u miratua dyfishimi i shumës së ndihmës ekonomike për gjashtëmujorin e parë të vitit 2021. </w:t>
      </w:r>
    </w:p>
    <w:p w14:paraId="02D0D940" w14:textId="5C06E128" w:rsidR="00A65EAE" w:rsidRPr="00050FA4" w:rsidRDefault="00A65EAE" w:rsidP="003F1DA7">
      <w:pPr>
        <w:pStyle w:val="AAAAAAATEXXXX"/>
        <w:rPr>
          <w:lang w:val="sq-AL"/>
        </w:rPr>
      </w:pPr>
      <w:r w:rsidRPr="00050FA4">
        <w:rPr>
          <w:lang w:val="sq-AL"/>
        </w:rPr>
        <w:t>Ndërkohë,</w:t>
      </w:r>
      <w:r w:rsidR="009B1D6B" w:rsidRPr="00050FA4">
        <w:rPr>
          <w:lang w:val="sq-AL"/>
        </w:rPr>
        <w:t xml:space="preserve"> </w:t>
      </w:r>
      <w:r w:rsidRPr="00050FA4">
        <w:rPr>
          <w:lang w:val="sq-AL"/>
        </w:rPr>
        <w:t xml:space="preserve">nëpërmjet miratimit të katër </w:t>
      </w:r>
      <w:r w:rsidR="003E64D0" w:rsidRPr="00050FA4">
        <w:rPr>
          <w:lang w:val="sq-AL"/>
        </w:rPr>
        <w:t xml:space="preserve">akteve normative </w:t>
      </w:r>
      <w:r w:rsidRPr="00050FA4">
        <w:rPr>
          <w:lang w:val="sq-AL"/>
        </w:rPr>
        <w:t xml:space="preserve">të buxhetit të vitit 2021, me qëllim përballimin e shpenzimeve për blerjen e vaksinave të nevojshme për popullsinë është rritur masa e </w:t>
      </w:r>
      <w:r w:rsidR="00C27092" w:rsidRPr="00050FA4">
        <w:rPr>
          <w:lang w:val="sq-AL"/>
        </w:rPr>
        <w:t>fondit rezer</w:t>
      </w:r>
      <w:r w:rsidRPr="00050FA4">
        <w:rPr>
          <w:lang w:val="sq-AL"/>
        </w:rPr>
        <w:t xml:space="preserve">vë të buxhetit të shtetit për vitin 2021. Kështu, </w:t>
      </w:r>
      <w:r w:rsidR="003E64D0" w:rsidRPr="00050FA4">
        <w:rPr>
          <w:lang w:val="sq-AL"/>
        </w:rPr>
        <w:t xml:space="preserve">fondi </w:t>
      </w:r>
      <w:r w:rsidRPr="00050FA4">
        <w:rPr>
          <w:lang w:val="sq-AL"/>
        </w:rPr>
        <w:t xml:space="preserve">rezervë i parashikuar në ligjin fillestar prej 2 miliardë lekësh të planifikuar për financimin e rasteve të paparashikuara, me miratimin e katër akteve normative u ndryshua në vlerën 8 miliardë lekë. </w:t>
      </w:r>
    </w:p>
    <w:p w14:paraId="212B286B" w14:textId="623A4AF8" w:rsidR="00A65EAE" w:rsidRPr="00050FA4" w:rsidRDefault="00A65EAE" w:rsidP="003F1DA7">
      <w:pPr>
        <w:pStyle w:val="AAAAAAATEXXXX"/>
        <w:rPr>
          <w:lang w:val="sq-AL"/>
        </w:rPr>
      </w:pPr>
      <w:r w:rsidRPr="00050FA4">
        <w:rPr>
          <w:lang w:val="sq-AL"/>
        </w:rPr>
        <w:t xml:space="preserve">Fondi rezervë i </w:t>
      </w:r>
      <w:r w:rsidR="00C27092" w:rsidRPr="00050FA4">
        <w:rPr>
          <w:lang w:val="sq-AL"/>
        </w:rPr>
        <w:t xml:space="preserve">buxhetit të shtetit, </w:t>
      </w:r>
      <w:r w:rsidRPr="00050FA4">
        <w:rPr>
          <w:lang w:val="sq-AL"/>
        </w:rPr>
        <w:t>në zbatim të VKM-ve të miratuara</w:t>
      </w:r>
      <w:r w:rsidR="00C27092" w:rsidRPr="00050FA4">
        <w:rPr>
          <w:lang w:val="sq-AL"/>
        </w:rPr>
        <w:t>,</w:t>
      </w:r>
      <w:r w:rsidRPr="00050FA4">
        <w:rPr>
          <w:lang w:val="sq-AL"/>
        </w:rPr>
        <w:t xml:space="preserve"> është përdorur në vlerën rreth 4.1 miliardë lekë për masat shtesë në luftën kundër </w:t>
      </w:r>
      <w:r w:rsidR="004117C4" w:rsidRPr="00050FA4">
        <w:rPr>
          <w:lang w:val="sq-AL"/>
        </w:rPr>
        <w:t>COVID</w:t>
      </w:r>
      <w:r w:rsidRPr="00050FA4">
        <w:rPr>
          <w:lang w:val="sq-AL"/>
        </w:rPr>
        <w:t xml:space="preserve">-19 dhe për blerjen e vaksinave të nevojshme për vaksinimin e popullatës. </w:t>
      </w:r>
    </w:p>
    <w:p w14:paraId="0FBA653F" w14:textId="3CC7373C" w:rsidR="00A65EAE" w:rsidRPr="00050FA4" w:rsidRDefault="00A65EAE" w:rsidP="003F1DA7">
      <w:pPr>
        <w:pStyle w:val="AAAAAAATEXXXX"/>
        <w:rPr>
          <w:lang w:val="sq-AL"/>
        </w:rPr>
      </w:pPr>
      <w:r w:rsidRPr="00050FA4">
        <w:rPr>
          <w:lang w:val="sq-AL"/>
        </w:rPr>
        <w:t>Konkretisht, shuma e fondeve të miratuara për blerjen e vaksinave është 3.5 miliardë lekë, nga të cilat janë përdorur 3.4 miliardë lekë ose 98% e fondit total të akorduar për këtë qëllim.</w:t>
      </w:r>
      <w:r w:rsidR="009B1D6B" w:rsidRPr="00050FA4">
        <w:rPr>
          <w:lang w:val="sq-AL"/>
        </w:rPr>
        <w:t xml:space="preserve"> </w:t>
      </w:r>
      <w:r w:rsidRPr="00050FA4">
        <w:rPr>
          <w:lang w:val="sq-AL"/>
        </w:rPr>
        <w:t xml:space="preserve">Për financimin e masave të tjera për përballimin e shpenzimeve </w:t>
      </w:r>
      <w:r w:rsidR="004117C4" w:rsidRPr="00050FA4">
        <w:rPr>
          <w:lang w:val="sq-AL"/>
        </w:rPr>
        <w:t>COVID</w:t>
      </w:r>
      <w:r w:rsidRPr="00050FA4">
        <w:rPr>
          <w:lang w:val="sq-AL"/>
        </w:rPr>
        <w:t xml:space="preserve">-19 janë miratuar rreth 0.6 miliardë lekë, nga të cilat janë përdorur 0.5 miliardë lekë ose 87% e totalit të fondeve. </w:t>
      </w:r>
    </w:p>
    <w:p w14:paraId="7CCADA3B" w14:textId="23AB0051" w:rsidR="00A65EAE" w:rsidRPr="00050FA4" w:rsidRDefault="00A65EAE" w:rsidP="003F1DA7">
      <w:pPr>
        <w:pStyle w:val="AAAAAAATEXXXX"/>
        <w:rPr>
          <w:lang w:val="sq-AL"/>
        </w:rPr>
      </w:pPr>
      <w:r w:rsidRPr="00050FA4">
        <w:rPr>
          <w:lang w:val="sq-AL"/>
        </w:rPr>
        <w:t>Më poshtë</w:t>
      </w:r>
      <w:r w:rsidR="00332042" w:rsidRPr="00050FA4">
        <w:rPr>
          <w:lang w:val="sq-AL"/>
        </w:rPr>
        <w:t>,</w:t>
      </w:r>
      <w:r w:rsidRPr="00050FA4">
        <w:rPr>
          <w:lang w:val="sq-AL"/>
        </w:rPr>
        <w:t xml:space="preserve"> do të gjeni tabelën </w:t>
      </w:r>
      <w:r w:rsidR="008A0E5B" w:rsidRPr="00050FA4">
        <w:rPr>
          <w:i/>
          <w:lang w:val="sq-AL"/>
        </w:rPr>
        <w:t>“</w:t>
      </w:r>
      <w:r w:rsidRPr="00050FA4">
        <w:rPr>
          <w:i/>
          <w:lang w:val="sq-AL"/>
        </w:rPr>
        <w:t xml:space="preserve">Masat COVID-19 </w:t>
      </w:r>
      <w:r w:rsidR="003E64D0" w:rsidRPr="00050FA4">
        <w:rPr>
          <w:i/>
          <w:lang w:val="sq-AL"/>
        </w:rPr>
        <w:t>–</w:t>
      </w:r>
      <w:r w:rsidRPr="00050FA4">
        <w:rPr>
          <w:i/>
          <w:lang w:val="sq-AL"/>
        </w:rPr>
        <w:t xml:space="preserve"> Financimi nga fondi rezervë i buxhetit të shtetit, për vitin 2021</w:t>
      </w:r>
      <w:r w:rsidR="008A0E5B" w:rsidRPr="00050FA4">
        <w:rPr>
          <w:i/>
          <w:lang w:val="sq-AL"/>
        </w:rPr>
        <w:t>”</w:t>
      </w:r>
      <w:r w:rsidRPr="00050FA4">
        <w:rPr>
          <w:lang w:val="sq-AL"/>
        </w:rPr>
        <w:t xml:space="preserve">, që përfaqëson fondet e akorduara dhe të realizuara nga </w:t>
      </w:r>
      <w:r w:rsidR="00C27092" w:rsidRPr="00050FA4">
        <w:rPr>
          <w:lang w:val="sq-AL"/>
        </w:rPr>
        <w:t>fondi rezervë i buxhetit të shtetit</w:t>
      </w:r>
      <w:r w:rsidR="00332042" w:rsidRPr="00050FA4">
        <w:rPr>
          <w:lang w:val="sq-AL"/>
        </w:rPr>
        <w:t>,</w:t>
      </w:r>
      <w:r w:rsidR="00C27092" w:rsidRPr="00050FA4">
        <w:rPr>
          <w:lang w:val="sq-AL"/>
        </w:rPr>
        <w:t xml:space="preserve"> </w:t>
      </w:r>
      <w:r w:rsidRPr="00050FA4">
        <w:rPr>
          <w:lang w:val="sq-AL"/>
        </w:rPr>
        <w:t>në kuadër të masave anti</w:t>
      </w:r>
      <w:r w:rsidR="004117C4" w:rsidRPr="00050FA4">
        <w:rPr>
          <w:lang w:val="sq-AL"/>
        </w:rPr>
        <w:t>-COVID</w:t>
      </w:r>
      <w:r w:rsidRPr="00050FA4">
        <w:rPr>
          <w:lang w:val="sq-AL"/>
        </w:rPr>
        <w:t xml:space="preserve">-19. </w:t>
      </w:r>
    </w:p>
    <w:p w14:paraId="0D22FA0E" w14:textId="77777777" w:rsidR="00A65EAE" w:rsidRPr="00050FA4" w:rsidRDefault="00A65EAE" w:rsidP="003F1DA7">
      <w:pPr>
        <w:ind w:firstLine="284"/>
        <w:jc w:val="both"/>
        <w:rPr>
          <w:rFonts w:ascii="Garamond" w:eastAsia="SimSun" w:hAnsi="Garamond"/>
          <w:color w:val="0D0D0D" w:themeColor="text1" w:themeTint="F2"/>
        </w:rPr>
      </w:pPr>
    </w:p>
    <w:p w14:paraId="11DF9EDD" w14:textId="6274EC1C" w:rsidR="00A65EAE" w:rsidRPr="00050FA4" w:rsidRDefault="00A65EAE" w:rsidP="003F1DA7">
      <w:pPr>
        <w:ind w:firstLine="284"/>
        <w:jc w:val="center"/>
        <w:rPr>
          <w:rFonts w:ascii="Garamond" w:eastAsia="SimSun" w:hAnsi="Garamond"/>
          <w:color w:val="0D0D0D" w:themeColor="text1" w:themeTint="F2"/>
          <w:sz w:val="22"/>
        </w:rPr>
      </w:pPr>
      <w:r w:rsidRPr="00050FA4">
        <w:rPr>
          <w:rFonts w:ascii="Garamond" w:hAnsi="Garamond"/>
          <w:noProof/>
          <w:color w:val="0D0D0D" w:themeColor="text1" w:themeTint="F2"/>
          <w:lang w:val="en-US"/>
        </w:rPr>
        <w:lastRenderedPageBreak/>
        <w:drawing>
          <wp:inline distT="0" distB="0" distL="0" distR="0" wp14:anchorId="4D695771" wp14:editId="3BD48166">
            <wp:extent cx="6115050" cy="6048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5050" cy="6048375"/>
                    </a:xfrm>
                    <a:prstGeom prst="rect">
                      <a:avLst/>
                    </a:prstGeom>
                    <a:noFill/>
                    <a:ln>
                      <a:noFill/>
                    </a:ln>
                  </pic:spPr>
                </pic:pic>
              </a:graphicData>
            </a:graphic>
          </wp:inline>
        </w:drawing>
      </w:r>
    </w:p>
    <w:p w14:paraId="4ADE4B77" w14:textId="77777777" w:rsidR="00A65EAE" w:rsidRPr="00050FA4" w:rsidRDefault="00A65EAE" w:rsidP="003F1DA7">
      <w:pPr>
        <w:pStyle w:val="AAAAAAATEXXXX"/>
        <w:jc w:val="center"/>
        <w:rPr>
          <w:sz w:val="20"/>
          <w:szCs w:val="20"/>
          <w:lang w:val="sq-AL"/>
        </w:rPr>
      </w:pPr>
      <w:r w:rsidRPr="00050FA4">
        <w:rPr>
          <w:sz w:val="20"/>
          <w:szCs w:val="20"/>
          <w:lang w:val="sq-AL"/>
        </w:rPr>
        <w:t>Burimi: Ministria e Financave dhe Ekonomisë (2021)</w:t>
      </w:r>
    </w:p>
    <w:p w14:paraId="4D020380" w14:textId="77777777" w:rsidR="00A65EAE" w:rsidRPr="00050FA4" w:rsidRDefault="00A65EAE" w:rsidP="003F1DA7">
      <w:pPr>
        <w:snapToGrid w:val="0"/>
        <w:ind w:left="993" w:firstLine="284"/>
        <w:rPr>
          <w:rFonts w:ascii="Garamond" w:hAnsi="Garamond"/>
          <w:color w:val="0D0D0D" w:themeColor="text1" w:themeTint="F2"/>
        </w:rPr>
      </w:pPr>
    </w:p>
    <w:p w14:paraId="614D1539" w14:textId="77777777" w:rsidR="00A65EAE" w:rsidRPr="00050FA4" w:rsidRDefault="00A65EAE" w:rsidP="003F1DA7">
      <w:pPr>
        <w:pStyle w:val="AAAAAAATEXXXX"/>
        <w:rPr>
          <w:b/>
          <w:lang w:val="sq-AL"/>
        </w:rPr>
      </w:pPr>
      <w:r w:rsidRPr="00050FA4">
        <w:rPr>
          <w:b/>
          <w:lang w:val="sq-AL"/>
        </w:rPr>
        <w:t>Të ardhurat e buxhetit vendor</w:t>
      </w:r>
    </w:p>
    <w:p w14:paraId="65340FBC" w14:textId="4EE242C5" w:rsidR="00A65EAE" w:rsidRPr="00050FA4" w:rsidRDefault="00A65EAE" w:rsidP="003F1DA7">
      <w:pPr>
        <w:pStyle w:val="AAAAAAATEXXXX"/>
        <w:rPr>
          <w:lang w:val="sq-AL"/>
        </w:rPr>
      </w:pPr>
      <w:r w:rsidRPr="00050FA4">
        <w:rPr>
          <w:lang w:val="sq-AL"/>
        </w:rPr>
        <w:t xml:space="preserve">Për 11-mujorin 2021, njësitë e vetëqeverisjes vendore në shkallë vendi kanë mbledhur të ardhura në vlerën rreth 24.97 miliardë lekë, shifër kjo rreth 5.1 miliardë lekë më shumë se vlera e të ardhurave të mbledhura në të njëjtën periudhë të vitit 2020. E parë në këtë këndvështrim, rritja e efikasitetit të mbledhjes së taksave nga pushteti vendor për vitin 2021 ka ardhur si pasojë e rimëkëmbjes ekonomike pas një situate të vështirë ekonomike të shkaktuar nga pandemia globale COVID-19 gjatë vitit 2020. Në këtë drejtim, të ardhurat vendore janë rritur me rreth 26% në 11 muajt e parë të vitit 2021 krahasuar me të njëjtën periudhë të një viti më parë. Krahasuar edhe me të njëjtën periudhë të vitit 2019 (para pandemisë </w:t>
      </w:r>
      <w:r w:rsidR="004117C4" w:rsidRPr="00050FA4">
        <w:rPr>
          <w:lang w:val="sq-AL"/>
        </w:rPr>
        <w:t>COVID</w:t>
      </w:r>
      <w:r w:rsidRPr="00050FA4">
        <w:rPr>
          <w:lang w:val="sq-AL"/>
        </w:rPr>
        <w:t xml:space="preserve">-19), mbledhja e të ardhurave vendore në vitin 2021 shënon një rritje prej 3.1 miliardë lekësh (nga 21.8 miliardë lekë në 24.97 miliardë lekë) ose 14.4%. Sipas burimit të tyre, kanë rritje taksat vendore dhe taksat e pronës. </w:t>
      </w:r>
    </w:p>
    <w:p w14:paraId="28A184ED" w14:textId="38106FDC" w:rsidR="00A65EAE" w:rsidRPr="00050FA4" w:rsidRDefault="00A65EAE" w:rsidP="003F1DA7">
      <w:pPr>
        <w:pStyle w:val="AAAAAAATEXXXX"/>
        <w:rPr>
          <w:b/>
          <w:lang w:val="sq-AL"/>
        </w:rPr>
      </w:pPr>
      <w:r w:rsidRPr="00050FA4">
        <w:rPr>
          <w:b/>
          <w:lang w:val="sq-AL"/>
        </w:rPr>
        <w:t xml:space="preserve">Shpenzimet e buxhetit </w:t>
      </w:r>
      <w:r w:rsidR="00D8322E" w:rsidRPr="00050FA4">
        <w:rPr>
          <w:b/>
          <w:lang w:val="sq-AL"/>
        </w:rPr>
        <w:t>vendor</w:t>
      </w:r>
    </w:p>
    <w:p w14:paraId="577552E9" w14:textId="4642609E" w:rsidR="00A65EAE" w:rsidRPr="00050FA4" w:rsidRDefault="00A65EAE" w:rsidP="003F1DA7">
      <w:pPr>
        <w:pStyle w:val="AAAAAAATEXXXX"/>
        <w:rPr>
          <w:lang w:val="sq-AL"/>
        </w:rPr>
      </w:pPr>
      <w:r w:rsidRPr="00050FA4">
        <w:rPr>
          <w:lang w:val="sq-AL"/>
        </w:rPr>
        <w:t xml:space="preserve">Referuar treguesve fiskalë të buxhetit të konsoliduar, niveli i shpenzimeve për 11-mujorin 2021 është rreth 45.5 miliardë lekë, krahasuar me të njëjtën periudhë të vitit 2020 prej rreth 51.6 miliardë lekësh është ulur me rreth 6.19 miliardë lekë, por këtu nënvizojmë faktin se për këtë periudhë për vitin 2020, në shpenzimet e buxhetit vendor është përfshirë edhe </w:t>
      </w:r>
      <w:r w:rsidR="00C13F1A" w:rsidRPr="00050FA4">
        <w:rPr>
          <w:lang w:val="sq-AL"/>
        </w:rPr>
        <w:t>fondi i rindërtimit</w:t>
      </w:r>
      <w:r w:rsidRPr="00050FA4">
        <w:rPr>
          <w:lang w:val="sq-AL"/>
        </w:rPr>
        <w:t xml:space="preserve">. Për 11-mujorin e vitit 2021, </w:t>
      </w:r>
      <w:r w:rsidR="00C13F1A" w:rsidRPr="00050FA4">
        <w:rPr>
          <w:lang w:val="sq-AL"/>
        </w:rPr>
        <w:t>fondi i rindërtimi</w:t>
      </w:r>
      <w:r w:rsidRPr="00050FA4">
        <w:rPr>
          <w:lang w:val="sq-AL"/>
        </w:rPr>
        <w:t xml:space="preserve">t i akorduar në buxhetet vendore rezulton të jetë realizuar në </w:t>
      </w:r>
      <w:r w:rsidR="00DA1473" w:rsidRPr="00050FA4">
        <w:rPr>
          <w:lang w:val="sq-AL"/>
        </w:rPr>
        <w:t>vlerën rreth 14 miliardë lekë (</w:t>
      </w:r>
      <w:r w:rsidRPr="00050FA4">
        <w:rPr>
          <w:lang w:val="sq-AL"/>
        </w:rPr>
        <w:t xml:space="preserve">i </w:t>
      </w:r>
      <w:r w:rsidRPr="00050FA4">
        <w:rPr>
          <w:lang w:val="sq-AL"/>
        </w:rPr>
        <w:lastRenderedPageBreak/>
        <w:t xml:space="preserve">papërfshirë në tabelën e mëposhtme të analizës së shpenzimeve vendore). Por nëse krahasojmë </w:t>
      </w:r>
      <w:r w:rsidR="00C13F1A" w:rsidRPr="00050FA4">
        <w:rPr>
          <w:lang w:val="sq-AL"/>
        </w:rPr>
        <w:t>11-mujor</w:t>
      </w:r>
      <w:r w:rsidRPr="00050FA4">
        <w:rPr>
          <w:lang w:val="sq-AL"/>
        </w:rPr>
        <w:t xml:space="preserve">in e vitit 2021 me </w:t>
      </w:r>
      <w:r w:rsidR="00C13F1A" w:rsidRPr="00050FA4">
        <w:rPr>
          <w:lang w:val="sq-AL"/>
        </w:rPr>
        <w:t>11-mujor</w:t>
      </w:r>
      <w:r w:rsidRPr="00050FA4">
        <w:rPr>
          <w:lang w:val="sq-AL"/>
        </w:rPr>
        <w:t>in e 2020</w:t>
      </w:r>
      <w:r w:rsidR="00943587" w:rsidRPr="00050FA4">
        <w:rPr>
          <w:lang w:val="sq-AL"/>
        </w:rPr>
        <w:t>-ës,</w:t>
      </w:r>
      <w:r w:rsidRPr="00050FA4">
        <w:rPr>
          <w:lang w:val="sq-AL"/>
        </w:rPr>
        <w:t xml:space="preserve"> duke përfshirë </w:t>
      </w:r>
      <w:r w:rsidR="00943587" w:rsidRPr="00050FA4">
        <w:rPr>
          <w:lang w:val="sq-AL"/>
        </w:rPr>
        <w:t>fondin e rindërtimit m</w:t>
      </w:r>
      <w:r w:rsidRPr="00050FA4">
        <w:rPr>
          <w:lang w:val="sq-AL"/>
        </w:rPr>
        <w:t>ë 2021</w:t>
      </w:r>
      <w:r w:rsidR="00943587" w:rsidRPr="00050FA4">
        <w:rPr>
          <w:lang w:val="sq-AL"/>
        </w:rPr>
        <w:t>-shin</w:t>
      </w:r>
      <w:r w:rsidRPr="00050FA4">
        <w:rPr>
          <w:lang w:val="sq-AL"/>
        </w:rPr>
        <w:t xml:space="preserve"> rezulton se shpenzimet e pushtetit vendor janë rritur me rreth 15.2%.</w:t>
      </w:r>
    </w:p>
    <w:p w14:paraId="4AFA942E" w14:textId="77777777" w:rsidR="00A65EAE" w:rsidRPr="00050FA4" w:rsidRDefault="00A65EAE" w:rsidP="003F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Times New Roman" w:hAnsi="Garamond"/>
          <w:color w:val="0D0D0D" w:themeColor="text1" w:themeTint="F2"/>
        </w:rPr>
      </w:pPr>
    </w:p>
    <w:p w14:paraId="0A1372E5" w14:textId="69A0194B" w:rsidR="00A65EAE" w:rsidRPr="00050FA4" w:rsidRDefault="00A65EAE" w:rsidP="003F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eastAsia="Times New Roman" w:hAnsi="Garamond"/>
          <w:b/>
          <w:i/>
          <w:color w:val="0D0D0D" w:themeColor="text1" w:themeTint="F2"/>
          <w:sz w:val="20"/>
          <w:szCs w:val="20"/>
        </w:rPr>
      </w:pPr>
      <w:r w:rsidRPr="00050FA4">
        <w:rPr>
          <w:rFonts w:ascii="Garamond" w:eastAsia="Times New Roman" w:hAnsi="Garamond"/>
          <w:b/>
          <w:i/>
          <w:color w:val="0D0D0D" w:themeColor="text1" w:themeTint="F2"/>
          <w:sz w:val="20"/>
          <w:szCs w:val="20"/>
        </w:rPr>
        <w:t>Tabelë 4.2.7 Të ardhurat dhe shpenzimet faktike të qeverisjes vendore sipas natyrës (në milionë lekë)</w:t>
      </w:r>
    </w:p>
    <w:tbl>
      <w:tblPr>
        <w:tblStyle w:val="TableGrid32"/>
        <w:tblW w:w="9583" w:type="dxa"/>
        <w:jc w:val="center"/>
        <w:tblLook w:val="04A0" w:firstRow="1" w:lastRow="0" w:firstColumn="1" w:lastColumn="0" w:noHBand="0" w:noVBand="1"/>
      </w:tblPr>
      <w:tblGrid>
        <w:gridCol w:w="556"/>
        <w:gridCol w:w="4272"/>
        <w:gridCol w:w="1207"/>
        <w:gridCol w:w="1156"/>
        <w:gridCol w:w="1154"/>
        <w:gridCol w:w="1238"/>
      </w:tblGrid>
      <w:tr w:rsidR="00FA29AB" w:rsidRPr="00050FA4" w14:paraId="4687390B" w14:textId="77777777" w:rsidTr="00D8322E">
        <w:trPr>
          <w:trHeight w:val="233"/>
          <w:jc w:val="center"/>
        </w:trPr>
        <w:tc>
          <w:tcPr>
            <w:tcW w:w="556" w:type="dxa"/>
            <w:vMerge w:val="restart"/>
            <w:tcBorders>
              <w:top w:val="single" w:sz="4" w:space="0" w:color="auto"/>
              <w:left w:val="single" w:sz="4" w:space="0" w:color="auto"/>
              <w:bottom w:val="single" w:sz="4" w:space="0" w:color="auto"/>
              <w:right w:val="single" w:sz="4" w:space="0" w:color="auto"/>
            </w:tcBorders>
            <w:noWrap/>
            <w:vAlign w:val="center"/>
          </w:tcPr>
          <w:p w14:paraId="272B67ED" w14:textId="77777777" w:rsidR="00A65EAE" w:rsidRPr="00050FA4" w:rsidRDefault="00A65EAE" w:rsidP="00D8322E">
            <w:pPr>
              <w:jc w:val="center"/>
              <w:rPr>
                <w:rFonts w:ascii="Garamond" w:eastAsia="Times New Roman" w:hAnsi="Garamond"/>
                <w:b/>
                <w:bCs/>
                <w:color w:val="0D0D0D" w:themeColor="text1" w:themeTint="F2"/>
                <w:sz w:val="20"/>
                <w:szCs w:val="20"/>
              </w:rPr>
            </w:pPr>
          </w:p>
          <w:p w14:paraId="473EB36F"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Nr.</w:t>
            </w:r>
          </w:p>
        </w:tc>
        <w:tc>
          <w:tcPr>
            <w:tcW w:w="4272" w:type="dxa"/>
            <w:vMerge w:val="restart"/>
            <w:tcBorders>
              <w:top w:val="single" w:sz="4" w:space="0" w:color="auto"/>
              <w:left w:val="single" w:sz="4" w:space="0" w:color="auto"/>
              <w:bottom w:val="single" w:sz="4" w:space="0" w:color="auto"/>
              <w:right w:val="single" w:sz="4" w:space="0" w:color="auto"/>
            </w:tcBorders>
            <w:noWrap/>
            <w:vAlign w:val="center"/>
          </w:tcPr>
          <w:p w14:paraId="4B7675FA" w14:textId="77777777" w:rsidR="00A65EAE" w:rsidRPr="00050FA4" w:rsidRDefault="00A65EAE" w:rsidP="00D8322E">
            <w:pPr>
              <w:jc w:val="center"/>
              <w:rPr>
                <w:rFonts w:ascii="Garamond" w:eastAsia="Times New Roman" w:hAnsi="Garamond"/>
                <w:b/>
                <w:bCs/>
                <w:color w:val="0D0D0D" w:themeColor="text1" w:themeTint="F2"/>
                <w:sz w:val="20"/>
                <w:szCs w:val="20"/>
              </w:rPr>
            </w:pPr>
          </w:p>
          <w:p w14:paraId="1A98CAB2"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EMËRTIMI</w:t>
            </w:r>
          </w:p>
        </w:tc>
        <w:tc>
          <w:tcPr>
            <w:tcW w:w="2363" w:type="dxa"/>
            <w:gridSpan w:val="2"/>
            <w:tcBorders>
              <w:top w:val="single" w:sz="4" w:space="0" w:color="auto"/>
              <w:left w:val="single" w:sz="4" w:space="0" w:color="auto"/>
              <w:bottom w:val="single" w:sz="4" w:space="0" w:color="auto"/>
              <w:right w:val="single" w:sz="4" w:space="0" w:color="auto"/>
            </w:tcBorders>
            <w:noWrap/>
            <w:vAlign w:val="center"/>
            <w:hideMark/>
          </w:tcPr>
          <w:p w14:paraId="72A4BE17" w14:textId="64365DAC" w:rsidR="00A65EAE" w:rsidRPr="00050FA4" w:rsidRDefault="00D8322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Fakti 11-</w:t>
            </w:r>
            <w:r w:rsidR="00A65EAE" w:rsidRPr="00050FA4">
              <w:rPr>
                <w:rFonts w:ascii="Garamond" w:eastAsia="Times New Roman" w:hAnsi="Garamond"/>
                <w:b/>
                <w:bCs/>
                <w:color w:val="0D0D0D" w:themeColor="text1" w:themeTint="F2"/>
                <w:sz w:val="20"/>
                <w:szCs w:val="20"/>
              </w:rPr>
              <w:t>mujor</w:t>
            </w:r>
          </w:p>
        </w:tc>
        <w:tc>
          <w:tcPr>
            <w:tcW w:w="2392" w:type="dxa"/>
            <w:gridSpan w:val="2"/>
            <w:tcBorders>
              <w:top w:val="single" w:sz="4" w:space="0" w:color="auto"/>
              <w:left w:val="single" w:sz="4" w:space="0" w:color="auto"/>
              <w:bottom w:val="single" w:sz="4" w:space="0" w:color="auto"/>
              <w:right w:val="single" w:sz="4" w:space="0" w:color="auto"/>
            </w:tcBorders>
            <w:noWrap/>
            <w:vAlign w:val="center"/>
            <w:hideMark/>
          </w:tcPr>
          <w:p w14:paraId="351D77BC"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Diferencat</w:t>
            </w:r>
          </w:p>
        </w:tc>
      </w:tr>
      <w:tr w:rsidR="00FA29AB" w:rsidRPr="00050FA4" w14:paraId="030A5146" w14:textId="77777777" w:rsidTr="00D8322E">
        <w:trPr>
          <w:trHeight w:val="1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43B5A" w14:textId="77777777" w:rsidR="00A65EAE" w:rsidRPr="00050FA4" w:rsidRDefault="00A65EAE" w:rsidP="00D8322E">
            <w:pPr>
              <w:jc w:val="center"/>
              <w:rPr>
                <w:rFonts w:ascii="Garamond" w:eastAsia="Times New Roman" w:hAnsi="Garamond"/>
                <w:b/>
                <w:bCs/>
                <w:color w:val="0D0D0D" w:themeColor="text1" w:themeTint="F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5DC29" w14:textId="77777777" w:rsidR="00A65EAE" w:rsidRPr="00050FA4" w:rsidRDefault="00A65EAE" w:rsidP="00D8322E">
            <w:pPr>
              <w:jc w:val="center"/>
              <w:rPr>
                <w:rFonts w:ascii="Garamond" w:eastAsia="Times New Roman" w:hAnsi="Garamond"/>
                <w:b/>
                <w:bCs/>
                <w:color w:val="0D0D0D" w:themeColor="text1" w:themeTint="F2"/>
                <w:sz w:val="20"/>
                <w:szCs w:val="20"/>
              </w:rPr>
            </w:pP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15C0362"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2021</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51FAB56B"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2020</w:t>
            </w:r>
          </w:p>
        </w:tc>
        <w:tc>
          <w:tcPr>
            <w:tcW w:w="1154" w:type="dxa"/>
            <w:tcBorders>
              <w:top w:val="single" w:sz="4" w:space="0" w:color="auto"/>
              <w:left w:val="single" w:sz="4" w:space="0" w:color="auto"/>
              <w:bottom w:val="single" w:sz="4" w:space="0" w:color="auto"/>
              <w:right w:val="single" w:sz="4" w:space="0" w:color="auto"/>
            </w:tcBorders>
            <w:vAlign w:val="center"/>
            <w:hideMark/>
          </w:tcPr>
          <w:p w14:paraId="4262C3FB" w14:textId="7C0934FE"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2021/2020</w:t>
            </w:r>
          </w:p>
        </w:tc>
        <w:tc>
          <w:tcPr>
            <w:tcW w:w="1238" w:type="dxa"/>
            <w:tcBorders>
              <w:top w:val="single" w:sz="4" w:space="0" w:color="auto"/>
              <w:left w:val="single" w:sz="4" w:space="0" w:color="auto"/>
              <w:bottom w:val="single" w:sz="4" w:space="0" w:color="auto"/>
              <w:right w:val="single" w:sz="4" w:space="0" w:color="auto"/>
            </w:tcBorders>
            <w:vAlign w:val="center"/>
            <w:hideMark/>
          </w:tcPr>
          <w:p w14:paraId="62055E94" w14:textId="0C19D91A"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2021/2020 në %</w:t>
            </w:r>
          </w:p>
        </w:tc>
      </w:tr>
      <w:tr w:rsidR="00FA29AB" w:rsidRPr="00050FA4" w14:paraId="62608DCC"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3DDCA76C"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I.</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550FAE88" w14:textId="2DEEF422" w:rsidR="00A65EAE" w:rsidRPr="00050FA4" w:rsidRDefault="00A65EAE" w:rsidP="00D8322E">
            <w:pPr>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 xml:space="preserve">Të ardhura nga </w:t>
            </w:r>
            <w:r w:rsidR="004117C4" w:rsidRPr="00050FA4">
              <w:rPr>
                <w:rFonts w:ascii="Garamond" w:hAnsi="Garamond"/>
                <w:b/>
                <w:bCs/>
                <w:color w:val="0D0D0D" w:themeColor="text1" w:themeTint="F2"/>
                <w:sz w:val="20"/>
                <w:szCs w:val="20"/>
              </w:rPr>
              <w:t xml:space="preserve">pushteti </w:t>
            </w:r>
            <w:r w:rsidRPr="00050FA4">
              <w:rPr>
                <w:rFonts w:ascii="Garamond" w:hAnsi="Garamond"/>
                <w:b/>
                <w:bCs/>
                <w:color w:val="0D0D0D" w:themeColor="text1" w:themeTint="F2"/>
                <w:sz w:val="20"/>
                <w:szCs w:val="20"/>
              </w:rPr>
              <w:t>vendor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5A76F25"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24,970</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135FD32F"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19,843</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5E356566"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5,127</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417FE427"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126%</w:t>
            </w:r>
          </w:p>
        </w:tc>
      </w:tr>
      <w:tr w:rsidR="00FA29AB" w:rsidRPr="00050FA4" w14:paraId="06940994"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2D2CBEF3" w14:textId="77777777" w:rsidR="00A65EAE" w:rsidRPr="00050FA4" w:rsidRDefault="00A65EAE" w:rsidP="00D8322E">
            <w:pPr>
              <w:jc w:val="center"/>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I.1</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28A64313" w14:textId="77777777"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Taksa mbi pasurinë</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D67FEBB"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5,666</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69A402B4"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4,688</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5408AB20"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978</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6B99CE81"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121%</w:t>
            </w:r>
          </w:p>
        </w:tc>
      </w:tr>
      <w:tr w:rsidR="00FA29AB" w:rsidRPr="00050FA4" w14:paraId="5BC4B2E9"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784016A7" w14:textId="77777777" w:rsidR="00A65EAE" w:rsidRPr="00050FA4" w:rsidRDefault="00A65EAE" w:rsidP="00D8322E">
            <w:pPr>
              <w:jc w:val="center"/>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I.2</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4DB20518" w14:textId="77777777"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Taksa e biznesit të vogël</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417A5072"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374</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0C6D0061"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373</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4CB45058"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2</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3C7B2845"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100%</w:t>
            </w:r>
          </w:p>
        </w:tc>
      </w:tr>
      <w:tr w:rsidR="00FA29AB" w:rsidRPr="00050FA4" w14:paraId="3D42A655"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2410784D" w14:textId="77777777" w:rsidR="00A65EAE" w:rsidRPr="00050FA4" w:rsidRDefault="00A65EAE" w:rsidP="00D8322E">
            <w:pPr>
              <w:jc w:val="center"/>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I.3</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26E3EBC7" w14:textId="2EC73C8F"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 xml:space="preserve">Taksa </w:t>
            </w:r>
            <w:r w:rsidR="00943587" w:rsidRPr="00050FA4">
              <w:rPr>
                <w:rFonts w:ascii="Garamond" w:hAnsi="Garamond"/>
                <w:i/>
                <w:iCs/>
                <w:color w:val="0D0D0D" w:themeColor="text1" w:themeTint="F2"/>
                <w:sz w:val="20"/>
                <w:szCs w:val="20"/>
              </w:rPr>
              <w:t>lokale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0D907EA"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18,930</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71114E95"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14,782</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40009B45"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4,148</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72518AB1"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128%</w:t>
            </w:r>
          </w:p>
        </w:tc>
      </w:tr>
      <w:tr w:rsidR="00FA29AB" w:rsidRPr="00050FA4" w14:paraId="514AB887"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40F3D270" w14:textId="77777777" w:rsidR="00A65EAE" w:rsidRPr="00050FA4" w:rsidRDefault="00A65EAE" w:rsidP="00D8322E">
            <w:pPr>
              <w:jc w:val="center"/>
              <w:rPr>
                <w:rFonts w:ascii="Garamond" w:eastAsia="Times New Roman" w:hAnsi="Garamond"/>
                <w:b/>
                <w:bCs/>
                <w:color w:val="0D0D0D" w:themeColor="text1" w:themeTint="F2"/>
                <w:sz w:val="20"/>
                <w:szCs w:val="20"/>
              </w:rPr>
            </w:pPr>
            <w:r w:rsidRPr="00050FA4">
              <w:rPr>
                <w:rFonts w:ascii="Garamond" w:eastAsia="Times New Roman" w:hAnsi="Garamond"/>
                <w:b/>
                <w:bCs/>
                <w:color w:val="0D0D0D" w:themeColor="text1" w:themeTint="F2"/>
                <w:sz w:val="20"/>
                <w:szCs w:val="20"/>
              </w:rPr>
              <w:t>II.</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64DCD812" w14:textId="15FF561E" w:rsidR="00A65EAE" w:rsidRPr="00050FA4" w:rsidRDefault="00A65EAE" w:rsidP="00D8322E">
            <w:pPr>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 xml:space="preserve">Shpenzime nga </w:t>
            </w:r>
            <w:r w:rsidR="004117C4" w:rsidRPr="00050FA4">
              <w:rPr>
                <w:rFonts w:ascii="Garamond" w:hAnsi="Garamond"/>
                <w:b/>
                <w:bCs/>
                <w:color w:val="0D0D0D" w:themeColor="text1" w:themeTint="F2"/>
                <w:sz w:val="20"/>
                <w:szCs w:val="20"/>
              </w:rPr>
              <w:t>pushtetit vendor</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075A0C06"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45,472</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248C01B9"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51,663</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2A2ACAE2"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-6,191</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46B60E2D"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88%</w:t>
            </w:r>
          </w:p>
        </w:tc>
      </w:tr>
      <w:tr w:rsidR="00FA29AB" w:rsidRPr="00050FA4" w14:paraId="4F447EBB"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3A95E743" w14:textId="77777777" w:rsidR="00A65EAE" w:rsidRPr="00050FA4" w:rsidRDefault="00A65EAE" w:rsidP="00D8322E">
            <w:pPr>
              <w:jc w:val="center"/>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II.1</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23D5D57A" w14:textId="741CB585" w:rsidR="00A65EAE" w:rsidRPr="00050FA4" w:rsidRDefault="00A65EAE" w:rsidP="00D8322E">
            <w:pPr>
              <w:rPr>
                <w:rFonts w:ascii="Garamond" w:hAnsi="Garamond"/>
                <w:b/>
                <w:bCs/>
                <w:iCs/>
                <w:color w:val="0D0D0D" w:themeColor="text1" w:themeTint="F2"/>
                <w:sz w:val="20"/>
                <w:szCs w:val="20"/>
              </w:rPr>
            </w:pPr>
            <w:r w:rsidRPr="00050FA4">
              <w:rPr>
                <w:rFonts w:ascii="Garamond" w:hAnsi="Garamond"/>
                <w:b/>
                <w:bCs/>
                <w:iCs/>
                <w:color w:val="0D0D0D" w:themeColor="text1" w:themeTint="F2"/>
                <w:sz w:val="20"/>
                <w:szCs w:val="20"/>
              </w:rPr>
              <w:t xml:space="preserve">Shpenzime </w:t>
            </w:r>
            <w:r w:rsidR="004117C4" w:rsidRPr="00050FA4">
              <w:rPr>
                <w:rFonts w:ascii="Garamond" w:hAnsi="Garamond"/>
                <w:b/>
                <w:bCs/>
                <w:iCs/>
                <w:color w:val="0D0D0D" w:themeColor="text1" w:themeTint="F2"/>
                <w:sz w:val="20"/>
                <w:szCs w:val="20"/>
              </w:rPr>
              <w:t>korrente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5D6B5E85"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36,445</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7B15ECCE"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41,119</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132A8889"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-4,674</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61C4A03F"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89%</w:t>
            </w:r>
          </w:p>
        </w:tc>
      </w:tr>
      <w:tr w:rsidR="00FA29AB" w:rsidRPr="00050FA4" w14:paraId="446562C9"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11BEB0B7" w14:textId="4870F351" w:rsidR="00A65EAE" w:rsidRPr="00050FA4" w:rsidRDefault="00A65EAE" w:rsidP="00D8322E">
            <w:pPr>
              <w:jc w:val="center"/>
              <w:rPr>
                <w:rFonts w:ascii="Garamond" w:eastAsia="Times New Roman" w:hAnsi="Garamond"/>
                <w:color w:val="0D0D0D" w:themeColor="text1" w:themeTint="F2"/>
                <w:sz w:val="20"/>
                <w:szCs w:val="20"/>
              </w:rPr>
            </w:pP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5B8E1BB8" w14:textId="30335413"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Personeli</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75CA475E"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21,905</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6C20E612"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20,495</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4527235F"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1,411</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0984BD78"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107%</w:t>
            </w:r>
          </w:p>
        </w:tc>
      </w:tr>
      <w:tr w:rsidR="00FA29AB" w:rsidRPr="00050FA4" w14:paraId="528FAB2E"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008B89B9" w14:textId="3C2D3B16" w:rsidR="00A65EAE" w:rsidRPr="00050FA4" w:rsidRDefault="00A65EAE" w:rsidP="00D8322E">
            <w:pPr>
              <w:jc w:val="center"/>
              <w:rPr>
                <w:rFonts w:ascii="Garamond" w:eastAsia="Times New Roman" w:hAnsi="Garamond"/>
                <w:color w:val="0D0D0D" w:themeColor="text1" w:themeTint="F2"/>
                <w:sz w:val="20"/>
                <w:szCs w:val="20"/>
              </w:rPr>
            </w:pP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042F2360" w14:textId="30060DF4"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 xml:space="preserve">Shpenzime </w:t>
            </w:r>
            <w:r w:rsidR="004117C4" w:rsidRPr="00050FA4">
              <w:rPr>
                <w:rFonts w:ascii="Garamond" w:hAnsi="Garamond"/>
                <w:i/>
                <w:iCs/>
                <w:color w:val="0D0D0D" w:themeColor="text1" w:themeTint="F2"/>
                <w:sz w:val="20"/>
                <w:szCs w:val="20"/>
              </w:rPr>
              <w:t>oper. mirëmbajtje</w:t>
            </w:r>
            <w:r w:rsidR="00943587" w:rsidRPr="00050FA4">
              <w:rPr>
                <w:rFonts w:ascii="Garamond" w:hAnsi="Garamond"/>
                <w:i/>
                <w:iCs/>
                <w:color w:val="0D0D0D" w:themeColor="text1" w:themeTint="F2"/>
                <w:sz w:val="20"/>
                <w:szCs w:val="20"/>
              </w:rPr>
              <w:t>je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F6CD0F3"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13,287</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2C98CCA8"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12,741</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7CF0236E"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546.5</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238C25B7"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104%</w:t>
            </w:r>
          </w:p>
        </w:tc>
      </w:tr>
      <w:tr w:rsidR="00FA29AB" w:rsidRPr="00050FA4" w14:paraId="4B04CED4"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6CA6EB69" w14:textId="2E40A132" w:rsidR="00A65EAE" w:rsidRPr="00050FA4" w:rsidRDefault="00A65EAE" w:rsidP="00D8322E">
            <w:pPr>
              <w:jc w:val="center"/>
              <w:rPr>
                <w:rFonts w:ascii="Garamond" w:eastAsia="Times New Roman" w:hAnsi="Garamond"/>
                <w:color w:val="0D0D0D" w:themeColor="text1" w:themeTint="F2"/>
                <w:sz w:val="20"/>
                <w:szCs w:val="20"/>
              </w:rPr>
            </w:pP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5AA203F8" w14:textId="77777777"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Interesa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47F1F6E"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16</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6BE58CBC"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21</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6054F6F7"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-5</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36934683"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76%</w:t>
            </w:r>
          </w:p>
        </w:tc>
      </w:tr>
      <w:tr w:rsidR="00FA29AB" w:rsidRPr="00050FA4" w14:paraId="43A379BA"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127F808C" w14:textId="0074CBB7" w:rsidR="00A65EAE" w:rsidRPr="00050FA4" w:rsidRDefault="00A65EAE" w:rsidP="00D8322E">
            <w:pPr>
              <w:jc w:val="center"/>
              <w:rPr>
                <w:rFonts w:ascii="Garamond" w:eastAsia="Times New Roman" w:hAnsi="Garamond"/>
                <w:color w:val="0D0D0D" w:themeColor="text1" w:themeTint="F2"/>
                <w:sz w:val="20"/>
                <w:szCs w:val="20"/>
              </w:rPr>
            </w:pP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4073330E" w14:textId="77777777"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Subvencione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1E7A82C5"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125</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5CF77B82"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124</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1D4A100E"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3D56BD28"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101%</w:t>
            </w:r>
          </w:p>
        </w:tc>
      </w:tr>
      <w:tr w:rsidR="00FA29AB" w:rsidRPr="00050FA4" w14:paraId="60280C69" w14:textId="77777777" w:rsidTr="00D8322E">
        <w:trPr>
          <w:trHeight w:val="223"/>
          <w:jc w:val="center"/>
        </w:trPr>
        <w:tc>
          <w:tcPr>
            <w:tcW w:w="556" w:type="dxa"/>
            <w:tcBorders>
              <w:top w:val="single" w:sz="4" w:space="0" w:color="auto"/>
              <w:left w:val="single" w:sz="4" w:space="0" w:color="auto"/>
              <w:bottom w:val="single" w:sz="4" w:space="0" w:color="auto"/>
              <w:right w:val="single" w:sz="4" w:space="0" w:color="auto"/>
            </w:tcBorders>
            <w:noWrap/>
            <w:hideMark/>
          </w:tcPr>
          <w:p w14:paraId="7181B85F" w14:textId="1BB7E913" w:rsidR="00A65EAE" w:rsidRPr="00050FA4" w:rsidRDefault="00A65EAE" w:rsidP="00D8322E">
            <w:pPr>
              <w:jc w:val="center"/>
              <w:rPr>
                <w:rFonts w:ascii="Garamond" w:eastAsia="Times New Roman" w:hAnsi="Garamond"/>
                <w:color w:val="0D0D0D" w:themeColor="text1" w:themeTint="F2"/>
                <w:sz w:val="20"/>
                <w:szCs w:val="20"/>
              </w:rPr>
            </w:pP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188B129E" w14:textId="77777777" w:rsidR="00A65EAE" w:rsidRPr="00050FA4" w:rsidRDefault="00A65EAE" w:rsidP="00D8322E">
            <w:pPr>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Te tjera</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2A5605DA"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1,112</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412B367D" w14:textId="77777777" w:rsidR="00A65EAE" w:rsidRPr="00050FA4" w:rsidRDefault="00A65EAE" w:rsidP="00D8322E">
            <w:pPr>
              <w:jc w:val="right"/>
              <w:rPr>
                <w:rFonts w:ascii="Garamond" w:hAnsi="Garamond"/>
                <w:i/>
                <w:iCs/>
                <w:color w:val="0D0D0D" w:themeColor="text1" w:themeTint="F2"/>
                <w:sz w:val="20"/>
                <w:szCs w:val="20"/>
              </w:rPr>
            </w:pPr>
            <w:r w:rsidRPr="00050FA4">
              <w:rPr>
                <w:rFonts w:ascii="Garamond" w:hAnsi="Garamond"/>
                <w:i/>
                <w:iCs/>
                <w:color w:val="0D0D0D" w:themeColor="text1" w:themeTint="F2"/>
                <w:sz w:val="20"/>
                <w:szCs w:val="20"/>
              </w:rPr>
              <w:t>7,739</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31D63F64"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-6,627</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034A9AFA" w14:textId="77777777" w:rsidR="00A65EAE" w:rsidRPr="00050FA4" w:rsidRDefault="00A65EAE" w:rsidP="00D8322E">
            <w:pPr>
              <w:jc w:val="right"/>
              <w:rPr>
                <w:rFonts w:ascii="Garamond" w:hAnsi="Garamond"/>
                <w:color w:val="0D0D0D" w:themeColor="text1" w:themeTint="F2"/>
                <w:sz w:val="20"/>
                <w:szCs w:val="20"/>
              </w:rPr>
            </w:pPr>
            <w:r w:rsidRPr="00050FA4">
              <w:rPr>
                <w:rFonts w:ascii="Garamond" w:hAnsi="Garamond"/>
                <w:color w:val="0D0D0D" w:themeColor="text1" w:themeTint="F2"/>
                <w:sz w:val="20"/>
                <w:szCs w:val="20"/>
              </w:rPr>
              <w:t>14%</w:t>
            </w:r>
          </w:p>
        </w:tc>
      </w:tr>
      <w:tr w:rsidR="00FA29AB" w:rsidRPr="00050FA4" w14:paraId="199CFC39" w14:textId="77777777" w:rsidTr="00D8322E">
        <w:trPr>
          <w:trHeight w:val="233"/>
          <w:jc w:val="center"/>
        </w:trPr>
        <w:tc>
          <w:tcPr>
            <w:tcW w:w="556" w:type="dxa"/>
            <w:tcBorders>
              <w:top w:val="single" w:sz="4" w:space="0" w:color="auto"/>
              <w:left w:val="single" w:sz="4" w:space="0" w:color="auto"/>
              <w:bottom w:val="single" w:sz="4" w:space="0" w:color="auto"/>
              <w:right w:val="single" w:sz="4" w:space="0" w:color="auto"/>
            </w:tcBorders>
            <w:noWrap/>
            <w:hideMark/>
          </w:tcPr>
          <w:p w14:paraId="7B70FCB3" w14:textId="77777777" w:rsidR="00A65EAE" w:rsidRPr="00050FA4" w:rsidRDefault="00A65EAE" w:rsidP="00D8322E">
            <w:pPr>
              <w:jc w:val="center"/>
              <w:rPr>
                <w:rFonts w:ascii="Garamond" w:eastAsia="Times New Roman" w:hAnsi="Garamond"/>
                <w:color w:val="0D0D0D" w:themeColor="text1" w:themeTint="F2"/>
                <w:sz w:val="20"/>
                <w:szCs w:val="20"/>
              </w:rPr>
            </w:pPr>
            <w:r w:rsidRPr="00050FA4">
              <w:rPr>
                <w:rFonts w:ascii="Garamond" w:eastAsia="Times New Roman" w:hAnsi="Garamond"/>
                <w:color w:val="0D0D0D" w:themeColor="text1" w:themeTint="F2"/>
                <w:sz w:val="20"/>
                <w:szCs w:val="20"/>
              </w:rPr>
              <w:t>II.2</w:t>
            </w:r>
          </w:p>
        </w:tc>
        <w:tc>
          <w:tcPr>
            <w:tcW w:w="4272" w:type="dxa"/>
            <w:tcBorders>
              <w:top w:val="single" w:sz="4" w:space="0" w:color="auto"/>
              <w:left w:val="single" w:sz="4" w:space="0" w:color="auto"/>
              <w:bottom w:val="single" w:sz="4" w:space="0" w:color="auto"/>
              <w:right w:val="single" w:sz="4" w:space="0" w:color="auto"/>
            </w:tcBorders>
            <w:noWrap/>
            <w:vAlign w:val="center"/>
            <w:hideMark/>
          </w:tcPr>
          <w:p w14:paraId="389B46BB" w14:textId="76AF94E4" w:rsidR="00A65EAE" w:rsidRPr="00050FA4" w:rsidRDefault="00A65EAE" w:rsidP="00D8322E">
            <w:pPr>
              <w:rPr>
                <w:rFonts w:ascii="Garamond" w:hAnsi="Garamond"/>
                <w:b/>
                <w:bCs/>
                <w:iCs/>
                <w:color w:val="0D0D0D" w:themeColor="text1" w:themeTint="F2"/>
                <w:sz w:val="20"/>
                <w:szCs w:val="20"/>
              </w:rPr>
            </w:pPr>
            <w:r w:rsidRPr="00050FA4">
              <w:rPr>
                <w:rFonts w:ascii="Garamond" w:hAnsi="Garamond"/>
                <w:b/>
                <w:bCs/>
                <w:iCs/>
                <w:color w:val="0D0D0D" w:themeColor="text1" w:themeTint="F2"/>
                <w:sz w:val="20"/>
                <w:szCs w:val="20"/>
              </w:rPr>
              <w:t xml:space="preserve">Shpenzime </w:t>
            </w:r>
            <w:r w:rsidR="004117C4" w:rsidRPr="00050FA4">
              <w:rPr>
                <w:rFonts w:ascii="Garamond" w:hAnsi="Garamond"/>
                <w:b/>
                <w:bCs/>
                <w:iCs/>
                <w:color w:val="0D0D0D" w:themeColor="text1" w:themeTint="F2"/>
                <w:sz w:val="20"/>
                <w:szCs w:val="20"/>
              </w:rPr>
              <w:t>kapitale</w:t>
            </w:r>
          </w:p>
        </w:tc>
        <w:tc>
          <w:tcPr>
            <w:tcW w:w="1207" w:type="dxa"/>
            <w:tcBorders>
              <w:top w:val="single" w:sz="4" w:space="0" w:color="auto"/>
              <w:left w:val="single" w:sz="4" w:space="0" w:color="auto"/>
              <w:bottom w:val="single" w:sz="4" w:space="0" w:color="auto"/>
              <w:right w:val="single" w:sz="4" w:space="0" w:color="auto"/>
            </w:tcBorders>
            <w:noWrap/>
            <w:vAlign w:val="center"/>
            <w:hideMark/>
          </w:tcPr>
          <w:p w14:paraId="37F53665"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9,027</w:t>
            </w:r>
          </w:p>
        </w:tc>
        <w:tc>
          <w:tcPr>
            <w:tcW w:w="1155" w:type="dxa"/>
            <w:tcBorders>
              <w:top w:val="single" w:sz="4" w:space="0" w:color="auto"/>
              <w:left w:val="single" w:sz="4" w:space="0" w:color="auto"/>
              <w:bottom w:val="single" w:sz="4" w:space="0" w:color="auto"/>
              <w:right w:val="single" w:sz="4" w:space="0" w:color="auto"/>
            </w:tcBorders>
            <w:noWrap/>
            <w:vAlign w:val="center"/>
            <w:hideMark/>
          </w:tcPr>
          <w:p w14:paraId="55349EF3"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10,544</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5EC2BD72"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-1,517</w:t>
            </w:r>
          </w:p>
        </w:tc>
        <w:tc>
          <w:tcPr>
            <w:tcW w:w="1238" w:type="dxa"/>
            <w:tcBorders>
              <w:top w:val="single" w:sz="4" w:space="0" w:color="auto"/>
              <w:left w:val="single" w:sz="4" w:space="0" w:color="auto"/>
              <w:bottom w:val="single" w:sz="4" w:space="0" w:color="auto"/>
              <w:right w:val="single" w:sz="4" w:space="0" w:color="auto"/>
            </w:tcBorders>
            <w:noWrap/>
            <w:vAlign w:val="center"/>
            <w:hideMark/>
          </w:tcPr>
          <w:p w14:paraId="6FEAB134" w14:textId="77777777" w:rsidR="00A65EAE" w:rsidRPr="00050FA4" w:rsidRDefault="00A65EAE" w:rsidP="00D8322E">
            <w:pPr>
              <w:jc w:val="right"/>
              <w:rPr>
                <w:rFonts w:ascii="Garamond" w:hAnsi="Garamond"/>
                <w:b/>
                <w:bCs/>
                <w:color w:val="0D0D0D" w:themeColor="text1" w:themeTint="F2"/>
                <w:sz w:val="20"/>
                <w:szCs w:val="20"/>
              </w:rPr>
            </w:pPr>
            <w:r w:rsidRPr="00050FA4">
              <w:rPr>
                <w:rFonts w:ascii="Garamond" w:hAnsi="Garamond"/>
                <w:b/>
                <w:bCs/>
                <w:color w:val="0D0D0D" w:themeColor="text1" w:themeTint="F2"/>
                <w:sz w:val="20"/>
                <w:szCs w:val="20"/>
              </w:rPr>
              <w:t>86%</w:t>
            </w:r>
          </w:p>
        </w:tc>
      </w:tr>
    </w:tbl>
    <w:p w14:paraId="68422F59" w14:textId="3684D293" w:rsidR="00C505A7" w:rsidRPr="00050FA4" w:rsidRDefault="00A65EAE" w:rsidP="003F1DA7">
      <w:pPr>
        <w:snapToGrid w:val="0"/>
        <w:ind w:firstLine="284"/>
        <w:jc w:val="center"/>
        <w:rPr>
          <w:rFonts w:ascii="Garamond" w:hAnsi="Garamond" w:cstheme="majorBidi"/>
          <w:color w:val="0D0D0D" w:themeColor="text1" w:themeTint="F2"/>
        </w:rPr>
      </w:pPr>
      <w:r w:rsidRPr="00050FA4">
        <w:rPr>
          <w:rFonts w:ascii="Garamond" w:eastAsia="Times New Roman" w:hAnsi="Garamond"/>
          <w:color w:val="0D0D0D" w:themeColor="text1" w:themeTint="F2"/>
          <w:sz w:val="22"/>
          <w:szCs w:val="22"/>
        </w:rPr>
        <w:t>Burimi: Ministria e Financave dhe Ekonomisë (2021)</w:t>
      </w:r>
    </w:p>
    <w:p w14:paraId="4E1F45B8" w14:textId="77777777" w:rsidR="00C505A7" w:rsidRPr="00050FA4" w:rsidRDefault="00C505A7" w:rsidP="003F1DA7">
      <w:pPr>
        <w:snapToGrid w:val="0"/>
        <w:ind w:firstLine="284"/>
        <w:rPr>
          <w:rFonts w:ascii="Garamond" w:hAnsi="Garamond" w:cstheme="majorBidi"/>
          <w:color w:val="0D0D0D" w:themeColor="text1" w:themeTint="F2"/>
        </w:rPr>
      </w:pPr>
    </w:p>
    <w:p w14:paraId="55DDCC99" w14:textId="6438CC93" w:rsidR="004E6105" w:rsidRPr="00050FA4" w:rsidRDefault="00DC3DD6" w:rsidP="003F1DA7">
      <w:pPr>
        <w:pStyle w:val="AAAAAAATEXXXX"/>
        <w:rPr>
          <w:b/>
          <w:lang w:val="sq-AL"/>
        </w:rPr>
      </w:pPr>
      <w:bookmarkStart w:id="22" w:name="_Toc93325755"/>
      <w:bookmarkStart w:id="23" w:name="_Toc484076175"/>
      <w:r w:rsidRPr="00050FA4">
        <w:rPr>
          <w:b/>
          <w:lang w:val="sq-AL"/>
        </w:rPr>
        <w:t xml:space="preserve">4.3 </w:t>
      </w:r>
      <w:r w:rsidR="005B4C87" w:rsidRPr="00050FA4">
        <w:rPr>
          <w:b/>
          <w:lang w:val="sq-AL"/>
        </w:rPr>
        <w:t>Planet buxhetore për vitin e dorëzimit të ERP-së</w:t>
      </w:r>
      <w:bookmarkEnd w:id="22"/>
    </w:p>
    <w:p w14:paraId="5C320F30" w14:textId="77777777" w:rsidR="005714D0" w:rsidRPr="00050FA4" w:rsidRDefault="005714D0" w:rsidP="003F1DA7">
      <w:pPr>
        <w:pStyle w:val="AAAAAAATEXXXX"/>
        <w:rPr>
          <w:lang w:val="sq-AL"/>
        </w:rPr>
      </w:pPr>
      <w:r w:rsidRPr="00050FA4">
        <w:rPr>
          <w:lang w:val="sq-AL"/>
        </w:rPr>
        <w:t xml:space="preserve">Totali i të ardhurave publike për vitin 2022 është planifikuar në vlerën 536.8 miliardë lekë ose 28.7% e PBB-së. Programimi i të ardhurave mbështet synimet e Ministrisë së Financave dhe Ekonomisë për rimëkëmbjen fiskale, si dhe mbajtjen nën kontroll të deficitit buxhetor dhe borxhit publik. Ky parashikim bazohet në përmirësimin e administrimit fiskal dhe minimizimin e informalitetit në ekonomi, duke mbështetur kështu rimëkëmbjen ekonomike, si dhe rritjen e prodhimit dhe eksporteve. </w:t>
      </w:r>
    </w:p>
    <w:p w14:paraId="077D8792" w14:textId="07B6EBDE" w:rsidR="005714D0" w:rsidRPr="00050FA4" w:rsidRDefault="005714D0" w:rsidP="003F1DA7">
      <w:pPr>
        <w:pStyle w:val="AAAAAAATEXXXX"/>
        <w:rPr>
          <w:lang w:val="sq-AL"/>
        </w:rPr>
      </w:pPr>
      <w:r w:rsidRPr="00050FA4">
        <w:rPr>
          <w:lang w:val="sq-AL"/>
        </w:rPr>
        <w:t xml:space="preserve">Grantet janë planifikuar në masën 14 miliardë lekë ose 0.7% e PBB-së; </w:t>
      </w:r>
      <w:r w:rsidR="00CD3054" w:rsidRPr="00050FA4">
        <w:rPr>
          <w:lang w:val="sq-AL"/>
        </w:rPr>
        <w:t xml:space="preserve">të </w:t>
      </w:r>
      <w:r w:rsidRPr="00050FA4">
        <w:rPr>
          <w:lang w:val="sq-AL"/>
        </w:rPr>
        <w:t xml:space="preserve">ardhurat tatimore janë planifikuar në masën 500.2 miliardë lekë ose 26.8% e PBB-së dhe të ardhurat jotatimore janë planifikuar në masën 22.7 miliardë lekë ose 1.2% e PBB-së. </w:t>
      </w:r>
    </w:p>
    <w:p w14:paraId="75C6AB6D" w14:textId="0459024F" w:rsidR="005714D0" w:rsidRPr="00050FA4" w:rsidRDefault="005714D0" w:rsidP="003F1DA7">
      <w:pPr>
        <w:pStyle w:val="AAAAAAATEXXXX"/>
        <w:rPr>
          <w:lang w:val="sq-AL"/>
        </w:rPr>
      </w:pPr>
      <w:r w:rsidRPr="00050FA4">
        <w:rPr>
          <w:lang w:val="sq-AL"/>
        </w:rPr>
        <w:t>Totali i shpenzimeve publike për vitin 2022 është planifikuar 637.7 miliardë lekë ose 34.1% e PBB</w:t>
      </w:r>
      <w:r w:rsidR="00CD3054" w:rsidRPr="00050FA4">
        <w:rPr>
          <w:lang w:val="sq-AL"/>
        </w:rPr>
        <w:t>-së</w:t>
      </w:r>
      <w:r w:rsidRPr="00050FA4">
        <w:rPr>
          <w:lang w:val="sq-AL"/>
        </w:rPr>
        <w:t>.</w:t>
      </w:r>
    </w:p>
    <w:p w14:paraId="61AB680F" w14:textId="4AA52E7F" w:rsidR="005714D0" w:rsidRPr="00050FA4" w:rsidRDefault="005714D0" w:rsidP="003F1DA7">
      <w:pPr>
        <w:pStyle w:val="AAAAAAATEXXXX"/>
        <w:rPr>
          <w:lang w:val="sq-AL"/>
        </w:rPr>
      </w:pPr>
      <w:r w:rsidRPr="00050FA4">
        <w:rPr>
          <w:lang w:val="sq-AL"/>
        </w:rPr>
        <w:t>Shpenzimet e personelit</w:t>
      </w:r>
      <w:r w:rsidR="007E0972" w:rsidRPr="00050FA4">
        <w:rPr>
          <w:lang w:val="sq-AL"/>
        </w:rPr>
        <w:t>,</w:t>
      </w:r>
      <w:r w:rsidRPr="00050FA4">
        <w:rPr>
          <w:lang w:val="sq-AL"/>
        </w:rPr>
        <w:t xml:space="preserve"> për vitin 2022, reflektojnë koston aktuale të </w:t>
      </w:r>
      <w:r w:rsidR="00A15375" w:rsidRPr="00050FA4">
        <w:rPr>
          <w:lang w:val="sq-AL"/>
        </w:rPr>
        <w:t>administratës publike</w:t>
      </w:r>
      <w:r w:rsidRPr="00050FA4">
        <w:rPr>
          <w:lang w:val="sq-AL"/>
        </w:rPr>
        <w:t xml:space="preserve">, si dhe politikën e re të rritjes së pagave kryesisht për sektorët e shëndetësisë, arsimit dhe mbrojtjes. Fondi vjetor për rritjen e pagave është planifikuar në shumën 2.4 miliardë lekë dhe parashikon rritjen e pagës për funksion me 6% për punonjësit shëndetësor dhe ata arsimorë. Shpenzimet totale për pagat në </w:t>
      </w:r>
      <w:r w:rsidR="00A15375" w:rsidRPr="00050FA4">
        <w:rPr>
          <w:lang w:val="sq-AL"/>
        </w:rPr>
        <w:t xml:space="preserve">administratën publike </w:t>
      </w:r>
      <w:r w:rsidRPr="00050FA4">
        <w:rPr>
          <w:lang w:val="sq-AL"/>
        </w:rPr>
        <w:t>janë planifikuar</w:t>
      </w:r>
      <w:r w:rsidR="009B1D6B" w:rsidRPr="00050FA4">
        <w:rPr>
          <w:lang w:val="sq-AL"/>
        </w:rPr>
        <w:t xml:space="preserve"> </w:t>
      </w:r>
      <w:r w:rsidRPr="00050FA4">
        <w:rPr>
          <w:lang w:val="sq-AL"/>
        </w:rPr>
        <w:t>në masën 91.6 miliardë lekë ose 4.9% e PBB</w:t>
      </w:r>
      <w:r w:rsidR="00A15375" w:rsidRPr="00050FA4">
        <w:rPr>
          <w:lang w:val="sq-AL"/>
        </w:rPr>
        <w:t>-së</w:t>
      </w:r>
      <w:r w:rsidRPr="00050FA4">
        <w:rPr>
          <w:lang w:val="sq-AL"/>
        </w:rPr>
        <w:t>.</w:t>
      </w:r>
    </w:p>
    <w:p w14:paraId="07C40435" w14:textId="05EA7350" w:rsidR="005714D0" w:rsidRPr="00050FA4" w:rsidRDefault="005714D0" w:rsidP="003F1DA7">
      <w:pPr>
        <w:pStyle w:val="AAAAAAATEXXXX"/>
        <w:rPr>
          <w:lang w:val="sq-AL"/>
        </w:rPr>
      </w:pPr>
      <w:r w:rsidRPr="00050FA4">
        <w:rPr>
          <w:lang w:val="sq-AL"/>
        </w:rPr>
        <w:t>Shpenzimet për interesa parashikohen në nivelin 50.8 miliardë lekë ose 2.7% të PBB</w:t>
      </w:r>
      <w:r w:rsidR="00D81FA6" w:rsidRPr="00050FA4">
        <w:rPr>
          <w:lang w:val="sq-AL"/>
        </w:rPr>
        <w:t>-së</w:t>
      </w:r>
      <w:r w:rsidRPr="00050FA4">
        <w:rPr>
          <w:lang w:val="sq-AL"/>
        </w:rPr>
        <w:t>, për të përballuar çdo risk të mundshëm të rritjes së normave të interesit.</w:t>
      </w:r>
    </w:p>
    <w:p w14:paraId="05E2294B" w14:textId="025C5E1E" w:rsidR="005714D0" w:rsidRPr="00050FA4" w:rsidRDefault="005714D0" w:rsidP="003F1DA7">
      <w:pPr>
        <w:pStyle w:val="AAAAAAATEXXXX"/>
        <w:rPr>
          <w:lang w:val="sq-AL"/>
        </w:rPr>
      </w:pPr>
      <w:r w:rsidRPr="00050FA4">
        <w:rPr>
          <w:lang w:val="sq-AL"/>
        </w:rPr>
        <w:t>Shpenzimet operative dhe të mirëmbajtjes për qeverisjen qendrore për vitin 2022 (pa përfshirë shpenzimet që realizohen nga institucione publike, që kanë si burim financimi të ardhurat jashtë limitit), janë parashikuar në masën 63.2 miliardë lekë ose rreth 3.4% e PBB-së. Në këtë zë është programuar mbështetja me prioritet e politikave ekzistuese të qeverisjes qendrore</w:t>
      </w:r>
      <w:r w:rsidR="00720FC4" w:rsidRPr="00050FA4">
        <w:rPr>
          <w:lang w:val="sq-AL"/>
        </w:rPr>
        <w:t>,</w:t>
      </w:r>
      <w:r w:rsidRPr="00050FA4">
        <w:rPr>
          <w:lang w:val="sq-AL"/>
        </w:rPr>
        <w:t xml:space="preserve"> si: blerja e vaksinave anti-COVID, skema e fermerëve, mirëmbajtja e rrugëve nacionale, programet e nxitjes së punësimit, skemat për mbështetjen e zhvillimit ekonomik dhe mbështetje për rininë dhe fëmijët. </w:t>
      </w:r>
    </w:p>
    <w:p w14:paraId="5056D306" w14:textId="79B52487" w:rsidR="005714D0" w:rsidRPr="00050FA4" w:rsidRDefault="005714D0" w:rsidP="003F1DA7">
      <w:pPr>
        <w:pStyle w:val="AAAAAAATEXXXX"/>
        <w:rPr>
          <w:lang w:val="sq-AL"/>
        </w:rPr>
      </w:pPr>
      <w:r w:rsidRPr="00050FA4">
        <w:rPr>
          <w:lang w:val="sq-AL"/>
        </w:rPr>
        <w:t>Shpenzimet e buxhetit vendor</w:t>
      </w:r>
      <w:r w:rsidR="00720FC4" w:rsidRPr="00050FA4">
        <w:rPr>
          <w:lang w:val="sq-AL"/>
        </w:rPr>
        <w:t>,</w:t>
      </w:r>
      <w:r w:rsidRPr="00050FA4">
        <w:rPr>
          <w:lang w:val="sq-AL"/>
        </w:rPr>
        <w:t xml:space="preserve"> për vitin 2022, janë parashikuar në masën 60.3.7 miliardë lekë, me një rritje prej 3.3% më shumë se </w:t>
      </w:r>
      <w:r w:rsidR="00890D6C" w:rsidRPr="00050FA4">
        <w:rPr>
          <w:lang w:val="sq-AL"/>
        </w:rPr>
        <w:t xml:space="preserve">akti normativ </w:t>
      </w:r>
      <w:r w:rsidRPr="00050FA4">
        <w:rPr>
          <w:lang w:val="sq-AL"/>
        </w:rPr>
        <w:t>i vitit 2021.</w:t>
      </w:r>
      <w:r w:rsidR="009B1D6B" w:rsidRPr="00050FA4">
        <w:rPr>
          <w:lang w:val="sq-AL"/>
        </w:rPr>
        <w:t xml:space="preserve"> </w:t>
      </w:r>
      <w:r w:rsidRPr="00050FA4">
        <w:rPr>
          <w:lang w:val="sq-AL"/>
        </w:rPr>
        <w:t>Këto shpenzime për vitin 2022, zënë 3.2% të PBB-së nga 2.3% që zinin në vitin 2013. COVID-19, ashtu si</w:t>
      </w:r>
      <w:r w:rsidR="009B1D6B" w:rsidRPr="00050FA4">
        <w:rPr>
          <w:lang w:val="sq-AL"/>
        </w:rPr>
        <w:t xml:space="preserve"> </w:t>
      </w:r>
      <w:r w:rsidRPr="00050FA4">
        <w:rPr>
          <w:lang w:val="sq-AL"/>
        </w:rPr>
        <w:t>edhe në vendet e tjera ka pasur dhe parashikohet të ketë efekte negative në rënien e ekonomisë dhe për pasojë dhe në uljen e të ardhurave buxhetore. Përballimi i një sfide të madhe ekonomike dhe buxhetore nga njësitë e vetëqeverisjes vendore</w:t>
      </w:r>
      <w:r w:rsidR="00720FC4" w:rsidRPr="00050FA4">
        <w:rPr>
          <w:lang w:val="sq-AL"/>
        </w:rPr>
        <w:t xml:space="preserve">, </w:t>
      </w:r>
      <w:r w:rsidRPr="00050FA4">
        <w:rPr>
          <w:lang w:val="sq-AL"/>
        </w:rPr>
        <w:t xml:space="preserve">për shkak të pasojave të shkaktuara nga tërmeti dhe pandemia COVID-19 janë një tregues pozitiv i punës së zhvilluar në këto vite në drejtim të stabilitetit makroekonomik, parashikueshmërisë së fondeve dhe transparencës së përdorimit me disiplinë të fondeve buxhetore. Me qëllim ruajtjen e stabilitetit të shpenzimeve vendore dhe për </w:t>
      </w:r>
      <w:r w:rsidR="004117C4" w:rsidRPr="00050FA4">
        <w:rPr>
          <w:lang w:val="sq-AL"/>
        </w:rPr>
        <w:t>mbështetjen</w:t>
      </w:r>
      <w:r w:rsidRPr="00050FA4">
        <w:rPr>
          <w:lang w:val="sq-AL"/>
        </w:rPr>
        <w:t xml:space="preserve"> e njësive të vetëqeverisjes vendore për përballimin e shpenzimeve të </w:t>
      </w:r>
      <w:r w:rsidR="004117C4" w:rsidRPr="00050FA4">
        <w:rPr>
          <w:lang w:val="sq-AL"/>
        </w:rPr>
        <w:t>COVID</w:t>
      </w:r>
      <w:r w:rsidRPr="00050FA4">
        <w:rPr>
          <w:lang w:val="sq-AL"/>
        </w:rPr>
        <w:t>-19, niveli i transfertës së pakushtëzuar për vitin 2022 do të jetë rreth 273 milion</w:t>
      </w:r>
      <w:r w:rsidR="00720FC4" w:rsidRPr="00050FA4">
        <w:rPr>
          <w:lang w:val="sq-AL"/>
        </w:rPr>
        <w:t>ë</w:t>
      </w:r>
      <w:r w:rsidRPr="00050FA4">
        <w:rPr>
          <w:lang w:val="sq-AL"/>
        </w:rPr>
        <w:t xml:space="preserve"> lekë më i lartë se viti 2021.</w:t>
      </w:r>
      <w:r w:rsidR="009B1D6B" w:rsidRPr="00050FA4">
        <w:rPr>
          <w:lang w:val="sq-AL"/>
        </w:rPr>
        <w:t xml:space="preserve"> </w:t>
      </w:r>
      <w:r w:rsidRPr="00050FA4">
        <w:rPr>
          <w:lang w:val="sq-AL"/>
        </w:rPr>
        <w:t>Kjo transfertë, krahasuar me vitin 2015 (viti para reform</w:t>
      </w:r>
      <w:r w:rsidR="00720FC4" w:rsidRPr="00050FA4">
        <w:rPr>
          <w:lang w:val="sq-AL"/>
        </w:rPr>
        <w:t>ës administrativo-territoriale),</w:t>
      </w:r>
      <w:r w:rsidRPr="00050FA4">
        <w:rPr>
          <w:lang w:val="sq-AL"/>
        </w:rPr>
        <w:t xml:space="preserve"> është 6.3 miliardë lekë </w:t>
      </w:r>
      <w:r w:rsidRPr="00050FA4">
        <w:rPr>
          <w:lang w:val="sq-AL"/>
        </w:rPr>
        <w:lastRenderedPageBreak/>
        <w:t>më shumë ose rreth 54.5 për</w:t>
      </w:r>
      <w:r w:rsidR="004117C4" w:rsidRPr="00050FA4">
        <w:rPr>
          <w:lang w:val="sq-AL"/>
        </w:rPr>
        <w:t xml:space="preserve"> </w:t>
      </w:r>
      <w:r w:rsidRPr="00050FA4">
        <w:rPr>
          <w:lang w:val="sq-AL"/>
        </w:rPr>
        <w:t xml:space="preserve">qind më e lartë. Në transfertën e pakushtëzuar të parashikuar për vitin 2022, 18.7 </w:t>
      </w:r>
      <w:r w:rsidR="00F949C0" w:rsidRPr="00050FA4">
        <w:rPr>
          <w:lang w:val="sq-AL"/>
        </w:rPr>
        <w:t>miliardë lekë</w:t>
      </w:r>
      <w:r w:rsidRPr="00050FA4">
        <w:rPr>
          <w:lang w:val="sq-AL"/>
        </w:rPr>
        <w:t xml:space="preserve">, do të shtohen edhe fondet prej 9.3 </w:t>
      </w:r>
      <w:r w:rsidR="00890D6C" w:rsidRPr="00050FA4">
        <w:rPr>
          <w:lang w:val="sq-AL"/>
        </w:rPr>
        <w:t xml:space="preserve">miliardë lekësh </w:t>
      </w:r>
      <w:r w:rsidRPr="00050FA4">
        <w:rPr>
          <w:lang w:val="sq-AL"/>
        </w:rPr>
        <w:t>transfertë e pakushtëzuar sektoriale për funksionet e reja, transferuar në nivel vendor, si rrjedhojë, në vitin 2022, granti nga buxheti i shtetit për pushtetin vendor do të jetë në shumën 28 miliard</w:t>
      </w:r>
      <w:r w:rsidR="00A37A63" w:rsidRPr="00050FA4">
        <w:rPr>
          <w:lang w:val="sq-AL"/>
        </w:rPr>
        <w:t>ë</w:t>
      </w:r>
      <w:r w:rsidRPr="00050FA4">
        <w:rPr>
          <w:lang w:val="sq-AL"/>
        </w:rPr>
        <w:t xml:space="preserve"> lekë. Të ardhurat nga taksat dhe tarifat vendore në vitin 2021 do të jenë 27.6 miliardë lekë ose 6 për</w:t>
      </w:r>
      <w:r w:rsidR="004117C4" w:rsidRPr="00050FA4">
        <w:rPr>
          <w:lang w:val="sq-AL"/>
        </w:rPr>
        <w:t xml:space="preserve"> </w:t>
      </w:r>
      <w:r w:rsidRPr="00050FA4">
        <w:rPr>
          <w:lang w:val="sq-AL"/>
        </w:rPr>
        <w:t>qind më të larta se sa i pritshmi i</w:t>
      </w:r>
      <w:r w:rsidR="009B1D6B" w:rsidRPr="00050FA4">
        <w:rPr>
          <w:lang w:val="sq-AL"/>
        </w:rPr>
        <w:t xml:space="preserve"> </w:t>
      </w:r>
      <w:r w:rsidRPr="00050FA4">
        <w:rPr>
          <w:lang w:val="sq-AL"/>
        </w:rPr>
        <w:t>vitit 2021 dhe pothuajse mbi dy herë më të larta se ato të viteve 2013 dhe 2015.</w:t>
      </w:r>
    </w:p>
    <w:p w14:paraId="2DEA7089" w14:textId="6C695456" w:rsidR="005714D0" w:rsidRPr="00050FA4" w:rsidRDefault="005714D0" w:rsidP="003F1DA7">
      <w:pPr>
        <w:pStyle w:val="AAAAAAATEXXXX"/>
        <w:rPr>
          <w:lang w:val="sq-AL"/>
        </w:rPr>
      </w:pPr>
      <w:r w:rsidRPr="00050FA4">
        <w:rPr>
          <w:lang w:val="sq-AL"/>
        </w:rPr>
        <w:t>Shpenzimet e fondeve speciale që përfshin shpenzimet totale për F</w:t>
      </w:r>
      <w:r w:rsidR="00A37A63" w:rsidRPr="00050FA4">
        <w:rPr>
          <w:lang w:val="sq-AL"/>
        </w:rPr>
        <w:t>ondet e sigurimeve shoqërore, shëndetës</w:t>
      </w:r>
      <w:r w:rsidRPr="00050FA4">
        <w:rPr>
          <w:lang w:val="sq-AL"/>
        </w:rPr>
        <w:t>ore dhe kompensimin në vlerë të ish-pronarëve, janë planifikuar në vlerën prej 212.3 miliardë lekë</w:t>
      </w:r>
      <w:r w:rsidR="00890D6C" w:rsidRPr="00050FA4">
        <w:rPr>
          <w:lang w:val="sq-AL"/>
        </w:rPr>
        <w:t>sh</w:t>
      </w:r>
      <w:r w:rsidRPr="00050FA4">
        <w:rPr>
          <w:lang w:val="sq-AL"/>
        </w:rPr>
        <w:t xml:space="preserve">. Niveli i shpenzimeve për </w:t>
      </w:r>
      <w:r w:rsidR="006F6743" w:rsidRPr="00050FA4">
        <w:rPr>
          <w:lang w:val="sq-AL"/>
        </w:rPr>
        <w:t xml:space="preserve">skemën e sigurimeve shoqërore </w:t>
      </w:r>
      <w:r w:rsidRPr="00050FA4">
        <w:rPr>
          <w:lang w:val="sq-AL"/>
        </w:rPr>
        <w:t>për vitin 2022, parashikohet në masën 148.9 miliardë lekë</w:t>
      </w:r>
      <w:r w:rsidR="00890D6C" w:rsidRPr="00050FA4">
        <w:rPr>
          <w:lang w:val="sq-AL"/>
        </w:rPr>
        <w:t>sh</w:t>
      </w:r>
      <w:r w:rsidRPr="00050FA4">
        <w:rPr>
          <w:lang w:val="sq-AL"/>
        </w:rPr>
        <w:t xml:space="preserve"> ose 8% e PBB</w:t>
      </w:r>
      <w:r w:rsidR="006F6743" w:rsidRPr="00050FA4">
        <w:rPr>
          <w:lang w:val="sq-AL"/>
        </w:rPr>
        <w:t>-së</w:t>
      </w:r>
      <w:r w:rsidRPr="00050FA4">
        <w:rPr>
          <w:lang w:val="sq-AL"/>
        </w:rPr>
        <w:t>. Nga ky fond, për indeksimin e pensioneve është parashikuar niveli prej 2.6 miliardë lekë</w:t>
      </w:r>
      <w:r w:rsidR="00890D6C" w:rsidRPr="00050FA4">
        <w:rPr>
          <w:lang w:val="sq-AL"/>
        </w:rPr>
        <w:t>sh</w:t>
      </w:r>
      <w:r w:rsidRPr="00050FA4">
        <w:rPr>
          <w:lang w:val="sq-AL"/>
        </w:rPr>
        <w:t xml:space="preserve"> dhe 3.5 miliardë lekë</w:t>
      </w:r>
      <w:r w:rsidR="00890D6C" w:rsidRPr="00050FA4">
        <w:rPr>
          <w:lang w:val="sq-AL"/>
        </w:rPr>
        <w:t>sh</w:t>
      </w:r>
      <w:r w:rsidRPr="00050FA4">
        <w:rPr>
          <w:lang w:val="sq-AL"/>
        </w:rPr>
        <w:t xml:space="preserve"> për bonusin e fundvitit për pensionistët. Ndërsa, shpenzimet e Skemës së Sigurimeve të Kujdesit Shëndetësor për vitin 2022 janë parashikuar në masën 52.8 miliardë lekë ose 2.8% e PBB nga 46.1 miliardë lekë të planifikuara në vitin 2021.</w:t>
      </w:r>
    </w:p>
    <w:p w14:paraId="15EC0C11" w14:textId="7B37865E" w:rsidR="005714D0" w:rsidRPr="00050FA4" w:rsidRDefault="005714D0" w:rsidP="003F1DA7">
      <w:pPr>
        <w:pStyle w:val="AAAAAAATEXXXX"/>
        <w:rPr>
          <w:lang w:val="sq-AL"/>
        </w:rPr>
      </w:pPr>
      <w:r w:rsidRPr="00050FA4">
        <w:rPr>
          <w:lang w:val="sq-AL"/>
        </w:rPr>
        <w:t xml:space="preserve">Së fundi, shpenzimet për </w:t>
      </w:r>
      <w:r w:rsidR="00DA0514" w:rsidRPr="00050FA4">
        <w:rPr>
          <w:lang w:val="sq-AL"/>
        </w:rPr>
        <w:t>fondin e kompensimit në vlerë të pronarëve</w:t>
      </w:r>
      <w:r w:rsidRPr="00050FA4">
        <w:rPr>
          <w:lang w:val="sq-AL"/>
        </w:rPr>
        <w:t>, parashikohen në total në masën 4.5 miliardë lekë ose 0.2% e PBB</w:t>
      </w:r>
      <w:r w:rsidR="00DA0514" w:rsidRPr="00050FA4">
        <w:rPr>
          <w:lang w:val="sq-AL"/>
        </w:rPr>
        <w:t>-së</w:t>
      </w:r>
      <w:r w:rsidRPr="00050FA4">
        <w:rPr>
          <w:lang w:val="sq-AL"/>
        </w:rPr>
        <w:t>.</w:t>
      </w:r>
    </w:p>
    <w:p w14:paraId="1B97A8EB" w14:textId="529236EA" w:rsidR="005714D0" w:rsidRPr="00050FA4" w:rsidRDefault="005714D0" w:rsidP="003F1DA7">
      <w:pPr>
        <w:pStyle w:val="AAAAAAATEXXXX"/>
        <w:rPr>
          <w:lang w:val="sq-AL"/>
        </w:rPr>
      </w:pPr>
      <w:r w:rsidRPr="00050FA4">
        <w:rPr>
          <w:lang w:val="sq-AL"/>
        </w:rPr>
        <w:t>Shpenzime të tjera sociale përfshi</w:t>
      </w:r>
      <w:r w:rsidR="00096061" w:rsidRPr="00050FA4">
        <w:rPr>
          <w:lang w:val="sq-AL"/>
        </w:rPr>
        <w:t>j</w:t>
      </w:r>
      <w:r w:rsidRPr="00050FA4">
        <w:rPr>
          <w:lang w:val="sq-AL"/>
        </w:rPr>
        <w:t>n</w:t>
      </w:r>
      <w:r w:rsidR="00096061" w:rsidRPr="00050FA4">
        <w:rPr>
          <w:lang w:val="sq-AL"/>
        </w:rPr>
        <w:t>ë</w:t>
      </w:r>
      <w:r w:rsidRPr="00050FA4">
        <w:rPr>
          <w:lang w:val="sq-AL"/>
        </w:rPr>
        <w:t xml:space="preserve"> fondet për pagesën e papunësisë, aftësisë së kufizuar, ndihmës ekonomike, dëmshpërblimin e ish-të përndjekurve politikë dhe bonusin e lindjeve.</w:t>
      </w:r>
    </w:p>
    <w:p w14:paraId="2437F073" w14:textId="6978C965" w:rsidR="005714D0" w:rsidRPr="00050FA4" w:rsidRDefault="00875F85" w:rsidP="003F1DA7">
      <w:pPr>
        <w:pStyle w:val="AAAAAAATEXXXX"/>
        <w:rPr>
          <w:lang w:val="sq-AL"/>
        </w:rPr>
      </w:pPr>
      <w:r w:rsidRPr="00050FA4">
        <w:rPr>
          <w:lang w:val="sq-AL"/>
        </w:rPr>
        <w:t xml:space="preserve">- </w:t>
      </w:r>
      <w:r w:rsidR="005714D0" w:rsidRPr="00050FA4">
        <w:rPr>
          <w:lang w:val="sq-AL"/>
        </w:rPr>
        <w:t xml:space="preserve">Shpenzimet për pagesën e papunësisë parashikohen në nivelin 900 milionë lekë. </w:t>
      </w:r>
    </w:p>
    <w:p w14:paraId="111044A5" w14:textId="3777A2B0" w:rsidR="005714D0" w:rsidRPr="00050FA4" w:rsidRDefault="00875F85" w:rsidP="003F1DA7">
      <w:pPr>
        <w:pStyle w:val="AAAAAAATEXXXX"/>
        <w:rPr>
          <w:lang w:val="sq-AL"/>
        </w:rPr>
      </w:pPr>
      <w:r w:rsidRPr="00050FA4">
        <w:rPr>
          <w:lang w:val="sq-AL"/>
        </w:rPr>
        <w:t xml:space="preserve">- </w:t>
      </w:r>
      <w:r w:rsidR="005714D0" w:rsidRPr="00050FA4">
        <w:rPr>
          <w:lang w:val="sq-AL"/>
        </w:rPr>
        <w:t>Shpenzimet për pagesën e ndihmës ekonomike dhe aftësisë së kufizuar parashikohen në nivelin 23.5 miliardë lekë ose 1.3% e PBB</w:t>
      </w:r>
      <w:r w:rsidR="003E2060" w:rsidRPr="00050FA4">
        <w:rPr>
          <w:lang w:val="sq-AL"/>
        </w:rPr>
        <w:t>-së</w:t>
      </w:r>
      <w:r w:rsidR="005714D0" w:rsidRPr="00050FA4">
        <w:rPr>
          <w:lang w:val="sq-AL"/>
        </w:rPr>
        <w:t xml:space="preserve">. </w:t>
      </w:r>
    </w:p>
    <w:p w14:paraId="382631C1" w14:textId="53A54957" w:rsidR="005714D0" w:rsidRPr="00050FA4" w:rsidRDefault="00875F85" w:rsidP="003F1DA7">
      <w:pPr>
        <w:pStyle w:val="AAAAAAATEXXXX"/>
        <w:rPr>
          <w:lang w:val="sq-AL"/>
        </w:rPr>
      </w:pPr>
      <w:r w:rsidRPr="00050FA4">
        <w:rPr>
          <w:lang w:val="sq-AL"/>
        </w:rPr>
        <w:t xml:space="preserve">- </w:t>
      </w:r>
      <w:r w:rsidR="005714D0" w:rsidRPr="00050FA4">
        <w:rPr>
          <w:lang w:val="sq-AL"/>
        </w:rPr>
        <w:t>Për ish-të përndjekurit është parashikuar një fond prej 1 miliard</w:t>
      </w:r>
      <w:r w:rsidR="00F935F9" w:rsidRPr="00050FA4">
        <w:rPr>
          <w:lang w:val="sq-AL"/>
        </w:rPr>
        <w:t>ë</w:t>
      </w:r>
      <w:r w:rsidR="005714D0" w:rsidRPr="00050FA4">
        <w:rPr>
          <w:lang w:val="sq-AL"/>
        </w:rPr>
        <w:t xml:space="preserve"> lekë</w:t>
      </w:r>
      <w:r w:rsidR="00890D6C" w:rsidRPr="00050FA4">
        <w:rPr>
          <w:lang w:val="sq-AL"/>
        </w:rPr>
        <w:t>sh</w:t>
      </w:r>
      <w:r w:rsidR="005714D0" w:rsidRPr="00050FA4">
        <w:rPr>
          <w:lang w:val="sq-AL"/>
        </w:rPr>
        <w:t xml:space="preserve"> ose 0.1% e PBB</w:t>
      </w:r>
      <w:r w:rsidR="003710A1" w:rsidRPr="00050FA4">
        <w:rPr>
          <w:lang w:val="sq-AL"/>
        </w:rPr>
        <w:t>-së</w:t>
      </w:r>
      <w:r w:rsidR="005714D0" w:rsidRPr="00050FA4">
        <w:rPr>
          <w:lang w:val="sq-AL"/>
        </w:rPr>
        <w:t xml:space="preserve">. </w:t>
      </w:r>
    </w:p>
    <w:p w14:paraId="2C4F7B5A" w14:textId="7D67B301" w:rsidR="005714D0" w:rsidRPr="00050FA4" w:rsidRDefault="00875F85" w:rsidP="003F1DA7">
      <w:pPr>
        <w:pStyle w:val="AAAAAAATEXXXX"/>
        <w:rPr>
          <w:lang w:val="sq-AL"/>
        </w:rPr>
      </w:pPr>
      <w:r w:rsidRPr="00050FA4">
        <w:rPr>
          <w:lang w:val="sq-AL"/>
        </w:rPr>
        <w:t xml:space="preserve">- </w:t>
      </w:r>
      <w:r w:rsidR="005714D0" w:rsidRPr="00050FA4">
        <w:rPr>
          <w:lang w:val="sq-AL"/>
        </w:rPr>
        <w:t>Për bonusin e lindjeve është parashikuar një fond prej 2.2 miliardë lekë</w:t>
      </w:r>
      <w:r w:rsidR="00C8506B" w:rsidRPr="00050FA4">
        <w:rPr>
          <w:lang w:val="sq-AL"/>
        </w:rPr>
        <w:t>sh</w:t>
      </w:r>
      <w:r w:rsidR="005714D0" w:rsidRPr="00050FA4">
        <w:rPr>
          <w:lang w:val="sq-AL"/>
        </w:rPr>
        <w:t xml:space="preserve"> ose 0.1% e PBB</w:t>
      </w:r>
      <w:r w:rsidR="003710A1" w:rsidRPr="00050FA4">
        <w:rPr>
          <w:lang w:val="sq-AL"/>
        </w:rPr>
        <w:t>-së</w:t>
      </w:r>
      <w:r w:rsidR="005714D0" w:rsidRPr="00050FA4">
        <w:rPr>
          <w:lang w:val="sq-AL"/>
        </w:rPr>
        <w:t>.</w:t>
      </w:r>
    </w:p>
    <w:p w14:paraId="003BF50E" w14:textId="781055FE" w:rsidR="005714D0" w:rsidRPr="00050FA4" w:rsidRDefault="005714D0" w:rsidP="003F1DA7">
      <w:pPr>
        <w:pStyle w:val="AAAAAAATEXXXX"/>
        <w:rPr>
          <w:lang w:val="sq-AL"/>
        </w:rPr>
      </w:pPr>
      <w:r w:rsidRPr="00050FA4">
        <w:rPr>
          <w:lang w:val="sq-AL"/>
        </w:rPr>
        <w:t>Shpenzimet për subvencione janë parashikuar në masën 1.55 miliardë lekë</w:t>
      </w:r>
      <w:r w:rsidR="00F935F9" w:rsidRPr="00050FA4">
        <w:rPr>
          <w:lang w:val="sq-AL"/>
        </w:rPr>
        <w:t>,</w:t>
      </w:r>
      <w:r w:rsidRPr="00050FA4">
        <w:rPr>
          <w:lang w:val="sq-AL"/>
        </w:rPr>
        <w:t xml:space="preserve"> duke u rritur krahasuar me një vit më parë. Këto shpenzime shkojnë për mbështetjen e sektorit të ujësjellës-kanalizimeve</w:t>
      </w:r>
      <w:r w:rsidR="00F935F9" w:rsidRPr="00050FA4">
        <w:rPr>
          <w:lang w:val="sq-AL"/>
        </w:rPr>
        <w:t>,</w:t>
      </w:r>
      <w:r w:rsidRPr="00050FA4">
        <w:rPr>
          <w:lang w:val="sq-AL"/>
        </w:rPr>
        <w:t xml:space="preserve"> bazuar në performancën e tij, si dhe për të mbuluar një pjesë të shpenzimeve të veprimtarisë hekurudhore dhe veprimtarisë së shërbimeve qeveritare. </w:t>
      </w:r>
    </w:p>
    <w:p w14:paraId="1734C6E5" w14:textId="3C3C08ED" w:rsidR="005714D0" w:rsidRPr="00050FA4" w:rsidRDefault="005714D0" w:rsidP="003F1DA7">
      <w:pPr>
        <w:pStyle w:val="AAAAAAATEXXXX"/>
        <w:rPr>
          <w:lang w:val="sq-AL"/>
        </w:rPr>
      </w:pPr>
      <w:r w:rsidRPr="00050FA4">
        <w:rPr>
          <w:lang w:val="sq-AL"/>
        </w:rPr>
        <w:t xml:space="preserve">Niveli i </w:t>
      </w:r>
      <w:r w:rsidR="00F935F9" w:rsidRPr="00050FA4">
        <w:rPr>
          <w:lang w:val="sq-AL"/>
        </w:rPr>
        <w:t xml:space="preserve">fondit rezervë për </w:t>
      </w:r>
      <w:r w:rsidRPr="00050FA4">
        <w:rPr>
          <w:lang w:val="sq-AL"/>
        </w:rPr>
        <w:t xml:space="preserve">vitin 2022, planifikohet në masën 2.9 miliardë lekë, përkatësisht 2.4 miliardë lekë </w:t>
      </w:r>
      <w:r w:rsidR="00F935F9" w:rsidRPr="00050FA4">
        <w:rPr>
          <w:lang w:val="sq-AL"/>
        </w:rPr>
        <w:t>fond reze</w:t>
      </w:r>
      <w:r w:rsidRPr="00050FA4">
        <w:rPr>
          <w:lang w:val="sq-AL"/>
        </w:rPr>
        <w:t>rvë i Këshillit të Ministrave, 500 milionë lekë fond kontigjence për projektet me BE</w:t>
      </w:r>
      <w:r w:rsidR="004117C4" w:rsidRPr="00050FA4">
        <w:rPr>
          <w:lang w:val="sq-AL"/>
        </w:rPr>
        <w:t>-në,</w:t>
      </w:r>
      <w:r w:rsidRPr="00050FA4">
        <w:rPr>
          <w:lang w:val="sq-AL"/>
        </w:rPr>
        <w:t xml:space="preserve"> si dhe 500 milionë lekë kontingjencë për projekte specifike për fëmijët.</w:t>
      </w:r>
    </w:p>
    <w:p w14:paraId="5EBF0A7F" w14:textId="70B69AA6" w:rsidR="005714D0" w:rsidRPr="00050FA4" w:rsidRDefault="005714D0" w:rsidP="003F1DA7">
      <w:pPr>
        <w:pStyle w:val="AAAAAAATEXXXX"/>
        <w:rPr>
          <w:lang w:val="sq-AL"/>
        </w:rPr>
      </w:pPr>
      <w:r w:rsidRPr="00050FA4">
        <w:rPr>
          <w:lang w:val="sq-AL"/>
        </w:rPr>
        <w:t xml:space="preserve">Investimet </w:t>
      </w:r>
      <w:r w:rsidR="00F935F9" w:rsidRPr="00050FA4">
        <w:rPr>
          <w:lang w:val="sq-AL"/>
        </w:rPr>
        <w:t xml:space="preserve">publike </w:t>
      </w:r>
      <w:r w:rsidRPr="00050FA4">
        <w:rPr>
          <w:lang w:val="sq-AL"/>
        </w:rPr>
        <w:t>për vitin 2022 janë planifikuar në masën 6.4% e PBB ose 119.4 miliardë lekë (duke përfshirë këtu dhe fondin e rindërtimit në shumën 20 miliardë lekë</w:t>
      </w:r>
      <w:r w:rsidR="00F935F9" w:rsidRPr="00050FA4">
        <w:rPr>
          <w:lang w:val="sq-AL"/>
        </w:rPr>
        <w:t>,</w:t>
      </w:r>
      <w:r w:rsidRPr="00050FA4">
        <w:rPr>
          <w:lang w:val="sq-AL"/>
        </w:rPr>
        <w:t xml:space="preserve"> si dhe transfertën kapitale për fondin e shpronësimeve me 1,2 miliardë lekë). Në planifikimin e investimeve për vitin 2022 janë mbajtur në konsideratë të gjitha detyrimet kontraktuale për projektet e investimeve me financim të huaj dhe të brendshëm. Ashtu, si edhe në vitin 2021, dhe në vitin 2022 do të ketë përparësi financimi i projekteve në vazhdim. Për planifikimin e investimeve janë ndjekur kriteret e mëposhtme:</w:t>
      </w:r>
    </w:p>
    <w:p w14:paraId="151D0C97" w14:textId="2857D6C8" w:rsidR="005714D0" w:rsidRPr="00050FA4" w:rsidRDefault="00875F85" w:rsidP="003F1DA7">
      <w:pPr>
        <w:pStyle w:val="AAAAAAATEXXXX"/>
        <w:rPr>
          <w:lang w:val="sq-AL"/>
        </w:rPr>
      </w:pPr>
      <w:r w:rsidRPr="00050FA4">
        <w:rPr>
          <w:lang w:val="sq-AL"/>
        </w:rPr>
        <w:t xml:space="preserve">- </w:t>
      </w:r>
      <w:r w:rsidR="004117C4" w:rsidRPr="00050FA4">
        <w:rPr>
          <w:lang w:val="sq-AL"/>
        </w:rPr>
        <w:t xml:space="preserve">prioritetet </w:t>
      </w:r>
      <w:r w:rsidR="005714D0" w:rsidRPr="00050FA4">
        <w:rPr>
          <w:lang w:val="sq-AL"/>
        </w:rPr>
        <w:t>e Programit</w:t>
      </w:r>
      <w:r w:rsidR="004117C4" w:rsidRPr="00050FA4">
        <w:rPr>
          <w:lang w:val="sq-AL"/>
        </w:rPr>
        <w:t xml:space="preserve"> të Qeverisë</w:t>
      </w:r>
      <w:r w:rsidR="00F935F9" w:rsidRPr="00050FA4">
        <w:rPr>
          <w:lang w:val="sq-AL"/>
        </w:rPr>
        <w:t>,</w:t>
      </w:r>
      <w:r w:rsidR="004117C4" w:rsidRPr="00050FA4">
        <w:rPr>
          <w:lang w:val="sq-AL"/>
        </w:rPr>
        <w:t xml:space="preserve"> për periudhën 2021–</w:t>
      </w:r>
      <w:r w:rsidR="005714D0" w:rsidRPr="00050FA4">
        <w:rPr>
          <w:lang w:val="sq-AL"/>
        </w:rPr>
        <w:t>2025;</w:t>
      </w:r>
    </w:p>
    <w:p w14:paraId="1678B9ED" w14:textId="22B60E2D" w:rsidR="005714D0" w:rsidRPr="00050FA4" w:rsidRDefault="00875F85" w:rsidP="003F1DA7">
      <w:pPr>
        <w:pStyle w:val="AAAAAAATEXXXX"/>
        <w:rPr>
          <w:lang w:val="sq-AL"/>
        </w:rPr>
      </w:pPr>
      <w:r w:rsidRPr="00050FA4">
        <w:rPr>
          <w:lang w:val="sq-AL"/>
        </w:rPr>
        <w:t xml:space="preserve">- </w:t>
      </w:r>
      <w:r w:rsidR="004117C4" w:rsidRPr="00050FA4">
        <w:rPr>
          <w:lang w:val="sq-AL"/>
        </w:rPr>
        <w:t xml:space="preserve">prioritetet </w:t>
      </w:r>
      <w:r w:rsidR="005714D0" w:rsidRPr="00050FA4">
        <w:rPr>
          <w:lang w:val="sq-AL"/>
        </w:rPr>
        <w:t>e integrimit e</w:t>
      </w:r>
      <w:r w:rsidR="004117C4" w:rsidRPr="00050FA4">
        <w:rPr>
          <w:lang w:val="sq-AL"/>
        </w:rPr>
        <w:t>v</w:t>
      </w:r>
      <w:r w:rsidR="005714D0" w:rsidRPr="00050FA4">
        <w:rPr>
          <w:lang w:val="sq-AL"/>
        </w:rPr>
        <w:t>ropian;</w:t>
      </w:r>
    </w:p>
    <w:p w14:paraId="6C528CEC" w14:textId="1C9D99C0" w:rsidR="005714D0" w:rsidRPr="00050FA4" w:rsidRDefault="00875F85" w:rsidP="003F1DA7">
      <w:pPr>
        <w:pStyle w:val="AAAAAAATEXXXX"/>
        <w:rPr>
          <w:lang w:val="sq-AL"/>
        </w:rPr>
      </w:pPr>
      <w:r w:rsidRPr="00050FA4">
        <w:rPr>
          <w:lang w:val="sq-AL"/>
        </w:rPr>
        <w:t xml:space="preserve">- </w:t>
      </w:r>
      <w:r w:rsidR="004117C4" w:rsidRPr="00050FA4">
        <w:rPr>
          <w:lang w:val="sq-AL"/>
        </w:rPr>
        <w:t xml:space="preserve">projektet </w:t>
      </w:r>
      <w:r w:rsidR="005714D0" w:rsidRPr="00050FA4">
        <w:rPr>
          <w:lang w:val="sq-AL"/>
        </w:rPr>
        <w:t>në vazhdim.</w:t>
      </w:r>
    </w:p>
    <w:p w14:paraId="26AA925B" w14:textId="117DC3B3" w:rsidR="00C505A7" w:rsidRPr="00050FA4" w:rsidRDefault="00875F85" w:rsidP="003F1DA7">
      <w:pPr>
        <w:pStyle w:val="AAAAAAATEXXXX"/>
        <w:rPr>
          <w:lang w:val="sq-AL"/>
        </w:rPr>
      </w:pPr>
      <w:r w:rsidRPr="00050FA4">
        <w:rPr>
          <w:lang w:val="sq-AL"/>
        </w:rPr>
        <w:t xml:space="preserve">- </w:t>
      </w:r>
      <w:r w:rsidR="004117C4" w:rsidRPr="00050FA4">
        <w:rPr>
          <w:lang w:val="sq-AL"/>
        </w:rPr>
        <w:t xml:space="preserve">mbështetja </w:t>
      </w:r>
      <w:r w:rsidR="005714D0" w:rsidRPr="00050FA4">
        <w:rPr>
          <w:lang w:val="sq-AL"/>
        </w:rPr>
        <w:t>me kosto lokale dhe TVSH pë</w:t>
      </w:r>
      <w:r w:rsidR="00F935F9" w:rsidRPr="00050FA4">
        <w:rPr>
          <w:lang w:val="sq-AL"/>
        </w:rPr>
        <w:t>r projektet me financim të huaj.</w:t>
      </w:r>
    </w:p>
    <w:p w14:paraId="27D2333A" w14:textId="692F6CE2" w:rsidR="009D0A0E" w:rsidRPr="00050FA4" w:rsidRDefault="00DC3DD6" w:rsidP="003F1DA7">
      <w:pPr>
        <w:pStyle w:val="AAAAAAATEXXXX"/>
        <w:rPr>
          <w:b/>
          <w:lang w:val="sq-AL"/>
        </w:rPr>
      </w:pPr>
      <w:bookmarkStart w:id="24" w:name="_Toc61854156"/>
      <w:bookmarkStart w:id="25" w:name="_Toc93325756"/>
      <w:r w:rsidRPr="00050FA4">
        <w:rPr>
          <w:b/>
          <w:lang w:val="sq-AL"/>
        </w:rPr>
        <w:t>4</w:t>
      </w:r>
      <w:r w:rsidR="00875F85" w:rsidRPr="00050FA4">
        <w:rPr>
          <w:b/>
          <w:lang w:val="sq-AL"/>
        </w:rPr>
        <w:t>.</w:t>
      </w:r>
      <w:r w:rsidRPr="00050FA4">
        <w:rPr>
          <w:b/>
          <w:lang w:val="sq-AL"/>
        </w:rPr>
        <w:t>4</w:t>
      </w:r>
      <w:r w:rsidR="00875F85" w:rsidRPr="00050FA4">
        <w:rPr>
          <w:b/>
          <w:lang w:val="sq-AL"/>
        </w:rPr>
        <w:t xml:space="preserve"> </w:t>
      </w:r>
      <w:r w:rsidR="005B4C87" w:rsidRPr="00050FA4">
        <w:rPr>
          <w:b/>
          <w:lang w:val="sq-AL"/>
        </w:rPr>
        <w:t>Perspektiva buxhetore afatmesme</w:t>
      </w:r>
      <w:bookmarkEnd w:id="24"/>
      <w:bookmarkEnd w:id="25"/>
    </w:p>
    <w:p w14:paraId="7C7BE6EA" w14:textId="732FE24E" w:rsidR="005714D0" w:rsidRPr="00050FA4" w:rsidRDefault="005714D0" w:rsidP="003F1DA7">
      <w:pPr>
        <w:pStyle w:val="AAAAAAATEXXXX"/>
        <w:rPr>
          <w:lang w:val="sq-AL"/>
        </w:rPr>
      </w:pPr>
      <w:r w:rsidRPr="00050FA4">
        <w:rPr>
          <w:lang w:val="sq-AL"/>
        </w:rPr>
        <w:t xml:space="preserve">Parashikimi i të ardhurave tatimore dhe doganore për vitin 2022 ka marrë në konsideratë të gjithë faktorët e rëndësishëm që ndikojnë në buxhet, veçanërisht situatën ekonomike të krijuar nga pandemia e </w:t>
      </w:r>
      <w:r w:rsidR="002C2446" w:rsidRPr="00050FA4">
        <w:rPr>
          <w:lang w:val="sq-AL"/>
        </w:rPr>
        <w:t>COVID-</w:t>
      </w:r>
      <w:r w:rsidRPr="00050FA4">
        <w:rPr>
          <w:lang w:val="sq-AL"/>
        </w:rPr>
        <w:t>19, përfshirë efektin e politikave të reja fiskale që synojnë rimëkëmbjen ekonomike.</w:t>
      </w:r>
    </w:p>
    <w:p w14:paraId="3856AC06" w14:textId="77777777" w:rsidR="005714D0" w:rsidRPr="00050FA4" w:rsidRDefault="005714D0" w:rsidP="003F1DA7">
      <w:pPr>
        <w:pStyle w:val="AAAAAAATEXXXX"/>
        <w:rPr>
          <w:lang w:val="sq-AL"/>
        </w:rPr>
      </w:pPr>
      <w:r w:rsidRPr="00050FA4">
        <w:rPr>
          <w:lang w:val="sq-AL"/>
        </w:rPr>
        <w:t>Programimi i të ardhurave për vitin 2022, mbështet qëllimet e Ministrisë së Financave dhe Ekonomisë për rimëkëmbjen fiskale, si dhe mbajtjen nën kontroll të deficitit buxhetor dhe borxhit publik. Ky program bazohet në përmirësimin e administratës fiskale dhe minimizimin e informalitetit në ekonomi, duke mbështetur kështu rimëkëmbjen ekonomike, si dhe rritjen e prodhimit dhe eksporteve.</w:t>
      </w:r>
    </w:p>
    <w:p w14:paraId="70123652" w14:textId="6163B2F3" w:rsidR="005714D0" w:rsidRPr="00050FA4" w:rsidRDefault="005714D0" w:rsidP="003F1DA7">
      <w:pPr>
        <w:pStyle w:val="AAAAAAATEXXXX"/>
        <w:rPr>
          <w:lang w:val="sq-AL"/>
        </w:rPr>
      </w:pPr>
      <w:r w:rsidRPr="00050FA4">
        <w:rPr>
          <w:lang w:val="sq-AL"/>
        </w:rPr>
        <w:t>Metodologjia e programimit të të ardhurave bazohet në modelet bashkëkohore të programimit, dhe në analizën e hollësishme të faktorëve që ndikojnë në çdo taksë. Modeli i përdorur bazohet në parashikimet makroekonomike për vitin 2022</w:t>
      </w:r>
      <w:r w:rsidR="002C7E6B" w:rsidRPr="00050FA4">
        <w:rPr>
          <w:lang w:val="sq-AL"/>
        </w:rPr>
        <w:t>–</w:t>
      </w:r>
      <w:r w:rsidRPr="00050FA4">
        <w:rPr>
          <w:lang w:val="sq-AL"/>
        </w:rPr>
        <w:t>2024</w:t>
      </w:r>
      <w:r w:rsidR="0032171B" w:rsidRPr="00050FA4">
        <w:rPr>
          <w:lang w:val="sq-AL"/>
        </w:rPr>
        <w:t>,</w:t>
      </w:r>
      <w:r w:rsidRPr="00050FA4">
        <w:rPr>
          <w:lang w:val="sq-AL"/>
        </w:rPr>
        <w:t xml:space="preserve"> siç janë rritja nominale, deflatori, analiza e importeve të grupeve kryesore të produkteve, analiza e serive kohore dhe modele, bazuar në koeficientin e elasticitetit </w:t>
      </w:r>
      <w:r w:rsidR="008A0E5B" w:rsidRPr="00050FA4">
        <w:rPr>
          <w:lang w:val="sq-AL"/>
        </w:rPr>
        <w:t>“</w:t>
      </w:r>
      <w:r w:rsidRPr="00050FA4">
        <w:rPr>
          <w:lang w:val="sq-AL"/>
        </w:rPr>
        <w:t>Buoyancy</w:t>
      </w:r>
      <w:r w:rsidR="008A0E5B" w:rsidRPr="00050FA4">
        <w:rPr>
          <w:lang w:val="sq-AL"/>
        </w:rPr>
        <w:t>”</w:t>
      </w:r>
      <w:r w:rsidRPr="00050FA4">
        <w:rPr>
          <w:lang w:val="sq-AL"/>
        </w:rPr>
        <w:t xml:space="preserve"> dhe </w:t>
      </w:r>
      <w:r w:rsidR="008A0E5B" w:rsidRPr="00050FA4">
        <w:rPr>
          <w:lang w:val="sq-AL"/>
        </w:rPr>
        <w:t>“</w:t>
      </w:r>
      <w:r w:rsidRPr="00050FA4">
        <w:rPr>
          <w:lang w:val="sq-AL"/>
        </w:rPr>
        <w:t xml:space="preserve">Norma </w:t>
      </w:r>
      <w:r w:rsidR="0032171B" w:rsidRPr="00050FA4">
        <w:rPr>
          <w:lang w:val="sq-AL"/>
        </w:rPr>
        <w:t xml:space="preserve">efektive e taksave” </w:t>
      </w:r>
      <w:r w:rsidRPr="00050FA4">
        <w:rPr>
          <w:lang w:val="sq-AL"/>
        </w:rPr>
        <w:t>për secilën taksë.</w:t>
      </w:r>
    </w:p>
    <w:p w14:paraId="05BAE752" w14:textId="77777777" w:rsidR="005714D0" w:rsidRPr="00050FA4" w:rsidRDefault="005714D0" w:rsidP="003F1DA7">
      <w:pPr>
        <w:pStyle w:val="AAAAAAATEXXXX"/>
        <w:rPr>
          <w:lang w:val="sq-AL"/>
        </w:rPr>
      </w:pPr>
      <w:r w:rsidRPr="00050FA4">
        <w:rPr>
          <w:lang w:val="sq-AL"/>
        </w:rPr>
        <w:t xml:space="preserve">Faktorët makroekonomikë harmonizohen në planifikim, me treguesit kryesorë që ndikojnë në taksat specifike. </w:t>
      </w:r>
    </w:p>
    <w:p w14:paraId="6E48EE42" w14:textId="77777777" w:rsidR="005714D0" w:rsidRPr="00050FA4" w:rsidRDefault="005714D0" w:rsidP="003F1DA7">
      <w:pPr>
        <w:pStyle w:val="AAAAAAATEXXXX"/>
        <w:rPr>
          <w:lang w:val="sq-AL"/>
        </w:rPr>
      </w:pPr>
      <w:r w:rsidRPr="00050FA4">
        <w:rPr>
          <w:lang w:val="sq-AL"/>
        </w:rPr>
        <w:lastRenderedPageBreak/>
        <w:t>Në detaje, treguesit kryesorë për vlerësimin e të ardhurave janë:</w:t>
      </w:r>
    </w:p>
    <w:p w14:paraId="7EE94007" w14:textId="49C844A9" w:rsidR="005714D0" w:rsidRPr="00050FA4" w:rsidRDefault="00875F85" w:rsidP="003F1DA7">
      <w:pPr>
        <w:pStyle w:val="AAAAAAATEXXXX"/>
        <w:rPr>
          <w:lang w:val="sq-AL"/>
        </w:rPr>
      </w:pPr>
      <w:r w:rsidRPr="00050FA4">
        <w:rPr>
          <w:lang w:val="sq-AL"/>
        </w:rPr>
        <w:t xml:space="preserve">- </w:t>
      </w:r>
      <w:r w:rsidR="0047724B" w:rsidRPr="00050FA4">
        <w:rPr>
          <w:lang w:val="sq-AL"/>
        </w:rPr>
        <w:t xml:space="preserve">rritja </w:t>
      </w:r>
      <w:r w:rsidR="005714D0" w:rsidRPr="00050FA4">
        <w:rPr>
          <w:lang w:val="sq-AL"/>
        </w:rPr>
        <w:t xml:space="preserve">nominale e PBB-së, duke analizuar këtë efekt në një mënyrë të integruar me faktorë të tjerë për secilën tatim në veçanti, në lidhje me të dhënat historike dhe parashikimet e çmimeve në tregjet ndërkombëtare për taksat e vlerësuara si tatimi i vlerës së shtuar, </w:t>
      </w:r>
      <w:r w:rsidR="009B6DC5" w:rsidRPr="00050FA4">
        <w:rPr>
          <w:lang w:val="sq-AL"/>
        </w:rPr>
        <w:t>honorarët</w:t>
      </w:r>
      <w:r w:rsidR="005714D0" w:rsidRPr="00050FA4">
        <w:rPr>
          <w:lang w:val="sq-AL"/>
        </w:rPr>
        <w:t xml:space="preserve"> e minierave dhe taksat doganore.</w:t>
      </w:r>
    </w:p>
    <w:p w14:paraId="554A35AB" w14:textId="702257B8" w:rsidR="005714D0" w:rsidRPr="00050FA4" w:rsidRDefault="00875F85" w:rsidP="003F1DA7">
      <w:pPr>
        <w:pStyle w:val="AAAAAAATEXXXX"/>
        <w:rPr>
          <w:lang w:val="sq-AL"/>
        </w:rPr>
      </w:pPr>
      <w:r w:rsidRPr="00050FA4">
        <w:rPr>
          <w:lang w:val="sq-AL"/>
        </w:rPr>
        <w:t xml:space="preserve">- </w:t>
      </w:r>
      <w:r w:rsidR="00D8322E" w:rsidRPr="00050FA4">
        <w:rPr>
          <w:lang w:val="sq-AL"/>
        </w:rPr>
        <w:t xml:space="preserve">kursi </w:t>
      </w:r>
      <w:r w:rsidR="005714D0" w:rsidRPr="00050FA4">
        <w:rPr>
          <w:lang w:val="sq-AL"/>
        </w:rPr>
        <w:t xml:space="preserve">i pritshëm i këmbimit të dy monedhave kryesore: USD dhe </w:t>
      </w:r>
      <w:r w:rsidR="00821414" w:rsidRPr="00050FA4">
        <w:rPr>
          <w:lang w:val="sq-AL"/>
        </w:rPr>
        <w:t xml:space="preserve">euro </w:t>
      </w:r>
      <w:r w:rsidR="005714D0" w:rsidRPr="00050FA4">
        <w:rPr>
          <w:lang w:val="sq-AL"/>
        </w:rPr>
        <w:t xml:space="preserve">me </w:t>
      </w:r>
      <w:r w:rsidR="00D8322E" w:rsidRPr="00050FA4">
        <w:rPr>
          <w:lang w:val="sq-AL"/>
        </w:rPr>
        <w:t>lek</w:t>
      </w:r>
      <w:r w:rsidR="005714D0" w:rsidRPr="00050FA4">
        <w:rPr>
          <w:lang w:val="sq-AL"/>
        </w:rPr>
        <w:t>;</w:t>
      </w:r>
    </w:p>
    <w:p w14:paraId="1AF9B4F8" w14:textId="26FAFF5C" w:rsidR="005714D0" w:rsidRPr="00050FA4" w:rsidRDefault="00875F85" w:rsidP="003F1DA7">
      <w:pPr>
        <w:pStyle w:val="AAAAAAATEXXXX"/>
        <w:rPr>
          <w:lang w:val="sq-AL"/>
        </w:rPr>
      </w:pPr>
      <w:r w:rsidRPr="00050FA4">
        <w:rPr>
          <w:lang w:val="sq-AL"/>
        </w:rPr>
        <w:t xml:space="preserve">- </w:t>
      </w:r>
      <w:r w:rsidR="00D8322E" w:rsidRPr="00050FA4">
        <w:rPr>
          <w:lang w:val="sq-AL"/>
        </w:rPr>
        <w:t xml:space="preserve">çmimet </w:t>
      </w:r>
      <w:r w:rsidR="005714D0" w:rsidRPr="00050FA4">
        <w:rPr>
          <w:lang w:val="sq-AL"/>
        </w:rPr>
        <w:t xml:space="preserve">në bursë që ndikojnë në të ardhurat nga TVSH-ja dhe </w:t>
      </w:r>
      <w:r w:rsidR="00821414" w:rsidRPr="00050FA4">
        <w:rPr>
          <w:lang w:val="sq-AL"/>
        </w:rPr>
        <w:t xml:space="preserve">renta </w:t>
      </w:r>
      <w:r w:rsidR="005714D0" w:rsidRPr="00050FA4">
        <w:rPr>
          <w:lang w:val="sq-AL"/>
        </w:rPr>
        <w:t>minerare;</w:t>
      </w:r>
    </w:p>
    <w:p w14:paraId="78A04B62" w14:textId="1F95B303" w:rsidR="005714D0" w:rsidRPr="00050FA4" w:rsidRDefault="00875F85" w:rsidP="003F1DA7">
      <w:pPr>
        <w:pStyle w:val="AAAAAAATEXXXX"/>
        <w:rPr>
          <w:lang w:val="sq-AL"/>
        </w:rPr>
      </w:pPr>
      <w:r w:rsidRPr="00050FA4">
        <w:rPr>
          <w:lang w:val="sq-AL"/>
        </w:rPr>
        <w:t xml:space="preserve">- </w:t>
      </w:r>
      <w:r w:rsidR="00D8322E" w:rsidRPr="00050FA4">
        <w:rPr>
          <w:lang w:val="sq-AL"/>
        </w:rPr>
        <w:t xml:space="preserve">sasitë </w:t>
      </w:r>
      <w:r w:rsidR="005714D0" w:rsidRPr="00050FA4">
        <w:rPr>
          <w:lang w:val="sq-AL"/>
        </w:rPr>
        <w:t>e pritshme të importit të mallrave.</w:t>
      </w:r>
    </w:p>
    <w:p w14:paraId="10070243" w14:textId="5E3CB6CF" w:rsidR="005714D0" w:rsidRPr="00050FA4" w:rsidRDefault="005714D0" w:rsidP="003F1DA7">
      <w:pPr>
        <w:pStyle w:val="AAAAAAATEXXXX"/>
        <w:rPr>
          <w:lang w:val="sq-AL"/>
        </w:rPr>
      </w:pPr>
      <w:r w:rsidRPr="00050FA4">
        <w:rPr>
          <w:lang w:val="sq-AL"/>
        </w:rPr>
        <w:t xml:space="preserve">Të </w:t>
      </w:r>
      <w:r w:rsidR="0047724B" w:rsidRPr="00050FA4">
        <w:rPr>
          <w:lang w:val="sq-AL"/>
        </w:rPr>
        <w:t xml:space="preserve">ardhurat </w:t>
      </w:r>
      <w:r w:rsidRPr="00050FA4">
        <w:rPr>
          <w:lang w:val="sq-AL"/>
        </w:rPr>
        <w:t>totale të mbledhura nga DPD</w:t>
      </w:r>
      <w:r w:rsidR="0047724B" w:rsidRPr="00050FA4">
        <w:rPr>
          <w:lang w:val="sq-AL"/>
        </w:rPr>
        <w:t>-ja</w:t>
      </w:r>
      <w:r w:rsidRPr="00050FA4">
        <w:rPr>
          <w:lang w:val="sq-AL"/>
        </w:rPr>
        <w:t xml:space="preserve"> dhe DPT</w:t>
      </w:r>
      <w:r w:rsidR="0047724B" w:rsidRPr="00050FA4">
        <w:rPr>
          <w:lang w:val="sq-AL"/>
        </w:rPr>
        <w:t>-ja</w:t>
      </w:r>
      <w:r w:rsidRPr="00050FA4">
        <w:rPr>
          <w:lang w:val="sq-AL"/>
        </w:rPr>
        <w:t xml:space="preserve"> (përfshirë sigurimet shoqërore) vlerësohet të jetë 471.5 miliardë lekë, ose 39.5 miliardë lekë (9.2%) më shumë se viti i pritshmi 2021. Të ardhurat nga DPD</w:t>
      </w:r>
      <w:r w:rsidR="00317A75" w:rsidRPr="00050FA4">
        <w:rPr>
          <w:lang w:val="sq-AL"/>
        </w:rPr>
        <w:t>-ja</w:t>
      </w:r>
      <w:r w:rsidRPr="00050FA4">
        <w:rPr>
          <w:lang w:val="sq-AL"/>
        </w:rPr>
        <w:t xml:space="preserve"> dhe DPT</w:t>
      </w:r>
      <w:r w:rsidR="00317A75" w:rsidRPr="00050FA4">
        <w:rPr>
          <w:lang w:val="sq-AL"/>
        </w:rPr>
        <w:t>-ja</w:t>
      </w:r>
      <w:r w:rsidRPr="00050FA4">
        <w:rPr>
          <w:lang w:val="sq-AL"/>
        </w:rPr>
        <w:t xml:space="preserve"> (pa përfshirë kontributet) për 2022</w:t>
      </w:r>
      <w:r w:rsidR="002221B3" w:rsidRPr="00050FA4">
        <w:rPr>
          <w:lang w:val="sq-AL"/>
        </w:rPr>
        <w:t>-shin</w:t>
      </w:r>
      <w:r w:rsidRPr="00050FA4">
        <w:rPr>
          <w:lang w:val="sq-AL"/>
        </w:rPr>
        <w:t xml:space="preserve"> vlerësohen të jenë 360.5 miliardë lekë ose 32.5 miliardë lekë (9.9%) më shumë se 2021 paraprake, ndërsa të ardhurat nga kontributet shoqërore vlerësohen të jenë 111 miliardë lekë ose 7 miliardë lekë (6.7%) më shumë se viti i pritshmi 2021.</w:t>
      </w:r>
    </w:p>
    <w:p w14:paraId="77EE7DE2" w14:textId="77777777" w:rsidR="005714D0" w:rsidRPr="00050FA4" w:rsidRDefault="005714D0" w:rsidP="003F1DA7">
      <w:pPr>
        <w:ind w:firstLine="284"/>
        <w:jc w:val="both"/>
        <w:rPr>
          <w:rFonts w:ascii="Garamond" w:hAnsi="Garamond" w:cstheme="majorBidi"/>
          <w:color w:val="0D0D0D" w:themeColor="text1" w:themeTint="F2"/>
        </w:rPr>
      </w:pPr>
    </w:p>
    <w:p w14:paraId="13603420" w14:textId="01FA8E55" w:rsidR="005714D0" w:rsidRPr="00050FA4" w:rsidRDefault="005714D0" w:rsidP="003F1DA7">
      <w:pPr>
        <w:ind w:firstLine="284"/>
        <w:jc w:val="center"/>
        <w:rPr>
          <w:rFonts w:ascii="Garamond" w:hAnsi="Garamond" w:cstheme="majorBidi"/>
          <w:b/>
          <w:i/>
          <w:color w:val="0D0D0D" w:themeColor="text1" w:themeTint="F2"/>
          <w:sz w:val="20"/>
          <w:szCs w:val="20"/>
        </w:rPr>
      </w:pPr>
      <w:r w:rsidRPr="00050FA4">
        <w:rPr>
          <w:rFonts w:ascii="Garamond" w:hAnsi="Garamond" w:cstheme="majorBidi"/>
          <w:b/>
          <w:i/>
          <w:color w:val="0D0D0D" w:themeColor="text1" w:themeTint="F2"/>
          <w:sz w:val="20"/>
          <w:szCs w:val="20"/>
        </w:rPr>
        <w:t xml:space="preserve">Tabelë 4.4.1 Të ardhurat totale nga </w:t>
      </w:r>
      <w:r w:rsidR="002221B3" w:rsidRPr="00050FA4">
        <w:rPr>
          <w:rFonts w:ascii="Garamond" w:hAnsi="Garamond" w:cstheme="majorBidi"/>
          <w:b/>
          <w:i/>
          <w:color w:val="0D0D0D" w:themeColor="text1" w:themeTint="F2"/>
          <w:sz w:val="20"/>
          <w:szCs w:val="20"/>
        </w:rPr>
        <w:t xml:space="preserve">administrata tatimore dhe doganore </w:t>
      </w:r>
      <w:r w:rsidRPr="00050FA4">
        <w:rPr>
          <w:rFonts w:ascii="Garamond" w:hAnsi="Garamond" w:cstheme="majorBidi"/>
          <w:b/>
          <w:i/>
          <w:color w:val="0D0D0D" w:themeColor="text1" w:themeTint="F2"/>
          <w:sz w:val="20"/>
          <w:szCs w:val="20"/>
        </w:rPr>
        <w:t>(në milionë lekë)</w:t>
      </w:r>
    </w:p>
    <w:tbl>
      <w:tblPr>
        <w:tblW w:w="5000" w:type="pct"/>
        <w:jc w:val="center"/>
        <w:tblLook w:val="04A0" w:firstRow="1" w:lastRow="0" w:firstColumn="1" w:lastColumn="0" w:noHBand="0" w:noVBand="1"/>
      </w:tblPr>
      <w:tblGrid>
        <w:gridCol w:w="2289"/>
        <w:gridCol w:w="806"/>
        <w:gridCol w:w="806"/>
        <w:gridCol w:w="911"/>
        <w:gridCol w:w="1212"/>
        <w:gridCol w:w="1212"/>
        <w:gridCol w:w="1212"/>
        <w:gridCol w:w="952"/>
        <w:gridCol w:w="716"/>
      </w:tblGrid>
      <w:tr w:rsidR="00FA29AB" w:rsidRPr="00050FA4" w14:paraId="7A99611A" w14:textId="77777777" w:rsidTr="009B6DC5">
        <w:trPr>
          <w:trHeight w:val="220"/>
          <w:jc w:val="center"/>
        </w:trPr>
        <w:tc>
          <w:tcPr>
            <w:tcW w:w="1136" w:type="pct"/>
            <w:tcBorders>
              <w:top w:val="single" w:sz="4" w:space="0" w:color="auto"/>
              <w:left w:val="single" w:sz="4" w:space="0" w:color="auto"/>
              <w:bottom w:val="nil"/>
              <w:right w:val="nil"/>
            </w:tcBorders>
            <w:shd w:val="clear" w:color="auto" w:fill="F2F2F2"/>
            <w:noWrap/>
            <w:vAlign w:val="center"/>
            <w:hideMark/>
          </w:tcPr>
          <w:p w14:paraId="6CBC6E30" w14:textId="681CDA32"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403" w:type="pct"/>
            <w:tcBorders>
              <w:top w:val="single" w:sz="4" w:space="0" w:color="auto"/>
              <w:left w:val="single" w:sz="4" w:space="0" w:color="auto"/>
              <w:bottom w:val="nil"/>
              <w:right w:val="single" w:sz="4" w:space="0" w:color="auto"/>
            </w:tcBorders>
            <w:shd w:val="clear" w:color="auto" w:fill="F2F2F2"/>
            <w:noWrap/>
            <w:vAlign w:val="center"/>
            <w:hideMark/>
          </w:tcPr>
          <w:p w14:paraId="13DC1AFB" w14:textId="35EBA701"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403" w:type="pct"/>
            <w:tcBorders>
              <w:top w:val="single" w:sz="4" w:space="0" w:color="auto"/>
              <w:left w:val="nil"/>
              <w:bottom w:val="nil"/>
              <w:right w:val="nil"/>
            </w:tcBorders>
            <w:shd w:val="clear" w:color="auto" w:fill="F2F2F2"/>
            <w:noWrap/>
            <w:vAlign w:val="center"/>
            <w:hideMark/>
          </w:tcPr>
          <w:p w14:paraId="7E03C641" w14:textId="2C729EFE"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454" w:type="pct"/>
            <w:tcBorders>
              <w:top w:val="single" w:sz="4" w:space="0" w:color="auto"/>
              <w:left w:val="single" w:sz="4" w:space="0" w:color="auto"/>
              <w:bottom w:val="nil"/>
              <w:right w:val="single" w:sz="4" w:space="0" w:color="auto"/>
            </w:tcBorders>
            <w:shd w:val="clear" w:color="auto" w:fill="F2F2F2"/>
            <w:vAlign w:val="center"/>
            <w:hideMark/>
          </w:tcPr>
          <w:p w14:paraId="71D998DB" w14:textId="444A30A5"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603" w:type="pct"/>
            <w:tcBorders>
              <w:top w:val="single" w:sz="4" w:space="0" w:color="auto"/>
              <w:left w:val="nil"/>
              <w:bottom w:val="nil"/>
              <w:right w:val="single" w:sz="4" w:space="0" w:color="auto"/>
            </w:tcBorders>
            <w:shd w:val="clear" w:color="auto" w:fill="F2F2F2"/>
            <w:vAlign w:val="center"/>
            <w:hideMark/>
          </w:tcPr>
          <w:p w14:paraId="43CA0378" w14:textId="6D38F085"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603" w:type="pct"/>
            <w:tcBorders>
              <w:top w:val="single" w:sz="4" w:space="0" w:color="auto"/>
              <w:left w:val="nil"/>
              <w:bottom w:val="nil"/>
              <w:right w:val="nil"/>
            </w:tcBorders>
            <w:shd w:val="clear" w:color="auto" w:fill="F2F2F2"/>
            <w:vAlign w:val="center"/>
            <w:hideMark/>
          </w:tcPr>
          <w:p w14:paraId="37F3DA73" w14:textId="3C702291"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603" w:type="pct"/>
            <w:tcBorders>
              <w:top w:val="single" w:sz="4" w:space="0" w:color="auto"/>
              <w:left w:val="single" w:sz="4" w:space="0" w:color="auto"/>
              <w:bottom w:val="nil"/>
              <w:right w:val="single" w:sz="4" w:space="0" w:color="auto"/>
            </w:tcBorders>
            <w:shd w:val="clear" w:color="auto" w:fill="F2F2F2"/>
            <w:vAlign w:val="center"/>
            <w:hideMark/>
          </w:tcPr>
          <w:p w14:paraId="21104F09" w14:textId="34EADF15"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796" w:type="pct"/>
            <w:gridSpan w:val="2"/>
            <w:tcBorders>
              <w:top w:val="single" w:sz="4" w:space="0" w:color="auto"/>
              <w:left w:val="nil"/>
              <w:bottom w:val="single" w:sz="4" w:space="0" w:color="auto"/>
              <w:right w:val="single" w:sz="4" w:space="0" w:color="000000"/>
            </w:tcBorders>
            <w:shd w:val="clear" w:color="auto" w:fill="F2F2F2"/>
            <w:noWrap/>
            <w:vAlign w:val="center"/>
            <w:hideMark/>
          </w:tcPr>
          <w:p w14:paraId="09B4DD45" w14:textId="6C5C94AE"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Diferenca 2022</w:t>
            </w:r>
            <w:r w:rsidR="00D8322E" w:rsidRPr="00050FA4">
              <w:rPr>
                <w:rFonts w:ascii="Garamond" w:eastAsia="Times New Roman" w:hAnsi="Garamond" w:cstheme="majorBidi"/>
                <w:b/>
                <w:bCs/>
                <w:color w:val="0D0D0D" w:themeColor="text1" w:themeTint="F2"/>
                <w:sz w:val="16"/>
                <w:szCs w:val="16"/>
              </w:rPr>
              <w:t xml:space="preserve"> – </w:t>
            </w:r>
            <w:r w:rsidRPr="00050FA4">
              <w:rPr>
                <w:rFonts w:ascii="Garamond" w:eastAsia="Times New Roman" w:hAnsi="Garamond" w:cstheme="majorBidi"/>
                <w:b/>
                <w:bCs/>
                <w:color w:val="0D0D0D" w:themeColor="text1" w:themeTint="F2"/>
                <w:sz w:val="16"/>
                <w:szCs w:val="16"/>
              </w:rPr>
              <w:t>2021</w:t>
            </w:r>
          </w:p>
        </w:tc>
      </w:tr>
      <w:tr w:rsidR="00FA29AB" w:rsidRPr="00050FA4" w14:paraId="539327B0" w14:textId="77777777" w:rsidTr="009B6DC5">
        <w:trPr>
          <w:trHeight w:val="220"/>
          <w:jc w:val="center"/>
        </w:trPr>
        <w:tc>
          <w:tcPr>
            <w:tcW w:w="1136" w:type="pct"/>
            <w:tcBorders>
              <w:top w:val="nil"/>
              <w:left w:val="single" w:sz="4" w:space="0" w:color="auto"/>
              <w:bottom w:val="nil"/>
              <w:right w:val="nil"/>
            </w:tcBorders>
            <w:shd w:val="clear" w:color="auto" w:fill="F2F2F2"/>
            <w:noWrap/>
            <w:vAlign w:val="center"/>
            <w:hideMark/>
          </w:tcPr>
          <w:p w14:paraId="692F15C2" w14:textId="1A15A8E2"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 xml:space="preserve">Lloji </w:t>
            </w:r>
            <w:r w:rsidR="00D8322E" w:rsidRPr="00050FA4">
              <w:rPr>
                <w:rFonts w:ascii="Garamond" w:eastAsia="Times New Roman" w:hAnsi="Garamond" w:cstheme="majorBidi"/>
                <w:b/>
                <w:bCs/>
                <w:color w:val="0D0D0D" w:themeColor="text1" w:themeTint="F2"/>
                <w:sz w:val="16"/>
                <w:szCs w:val="16"/>
              </w:rPr>
              <w:t>i</w:t>
            </w:r>
            <w:r w:rsidRPr="00050FA4">
              <w:rPr>
                <w:rFonts w:ascii="Garamond" w:eastAsia="Times New Roman" w:hAnsi="Garamond" w:cstheme="majorBidi"/>
                <w:b/>
                <w:bCs/>
                <w:color w:val="0D0D0D" w:themeColor="text1" w:themeTint="F2"/>
                <w:sz w:val="16"/>
                <w:szCs w:val="16"/>
              </w:rPr>
              <w:t xml:space="preserve"> taksave</w:t>
            </w:r>
          </w:p>
        </w:tc>
        <w:tc>
          <w:tcPr>
            <w:tcW w:w="403" w:type="pct"/>
            <w:tcBorders>
              <w:top w:val="nil"/>
              <w:left w:val="single" w:sz="4" w:space="0" w:color="auto"/>
              <w:bottom w:val="nil"/>
              <w:right w:val="single" w:sz="4" w:space="0" w:color="auto"/>
            </w:tcBorders>
            <w:shd w:val="clear" w:color="auto" w:fill="F2F2F2"/>
            <w:noWrap/>
            <w:vAlign w:val="center"/>
            <w:hideMark/>
          </w:tcPr>
          <w:p w14:paraId="4E62A24C"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2019</w:t>
            </w:r>
          </w:p>
        </w:tc>
        <w:tc>
          <w:tcPr>
            <w:tcW w:w="403" w:type="pct"/>
            <w:shd w:val="clear" w:color="auto" w:fill="F2F2F2"/>
            <w:noWrap/>
            <w:vAlign w:val="center"/>
            <w:hideMark/>
          </w:tcPr>
          <w:p w14:paraId="38F909E3"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2020</w:t>
            </w:r>
          </w:p>
        </w:tc>
        <w:tc>
          <w:tcPr>
            <w:tcW w:w="454" w:type="pct"/>
            <w:tcBorders>
              <w:top w:val="nil"/>
              <w:left w:val="single" w:sz="4" w:space="0" w:color="auto"/>
              <w:bottom w:val="nil"/>
              <w:right w:val="single" w:sz="4" w:space="0" w:color="auto"/>
            </w:tcBorders>
            <w:shd w:val="clear" w:color="auto" w:fill="F2F2F2"/>
            <w:vAlign w:val="center"/>
            <w:hideMark/>
          </w:tcPr>
          <w:p w14:paraId="44FD1FDB"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I pritshmi</w:t>
            </w:r>
          </w:p>
        </w:tc>
        <w:tc>
          <w:tcPr>
            <w:tcW w:w="603" w:type="pct"/>
            <w:tcBorders>
              <w:top w:val="nil"/>
              <w:left w:val="nil"/>
              <w:bottom w:val="nil"/>
              <w:right w:val="single" w:sz="4" w:space="0" w:color="auto"/>
            </w:tcBorders>
            <w:shd w:val="clear" w:color="auto" w:fill="F2F2F2"/>
            <w:vAlign w:val="center"/>
            <w:hideMark/>
          </w:tcPr>
          <w:p w14:paraId="3DBBFEF5"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Parashikimi</w:t>
            </w:r>
          </w:p>
        </w:tc>
        <w:tc>
          <w:tcPr>
            <w:tcW w:w="603" w:type="pct"/>
            <w:shd w:val="clear" w:color="auto" w:fill="F2F2F2"/>
            <w:vAlign w:val="center"/>
            <w:hideMark/>
          </w:tcPr>
          <w:p w14:paraId="7030D425"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Parashikimi</w:t>
            </w:r>
          </w:p>
        </w:tc>
        <w:tc>
          <w:tcPr>
            <w:tcW w:w="603" w:type="pct"/>
            <w:tcBorders>
              <w:top w:val="nil"/>
              <w:left w:val="single" w:sz="4" w:space="0" w:color="auto"/>
              <w:bottom w:val="nil"/>
              <w:right w:val="single" w:sz="4" w:space="0" w:color="auto"/>
            </w:tcBorders>
            <w:shd w:val="clear" w:color="auto" w:fill="F2F2F2"/>
            <w:vAlign w:val="center"/>
            <w:hideMark/>
          </w:tcPr>
          <w:p w14:paraId="1C4772CD"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Parashikimi</w:t>
            </w:r>
          </w:p>
        </w:tc>
        <w:tc>
          <w:tcPr>
            <w:tcW w:w="454" w:type="pct"/>
            <w:shd w:val="clear" w:color="auto" w:fill="F2F2F2"/>
            <w:noWrap/>
            <w:vAlign w:val="center"/>
            <w:hideMark/>
          </w:tcPr>
          <w:p w14:paraId="7C0BD08D" w14:textId="57A44166"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Vler</w:t>
            </w:r>
            <w:r w:rsidR="00D8322E" w:rsidRPr="00050FA4">
              <w:rPr>
                <w:rFonts w:ascii="Garamond" w:eastAsia="Times New Roman" w:hAnsi="Garamond" w:cstheme="majorBidi"/>
                <w:b/>
                <w:bCs/>
                <w:color w:val="0D0D0D" w:themeColor="text1" w:themeTint="F2"/>
                <w:sz w:val="16"/>
                <w:szCs w:val="16"/>
              </w:rPr>
              <w:t>a</w:t>
            </w:r>
          </w:p>
        </w:tc>
        <w:tc>
          <w:tcPr>
            <w:tcW w:w="342" w:type="pct"/>
            <w:tcBorders>
              <w:top w:val="nil"/>
              <w:left w:val="single" w:sz="4" w:space="0" w:color="auto"/>
              <w:bottom w:val="nil"/>
              <w:right w:val="single" w:sz="4" w:space="0" w:color="auto"/>
            </w:tcBorders>
            <w:shd w:val="clear" w:color="auto" w:fill="F2F2F2"/>
            <w:noWrap/>
            <w:vAlign w:val="center"/>
            <w:hideMark/>
          </w:tcPr>
          <w:p w14:paraId="6C4CA642" w14:textId="394AECCE"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N</w:t>
            </w:r>
            <w:r w:rsidR="00D8322E" w:rsidRPr="00050FA4">
              <w:rPr>
                <w:rFonts w:ascii="Times New Roman" w:eastAsia="Times New Roman" w:hAnsi="Times New Roman"/>
                <w:b/>
                <w:bCs/>
                <w:color w:val="0D0D0D" w:themeColor="text1" w:themeTint="F2"/>
                <w:sz w:val="16"/>
                <w:szCs w:val="16"/>
              </w:rPr>
              <w:t>ë</w:t>
            </w:r>
            <w:r w:rsidRPr="00050FA4">
              <w:rPr>
                <w:rFonts w:ascii="Garamond" w:eastAsia="Times New Roman" w:hAnsi="Garamond" w:cstheme="majorBidi"/>
                <w:b/>
                <w:bCs/>
                <w:color w:val="0D0D0D" w:themeColor="text1" w:themeTint="F2"/>
                <w:sz w:val="16"/>
                <w:szCs w:val="16"/>
              </w:rPr>
              <w:t xml:space="preserve"> %</w:t>
            </w:r>
          </w:p>
        </w:tc>
      </w:tr>
      <w:tr w:rsidR="00FA29AB" w:rsidRPr="00050FA4" w14:paraId="3DBBA952" w14:textId="77777777" w:rsidTr="009B6DC5">
        <w:trPr>
          <w:trHeight w:val="220"/>
          <w:jc w:val="center"/>
        </w:trPr>
        <w:tc>
          <w:tcPr>
            <w:tcW w:w="1136" w:type="pct"/>
            <w:tcBorders>
              <w:top w:val="nil"/>
              <w:left w:val="single" w:sz="4" w:space="0" w:color="auto"/>
              <w:bottom w:val="single" w:sz="4" w:space="0" w:color="auto"/>
              <w:right w:val="nil"/>
            </w:tcBorders>
            <w:shd w:val="clear" w:color="auto" w:fill="F2F2F2"/>
            <w:noWrap/>
            <w:vAlign w:val="bottom"/>
            <w:hideMark/>
          </w:tcPr>
          <w:p w14:paraId="4F667290" w14:textId="317CEA44"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403" w:type="pct"/>
            <w:tcBorders>
              <w:top w:val="nil"/>
              <w:left w:val="single" w:sz="4" w:space="0" w:color="auto"/>
              <w:bottom w:val="single" w:sz="4" w:space="0" w:color="auto"/>
              <w:right w:val="single" w:sz="4" w:space="0" w:color="auto"/>
            </w:tcBorders>
            <w:shd w:val="clear" w:color="auto" w:fill="F2F2F2"/>
            <w:noWrap/>
            <w:vAlign w:val="bottom"/>
            <w:hideMark/>
          </w:tcPr>
          <w:p w14:paraId="2845E02C" w14:textId="2034110A"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403" w:type="pct"/>
            <w:tcBorders>
              <w:top w:val="nil"/>
              <w:left w:val="nil"/>
              <w:bottom w:val="single" w:sz="4" w:space="0" w:color="auto"/>
              <w:right w:val="nil"/>
            </w:tcBorders>
            <w:shd w:val="clear" w:color="auto" w:fill="F2F2F2"/>
            <w:noWrap/>
            <w:vAlign w:val="bottom"/>
            <w:hideMark/>
          </w:tcPr>
          <w:p w14:paraId="1BB5B401" w14:textId="087E7A69"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454" w:type="pct"/>
            <w:tcBorders>
              <w:top w:val="nil"/>
              <w:left w:val="single" w:sz="4" w:space="0" w:color="auto"/>
              <w:bottom w:val="single" w:sz="4" w:space="0" w:color="auto"/>
              <w:right w:val="single" w:sz="4" w:space="0" w:color="auto"/>
            </w:tcBorders>
            <w:shd w:val="clear" w:color="auto" w:fill="F2F2F2"/>
            <w:vAlign w:val="bottom"/>
            <w:hideMark/>
          </w:tcPr>
          <w:p w14:paraId="24C750CC"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2021</w:t>
            </w:r>
          </w:p>
        </w:tc>
        <w:tc>
          <w:tcPr>
            <w:tcW w:w="603" w:type="pct"/>
            <w:tcBorders>
              <w:top w:val="nil"/>
              <w:left w:val="nil"/>
              <w:bottom w:val="single" w:sz="4" w:space="0" w:color="auto"/>
              <w:right w:val="single" w:sz="4" w:space="0" w:color="auto"/>
            </w:tcBorders>
            <w:shd w:val="clear" w:color="auto" w:fill="F2F2F2"/>
            <w:vAlign w:val="bottom"/>
            <w:hideMark/>
          </w:tcPr>
          <w:p w14:paraId="0D737210"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2022</w:t>
            </w:r>
          </w:p>
        </w:tc>
        <w:tc>
          <w:tcPr>
            <w:tcW w:w="603" w:type="pct"/>
            <w:tcBorders>
              <w:top w:val="nil"/>
              <w:left w:val="nil"/>
              <w:bottom w:val="single" w:sz="4" w:space="0" w:color="auto"/>
              <w:right w:val="nil"/>
            </w:tcBorders>
            <w:shd w:val="clear" w:color="auto" w:fill="F2F2F2"/>
            <w:vAlign w:val="bottom"/>
            <w:hideMark/>
          </w:tcPr>
          <w:p w14:paraId="20EB7C06"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2023</w:t>
            </w:r>
          </w:p>
        </w:tc>
        <w:tc>
          <w:tcPr>
            <w:tcW w:w="603" w:type="pct"/>
            <w:tcBorders>
              <w:top w:val="nil"/>
              <w:left w:val="single" w:sz="4" w:space="0" w:color="auto"/>
              <w:bottom w:val="single" w:sz="4" w:space="0" w:color="auto"/>
              <w:right w:val="single" w:sz="4" w:space="0" w:color="auto"/>
            </w:tcBorders>
            <w:shd w:val="clear" w:color="auto" w:fill="F2F2F2"/>
            <w:vAlign w:val="bottom"/>
            <w:hideMark/>
          </w:tcPr>
          <w:p w14:paraId="0501AC1A" w14:textId="77777777" w:rsidR="005714D0" w:rsidRPr="00050FA4" w:rsidRDefault="005714D0" w:rsidP="00D8322E">
            <w:pPr>
              <w:jc w:val="cente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2024</w:t>
            </w:r>
          </w:p>
        </w:tc>
        <w:tc>
          <w:tcPr>
            <w:tcW w:w="454" w:type="pct"/>
            <w:tcBorders>
              <w:top w:val="nil"/>
              <w:left w:val="nil"/>
              <w:bottom w:val="single" w:sz="4" w:space="0" w:color="auto"/>
              <w:right w:val="nil"/>
            </w:tcBorders>
            <w:shd w:val="clear" w:color="auto" w:fill="F2F2F2"/>
            <w:noWrap/>
            <w:vAlign w:val="bottom"/>
            <w:hideMark/>
          </w:tcPr>
          <w:p w14:paraId="2C342495" w14:textId="772AD673" w:rsidR="005714D0" w:rsidRPr="00050FA4" w:rsidRDefault="005714D0" w:rsidP="00D8322E">
            <w:pPr>
              <w:jc w:val="center"/>
              <w:rPr>
                <w:rFonts w:ascii="Garamond" w:eastAsia="Times New Roman" w:hAnsi="Garamond" w:cstheme="majorBidi"/>
                <w:b/>
                <w:bCs/>
                <w:color w:val="0D0D0D" w:themeColor="text1" w:themeTint="F2"/>
                <w:sz w:val="16"/>
                <w:szCs w:val="16"/>
              </w:rPr>
            </w:pPr>
          </w:p>
        </w:tc>
        <w:tc>
          <w:tcPr>
            <w:tcW w:w="342" w:type="pct"/>
            <w:tcBorders>
              <w:top w:val="nil"/>
              <w:left w:val="single" w:sz="4" w:space="0" w:color="auto"/>
              <w:bottom w:val="single" w:sz="4" w:space="0" w:color="auto"/>
              <w:right w:val="single" w:sz="4" w:space="0" w:color="auto"/>
            </w:tcBorders>
            <w:shd w:val="clear" w:color="auto" w:fill="F2F2F2"/>
            <w:noWrap/>
            <w:vAlign w:val="bottom"/>
            <w:hideMark/>
          </w:tcPr>
          <w:p w14:paraId="676C3860" w14:textId="4171DE7B" w:rsidR="005714D0" w:rsidRPr="00050FA4" w:rsidRDefault="005714D0" w:rsidP="00D8322E">
            <w:pPr>
              <w:jc w:val="center"/>
              <w:rPr>
                <w:rFonts w:ascii="Garamond" w:eastAsia="Times New Roman" w:hAnsi="Garamond" w:cstheme="majorBidi"/>
                <w:b/>
                <w:bCs/>
                <w:color w:val="0D0D0D" w:themeColor="text1" w:themeTint="F2"/>
                <w:sz w:val="16"/>
                <w:szCs w:val="16"/>
              </w:rPr>
            </w:pPr>
          </w:p>
        </w:tc>
      </w:tr>
      <w:tr w:rsidR="00FA29AB" w:rsidRPr="00050FA4" w14:paraId="768D9B95" w14:textId="77777777" w:rsidTr="009B6DC5">
        <w:trPr>
          <w:trHeight w:val="220"/>
          <w:jc w:val="center"/>
        </w:trPr>
        <w:tc>
          <w:tcPr>
            <w:tcW w:w="1136" w:type="pct"/>
            <w:tcBorders>
              <w:top w:val="nil"/>
              <w:left w:val="single" w:sz="4" w:space="0" w:color="auto"/>
              <w:bottom w:val="nil"/>
              <w:right w:val="nil"/>
            </w:tcBorders>
            <w:noWrap/>
            <w:vAlign w:val="center"/>
            <w:hideMark/>
          </w:tcPr>
          <w:p w14:paraId="635B7E96" w14:textId="05285881"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 xml:space="preserve">TVSH </w:t>
            </w:r>
            <w:r w:rsidR="00D8322E" w:rsidRPr="00050FA4">
              <w:rPr>
                <w:rFonts w:ascii="Garamond" w:eastAsia="Times New Roman" w:hAnsi="Garamond" w:cstheme="majorBidi"/>
                <w:color w:val="0D0D0D" w:themeColor="text1" w:themeTint="F2"/>
                <w:sz w:val="16"/>
                <w:szCs w:val="16"/>
              </w:rPr>
              <w:t>neto total</w:t>
            </w:r>
          </w:p>
        </w:tc>
        <w:tc>
          <w:tcPr>
            <w:tcW w:w="403" w:type="pct"/>
            <w:tcBorders>
              <w:top w:val="nil"/>
              <w:left w:val="single" w:sz="4" w:space="0" w:color="auto"/>
              <w:bottom w:val="nil"/>
              <w:right w:val="single" w:sz="4" w:space="0" w:color="auto"/>
            </w:tcBorders>
            <w:noWrap/>
            <w:vAlign w:val="center"/>
            <w:hideMark/>
          </w:tcPr>
          <w:p w14:paraId="48142B7D"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132,412</w:t>
            </w:r>
          </w:p>
        </w:tc>
        <w:tc>
          <w:tcPr>
            <w:tcW w:w="403" w:type="pct"/>
            <w:noWrap/>
            <w:vAlign w:val="center"/>
            <w:hideMark/>
          </w:tcPr>
          <w:p w14:paraId="48D542EF"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130,354</w:t>
            </w:r>
          </w:p>
        </w:tc>
        <w:tc>
          <w:tcPr>
            <w:tcW w:w="454" w:type="pct"/>
            <w:tcBorders>
              <w:top w:val="nil"/>
              <w:left w:val="single" w:sz="4" w:space="0" w:color="auto"/>
              <w:bottom w:val="nil"/>
              <w:right w:val="single" w:sz="4" w:space="0" w:color="auto"/>
            </w:tcBorders>
            <w:noWrap/>
            <w:vAlign w:val="center"/>
            <w:hideMark/>
          </w:tcPr>
          <w:p w14:paraId="3875B393"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151,460</w:t>
            </w:r>
          </w:p>
        </w:tc>
        <w:tc>
          <w:tcPr>
            <w:tcW w:w="603" w:type="pct"/>
            <w:tcBorders>
              <w:top w:val="nil"/>
              <w:left w:val="nil"/>
              <w:bottom w:val="nil"/>
              <w:right w:val="single" w:sz="4" w:space="0" w:color="auto"/>
            </w:tcBorders>
            <w:noWrap/>
            <w:vAlign w:val="center"/>
            <w:hideMark/>
          </w:tcPr>
          <w:p w14:paraId="1676E5B2"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166,061</w:t>
            </w:r>
          </w:p>
        </w:tc>
        <w:tc>
          <w:tcPr>
            <w:tcW w:w="603" w:type="pct"/>
            <w:noWrap/>
            <w:vAlign w:val="center"/>
            <w:hideMark/>
          </w:tcPr>
          <w:p w14:paraId="6A56A897"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179,332</w:t>
            </w:r>
          </w:p>
        </w:tc>
        <w:tc>
          <w:tcPr>
            <w:tcW w:w="603" w:type="pct"/>
            <w:tcBorders>
              <w:top w:val="nil"/>
              <w:left w:val="single" w:sz="4" w:space="0" w:color="auto"/>
              <w:bottom w:val="nil"/>
              <w:right w:val="single" w:sz="4" w:space="0" w:color="auto"/>
            </w:tcBorders>
            <w:noWrap/>
            <w:vAlign w:val="center"/>
            <w:hideMark/>
          </w:tcPr>
          <w:p w14:paraId="198E9B46"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193,710</w:t>
            </w:r>
          </w:p>
        </w:tc>
        <w:tc>
          <w:tcPr>
            <w:tcW w:w="454" w:type="pct"/>
            <w:tcBorders>
              <w:top w:val="single" w:sz="4" w:space="0" w:color="auto"/>
              <w:left w:val="nil"/>
              <w:bottom w:val="nil"/>
              <w:right w:val="single" w:sz="4" w:space="0" w:color="auto"/>
            </w:tcBorders>
            <w:noWrap/>
            <w:vAlign w:val="center"/>
            <w:hideMark/>
          </w:tcPr>
          <w:p w14:paraId="0EE78DEC"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14,601</w:t>
            </w:r>
          </w:p>
        </w:tc>
        <w:tc>
          <w:tcPr>
            <w:tcW w:w="342" w:type="pct"/>
            <w:tcBorders>
              <w:top w:val="nil"/>
              <w:left w:val="nil"/>
              <w:bottom w:val="nil"/>
              <w:right w:val="single" w:sz="4" w:space="0" w:color="auto"/>
            </w:tcBorders>
            <w:noWrap/>
            <w:vAlign w:val="center"/>
            <w:hideMark/>
          </w:tcPr>
          <w:p w14:paraId="643C40C4"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9.6%</w:t>
            </w:r>
          </w:p>
        </w:tc>
      </w:tr>
      <w:tr w:rsidR="00FA29AB" w:rsidRPr="00050FA4" w14:paraId="2B615F7E" w14:textId="77777777" w:rsidTr="009B6DC5">
        <w:trPr>
          <w:trHeight w:val="220"/>
          <w:jc w:val="center"/>
        </w:trPr>
        <w:tc>
          <w:tcPr>
            <w:tcW w:w="1136" w:type="pct"/>
            <w:tcBorders>
              <w:top w:val="nil"/>
              <w:left w:val="single" w:sz="4" w:space="0" w:color="auto"/>
              <w:bottom w:val="nil"/>
              <w:right w:val="nil"/>
            </w:tcBorders>
            <w:noWrap/>
            <w:vAlign w:val="center"/>
            <w:hideMark/>
          </w:tcPr>
          <w:p w14:paraId="3196910D" w14:textId="77777777"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Tatimi mbi fitimin</w:t>
            </w:r>
          </w:p>
        </w:tc>
        <w:tc>
          <w:tcPr>
            <w:tcW w:w="403" w:type="pct"/>
            <w:tcBorders>
              <w:top w:val="nil"/>
              <w:left w:val="single" w:sz="4" w:space="0" w:color="auto"/>
              <w:bottom w:val="nil"/>
              <w:right w:val="single" w:sz="4" w:space="0" w:color="auto"/>
            </w:tcBorders>
            <w:noWrap/>
            <w:vAlign w:val="center"/>
            <w:hideMark/>
          </w:tcPr>
          <w:p w14:paraId="7847652E"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36,575</w:t>
            </w:r>
          </w:p>
        </w:tc>
        <w:tc>
          <w:tcPr>
            <w:tcW w:w="403" w:type="pct"/>
            <w:noWrap/>
            <w:vAlign w:val="center"/>
            <w:hideMark/>
          </w:tcPr>
          <w:p w14:paraId="66017E29"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28,381</w:t>
            </w:r>
          </w:p>
        </w:tc>
        <w:tc>
          <w:tcPr>
            <w:tcW w:w="454" w:type="pct"/>
            <w:tcBorders>
              <w:top w:val="nil"/>
              <w:left w:val="single" w:sz="4" w:space="0" w:color="auto"/>
              <w:bottom w:val="nil"/>
              <w:right w:val="single" w:sz="4" w:space="0" w:color="auto"/>
            </w:tcBorders>
            <w:noWrap/>
            <w:vAlign w:val="center"/>
            <w:hideMark/>
          </w:tcPr>
          <w:p w14:paraId="6251CCD3"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33,631</w:t>
            </w:r>
          </w:p>
        </w:tc>
        <w:tc>
          <w:tcPr>
            <w:tcW w:w="603" w:type="pct"/>
            <w:tcBorders>
              <w:top w:val="nil"/>
              <w:left w:val="nil"/>
              <w:bottom w:val="nil"/>
              <w:right w:val="single" w:sz="4" w:space="0" w:color="auto"/>
            </w:tcBorders>
            <w:noWrap/>
            <w:vAlign w:val="center"/>
            <w:hideMark/>
          </w:tcPr>
          <w:p w14:paraId="772BA400"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35,586</w:t>
            </w:r>
          </w:p>
        </w:tc>
        <w:tc>
          <w:tcPr>
            <w:tcW w:w="603" w:type="pct"/>
            <w:noWrap/>
            <w:vAlign w:val="center"/>
            <w:hideMark/>
          </w:tcPr>
          <w:p w14:paraId="603F7CAC"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37,778</w:t>
            </w:r>
          </w:p>
        </w:tc>
        <w:tc>
          <w:tcPr>
            <w:tcW w:w="603" w:type="pct"/>
            <w:tcBorders>
              <w:top w:val="nil"/>
              <w:left w:val="single" w:sz="4" w:space="0" w:color="auto"/>
              <w:bottom w:val="nil"/>
              <w:right w:val="single" w:sz="4" w:space="0" w:color="auto"/>
            </w:tcBorders>
            <w:noWrap/>
            <w:vAlign w:val="center"/>
            <w:hideMark/>
          </w:tcPr>
          <w:p w14:paraId="7E9EC93E"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40,009</w:t>
            </w:r>
          </w:p>
        </w:tc>
        <w:tc>
          <w:tcPr>
            <w:tcW w:w="454" w:type="pct"/>
            <w:tcBorders>
              <w:top w:val="nil"/>
              <w:left w:val="nil"/>
              <w:bottom w:val="nil"/>
              <w:right w:val="single" w:sz="4" w:space="0" w:color="auto"/>
            </w:tcBorders>
            <w:noWrap/>
            <w:vAlign w:val="center"/>
            <w:hideMark/>
          </w:tcPr>
          <w:p w14:paraId="2C9B4BE8"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1,955</w:t>
            </w:r>
          </w:p>
        </w:tc>
        <w:tc>
          <w:tcPr>
            <w:tcW w:w="342" w:type="pct"/>
            <w:tcBorders>
              <w:top w:val="nil"/>
              <w:left w:val="nil"/>
              <w:bottom w:val="nil"/>
              <w:right w:val="single" w:sz="4" w:space="0" w:color="auto"/>
            </w:tcBorders>
            <w:noWrap/>
            <w:vAlign w:val="center"/>
            <w:hideMark/>
          </w:tcPr>
          <w:p w14:paraId="5CBBCAD6"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5.8%</w:t>
            </w:r>
          </w:p>
        </w:tc>
      </w:tr>
      <w:tr w:rsidR="00FA29AB" w:rsidRPr="00050FA4" w14:paraId="2BAD6493" w14:textId="77777777" w:rsidTr="009B6DC5">
        <w:trPr>
          <w:trHeight w:val="220"/>
          <w:jc w:val="center"/>
        </w:trPr>
        <w:tc>
          <w:tcPr>
            <w:tcW w:w="1136" w:type="pct"/>
            <w:tcBorders>
              <w:top w:val="nil"/>
              <w:left w:val="single" w:sz="4" w:space="0" w:color="auto"/>
              <w:bottom w:val="nil"/>
              <w:right w:val="nil"/>
            </w:tcBorders>
            <w:noWrap/>
            <w:vAlign w:val="center"/>
            <w:hideMark/>
          </w:tcPr>
          <w:p w14:paraId="51991FE4" w14:textId="77777777"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Akciza</w:t>
            </w:r>
          </w:p>
        </w:tc>
        <w:tc>
          <w:tcPr>
            <w:tcW w:w="403" w:type="pct"/>
            <w:tcBorders>
              <w:top w:val="nil"/>
              <w:left w:val="single" w:sz="4" w:space="0" w:color="auto"/>
              <w:bottom w:val="nil"/>
              <w:right w:val="single" w:sz="4" w:space="0" w:color="auto"/>
            </w:tcBorders>
            <w:noWrap/>
            <w:vAlign w:val="center"/>
            <w:hideMark/>
          </w:tcPr>
          <w:p w14:paraId="7A6953BA"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46,742</w:t>
            </w:r>
          </w:p>
        </w:tc>
        <w:tc>
          <w:tcPr>
            <w:tcW w:w="403" w:type="pct"/>
            <w:noWrap/>
            <w:vAlign w:val="center"/>
            <w:hideMark/>
          </w:tcPr>
          <w:p w14:paraId="35BE07F9"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44,521</w:t>
            </w:r>
          </w:p>
        </w:tc>
        <w:tc>
          <w:tcPr>
            <w:tcW w:w="454" w:type="pct"/>
            <w:tcBorders>
              <w:top w:val="nil"/>
              <w:left w:val="single" w:sz="4" w:space="0" w:color="auto"/>
              <w:bottom w:val="nil"/>
              <w:right w:val="single" w:sz="4" w:space="0" w:color="auto"/>
            </w:tcBorders>
            <w:noWrap/>
            <w:vAlign w:val="center"/>
            <w:hideMark/>
          </w:tcPr>
          <w:p w14:paraId="5644A99B"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51,830</w:t>
            </w:r>
          </w:p>
        </w:tc>
        <w:tc>
          <w:tcPr>
            <w:tcW w:w="603" w:type="pct"/>
            <w:tcBorders>
              <w:top w:val="nil"/>
              <w:left w:val="nil"/>
              <w:bottom w:val="nil"/>
              <w:right w:val="single" w:sz="4" w:space="0" w:color="auto"/>
            </w:tcBorders>
            <w:noWrap/>
            <w:vAlign w:val="center"/>
            <w:hideMark/>
          </w:tcPr>
          <w:p w14:paraId="232B8A75"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56,478</w:t>
            </w:r>
          </w:p>
        </w:tc>
        <w:tc>
          <w:tcPr>
            <w:tcW w:w="603" w:type="pct"/>
            <w:noWrap/>
            <w:vAlign w:val="center"/>
            <w:hideMark/>
          </w:tcPr>
          <w:p w14:paraId="586B7A9A"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58,011</w:t>
            </w:r>
          </w:p>
        </w:tc>
        <w:tc>
          <w:tcPr>
            <w:tcW w:w="603" w:type="pct"/>
            <w:tcBorders>
              <w:top w:val="nil"/>
              <w:left w:val="single" w:sz="4" w:space="0" w:color="auto"/>
              <w:bottom w:val="nil"/>
              <w:right w:val="single" w:sz="4" w:space="0" w:color="auto"/>
            </w:tcBorders>
            <w:noWrap/>
            <w:vAlign w:val="center"/>
            <w:hideMark/>
          </w:tcPr>
          <w:p w14:paraId="2E4B4674"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59,346</w:t>
            </w:r>
          </w:p>
        </w:tc>
        <w:tc>
          <w:tcPr>
            <w:tcW w:w="454" w:type="pct"/>
            <w:tcBorders>
              <w:top w:val="nil"/>
              <w:left w:val="nil"/>
              <w:bottom w:val="nil"/>
              <w:right w:val="single" w:sz="4" w:space="0" w:color="auto"/>
            </w:tcBorders>
            <w:noWrap/>
            <w:vAlign w:val="center"/>
            <w:hideMark/>
          </w:tcPr>
          <w:p w14:paraId="18DAA82F"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4,648</w:t>
            </w:r>
          </w:p>
        </w:tc>
        <w:tc>
          <w:tcPr>
            <w:tcW w:w="342" w:type="pct"/>
            <w:tcBorders>
              <w:top w:val="nil"/>
              <w:left w:val="nil"/>
              <w:bottom w:val="nil"/>
              <w:right w:val="single" w:sz="4" w:space="0" w:color="auto"/>
            </w:tcBorders>
            <w:noWrap/>
            <w:vAlign w:val="center"/>
            <w:hideMark/>
          </w:tcPr>
          <w:p w14:paraId="1772D6F6"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9.0%</w:t>
            </w:r>
          </w:p>
        </w:tc>
      </w:tr>
      <w:tr w:rsidR="00FA29AB" w:rsidRPr="00050FA4" w14:paraId="3160C01E" w14:textId="77777777" w:rsidTr="009B6DC5">
        <w:trPr>
          <w:trHeight w:val="220"/>
          <w:jc w:val="center"/>
        </w:trPr>
        <w:tc>
          <w:tcPr>
            <w:tcW w:w="1136" w:type="pct"/>
            <w:tcBorders>
              <w:top w:val="nil"/>
              <w:left w:val="single" w:sz="4" w:space="0" w:color="auto"/>
              <w:bottom w:val="nil"/>
              <w:right w:val="nil"/>
            </w:tcBorders>
            <w:noWrap/>
            <w:vAlign w:val="center"/>
            <w:hideMark/>
          </w:tcPr>
          <w:p w14:paraId="35F820A3" w14:textId="77777777"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Tatimi mbi të ardhurat personale</w:t>
            </w:r>
          </w:p>
        </w:tc>
        <w:tc>
          <w:tcPr>
            <w:tcW w:w="403" w:type="pct"/>
            <w:tcBorders>
              <w:top w:val="nil"/>
              <w:left w:val="single" w:sz="4" w:space="0" w:color="auto"/>
              <w:bottom w:val="nil"/>
              <w:right w:val="single" w:sz="4" w:space="0" w:color="auto"/>
            </w:tcBorders>
            <w:noWrap/>
            <w:vAlign w:val="center"/>
            <w:hideMark/>
          </w:tcPr>
          <w:p w14:paraId="0B08E0C3"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46,124</w:t>
            </w:r>
          </w:p>
        </w:tc>
        <w:tc>
          <w:tcPr>
            <w:tcW w:w="403" w:type="pct"/>
            <w:noWrap/>
            <w:vAlign w:val="center"/>
            <w:hideMark/>
          </w:tcPr>
          <w:p w14:paraId="6EA3609E"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33,658</w:t>
            </w:r>
          </w:p>
        </w:tc>
        <w:tc>
          <w:tcPr>
            <w:tcW w:w="454" w:type="pct"/>
            <w:tcBorders>
              <w:top w:val="nil"/>
              <w:left w:val="single" w:sz="4" w:space="0" w:color="auto"/>
              <w:bottom w:val="nil"/>
              <w:right w:val="single" w:sz="4" w:space="0" w:color="auto"/>
            </w:tcBorders>
            <w:noWrap/>
            <w:vAlign w:val="center"/>
            <w:hideMark/>
          </w:tcPr>
          <w:p w14:paraId="0CBE8E0E"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42,679</w:t>
            </w:r>
          </w:p>
        </w:tc>
        <w:tc>
          <w:tcPr>
            <w:tcW w:w="603" w:type="pct"/>
            <w:tcBorders>
              <w:top w:val="nil"/>
              <w:left w:val="nil"/>
              <w:bottom w:val="nil"/>
              <w:right w:val="single" w:sz="4" w:space="0" w:color="auto"/>
            </w:tcBorders>
            <w:noWrap/>
            <w:vAlign w:val="center"/>
            <w:hideMark/>
          </w:tcPr>
          <w:p w14:paraId="055C5DEC"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45,161</w:t>
            </w:r>
          </w:p>
        </w:tc>
        <w:tc>
          <w:tcPr>
            <w:tcW w:w="603" w:type="pct"/>
            <w:noWrap/>
            <w:vAlign w:val="center"/>
            <w:hideMark/>
          </w:tcPr>
          <w:p w14:paraId="438BC801"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48,063</w:t>
            </w:r>
          </w:p>
        </w:tc>
        <w:tc>
          <w:tcPr>
            <w:tcW w:w="603" w:type="pct"/>
            <w:tcBorders>
              <w:top w:val="nil"/>
              <w:left w:val="single" w:sz="4" w:space="0" w:color="auto"/>
              <w:bottom w:val="nil"/>
              <w:right w:val="single" w:sz="4" w:space="0" w:color="auto"/>
            </w:tcBorders>
            <w:noWrap/>
            <w:vAlign w:val="center"/>
            <w:hideMark/>
          </w:tcPr>
          <w:p w14:paraId="64849AB7"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50,906</w:t>
            </w:r>
          </w:p>
        </w:tc>
        <w:tc>
          <w:tcPr>
            <w:tcW w:w="454" w:type="pct"/>
            <w:tcBorders>
              <w:top w:val="nil"/>
              <w:left w:val="nil"/>
              <w:bottom w:val="nil"/>
              <w:right w:val="single" w:sz="4" w:space="0" w:color="auto"/>
            </w:tcBorders>
            <w:noWrap/>
            <w:vAlign w:val="center"/>
            <w:hideMark/>
          </w:tcPr>
          <w:p w14:paraId="4E303BD7"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2,482</w:t>
            </w:r>
          </w:p>
        </w:tc>
        <w:tc>
          <w:tcPr>
            <w:tcW w:w="342" w:type="pct"/>
            <w:tcBorders>
              <w:top w:val="nil"/>
              <w:left w:val="nil"/>
              <w:bottom w:val="nil"/>
              <w:right w:val="single" w:sz="4" w:space="0" w:color="auto"/>
            </w:tcBorders>
            <w:noWrap/>
            <w:vAlign w:val="center"/>
            <w:hideMark/>
          </w:tcPr>
          <w:p w14:paraId="2B748D62"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5.8%</w:t>
            </w:r>
          </w:p>
        </w:tc>
      </w:tr>
      <w:tr w:rsidR="00FA29AB" w:rsidRPr="00050FA4" w14:paraId="6BD952AF" w14:textId="77777777" w:rsidTr="009B6DC5">
        <w:trPr>
          <w:trHeight w:val="220"/>
          <w:jc w:val="center"/>
        </w:trPr>
        <w:tc>
          <w:tcPr>
            <w:tcW w:w="1136" w:type="pct"/>
            <w:tcBorders>
              <w:top w:val="nil"/>
              <w:left w:val="single" w:sz="4" w:space="0" w:color="auto"/>
              <w:bottom w:val="nil"/>
              <w:right w:val="nil"/>
            </w:tcBorders>
            <w:noWrap/>
            <w:vAlign w:val="center"/>
            <w:hideMark/>
          </w:tcPr>
          <w:p w14:paraId="67B71EBB" w14:textId="593B8E67"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 xml:space="preserve">Taksat </w:t>
            </w:r>
            <w:r w:rsidR="00D8322E" w:rsidRPr="00050FA4">
              <w:rPr>
                <w:rFonts w:ascii="Garamond" w:eastAsia="Times New Roman" w:hAnsi="Garamond" w:cstheme="majorBidi"/>
                <w:color w:val="0D0D0D" w:themeColor="text1" w:themeTint="F2"/>
                <w:sz w:val="16"/>
                <w:szCs w:val="16"/>
              </w:rPr>
              <w:t>nacionale total</w:t>
            </w:r>
          </w:p>
        </w:tc>
        <w:tc>
          <w:tcPr>
            <w:tcW w:w="403" w:type="pct"/>
            <w:tcBorders>
              <w:top w:val="nil"/>
              <w:left w:val="single" w:sz="4" w:space="0" w:color="auto"/>
              <w:bottom w:val="nil"/>
              <w:right w:val="single" w:sz="4" w:space="0" w:color="auto"/>
            </w:tcBorders>
            <w:noWrap/>
            <w:vAlign w:val="center"/>
            <w:hideMark/>
          </w:tcPr>
          <w:p w14:paraId="7722D1FC"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36,423</w:t>
            </w:r>
          </w:p>
        </w:tc>
        <w:tc>
          <w:tcPr>
            <w:tcW w:w="403" w:type="pct"/>
            <w:noWrap/>
            <w:vAlign w:val="center"/>
            <w:hideMark/>
          </w:tcPr>
          <w:p w14:paraId="0DDE9986"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35,829</w:t>
            </w:r>
          </w:p>
        </w:tc>
        <w:tc>
          <w:tcPr>
            <w:tcW w:w="454" w:type="pct"/>
            <w:tcBorders>
              <w:top w:val="nil"/>
              <w:left w:val="single" w:sz="4" w:space="0" w:color="auto"/>
              <w:bottom w:val="nil"/>
              <w:right w:val="single" w:sz="4" w:space="0" w:color="auto"/>
            </w:tcBorders>
            <w:noWrap/>
            <w:vAlign w:val="center"/>
            <w:hideMark/>
          </w:tcPr>
          <w:p w14:paraId="2FB46F97"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40,900</w:t>
            </w:r>
          </w:p>
        </w:tc>
        <w:tc>
          <w:tcPr>
            <w:tcW w:w="603" w:type="pct"/>
            <w:tcBorders>
              <w:top w:val="nil"/>
              <w:left w:val="nil"/>
              <w:bottom w:val="nil"/>
              <w:right w:val="single" w:sz="4" w:space="0" w:color="auto"/>
            </w:tcBorders>
            <w:noWrap/>
            <w:vAlign w:val="center"/>
            <w:hideMark/>
          </w:tcPr>
          <w:p w14:paraId="3829B964"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49,741</w:t>
            </w:r>
          </w:p>
        </w:tc>
        <w:tc>
          <w:tcPr>
            <w:tcW w:w="603" w:type="pct"/>
            <w:noWrap/>
            <w:vAlign w:val="center"/>
            <w:hideMark/>
          </w:tcPr>
          <w:p w14:paraId="33B9FA62"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52,427</w:t>
            </w:r>
          </w:p>
        </w:tc>
        <w:tc>
          <w:tcPr>
            <w:tcW w:w="603" w:type="pct"/>
            <w:tcBorders>
              <w:top w:val="nil"/>
              <w:left w:val="single" w:sz="4" w:space="0" w:color="auto"/>
              <w:bottom w:val="nil"/>
              <w:right w:val="single" w:sz="4" w:space="0" w:color="auto"/>
            </w:tcBorders>
            <w:noWrap/>
            <w:vAlign w:val="center"/>
            <w:hideMark/>
          </w:tcPr>
          <w:p w14:paraId="00C75F44"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55,162</w:t>
            </w:r>
          </w:p>
        </w:tc>
        <w:tc>
          <w:tcPr>
            <w:tcW w:w="454" w:type="pct"/>
            <w:tcBorders>
              <w:top w:val="nil"/>
              <w:left w:val="nil"/>
              <w:bottom w:val="nil"/>
              <w:right w:val="single" w:sz="4" w:space="0" w:color="auto"/>
            </w:tcBorders>
            <w:noWrap/>
            <w:vAlign w:val="center"/>
            <w:hideMark/>
          </w:tcPr>
          <w:p w14:paraId="7B9E6920"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8,841</w:t>
            </w:r>
          </w:p>
        </w:tc>
        <w:tc>
          <w:tcPr>
            <w:tcW w:w="342" w:type="pct"/>
            <w:tcBorders>
              <w:top w:val="nil"/>
              <w:left w:val="nil"/>
              <w:bottom w:val="nil"/>
              <w:right w:val="single" w:sz="4" w:space="0" w:color="auto"/>
            </w:tcBorders>
            <w:noWrap/>
            <w:vAlign w:val="center"/>
            <w:hideMark/>
          </w:tcPr>
          <w:p w14:paraId="0733DE06"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21.6%</w:t>
            </w:r>
          </w:p>
        </w:tc>
      </w:tr>
      <w:tr w:rsidR="00FA29AB" w:rsidRPr="00050FA4" w14:paraId="574E2ABC" w14:textId="77777777" w:rsidTr="009B6DC5">
        <w:trPr>
          <w:trHeight w:val="231"/>
          <w:jc w:val="center"/>
        </w:trPr>
        <w:tc>
          <w:tcPr>
            <w:tcW w:w="1136" w:type="pct"/>
            <w:tcBorders>
              <w:top w:val="nil"/>
              <w:left w:val="single" w:sz="4" w:space="0" w:color="auto"/>
              <w:bottom w:val="nil"/>
              <w:right w:val="nil"/>
            </w:tcBorders>
            <w:noWrap/>
            <w:vAlign w:val="center"/>
            <w:hideMark/>
          </w:tcPr>
          <w:p w14:paraId="0B4600DC" w14:textId="77777777"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Taksë doganore</w:t>
            </w:r>
          </w:p>
        </w:tc>
        <w:tc>
          <w:tcPr>
            <w:tcW w:w="403" w:type="pct"/>
            <w:tcBorders>
              <w:top w:val="nil"/>
              <w:left w:val="single" w:sz="4" w:space="0" w:color="auto"/>
              <w:bottom w:val="nil"/>
              <w:right w:val="single" w:sz="4" w:space="0" w:color="auto"/>
            </w:tcBorders>
            <w:noWrap/>
            <w:vAlign w:val="center"/>
            <w:hideMark/>
          </w:tcPr>
          <w:p w14:paraId="179BA003"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6,482</w:t>
            </w:r>
          </w:p>
        </w:tc>
        <w:tc>
          <w:tcPr>
            <w:tcW w:w="403" w:type="pct"/>
            <w:noWrap/>
            <w:vAlign w:val="center"/>
            <w:hideMark/>
          </w:tcPr>
          <w:p w14:paraId="48564D62"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6,241</w:t>
            </w:r>
          </w:p>
        </w:tc>
        <w:tc>
          <w:tcPr>
            <w:tcW w:w="454" w:type="pct"/>
            <w:tcBorders>
              <w:top w:val="nil"/>
              <w:left w:val="single" w:sz="4" w:space="0" w:color="auto"/>
              <w:bottom w:val="nil"/>
              <w:right w:val="single" w:sz="4" w:space="0" w:color="auto"/>
            </w:tcBorders>
            <w:noWrap/>
            <w:vAlign w:val="center"/>
            <w:hideMark/>
          </w:tcPr>
          <w:p w14:paraId="31E38E95"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7,500</w:t>
            </w:r>
          </w:p>
        </w:tc>
        <w:tc>
          <w:tcPr>
            <w:tcW w:w="603" w:type="pct"/>
            <w:tcBorders>
              <w:top w:val="nil"/>
              <w:left w:val="nil"/>
              <w:bottom w:val="nil"/>
              <w:right w:val="single" w:sz="4" w:space="0" w:color="auto"/>
            </w:tcBorders>
            <w:noWrap/>
            <w:vAlign w:val="center"/>
            <w:hideMark/>
          </w:tcPr>
          <w:p w14:paraId="01E1A5C7"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7,508</w:t>
            </w:r>
          </w:p>
        </w:tc>
        <w:tc>
          <w:tcPr>
            <w:tcW w:w="603" w:type="pct"/>
            <w:noWrap/>
            <w:vAlign w:val="center"/>
            <w:hideMark/>
          </w:tcPr>
          <w:p w14:paraId="48A166E2"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8,115</w:t>
            </w:r>
          </w:p>
        </w:tc>
        <w:tc>
          <w:tcPr>
            <w:tcW w:w="603" w:type="pct"/>
            <w:tcBorders>
              <w:top w:val="nil"/>
              <w:left w:val="single" w:sz="4" w:space="0" w:color="auto"/>
              <w:bottom w:val="nil"/>
              <w:right w:val="single" w:sz="4" w:space="0" w:color="auto"/>
            </w:tcBorders>
            <w:noWrap/>
            <w:vAlign w:val="center"/>
            <w:hideMark/>
          </w:tcPr>
          <w:p w14:paraId="72F4D0A8"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8,774</w:t>
            </w:r>
          </w:p>
        </w:tc>
        <w:tc>
          <w:tcPr>
            <w:tcW w:w="454" w:type="pct"/>
            <w:tcBorders>
              <w:top w:val="nil"/>
              <w:left w:val="nil"/>
              <w:bottom w:val="nil"/>
              <w:right w:val="single" w:sz="4" w:space="0" w:color="auto"/>
            </w:tcBorders>
            <w:noWrap/>
            <w:vAlign w:val="center"/>
            <w:hideMark/>
          </w:tcPr>
          <w:p w14:paraId="34F5A4BC"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8</w:t>
            </w:r>
          </w:p>
        </w:tc>
        <w:tc>
          <w:tcPr>
            <w:tcW w:w="342" w:type="pct"/>
            <w:tcBorders>
              <w:top w:val="nil"/>
              <w:left w:val="nil"/>
              <w:bottom w:val="nil"/>
              <w:right w:val="single" w:sz="4" w:space="0" w:color="auto"/>
            </w:tcBorders>
            <w:noWrap/>
            <w:vAlign w:val="center"/>
            <w:hideMark/>
          </w:tcPr>
          <w:p w14:paraId="4EBD82C2"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0.1%</w:t>
            </w:r>
          </w:p>
        </w:tc>
      </w:tr>
      <w:tr w:rsidR="00FA29AB" w:rsidRPr="00050FA4" w14:paraId="09FD686D" w14:textId="77777777" w:rsidTr="009B6DC5">
        <w:trPr>
          <w:trHeight w:val="485"/>
          <w:jc w:val="center"/>
        </w:trPr>
        <w:tc>
          <w:tcPr>
            <w:tcW w:w="1136" w:type="pct"/>
            <w:tcBorders>
              <w:top w:val="single" w:sz="4" w:space="0" w:color="auto"/>
              <w:left w:val="single" w:sz="4" w:space="0" w:color="auto"/>
              <w:bottom w:val="single" w:sz="4" w:space="0" w:color="auto"/>
              <w:right w:val="nil"/>
            </w:tcBorders>
            <w:shd w:val="clear" w:color="auto" w:fill="F2F2F2"/>
            <w:noWrap/>
            <w:vAlign w:val="center"/>
            <w:hideMark/>
          </w:tcPr>
          <w:p w14:paraId="6CCA5B77" w14:textId="77777777" w:rsidR="005714D0" w:rsidRPr="00050FA4" w:rsidRDefault="005714D0" w:rsidP="00D8322E">
            <w:pP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Total DPD+DPT</w:t>
            </w:r>
          </w:p>
        </w:tc>
        <w:tc>
          <w:tcPr>
            <w:tcW w:w="40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A23D706"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304,758</w:t>
            </w:r>
          </w:p>
        </w:tc>
        <w:tc>
          <w:tcPr>
            <w:tcW w:w="403" w:type="pct"/>
            <w:tcBorders>
              <w:top w:val="single" w:sz="4" w:space="0" w:color="auto"/>
              <w:left w:val="nil"/>
              <w:bottom w:val="single" w:sz="4" w:space="0" w:color="auto"/>
              <w:right w:val="single" w:sz="4" w:space="0" w:color="auto"/>
            </w:tcBorders>
            <w:shd w:val="clear" w:color="auto" w:fill="F2F2F2"/>
            <w:noWrap/>
            <w:vAlign w:val="center"/>
            <w:hideMark/>
          </w:tcPr>
          <w:p w14:paraId="3BFCBF25"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278,984</w:t>
            </w:r>
          </w:p>
        </w:tc>
        <w:tc>
          <w:tcPr>
            <w:tcW w:w="454" w:type="pct"/>
            <w:tcBorders>
              <w:top w:val="single" w:sz="4" w:space="0" w:color="auto"/>
              <w:left w:val="nil"/>
              <w:bottom w:val="single" w:sz="4" w:space="0" w:color="auto"/>
              <w:right w:val="single" w:sz="4" w:space="0" w:color="auto"/>
            </w:tcBorders>
            <w:shd w:val="clear" w:color="auto" w:fill="F2F2F2"/>
            <w:noWrap/>
            <w:vAlign w:val="center"/>
            <w:hideMark/>
          </w:tcPr>
          <w:p w14:paraId="6A3DD098"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328,000</w:t>
            </w:r>
          </w:p>
        </w:tc>
        <w:tc>
          <w:tcPr>
            <w:tcW w:w="603" w:type="pct"/>
            <w:tcBorders>
              <w:top w:val="single" w:sz="4" w:space="0" w:color="auto"/>
              <w:left w:val="nil"/>
              <w:bottom w:val="single" w:sz="4" w:space="0" w:color="auto"/>
              <w:right w:val="single" w:sz="4" w:space="0" w:color="auto"/>
            </w:tcBorders>
            <w:shd w:val="clear" w:color="auto" w:fill="F2F2F2"/>
            <w:noWrap/>
            <w:vAlign w:val="center"/>
            <w:hideMark/>
          </w:tcPr>
          <w:p w14:paraId="60785579"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360,535</w:t>
            </w:r>
          </w:p>
        </w:tc>
        <w:tc>
          <w:tcPr>
            <w:tcW w:w="603" w:type="pct"/>
            <w:tcBorders>
              <w:top w:val="single" w:sz="4" w:space="0" w:color="auto"/>
              <w:left w:val="nil"/>
              <w:bottom w:val="single" w:sz="4" w:space="0" w:color="auto"/>
              <w:right w:val="single" w:sz="4" w:space="0" w:color="auto"/>
            </w:tcBorders>
            <w:shd w:val="clear" w:color="auto" w:fill="F2F2F2"/>
            <w:noWrap/>
            <w:vAlign w:val="center"/>
            <w:hideMark/>
          </w:tcPr>
          <w:p w14:paraId="0373DF46"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383,726</w:t>
            </w:r>
          </w:p>
        </w:tc>
        <w:tc>
          <w:tcPr>
            <w:tcW w:w="603" w:type="pct"/>
            <w:tcBorders>
              <w:top w:val="single" w:sz="4" w:space="0" w:color="auto"/>
              <w:left w:val="nil"/>
              <w:bottom w:val="single" w:sz="4" w:space="0" w:color="auto"/>
              <w:right w:val="single" w:sz="4" w:space="0" w:color="auto"/>
            </w:tcBorders>
            <w:shd w:val="clear" w:color="auto" w:fill="F2F2F2"/>
            <w:noWrap/>
            <w:vAlign w:val="center"/>
            <w:hideMark/>
          </w:tcPr>
          <w:p w14:paraId="0F492B84"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407,907</w:t>
            </w:r>
          </w:p>
        </w:tc>
        <w:tc>
          <w:tcPr>
            <w:tcW w:w="454" w:type="pct"/>
            <w:tcBorders>
              <w:top w:val="single" w:sz="4" w:space="0" w:color="auto"/>
              <w:left w:val="nil"/>
              <w:bottom w:val="single" w:sz="4" w:space="0" w:color="auto"/>
              <w:right w:val="single" w:sz="4" w:space="0" w:color="auto"/>
            </w:tcBorders>
            <w:shd w:val="clear" w:color="auto" w:fill="F2F2F2"/>
            <w:noWrap/>
            <w:vAlign w:val="center"/>
            <w:hideMark/>
          </w:tcPr>
          <w:p w14:paraId="05172B71"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32,535</w:t>
            </w:r>
          </w:p>
        </w:tc>
        <w:tc>
          <w:tcPr>
            <w:tcW w:w="342" w:type="pct"/>
            <w:tcBorders>
              <w:top w:val="single" w:sz="4" w:space="0" w:color="auto"/>
              <w:left w:val="nil"/>
              <w:bottom w:val="single" w:sz="4" w:space="0" w:color="auto"/>
              <w:right w:val="single" w:sz="4" w:space="0" w:color="auto"/>
            </w:tcBorders>
            <w:shd w:val="clear" w:color="auto" w:fill="F2F2F2"/>
            <w:noWrap/>
            <w:vAlign w:val="center"/>
            <w:hideMark/>
          </w:tcPr>
          <w:p w14:paraId="64EA4246"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9.9%</w:t>
            </w:r>
          </w:p>
        </w:tc>
      </w:tr>
      <w:tr w:rsidR="00FA29AB" w:rsidRPr="00050FA4" w14:paraId="55416567" w14:textId="77777777" w:rsidTr="009B6DC5">
        <w:trPr>
          <w:trHeight w:val="254"/>
          <w:jc w:val="center"/>
        </w:trPr>
        <w:tc>
          <w:tcPr>
            <w:tcW w:w="1136" w:type="pct"/>
            <w:tcBorders>
              <w:top w:val="nil"/>
              <w:left w:val="single" w:sz="4" w:space="0" w:color="auto"/>
              <w:bottom w:val="nil"/>
              <w:right w:val="nil"/>
            </w:tcBorders>
            <w:noWrap/>
            <w:vAlign w:val="center"/>
            <w:hideMark/>
          </w:tcPr>
          <w:p w14:paraId="599BCDC6" w14:textId="77777777" w:rsidR="005714D0" w:rsidRPr="00050FA4" w:rsidRDefault="005714D0" w:rsidP="00D8322E">
            <w:pPr>
              <w:rPr>
                <w:rFonts w:ascii="Garamond" w:eastAsia="Times New Roman" w:hAnsi="Garamond" w:cstheme="majorBidi"/>
                <w:color w:val="0D0D0D" w:themeColor="text1" w:themeTint="F2"/>
                <w:sz w:val="16"/>
                <w:szCs w:val="16"/>
              </w:rPr>
            </w:pPr>
            <w:r w:rsidRPr="00050FA4">
              <w:rPr>
                <w:rFonts w:ascii="Garamond" w:eastAsia="Times New Roman" w:hAnsi="Garamond" w:cstheme="majorBidi"/>
                <w:color w:val="0D0D0D" w:themeColor="text1" w:themeTint="F2"/>
                <w:sz w:val="16"/>
                <w:szCs w:val="16"/>
              </w:rPr>
              <w:t>Kontributet e mbledhura (DPT)</w:t>
            </w:r>
          </w:p>
        </w:tc>
        <w:tc>
          <w:tcPr>
            <w:tcW w:w="403" w:type="pct"/>
            <w:tcBorders>
              <w:top w:val="nil"/>
              <w:left w:val="single" w:sz="4" w:space="0" w:color="auto"/>
              <w:bottom w:val="nil"/>
              <w:right w:val="single" w:sz="4" w:space="0" w:color="auto"/>
            </w:tcBorders>
            <w:noWrap/>
            <w:vAlign w:val="center"/>
            <w:hideMark/>
          </w:tcPr>
          <w:p w14:paraId="49321D44"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91,850</w:t>
            </w:r>
          </w:p>
        </w:tc>
        <w:tc>
          <w:tcPr>
            <w:tcW w:w="403" w:type="pct"/>
            <w:noWrap/>
            <w:vAlign w:val="center"/>
            <w:hideMark/>
          </w:tcPr>
          <w:p w14:paraId="2299889B"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98,300</w:t>
            </w:r>
          </w:p>
        </w:tc>
        <w:tc>
          <w:tcPr>
            <w:tcW w:w="454" w:type="pct"/>
            <w:tcBorders>
              <w:top w:val="nil"/>
              <w:left w:val="single" w:sz="4" w:space="0" w:color="auto"/>
              <w:bottom w:val="nil"/>
              <w:right w:val="single" w:sz="4" w:space="0" w:color="auto"/>
            </w:tcBorders>
            <w:noWrap/>
            <w:vAlign w:val="center"/>
            <w:hideMark/>
          </w:tcPr>
          <w:p w14:paraId="771A600C"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104,000</w:t>
            </w:r>
          </w:p>
        </w:tc>
        <w:tc>
          <w:tcPr>
            <w:tcW w:w="603" w:type="pct"/>
            <w:tcBorders>
              <w:top w:val="nil"/>
              <w:left w:val="nil"/>
              <w:bottom w:val="nil"/>
              <w:right w:val="single" w:sz="4" w:space="0" w:color="auto"/>
            </w:tcBorders>
            <w:noWrap/>
            <w:vAlign w:val="center"/>
            <w:hideMark/>
          </w:tcPr>
          <w:p w14:paraId="49E39FF9"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111,000</w:t>
            </w:r>
          </w:p>
        </w:tc>
        <w:tc>
          <w:tcPr>
            <w:tcW w:w="603" w:type="pct"/>
            <w:noWrap/>
            <w:vAlign w:val="center"/>
            <w:hideMark/>
          </w:tcPr>
          <w:p w14:paraId="3C7CF7C9"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118,000</w:t>
            </w:r>
          </w:p>
        </w:tc>
        <w:tc>
          <w:tcPr>
            <w:tcW w:w="603" w:type="pct"/>
            <w:tcBorders>
              <w:top w:val="nil"/>
              <w:left w:val="single" w:sz="4" w:space="0" w:color="auto"/>
              <w:bottom w:val="nil"/>
              <w:right w:val="single" w:sz="4" w:space="0" w:color="auto"/>
            </w:tcBorders>
            <w:noWrap/>
            <w:vAlign w:val="center"/>
            <w:hideMark/>
          </w:tcPr>
          <w:p w14:paraId="213ABC2E"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125,000</w:t>
            </w:r>
          </w:p>
        </w:tc>
        <w:tc>
          <w:tcPr>
            <w:tcW w:w="454" w:type="pct"/>
            <w:tcBorders>
              <w:top w:val="nil"/>
              <w:left w:val="nil"/>
              <w:bottom w:val="nil"/>
              <w:right w:val="single" w:sz="4" w:space="0" w:color="auto"/>
            </w:tcBorders>
            <w:noWrap/>
            <w:vAlign w:val="center"/>
            <w:hideMark/>
          </w:tcPr>
          <w:p w14:paraId="6551E23D"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7,000</w:t>
            </w:r>
          </w:p>
        </w:tc>
        <w:tc>
          <w:tcPr>
            <w:tcW w:w="342" w:type="pct"/>
            <w:tcBorders>
              <w:top w:val="nil"/>
              <w:left w:val="nil"/>
              <w:bottom w:val="nil"/>
              <w:right w:val="single" w:sz="4" w:space="0" w:color="auto"/>
            </w:tcBorders>
            <w:noWrap/>
            <w:vAlign w:val="center"/>
            <w:hideMark/>
          </w:tcPr>
          <w:p w14:paraId="11611A7A" w14:textId="77777777" w:rsidR="005714D0" w:rsidRPr="00050FA4" w:rsidRDefault="005714D0" w:rsidP="00D8322E">
            <w:pPr>
              <w:jc w:val="right"/>
              <w:rPr>
                <w:rFonts w:ascii="Garamond" w:hAnsi="Garamond" w:cstheme="majorBidi"/>
                <w:color w:val="0D0D0D" w:themeColor="text1" w:themeTint="F2"/>
                <w:sz w:val="16"/>
                <w:szCs w:val="16"/>
              </w:rPr>
            </w:pPr>
            <w:r w:rsidRPr="00050FA4">
              <w:rPr>
                <w:rFonts w:ascii="Garamond" w:hAnsi="Garamond" w:cstheme="majorBidi"/>
                <w:color w:val="0D0D0D" w:themeColor="text1" w:themeTint="F2"/>
                <w:sz w:val="16"/>
                <w:szCs w:val="16"/>
              </w:rPr>
              <w:t>6.7%</w:t>
            </w:r>
          </w:p>
        </w:tc>
      </w:tr>
      <w:tr w:rsidR="00FA29AB" w:rsidRPr="00050FA4" w14:paraId="4E5B06F8" w14:textId="77777777" w:rsidTr="009B6DC5">
        <w:trPr>
          <w:trHeight w:val="308"/>
          <w:jc w:val="center"/>
        </w:trPr>
        <w:tc>
          <w:tcPr>
            <w:tcW w:w="1136" w:type="pct"/>
            <w:tcBorders>
              <w:top w:val="single" w:sz="4" w:space="0" w:color="auto"/>
              <w:left w:val="single" w:sz="4" w:space="0" w:color="auto"/>
              <w:bottom w:val="single" w:sz="4" w:space="0" w:color="auto"/>
              <w:right w:val="nil"/>
            </w:tcBorders>
            <w:shd w:val="clear" w:color="auto" w:fill="F2F2F2"/>
            <w:noWrap/>
            <w:vAlign w:val="center"/>
            <w:hideMark/>
          </w:tcPr>
          <w:p w14:paraId="48DC0B44" w14:textId="45D2B698" w:rsidR="005714D0" w:rsidRPr="00050FA4" w:rsidRDefault="005714D0" w:rsidP="00D8322E">
            <w:pPr>
              <w:rPr>
                <w:rFonts w:ascii="Garamond" w:eastAsia="Times New Roman" w:hAnsi="Garamond" w:cstheme="majorBidi"/>
                <w:b/>
                <w:bCs/>
                <w:color w:val="0D0D0D" w:themeColor="text1" w:themeTint="F2"/>
                <w:sz w:val="16"/>
                <w:szCs w:val="16"/>
              </w:rPr>
            </w:pPr>
            <w:r w:rsidRPr="00050FA4">
              <w:rPr>
                <w:rFonts w:ascii="Garamond" w:eastAsia="Times New Roman" w:hAnsi="Garamond" w:cstheme="majorBidi"/>
                <w:b/>
                <w:bCs/>
                <w:color w:val="0D0D0D" w:themeColor="text1" w:themeTint="F2"/>
                <w:sz w:val="16"/>
                <w:szCs w:val="16"/>
              </w:rPr>
              <w:t>Total DPD+DPT(</w:t>
            </w:r>
            <w:r w:rsidR="002221B3" w:rsidRPr="00050FA4">
              <w:rPr>
                <w:rFonts w:ascii="Garamond" w:eastAsia="Times New Roman" w:hAnsi="Garamond" w:cstheme="majorBidi"/>
                <w:b/>
                <w:bCs/>
                <w:color w:val="0D0D0D" w:themeColor="text1" w:themeTint="F2"/>
                <w:sz w:val="16"/>
                <w:szCs w:val="16"/>
              </w:rPr>
              <w:t>kontributet</w:t>
            </w:r>
            <w:r w:rsidR="00D23643" w:rsidRPr="00050FA4">
              <w:rPr>
                <w:rFonts w:ascii="Garamond" w:eastAsia="Times New Roman" w:hAnsi="Garamond" w:cstheme="majorBidi"/>
                <w:b/>
                <w:bCs/>
                <w:color w:val="0D0D0D" w:themeColor="text1" w:themeTint="F2"/>
                <w:sz w:val="16"/>
                <w:szCs w:val="16"/>
              </w:rPr>
              <w:t>)</w:t>
            </w:r>
          </w:p>
        </w:tc>
        <w:tc>
          <w:tcPr>
            <w:tcW w:w="40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CA90A4B"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396,608</w:t>
            </w:r>
          </w:p>
        </w:tc>
        <w:tc>
          <w:tcPr>
            <w:tcW w:w="403" w:type="pct"/>
            <w:tcBorders>
              <w:top w:val="single" w:sz="4" w:space="0" w:color="auto"/>
              <w:left w:val="nil"/>
              <w:bottom w:val="single" w:sz="4" w:space="0" w:color="auto"/>
              <w:right w:val="single" w:sz="4" w:space="0" w:color="auto"/>
            </w:tcBorders>
            <w:shd w:val="clear" w:color="auto" w:fill="F2F2F2"/>
            <w:noWrap/>
            <w:vAlign w:val="center"/>
            <w:hideMark/>
          </w:tcPr>
          <w:p w14:paraId="3BFCA9E0"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377,284</w:t>
            </w:r>
          </w:p>
        </w:tc>
        <w:tc>
          <w:tcPr>
            <w:tcW w:w="454" w:type="pct"/>
            <w:tcBorders>
              <w:top w:val="single" w:sz="4" w:space="0" w:color="auto"/>
              <w:left w:val="nil"/>
              <w:bottom w:val="single" w:sz="4" w:space="0" w:color="auto"/>
              <w:right w:val="single" w:sz="4" w:space="0" w:color="auto"/>
            </w:tcBorders>
            <w:shd w:val="clear" w:color="auto" w:fill="F2F2F2"/>
            <w:noWrap/>
            <w:vAlign w:val="center"/>
            <w:hideMark/>
          </w:tcPr>
          <w:p w14:paraId="670DCCEA"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432,000</w:t>
            </w:r>
          </w:p>
        </w:tc>
        <w:tc>
          <w:tcPr>
            <w:tcW w:w="603" w:type="pct"/>
            <w:tcBorders>
              <w:top w:val="single" w:sz="4" w:space="0" w:color="auto"/>
              <w:left w:val="nil"/>
              <w:bottom w:val="single" w:sz="4" w:space="0" w:color="auto"/>
              <w:right w:val="single" w:sz="4" w:space="0" w:color="auto"/>
            </w:tcBorders>
            <w:shd w:val="clear" w:color="auto" w:fill="F2F2F2"/>
            <w:noWrap/>
            <w:vAlign w:val="center"/>
            <w:hideMark/>
          </w:tcPr>
          <w:p w14:paraId="177B2558"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471,535</w:t>
            </w:r>
          </w:p>
        </w:tc>
        <w:tc>
          <w:tcPr>
            <w:tcW w:w="603" w:type="pct"/>
            <w:tcBorders>
              <w:top w:val="single" w:sz="4" w:space="0" w:color="auto"/>
              <w:left w:val="nil"/>
              <w:bottom w:val="single" w:sz="4" w:space="0" w:color="auto"/>
              <w:right w:val="single" w:sz="4" w:space="0" w:color="auto"/>
            </w:tcBorders>
            <w:shd w:val="clear" w:color="auto" w:fill="F2F2F2"/>
            <w:noWrap/>
            <w:vAlign w:val="center"/>
            <w:hideMark/>
          </w:tcPr>
          <w:p w14:paraId="6A546FDE"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501,726</w:t>
            </w:r>
          </w:p>
        </w:tc>
        <w:tc>
          <w:tcPr>
            <w:tcW w:w="603" w:type="pct"/>
            <w:tcBorders>
              <w:top w:val="single" w:sz="4" w:space="0" w:color="auto"/>
              <w:left w:val="nil"/>
              <w:bottom w:val="single" w:sz="4" w:space="0" w:color="auto"/>
              <w:right w:val="single" w:sz="4" w:space="0" w:color="auto"/>
            </w:tcBorders>
            <w:shd w:val="clear" w:color="auto" w:fill="F2F2F2"/>
            <w:noWrap/>
            <w:vAlign w:val="center"/>
            <w:hideMark/>
          </w:tcPr>
          <w:p w14:paraId="44547BC1"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532,907</w:t>
            </w:r>
          </w:p>
        </w:tc>
        <w:tc>
          <w:tcPr>
            <w:tcW w:w="454" w:type="pct"/>
            <w:tcBorders>
              <w:top w:val="single" w:sz="4" w:space="0" w:color="auto"/>
              <w:left w:val="nil"/>
              <w:bottom w:val="single" w:sz="4" w:space="0" w:color="auto"/>
              <w:right w:val="single" w:sz="4" w:space="0" w:color="auto"/>
            </w:tcBorders>
            <w:shd w:val="clear" w:color="auto" w:fill="F2F2F2"/>
            <w:noWrap/>
            <w:vAlign w:val="center"/>
            <w:hideMark/>
          </w:tcPr>
          <w:p w14:paraId="781C685C"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39,535</w:t>
            </w:r>
          </w:p>
        </w:tc>
        <w:tc>
          <w:tcPr>
            <w:tcW w:w="342" w:type="pct"/>
            <w:tcBorders>
              <w:top w:val="single" w:sz="4" w:space="0" w:color="auto"/>
              <w:left w:val="nil"/>
              <w:bottom w:val="single" w:sz="4" w:space="0" w:color="auto"/>
              <w:right w:val="single" w:sz="4" w:space="0" w:color="auto"/>
            </w:tcBorders>
            <w:shd w:val="clear" w:color="auto" w:fill="F2F2F2"/>
            <w:noWrap/>
            <w:vAlign w:val="center"/>
            <w:hideMark/>
          </w:tcPr>
          <w:p w14:paraId="74DC9C09" w14:textId="77777777" w:rsidR="005714D0" w:rsidRPr="00050FA4" w:rsidRDefault="005714D0" w:rsidP="00D8322E">
            <w:pPr>
              <w:jc w:val="right"/>
              <w:rPr>
                <w:rFonts w:ascii="Garamond" w:hAnsi="Garamond" w:cstheme="majorBidi"/>
                <w:b/>
                <w:bCs/>
                <w:color w:val="0D0D0D" w:themeColor="text1" w:themeTint="F2"/>
                <w:sz w:val="16"/>
                <w:szCs w:val="16"/>
              </w:rPr>
            </w:pPr>
            <w:r w:rsidRPr="00050FA4">
              <w:rPr>
                <w:rFonts w:ascii="Garamond" w:hAnsi="Garamond" w:cstheme="majorBidi"/>
                <w:b/>
                <w:bCs/>
                <w:color w:val="0D0D0D" w:themeColor="text1" w:themeTint="F2"/>
                <w:sz w:val="16"/>
                <w:szCs w:val="16"/>
              </w:rPr>
              <w:t>9.2%</w:t>
            </w:r>
          </w:p>
        </w:tc>
      </w:tr>
    </w:tbl>
    <w:p w14:paraId="1527421F" w14:textId="77777777" w:rsidR="005714D0" w:rsidRPr="00050FA4" w:rsidRDefault="005714D0" w:rsidP="003F1DA7">
      <w:pPr>
        <w:ind w:firstLine="284"/>
        <w:jc w:val="center"/>
        <w:rPr>
          <w:rFonts w:ascii="Garamond" w:eastAsia="Arial Narrow" w:hAnsi="Garamond" w:cstheme="majorBidi"/>
          <w:iCs/>
          <w:color w:val="0D0D0D" w:themeColor="text1" w:themeTint="F2"/>
          <w:sz w:val="20"/>
        </w:rPr>
      </w:pPr>
      <w:r w:rsidRPr="00050FA4">
        <w:rPr>
          <w:rFonts w:ascii="Garamond" w:eastAsia="Arial Narrow" w:hAnsi="Garamond" w:cstheme="majorBidi"/>
          <w:iCs/>
          <w:color w:val="0D0D0D" w:themeColor="text1" w:themeTint="F2"/>
          <w:sz w:val="20"/>
        </w:rPr>
        <w:t>Burimi: Ministria e Financave dhe Ekonomisë (2021)</w:t>
      </w:r>
    </w:p>
    <w:p w14:paraId="2C7B183C" w14:textId="77777777" w:rsidR="005714D0" w:rsidRPr="00050FA4" w:rsidRDefault="005714D0" w:rsidP="003F1DA7">
      <w:pPr>
        <w:ind w:firstLine="284"/>
        <w:jc w:val="both"/>
        <w:rPr>
          <w:rFonts w:ascii="Garamond" w:eastAsia="Times New Roman" w:hAnsi="Garamond" w:cstheme="majorBidi"/>
          <w:color w:val="0D0D0D" w:themeColor="text1" w:themeTint="F2"/>
          <w:sz w:val="16"/>
        </w:rPr>
      </w:pPr>
    </w:p>
    <w:p w14:paraId="1E205390" w14:textId="61D9DDA7" w:rsidR="005714D0" w:rsidRPr="00050FA4" w:rsidRDefault="005714D0" w:rsidP="003F1DA7">
      <w:pPr>
        <w:pStyle w:val="AAAAAAATEXXXX"/>
        <w:rPr>
          <w:iCs/>
          <w:lang w:val="sq-AL"/>
        </w:rPr>
      </w:pPr>
      <w:r w:rsidRPr="00050FA4">
        <w:rPr>
          <w:lang w:val="sq-AL"/>
        </w:rPr>
        <w:t>Të ardhurat doganore projektohen bazuar në analizë</w:t>
      </w:r>
      <w:r w:rsidR="006A72A1" w:rsidRPr="00050FA4">
        <w:rPr>
          <w:lang w:val="sq-AL"/>
        </w:rPr>
        <w:t>n e trendit historik të 60 grup-</w:t>
      </w:r>
      <w:r w:rsidRPr="00050FA4">
        <w:rPr>
          <w:lang w:val="sq-AL"/>
        </w:rPr>
        <w:t>produkteve kryesore për një periudh</w:t>
      </w:r>
      <w:r w:rsidR="006A72A1" w:rsidRPr="00050FA4">
        <w:rPr>
          <w:lang w:val="sq-AL"/>
        </w:rPr>
        <w:t>ë</w:t>
      </w:r>
      <w:r w:rsidRPr="00050FA4">
        <w:rPr>
          <w:lang w:val="sq-AL"/>
        </w:rPr>
        <w:t xml:space="preserve"> shumëvjeçare. Ky parashikim korrigjohet nga efektet e faktorëve të jashtëm në çdo taksë. E njëjta procedurë është përdorur për të ardhurat tatimore, bazuar në modelin statistikor të parashikimit të të ardhurave të pritshme</w:t>
      </w:r>
      <w:r w:rsidR="00D93A90" w:rsidRPr="00050FA4">
        <w:rPr>
          <w:lang w:val="sq-AL"/>
        </w:rPr>
        <w:t>,</w:t>
      </w:r>
      <w:r w:rsidRPr="00050FA4">
        <w:rPr>
          <w:lang w:val="sq-AL"/>
        </w:rPr>
        <w:t xml:space="preserve"> si dhe faktorët ekzogjenë që ndikojnë në çdo taksë.</w:t>
      </w:r>
    </w:p>
    <w:p w14:paraId="59328CE8" w14:textId="77777777" w:rsidR="005714D0" w:rsidRPr="00050FA4" w:rsidRDefault="005714D0" w:rsidP="003F1DA7">
      <w:pPr>
        <w:pStyle w:val="AAAAAAATEXXXX"/>
        <w:rPr>
          <w:lang w:val="sq-AL"/>
        </w:rPr>
      </w:pPr>
      <w:r w:rsidRPr="00050FA4">
        <w:rPr>
          <w:lang w:val="sq-AL"/>
        </w:rPr>
        <w:t>Faktorët e jashtëm që janë marrë në konsideratë në ndikimin e rritjes së të ardhurave për vitin 2021 janë:</w:t>
      </w:r>
    </w:p>
    <w:p w14:paraId="03549912" w14:textId="77777777" w:rsidR="005714D0" w:rsidRPr="00050FA4" w:rsidRDefault="005714D0" w:rsidP="003F1DA7">
      <w:pPr>
        <w:pStyle w:val="AAAAAAATEXXXX"/>
        <w:rPr>
          <w:b/>
          <w:bCs/>
          <w:i/>
          <w:iCs/>
          <w:lang w:val="sq-AL"/>
        </w:rPr>
      </w:pPr>
      <w:r w:rsidRPr="00050FA4">
        <w:rPr>
          <w:b/>
          <w:bCs/>
          <w:i/>
          <w:iCs/>
          <w:lang w:val="sq-AL"/>
        </w:rPr>
        <w:t>Kuadri makroekonomik</w:t>
      </w:r>
    </w:p>
    <w:p w14:paraId="5F80F385" w14:textId="27B6A277" w:rsidR="005714D0" w:rsidRPr="00050FA4" w:rsidRDefault="005714D0" w:rsidP="003F1DA7">
      <w:pPr>
        <w:pStyle w:val="AAAAAAATEXXXX"/>
        <w:rPr>
          <w:lang w:val="sq-AL"/>
        </w:rPr>
      </w:pPr>
      <w:r w:rsidRPr="00050FA4">
        <w:rPr>
          <w:lang w:val="sq-AL"/>
        </w:rPr>
        <w:t xml:space="preserve">Rritja nominale e </w:t>
      </w:r>
      <w:r w:rsidR="00D93A90" w:rsidRPr="00050FA4">
        <w:rPr>
          <w:lang w:val="sq-AL"/>
        </w:rPr>
        <w:t xml:space="preserve">prodhimit të brendshëm bruto e skontuar </w:t>
      </w:r>
      <w:r w:rsidRPr="00050FA4">
        <w:rPr>
          <w:lang w:val="sq-AL"/>
        </w:rPr>
        <w:t xml:space="preserve">me </w:t>
      </w:r>
      <w:r w:rsidR="00D93A90" w:rsidRPr="00050FA4">
        <w:rPr>
          <w:lang w:val="sq-AL"/>
        </w:rPr>
        <w:t>koeficientin e elasticitetit</w:t>
      </w:r>
      <w:r w:rsidRPr="00050FA4">
        <w:rPr>
          <w:lang w:val="sq-AL"/>
        </w:rPr>
        <w:t xml:space="preserve"> është aplikuar duke analizuar këtë efekt në mënyrë të integruar me faktorë të tjerë për çdo taksë në veçanti, të ndërlidhur me të dhënat historike dhe projeksionet e çmimeve në tregjeve ndërkombëtare tek taksat </w:t>
      </w:r>
      <w:r w:rsidRPr="00050FA4">
        <w:rPr>
          <w:i/>
          <w:lang w:val="sq-AL"/>
        </w:rPr>
        <w:t>ad-valorem</w:t>
      </w:r>
      <w:r w:rsidRPr="00050FA4">
        <w:rPr>
          <w:lang w:val="sq-AL"/>
        </w:rPr>
        <w:t xml:space="preserve"> si </w:t>
      </w:r>
      <w:r w:rsidR="0048688B" w:rsidRPr="00050FA4">
        <w:rPr>
          <w:lang w:val="sq-AL"/>
        </w:rPr>
        <w:t>tatimi mbi vlerën e shtuar</w:t>
      </w:r>
      <w:r w:rsidRPr="00050FA4">
        <w:rPr>
          <w:lang w:val="sq-AL"/>
        </w:rPr>
        <w:t xml:space="preserve">, </w:t>
      </w:r>
      <w:r w:rsidR="0048688B" w:rsidRPr="00050FA4">
        <w:rPr>
          <w:lang w:val="sq-AL"/>
        </w:rPr>
        <w:t>renta minerare dhe taksa doganore</w:t>
      </w:r>
      <w:r w:rsidRPr="00050FA4">
        <w:rPr>
          <w:lang w:val="sq-AL"/>
        </w:rPr>
        <w:t xml:space="preserve">. Në projeksion janë përfshirë, faktorë që lidhen me rritjen nominale e PBB-së, kursin mesatar të këmbimit </w:t>
      </w:r>
      <w:r w:rsidR="003833A7" w:rsidRPr="00050FA4">
        <w:rPr>
          <w:lang w:val="sq-AL"/>
        </w:rPr>
        <w:t xml:space="preserve">euro–lek </w:t>
      </w:r>
      <w:r w:rsidRPr="00050FA4">
        <w:rPr>
          <w:lang w:val="sq-AL"/>
        </w:rPr>
        <w:t>dhe USD-</w:t>
      </w:r>
      <w:r w:rsidR="003833A7" w:rsidRPr="00050FA4">
        <w:rPr>
          <w:lang w:val="sq-AL"/>
        </w:rPr>
        <w:t>lek</w:t>
      </w:r>
      <w:r w:rsidRPr="00050FA4">
        <w:rPr>
          <w:lang w:val="sq-AL"/>
        </w:rPr>
        <w:t xml:space="preserve">, si dhe </w:t>
      </w:r>
      <w:r w:rsidR="009B6DC5" w:rsidRPr="00050FA4">
        <w:rPr>
          <w:lang w:val="sq-AL"/>
        </w:rPr>
        <w:t>çmimet</w:t>
      </w:r>
      <w:r w:rsidRPr="00050FA4">
        <w:rPr>
          <w:lang w:val="sq-AL"/>
        </w:rPr>
        <w:t xml:space="preserve"> brent të naftës bruto dhe mineraleve të tjera.</w:t>
      </w:r>
    </w:p>
    <w:p w14:paraId="710B270F" w14:textId="77777777" w:rsidR="005714D0" w:rsidRPr="00050FA4" w:rsidRDefault="005714D0" w:rsidP="003F1DA7">
      <w:pPr>
        <w:pStyle w:val="AAAAAAATEXXXX"/>
        <w:rPr>
          <w:b/>
          <w:bCs/>
          <w:i/>
          <w:lang w:val="sq-AL"/>
        </w:rPr>
      </w:pPr>
      <w:r w:rsidRPr="00050FA4">
        <w:rPr>
          <w:b/>
          <w:bCs/>
          <w:i/>
          <w:lang w:val="sq-AL"/>
        </w:rPr>
        <w:t>Efektet e politikave fiskale</w:t>
      </w:r>
    </w:p>
    <w:p w14:paraId="53E650F3" w14:textId="77777777" w:rsidR="005714D0" w:rsidRPr="00050FA4" w:rsidRDefault="005714D0" w:rsidP="003F1DA7">
      <w:pPr>
        <w:pStyle w:val="AAAAAAATEXXXX"/>
        <w:rPr>
          <w:lang w:val="sq-AL"/>
        </w:rPr>
      </w:pPr>
      <w:r w:rsidRPr="00050FA4">
        <w:rPr>
          <w:lang w:val="sq-AL"/>
        </w:rPr>
        <w:t>Për vitin 2022 parashikohen disa ndryshime fiskale. Parashikimi i të ardhurave për vitin 2022, mbështet qëllimet e Ministrisë së Financave dhe Ekonomisë për rimëkëmbjen fiskale, si dhe mbajtjen nën kontroll të deficitit buxhetor dhe borxhit publik. Ky program bazohet në përmirësimin e administratës fiskale dhe minimizimin e informalitetit në ekonomi, duke mbështetur kështu rimëkëmbjen ekonomike, si dhe rritjen e prodhimit dhe eksporteve.</w:t>
      </w:r>
    </w:p>
    <w:p w14:paraId="45BC66B3" w14:textId="763872A8" w:rsidR="005714D0" w:rsidRPr="00050FA4" w:rsidRDefault="005714D0" w:rsidP="003F1DA7">
      <w:pPr>
        <w:pStyle w:val="AAAAAAATEXXXX"/>
        <w:rPr>
          <w:lang w:val="sq-AL"/>
        </w:rPr>
      </w:pPr>
      <w:r w:rsidRPr="00050FA4">
        <w:rPr>
          <w:lang w:val="sq-AL"/>
        </w:rPr>
        <w:t>Prioritet do të jetë zbatimi dhe qëndrueshmëria e politikave fiskale</w:t>
      </w:r>
      <w:r w:rsidR="00BD0289" w:rsidRPr="00050FA4">
        <w:rPr>
          <w:lang w:val="sq-AL"/>
        </w:rPr>
        <w:t>,</w:t>
      </w:r>
      <w:r w:rsidRPr="00050FA4">
        <w:rPr>
          <w:lang w:val="sq-AL"/>
        </w:rPr>
        <w:t xml:space="preserve"> duke stimuluar thjeshtësinë, transparencën, zvogëlimin e kostove të administrimit, si dhe duke shmangur përjashtimet ose tarifat e favorshme.</w:t>
      </w:r>
    </w:p>
    <w:p w14:paraId="67BCB47F" w14:textId="1235691D" w:rsidR="005714D0" w:rsidRPr="00050FA4" w:rsidRDefault="005714D0" w:rsidP="003F1DA7">
      <w:pPr>
        <w:ind w:left="7" w:firstLine="284"/>
        <w:jc w:val="both"/>
        <w:rPr>
          <w:rFonts w:ascii="Garamond" w:eastAsia="Times New Roman" w:hAnsi="Garamond" w:cstheme="majorBidi"/>
          <w:color w:val="0D0D0D" w:themeColor="text1" w:themeTint="F2"/>
        </w:rPr>
      </w:pPr>
      <w:r w:rsidRPr="00050FA4">
        <w:rPr>
          <w:rFonts w:ascii="Garamond" w:eastAsia="Times New Roman" w:hAnsi="Garamond" w:cstheme="majorBidi"/>
          <w:color w:val="0D0D0D" w:themeColor="text1" w:themeTint="F2"/>
        </w:rPr>
        <w:t>Në këtë kuadër</w:t>
      </w:r>
      <w:r w:rsidR="00BD0289" w:rsidRPr="00050FA4">
        <w:rPr>
          <w:rFonts w:ascii="Garamond" w:eastAsia="Times New Roman" w:hAnsi="Garamond" w:cstheme="majorBidi"/>
          <w:color w:val="0D0D0D" w:themeColor="text1" w:themeTint="F2"/>
        </w:rPr>
        <w:t>,</w:t>
      </w:r>
      <w:r w:rsidRPr="00050FA4">
        <w:rPr>
          <w:rFonts w:ascii="Garamond" w:eastAsia="Times New Roman" w:hAnsi="Garamond" w:cstheme="majorBidi"/>
          <w:color w:val="0D0D0D" w:themeColor="text1" w:themeTint="F2"/>
        </w:rPr>
        <w:t xml:space="preserve"> janë hartuar edhe politikat fiskale për vitin 2022, të cilat janë prezantuar nëpërmjet paketës fiskale 2022</w:t>
      </w:r>
      <w:r w:rsidR="005A6FB6" w:rsidRPr="00050FA4">
        <w:rPr>
          <w:rFonts w:ascii="Garamond" w:eastAsia="Times New Roman" w:hAnsi="Garamond" w:cstheme="majorBidi"/>
          <w:color w:val="0D0D0D" w:themeColor="text1" w:themeTint="F2"/>
        </w:rPr>
        <w:t>,</w:t>
      </w:r>
      <w:r w:rsidRPr="00050FA4">
        <w:rPr>
          <w:rFonts w:ascii="Garamond" w:eastAsia="Times New Roman" w:hAnsi="Garamond" w:cstheme="majorBidi"/>
          <w:color w:val="0D0D0D" w:themeColor="text1" w:themeTint="F2"/>
        </w:rPr>
        <w:t xml:space="preserve"> me efektet në të ardhura</w:t>
      </w:r>
      <w:r w:rsidR="005A6FB6" w:rsidRPr="00050FA4">
        <w:rPr>
          <w:rFonts w:ascii="Garamond" w:eastAsia="Times New Roman" w:hAnsi="Garamond" w:cstheme="majorBidi"/>
          <w:color w:val="0D0D0D" w:themeColor="text1" w:themeTint="F2"/>
        </w:rPr>
        <w:t>,</w:t>
      </w:r>
      <w:r w:rsidRPr="00050FA4">
        <w:rPr>
          <w:rFonts w:ascii="Garamond" w:eastAsia="Times New Roman" w:hAnsi="Garamond" w:cstheme="majorBidi"/>
          <w:color w:val="0D0D0D" w:themeColor="text1" w:themeTint="F2"/>
        </w:rPr>
        <w:t xml:space="preserve"> si më poshtë:</w:t>
      </w:r>
    </w:p>
    <w:p w14:paraId="4D655350" w14:textId="2F1FBBE2"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Heqja e skemës së </w:t>
      </w:r>
      <w:r w:rsidR="009B6DC5" w:rsidRPr="00050FA4">
        <w:rPr>
          <w:lang w:val="sq-AL"/>
        </w:rPr>
        <w:t>kompensimit</w:t>
      </w:r>
      <w:r w:rsidR="005714D0" w:rsidRPr="00050FA4">
        <w:rPr>
          <w:lang w:val="sq-AL"/>
        </w:rPr>
        <w:t xml:space="preserve"> të prodhuesit bujqësor për qëllime të TVSH</w:t>
      </w:r>
      <w:r w:rsidR="00DF0A87" w:rsidRPr="00050FA4">
        <w:rPr>
          <w:lang w:val="sq-AL"/>
        </w:rPr>
        <w:t>-së (nga 6</w:t>
      </w:r>
      <w:r w:rsidR="005714D0" w:rsidRPr="00050FA4">
        <w:rPr>
          <w:lang w:val="sq-AL"/>
        </w:rPr>
        <w:t>% në 0%). Parashikohet të rezultojë me një efekt financiar në të ardhurat me rreth 750 milionë lekë në vit.</w:t>
      </w:r>
    </w:p>
    <w:p w14:paraId="433A0279" w14:textId="4452B35D" w:rsidR="005714D0" w:rsidRPr="00050FA4" w:rsidRDefault="00D23643" w:rsidP="003F1DA7">
      <w:pPr>
        <w:pStyle w:val="AAAAAAATEXXXX"/>
        <w:rPr>
          <w:lang w:val="sq-AL"/>
        </w:rPr>
      </w:pPr>
      <w:r w:rsidRPr="00050FA4">
        <w:rPr>
          <w:lang w:val="sq-AL"/>
        </w:rPr>
        <w:lastRenderedPageBreak/>
        <w:t xml:space="preserve">- </w:t>
      </w:r>
      <w:r w:rsidR="005714D0" w:rsidRPr="00050FA4">
        <w:rPr>
          <w:lang w:val="sq-AL"/>
        </w:rPr>
        <w:t xml:space="preserve">Vendosje e normës së reduktuar 10% të TVSH-së për furnizimin e inputeve </w:t>
      </w:r>
      <w:r w:rsidR="00D53130" w:rsidRPr="00050FA4">
        <w:rPr>
          <w:lang w:val="sq-AL"/>
        </w:rPr>
        <w:t>bujqësore</w:t>
      </w:r>
      <w:r w:rsidR="005714D0" w:rsidRPr="00050FA4">
        <w:rPr>
          <w:lang w:val="sq-AL"/>
        </w:rPr>
        <w:t>. Parashikohet të rezultojë me një efekt financiar në të ardhurat me rreth 900 milionë lekë në vit.</w:t>
      </w:r>
    </w:p>
    <w:p w14:paraId="237DB0B4" w14:textId="1B406BBB" w:rsidR="005714D0" w:rsidRPr="00050FA4" w:rsidRDefault="00D23643" w:rsidP="003F1DA7">
      <w:pPr>
        <w:pStyle w:val="AAAAAAATEXXXX"/>
        <w:rPr>
          <w:lang w:val="sq-AL"/>
        </w:rPr>
      </w:pPr>
      <w:r w:rsidRPr="00050FA4">
        <w:rPr>
          <w:lang w:val="sq-AL"/>
        </w:rPr>
        <w:t xml:space="preserve">- </w:t>
      </w:r>
      <w:r w:rsidR="005714D0" w:rsidRPr="00050FA4">
        <w:rPr>
          <w:lang w:val="sq-AL"/>
        </w:rPr>
        <w:t>Përjashtimi i TVSH-së në importimin</w:t>
      </w:r>
      <w:r w:rsidR="009B1D6B" w:rsidRPr="00050FA4">
        <w:rPr>
          <w:lang w:val="sq-AL"/>
        </w:rPr>
        <w:t xml:space="preserve"> </w:t>
      </w:r>
      <w:r w:rsidR="005714D0" w:rsidRPr="00050FA4">
        <w:rPr>
          <w:lang w:val="sq-AL"/>
        </w:rPr>
        <w:t xml:space="preserve">e makinerive dhe </w:t>
      </w:r>
      <w:r w:rsidR="00AE3014" w:rsidRPr="00050FA4">
        <w:rPr>
          <w:lang w:val="sq-AL"/>
        </w:rPr>
        <w:t xml:space="preserve">të </w:t>
      </w:r>
      <w:r w:rsidR="005714D0" w:rsidRPr="00050FA4">
        <w:rPr>
          <w:lang w:val="sq-AL"/>
        </w:rPr>
        <w:t>pajisjeve në funksion të realizimit të kontratave të investimeve me vlerë të barabartë ose më të madhe se 500 milionë lekë (nga 50 milion</w:t>
      </w:r>
      <w:r w:rsidR="00FA67C6" w:rsidRPr="00050FA4">
        <w:rPr>
          <w:lang w:val="sq-AL"/>
        </w:rPr>
        <w:t>ë</w:t>
      </w:r>
      <w:r w:rsidR="005714D0" w:rsidRPr="00050FA4">
        <w:rPr>
          <w:lang w:val="sq-AL"/>
        </w:rPr>
        <w:t xml:space="preserve"> që është aktualisht). Parashikohet të rezultojë me një efekt financiar në të ardhurat me rreth 400 milionë lekë në vit.</w:t>
      </w:r>
    </w:p>
    <w:p w14:paraId="27F0AD94" w14:textId="273234A0"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Unifikimi i akcizës së </w:t>
      </w:r>
      <w:r w:rsidR="00EE083D" w:rsidRPr="00050FA4">
        <w:rPr>
          <w:lang w:val="sq-AL"/>
        </w:rPr>
        <w:t>aplikuesh</w:t>
      </w:r>
      <w:r w:rsidR="00AE3014" w:rsidRPr="00050FA4">
        <w:rPr>
          <w:lang w:val="sq-AL"/>
        </w:rPr>
        <w:t>me</w:t>
      </w:r>
      <w:r w:rsidR="005714D0" w:rsidRPr="00050FA4">
        <w:rPr>
          <w:lang w:val="sq-AL"/>
        </w:rPr>
        <w:t xml:space="preserve"> gazit të lëngshëm</w:t>
      </w:r>
      <w:r w:rsidR="00891AA2" w:rsidRPr="00050FA4">
        <w:rPr>
          <w:lang w:val="sq-AL"/>
        </w:rPr>
        <w:t>,</w:t>
      </w:r>
      <w:r w:rsidR="005714D0" w:rsidRPr="00050FA4">
        <w:rPr>
          <w:lang w:val="sq-AL"/>
        </w:rPr>
        <w:t xml:space="preserve"> si për konsumatorin privat</w:t>
      </w:r>
      <w:r w:rsidR="00891AA2" w:rsidRPr="00050FA4">
        <w:rPr>
          <w:lang w:val="sq-AL"/>
        </w:rPr>
        <w:t>,</w:t>
      </w:r>
      <w:r w:rsidR="005714D0" w:rsidRPr="00050FA4">
        <w:rPr>
          <w:lang w:val="sq-AL"/>
        </w:rPr>
        <w:t xml:space="preserve"> ashtu edhe tregtar në masën 6 lekë/litër, parashikohet të rezultojë me një efekt financiar në të ardhurat me rreth 375 milionë lekë në vit. </w:t>
      </w:r>
    </w:p>
    <w:p w14:paraId="573FC57B" w14:textId="6ED8DE4F"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Ndryshimi i shkallës së taksimit për </w:t>
      </w:r>
      <w:r w:rsidR="00EE083D" w:rsidRPr="00050FA4">
        <w:rPr>
          <w:lang w:val="sq-AL"/>
        </w:rPr>
        <w:t>kategorinë</w:t>
      </w:r>
      <w:r w:rsidR="005714D0" w:rsidRPr="00050FA4">
        <w:rPr>
          <w:lang w:val="sq-AL"/>
        </w:rPr>
        <w:t xml:space="preserve"> T200, </w:t>
      </w:r>
      <w:r w:rsidR="008A0E5B" w:rsidRPr="00050FA4">
        <w:rPr>
          <w:lang w:val="sq-AL"/>
        </w:rPr>
        <w:t>“</w:t>
      </w:r>
      <w:r w:rsidR="005714D0" w:rsidRPr="00050FA4">
        <w:rPr>
          <w:lang w:val="sq-AL"/>
        </w:rPr>
        <w:t>Cigare që përmbajnë duhan</w:t>
      </w:r>
      <w:r w:rsidR="008A0E5B" w:rsidRPr="00050FA4">
        <w:rPr>
          <w:lang w:val="sq-AL"/>
        </w:rPr>
        <w:t>”</w:t>
      </w:r>
      <w:r w:rsidR="005714D0" w:rsidRPr="00050FA4">
        <w:rPr>
          <w:lang w:val="sq-AL"/>
        </w:rPr>
        <w:t>, duke aplikuar kalendarin për 4 vitet në vijim, dhe nga ndryshimi i akcizës së nënprodukteve të tjera të duhanit, parashikohet të rezultojë me një efekt financiar në të ardhurat me rreth 750 milionë lekë në vit.</w:t>
      </w:r>
    </w:p>
    <w:p w14:paraId="4487DACC" w14:textId="2FA84536" w:rsidR="005714D0" w:rsidRPr="00050FA4" w:rsidRDefault="00D23643" w:rsidP="003F1DA7">
      <w:pPr>
        <w:pStyle w:val="AAAAAAATEXXXX"/>
        <w:rPr>
          <w:lang w:val="sq-AL"/>
        </w:rPr>
      </w:pPr>
      <w:r w:rsidRPr="00050FA4">
        <w:rPr>
          <w:lang w:val="sq-AL"/>
        </w:rPr>
        <w:t xml:space="preserve">- </w:t>
      </w:r>
      <w:r w:rsidR="005714D0" w:rsidRPr="00050FA4">
        <w:rPr>
          <w:lang w:val="sq-AL"/>
        </w:rPr>
        <w:t>Indeksimi çdo dy vjet i taksës specifike të akcizës me normën e shpallur të inflacionit parashikohet të rezultojë me një efekt financiar në të ardhurat me rreth 500 milion</w:t>
      </w:r>
      <w:r w:rsidR="00891AA2" w:rsidRPr="00050FA4">
        <w:rPr>
          <w:lang w:val="sq-AL"/>
        </w:rPr>
        <w:t>ë</w:t>
      </w:r>
      <w:r w:rsidR="005714D0" w:rsidRPr="00050FA4">
        <w:rPr>
          <w:lang w:val="sq-AL"/>
        </w:rPr>
        <w:t xml:space="preserve"> lekë në vit.</w:t>
      </w:r>
    </w:p>
    <w:p w14:paraId="2AE19928" w14:textId="7EE0209F"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Heqja e rimbursimit të </w:t>
      </w:r>
      <w:r w:rsidR="004806F4" w:rsidRPr="00050FA4">
        <w:rPr>
          <w:lang w:val="sq-AL"/>
        </w:rPr>
        <w:t xml:space="preserve">akcizës </w:t>
      </w:r>
      <w:r w:rsidR="005714D0" w:rsidRPr="00050FA4">
        <w:rPr>
          <w:lang w:val="sq-AL"/>
        </w:rPr>
        <w:t>së lëndëve djegëse për fermerët dhe industrinë agroindustriale (përveç peshkimit), parashikohet të rezultojë me një efekt financiar në të ardhurat me rreth 800 milionë lekë në vit.</w:t>
      </w:r>
    </w:p>
    <w:p w14:paraId="2BBD4D3A" w14:textId="57EF874A" w:rsidR="005714D0" w:rsidRPr="00050FA4" w:rsidRDefault="00D23643" w:rsidP="003F1DA7">
      <w:pPr>
        <w:pStyle w:val="AAAAAAATEXXXX"/>
        <w:rPr>
          <w:lang w:val="sq-AL"/>
        </w:rPr>
      </w:pPr>
      <w:r w:rsidRPr="00050FA4">
        <w:rPr>
          <w:lang w:val="sq-AL"/>
        </w:rPr>
        <w:t xml:space="preserve">- </w:t>
      </w:r>
      <w:r w:rsidR="005714D0" w:rsidRPr="00050FA4">
        <w:rPr>
          <w:lang w:val="sq-AL"/>
        </w:rPr>
        <w:t>Rritja</w:t>
      </w:r>
      <w:r w:rsidR="009B1D6B" w:rsidRPr="00050FA4">
        <w:rPr>
          <w:lang w:val="sq-AL"/>
        </w:rPr>
        <w:t xml:space="preserve"> </w:t>
      </w:r>
      <w:r w:rsidR="005714D0" w:rsidRPr="00050FA4">
        <w:rPr>
          <w:lang w:val="sq-AL"/>
        </w:rPr>
        <w:t>e bazës së patatueshme për efekt tatimi mbi të ardhurat personale 30.000 lekë në 40.000 lekë dhe 15000 lekë n</w:t>
      </w:r>
      <w:r w:rsidR="00B76368" w:rsidRPr="00050FA4">
        <w:rPr>
          <w:lang w:val="sq-AL"/>
        </w:rPr>
        <w:t>ë</w:t>
      </w:r>
      <w:r w:rsidR="005714D0" w:rsidRPr="00050FA4">
        <w:rPr>
          <w:lang w:val="sq-AL"/>
        </w:rPr>
        <w:t xml:space="preserve"> 200000 lekë. Parashikohet të ndikojnë në uljen e të ardhurave me efekt -685 milion</w:t>
      </w:r>
      <w:r w:rsidR="004806F4" w:rsidRPr="00050FA4">
        <w:rPr>
          <w:lang w:val="sq-AL"/>
        </w:rPr>
        <w:t>ë</w:t>
      </w:r>
      <w:r w:rsidR="005714D0" w:rsidRPr="00050FA4">
        <w:rPr>
          <w:lang w:val="sq-AL"/>
        </w:rPr>
        <w:t xml:space="preserve"> lekë. </w:t>
      </w:r>
    </w:p>
    <w:p w14:paraId="18487EAB" w14:textId="0DF14E4D" w:rsidR="005714D0" w:rsidRPr="00050FA4" w:rsidRDefault="00D23643" w:rsidP="003F1DA7">
      <w:pPr>
        <w:pStyle w:val="AAAAAAATEXXXX"/>
        <w:rPr>
          <w:lang w:val="sq-AL"/>
        </w:rPr>
      </w:pPr>
      <w:r w:rsidRPr="00050FA4">
        <w:rPr>
          <w:lang w:val="sq-AL"/>
        </w:rPr>
        <w:t xml:space="preserve">- </w:t>
      </w:r>
      <w:r w:rsidR="005714D0" w:rsidRPr="00050FA4">
        <w:rPr>
          <w:lang w:val="sq-AL"/>
        </w:rPr>
        <w:t>Vendosja e taksës kombëtare për karburantin e furnizuar në zonat e lira (për rieksport) 40 lek</w:t>
      </w:r>
      <w:r w:rsidR="00EE083D" w:rsidRPr="00050FA4">
        <w:rPr>
          <w:lang w:val="sq-AL"/>
        </w:rPr>
        <w:t>ë</w:t>
      </w:r>
      <w:r w:rsidR="005714D0" w:rsidRPr="00050FA4">
        <w:rPr>
          <w:lang w:val="sq-AL"/>
        </w:rPr>
        <w:t>/litër. Parashikohet të ndikojnë në rritjen e të ardhurave me efekt 0.8 miliard</w:t>
      </w:r>
      <w:r w:rsidR="004806F4" w:rsidRPr="00050FA4">
        <w:rPr>
          <w:lang w:val="sq-AL"/>
        </w:rPr>
        <w:t>ë</w:t>
      </w:r>
      <w:r w:rsidR="005714D0" w:rsidRPr="00050FA4">
        <w:rPr>
          <w:lang w:val="sq-AL"/>
        </w:rPr>
        <w:t xml:space="preserve"> lekë. </w:t>
      </w:r>
    </w:p>
    <w:p w14:paraId="30301C5F" w14:textId="0A4E8D36"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Vendosjen e taksës </w:t>
      </w:r>
      <w:r w:rsidR="005714D0" w:rsidRPr="00D23A8E">
        <w:rPr>
          <w:lang w:val="sq-AL"/>
        </w:rPr>
        <w:t>për</w:t>
      </w:r>
      <w:r w:rsidR="005714D0" w:rsidRPr="00050FA4">
        <w:rPr>
          <w:lang w:val="sq-AL"/>
        </w:rPr>
        <w:t xml:space="preserve"> importimin ose prodhimin e qumështit pluhur, parashikohet të kemi një efekt financiar pozitiv në të ardhurat e shtetit me 50 milion</w:t>
      </w:r>
      <w:r w:rsidR="004806F4" w:rsidRPr="00050FA4">
        <w:rPr>
          <w:lang w:val="sq-AL"/>
        </w:rPr>
        <w:t>ë</w:t>
      </w:r>
      <w:r w:rsidR="005714D0" w:rsidRPr="00050FA4">
        <w:rPr>
          <w:lang w:val="sq-AL"/>
        </w:rPr>
        <w:t xml:space="preserve"> lekë në vit.</w:t>
      </w:r>
    </w:p>
    <w:p w14:paraId="34D2E8F5" w14:textId="77777777" w:rsidR="005714D0" w:rsidRPr="00050FA4" w:rsidRDefault="005714D0" w:rsidP="003F1DA7">
      <w:pPr>
        <w:ind w:firstLine="284"/>
        <w:jc w:val="both"/>
        <w:rPr>
          <w:rFonts w:ascii="Garamond" w:eastAsia="Times New Roman" w:hAnsi="Garamond" w:cstheme="majorBidi"/>
          <w:b/>
          <w:bCs/>
          <w:i/>
          <w:iCs/>
          <w:color w:val="0D0D0D" w:themeColor="text1" w:themeTint="F2"/>
        </w:rPr>
      </w:pPr>
      <w:r w:rsidRPr="00050FA4">
        <w:rPr>
          <w:rFonts w:ascii="Garamond" w:eastAsia="Times New Roman" w:hAnsi="Garamond" w:cstheme="majorBidi"/>
          <w:b/>
          <w:bCs/>
          <w:i/>
          <w:iCs/>
          <w:color w:val="0D0D0D" w:themeColor="text1" w:themeTint="F2"/>
        </w:rPr>
        <w:t>Parashikimi i të ardhurave për çdo taksë për vitin 2021</w:t>
      </w:r>
    </w:p>
    <w:p w14:paraId="1EC4E443" w14:textId="39EA89AA" w:rsidR="005714D0" w:rsidRPr="00050FA4" w:rsidRDefault="005714D0" w:rsidP="003F1DA7">
      <w:pPr>
        <w:pStyle w:val="AAAAAAATEXXXX"/>
        <w:rPr>
          <w:lang w:val="sq-AL"/>
        </w:rPr>
      </w:pPr>
      <w:r w:rsidRPr="00050FA4">
        <w:rPr>
          <w:lang w:val="sq-AL"/>
        </w:rPr>
        <w:t>Të ardhurat nga TVSH</w:t>
      </w:r>
      <w:r w:rsidR="0009680A" w:rsidRPr="00050FA4">
        <w:rPr>
          <w:lang w:val="sq-AL"/>
        </w:rPr>
        <w:t>-ja</w:t>
      </w:r>
      <w:r w:rsidRPr="00050FA4">
        <w:rPr>
          <w:lang w:val="sq-AL"/>
        </w:rPr>
        <w:t xml:space="preserve"> parashikohet të arrijnë 166.1 miliardë lekë, 32.5 miliardë lekë, ose 9.9% më shumë se në vitin 2021. Burimi kryesor i rritjes së të ardhurave të TVSH-së për vitin 2022 pritet të jetë:</w:t>
      </w:r>
    </w:p>
    <w:p w14:paraId="0275AF31" w14:textId="2207AB57" w:rsidR="005714D0" w:rsidRPr="00050FA4" w:rsidRDefault="00D23643" w:rsidP="003F1DA7">
      <w:pPr>
        <w:pStyle w:val="AAAAAAATEXXXX"/>
        <w:rPr>
          <w:lang w:val="sq-AL"/>
        </w:rPr>
      </w:pPr>
      <w:r w:rsidRPr="00050FA4">
        <w:rPr>
          <w:lang w:val="sq-AL"/>
        </w:rPr>
        <w:t xml:space="preserve">- </w:t>
      </w:r>
      <w:r w:rsidR="00894DBC" w:rsidRPr="00050FA4">
        <w:rPr>
          <w:lang w:val="sq-AL"/>
        </w:rPr>
        <w:t xml:space="preserve">TVSH </w:t>
      </w:r>
      <w:r w:rsidR="005714D0" w:rsidRPr="00050FA4">
        <w:rPr>
          <w:lang w:val="sq-AL"/>
        </w:rPr>
        <w:t xml:space="preserve">që do të gjenerohet si rezultat i rritjes ekonomike; </w:t>
      </w:r>
    </w:p>
    <w:p w14:paraId="77CE9DE6" w14:textId="26120C24"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TVSH nga rritja e volumit të importeve dhe konjuktura e çmimeve ndërkombëtare; </w:t>
      </w:r>
    </w:p>
    <w:p w14:paraId="4C8C7C1D" w14:textId="14A7CA50" w:rsidR="005714D0" w:rsidRPr="00050FA4" w:rsidRDefault="00D23643" w:rsidP="003F1DA7">
      <w:pPr>
        <w:pStyle w:val="AAAAAAATEXXXX"/>
        <w:rPr>
          <w:lang w:val="sq-AL"/>
        </w:rPr>
      </w:pPr>
      <w:r w:rsidRPr="00050FA4">
        <w:rPr>
          <w:lang w:val="sq-AL"/>
        </w:rPr>
        <w:t xml:space="preserve">- </w:t>
      </w:r>
      <w:r w:rsidR="005714D0" w:rsidRPr="00050FA4">
        <w:rPr>
          <w:lang w:val="sq-AL"/>
        </w:rPr>
        <w:t>TVSH nga përmirësimi i administrimit, lufta ndaj informalitetit dhe kontrolli i zinxhirit të transaksioneve ndërmjet operatorëve.</w:t>
      </w:r>
      <w:r w:rsidR="009B1D6B" w:rsidRPr="00050FA4">
        <w:rPr>
          <w:lang w:val="sq-AL"/>
        </w:rPr>
        <w:t xml:space="preserve"> </w:t>
      </w:r>
    </w:p>
    <w:p w14:paraId="4482432B" w14:textId="31463590" w:rsidR="005714D0" w:rsidRPr="00050FA4" w:rsidRDefault="00D23643" w:rsidP="003F1DA7">
      <w:pPr>
        <w:pStyle w:val="AAAAAAATEXXXX"/>
        <w:rPr>
          <w:lang w:val="sq-AL"/>
        </w:rPr>
      </w:pPr>
      <w:r w:rsidRPr="00050FA4">
        <w:rPr>
          <w:lang w:val="sq-AL"/>
        </w:rPr>
        <w:t xml:space="preserve">- </w:t>
      </w:r>
      <w:r w:rsidR="005714D0" w:rsidRPr="00050FA4">
        <w:rPr>
          <w:lang w:val="sq-AL"/>
        </w:rPr>
        <w:t>TVSH nga efektet e paketës fiskale 2020 (+2 miliardë lekë)</w:t>
      </w:r>
      <w:r w:rsidR="00894DBC" w:rsidRPr="00050FA4">
        <w:rPr>
          <w:lang w:val="sq-AL"/>
        </w:rPr>
        <w:t>.</w:t>
      </w:r>
    </w:p>
    <w:p w14:paraId="435EDF40" w14:textId="77777777" w:rsidR="005714D0" w:rsidRPr="00050FA4" w:rsidRDefault="005714D0" w:rsidP="003F1DA7">
      <w:pPr>
        <w:pStyle w:val="AAAAAAATEXXXX"/>
        <w:rPr>
          <w:lang w:val="sq-AL"/>
        </w:rPr>
      </w:pPr>
      <w:r w:rsidRPr="00050FA4">
        <w:rPr>
          <w:lang w:val="sq-AL"/>
        </w:rPr>
        <w:t>Të ardhurat e akcizës parashikohet të rriten me 4.7 miliardë lekë, ose 9% më shumë se një vit më parë, me një vlerë totale prej 56.5 miliardë lekësh. Faktorët kryesorë që parashikohet të ndikojnë në rritjen e të ardhurave të akcizës janë si më poshtë:</w:t>
      </w:r>
    </w:p>
    <w:p w14:paraId="29A78074" w14:textId="525F5BDB" w:rsidR="005714D0" w:rsidRPr="00050FA4" w:rsidRDefault="00D23643" w:rsidP="003F1DA7">
      <w:pPr>
        <w:pStyle w:val="AAAAAAATEXXXX"/>
        <w:rPr>
          <w:lang w:val="sq-AL"/>
        </w:rPr>
      </w:pPr>
      <w:r w:rsidRPr="00050FA4">
        <w:rPr>
          <w:lang w:val="sq-AL"/>
        </w:rPr>
        <w:t xml:space="preserve">- </w:t>
      </w:r>
      <w:r w:rsidR="005714D0" w:rsidRPr="00050FA4">
        <w:rPr>
          <w:lang w:val="sq-AL"/>
        </w:rPr>
        <w:t>Rritja e importit të mallrave të ngurta si lëndët djegëse dhe cigare.</w:t>
      </w:r>
    </w:p>
    <w:p w14:paraId="19F7B2B1" w14:textId="2F53C0FE" w:rsidR="005714D0" w:rsidRPr="00050FA4" w:rsidRDefault="00D23643" w:rsidP="003F1DA7">
      <w:pPr>
        <w:pStyle w:val="AAAAAAATEXXXX"/>
        <w:rPr>
          <w:lang w:val="sq-AL"/>
        </w:rPr>
      </w:pPr>
      <w:r w:rsidRPr="00050FA4">
        <w:rPr>
          <w:lang w:val="sq-AL"/>
        </w:rPr>
        <w:t xml:space="preserve">- </w:t>
      </w:r>
      <w:r w:rsidR="005714D0" w:rsidRPr="00050FA4">
        <w:rPr>
          <w:lang w:val="sq-AL"/>
        </w:rPr>
        <w:t>Forcimi i luftës kundër informalitetit, përmes kontrollit rigoroz të subjekteve të akcizës.</w:t>
      </w:r>
    </w:p>
    <w:p w14:paraId="4E8EEDE4" w14:textId="3B1FA159" w:rsidR="005714D0" w:rsidRPr="00050FA4" w:rsidRDefault="00D23643" w:rsidP="003F1DA7">
      <w:pPr>
        <w:pStyle w:val="AAAAAAATEXXXX"/>
        <w:rPr>
          <w:lang w:val="sq-AL"/>
        </w:rPr>
      </w:pPr>
      <w:r w:rsidRPr="00050FA4">
        <w:rPr>
          <w:lang w:val="sq-AL"/>
        </w:rPr>
        <w:t xml:space="preserve">- </w:t>
      </w:r>
      <w:r w:rsidR="005714D0" w:rsidRPr="00050FA4">
        <w:rPr>
          <w:lang w:val="sq-AL"/>
        </w:rPr>
        <w:t>Disiplinimi i mëtejshëm i procedurave të përfitimit të përjashtimeve dhe rimbursimeve nga kjo taksë.</w:t>
      </w:r>
    </w:p>
    <w:p w14:paraId="5C492981" w14:textId="22CD40FB" w:rsidR="005714D0" w:rsidRPr="00050FA4" w:rsidRDefault="00D23643" w:rsidP="003F1DA7">
      <w:pPr>
        <w:pStyle w:val="AAAAAAATEXXXX"/>
        <w:rPr>
          <w:lang w:val="sq-AL"/>
        </w:rPr>
      </w:pPr>
      <w:r w:rsidRPr="00050FA4">
        <w:rPr>
          <w:lang w:val="sq-AL"/>
        </w:rPr>
        <w:t xml:space="preserve">- </w:t>
      </w:r>
      <w:r w:rsidR="005714D0" w:rsidRPr="00050FA4">
        <w:rPr>
          <w:lang w:val="sq-AL"/>
        </w:rPr>
        <w:t>Akcizë e ardhur nga efektet e paketës fiskale 2022 (+2.4 miliardë lekë)</w:t>
      </w:r>
      <w:r w:rsidR="00F229EF" w:rsidRPr="00050FA4">
        <w:rPr>
          <w:lang w:val="sq-AL"/>
        </w:rPr>
        <w:t>.</w:t>
      </w:r>
    </w:p>
    <w:p w14:paraId="4F2E71DC" w14:textId="685E0382" w:rsidR="005714D0" w:rsidRPr="00050FA4" w:rsidRDefault="005714D0" w:rsidP="003F1DA7">
      <w:pPr>
        <w:pStyle w:val="AAAAAAATEXXXX"/>
        <w:rPr>
          <w:lang w:val="sq-AL"/>
        </w:rPr>
      </w:pPr>
      <w:r w:rsidRPr="00050FA4">
        <w:rPr>
          <w:lang w:val="sq-AL"/>
        </w:rPr>
        <w:t xml:space="preserve">Të ardhurat nga </w:t>
      </w:r>
      <w:r w:rsidR="00F229EF" w:rsidRPr="00050FA4">
        <w:rPr>
          <w:lang w:val="sq-AL"/>
        </w:rPr>
        <w:t xml:space="preserve">tatimi mbi fitimin </w:t>
      </w:r>
      <w:r w:rsidRPr="00050FA4">
        <w:rPr>
          <w:lang w:val="sq-AL"/>
        </w:rPr>
        <w:t>parashikohet të realizohen në shumën prej 35.6 miliardë lekësh, 2 miliardë lekë 5.8% më shumë se një vit më parë. Rritja e parashikuar në tatimin mbi fitimin bazohet:</w:t>
      </w:r>
    </w:p>
    <w:p w14:paraId="43D2E80D" w14:textId="38BD2170" w:rsidR="005714D0" w:rsidRPr="00050FA4" w:rsidRDefault="00D23643" w:rsidP="003F1DA7">
      <w:pPr>
        <w:pStyle w:val="AAAAAAATEXXXX"/>
        <w:rPr>
          <w:lang w:val="sq-AL"/>
        </w:rPr>
      </w:pPr>
      <w:r w:rsidRPr="00050FA4">
        <w:rPr>
          <w:lang w:val="sq-AL"/>
        </w:rPr>
        <w:t xml:space="preserve">- </w:t>
      </w:r>
      <w:r w:rsidR="005714D0" w:rsidRPr="00050FA4">
        <w:rPr>
          <w:lang w:val="sq-AL"/>
        </w:rPr>
        <w:t>Në rikuperimin e ekonomisë dhe rritjen e saj, çka do reflektohet edhe në deklaratat e tatimpaguesve;</w:t>
      </w:r>
    </w:p>
    <w:p w14:paraId="0D1D207B" w14:textId="4AB88E71" w:rsidR="005714D0" w:rsidRPr="00050FA4" w:rsidRDefault="00D23643" w:rsidP="003F1DA7">
      <w:pPr>
        <w:pStyle w:val="AAAAAAATEXXXX"/>
        <w:rPr>
          <w:lang w:val="sq-AL"/>
        </w:rPr>
      </w:pPr>
      <w:r w:rsidRPr="00050FA4">
        <w:rPr>
          <w:lang w:val="sq-AL"/>
        </w:rPr>
        <w:t xml:space="preserve">- </w:t>
      </w:r>
      <w:r w:rsidR="005714D0" w:rsidRPr="00050FA4">
        <w:rPr>
          <w:lang w:val="sq-AL"/>
        </w:rPr>
        <w:t>Në forcimin e kontrollit të deklaratave, bazuar në kriteret e riskut;</w:t>
      </w:r>
    </w:p>
    <w:p w14:paraId="3173B56C" w14:textId="6719A603" w:rsidR="005714D0" w:rsidRPr="00050FA4" w:rsidRDefault="00D23643" w:rsidP="003F1DA7">
      <w:pPr>
        <w:pStyle w:val="AAAAAAATEXXXX"/>
        <w:rPr>
          <w:lang w:val="sq-AL"/>
        </w:rPr>
      </w:pPr>
      <w:r w:rsidRPr="00050FA4">
        <w:rPr>
          <w:lang w:val="sq-AL"/>
        </w:rPr>
        <w:t xml:space="preserve">- </w:t>
      </w:r>
      <w:r w:rsidR="005714D0" w:rsidRPr="00050FA4">
        <w:rPr>
          <w:lang w:val="sq-AL"/>
        </w:rPr>
        <w:t>Në fiskalizimin nëpërmjet se cilit sigurohet një kontroll tatimor më i mirë dhe efikas me fokus tatimpaguesit</w:t>
      </w:r>
      <w:r w:rsidR="00F229EF" w:rsidRPr="00050FA4">
        <w:rPr>
          <w:lang w:val="sq-AL"/>
        </w:rPr>
        <w:t>,</w:t>
      </w:r>
      <w:r w:rsidR="005714D0" w:rsidRPr="00050FA4">
        <w:rPr>
          <w:lang w:val="sq-AL"/>
        </w:rPr>
        <w:t xml:space="preserve"> që nuk deklarojnë dhe nuk paguajnë detyrime</w:t>
      </w:r>
      <w:r w:rsidR="00F229EF" w:rsidRPr="00050FA4">
        <w:rPr>
          <w:lang w:val="sq-AL"/>
        </w:rPr>
        <w:t>t e tyre në përputhje me ligjin</w:t>
      </w:r>
      <w:r w:rsidR="005714D0" w:rsidRPr="00050FA4">
        <w:rPr>
          <w:lang w:val="sq-AL"/>
        </w:rPr>
        <w:t xml:space="preserve"> dhe</w:t>
      </w:r>
      <w:r w:rsidR="00F229EF" w:rsidRPr="00050FA4">
        <w:rPr>
          <w:lang w:val="sq-AL"/>
        </w:rPr>
        <w:t>,</w:t>
      </w:r>
      <w:r w:rsidR="005714D0" w:rsidRPr="00050FA4">
        <w:rPr>
          <w:lang w:val="sq-AL"/>
        </w:rPr>
        <w:t xml:space="preserve"> gjithashtu</w:t>
      </w:r>
      <w:r w:rsidR="00F229EF" w:rsidRPr="00050FA4">
        <w:rPr>
          <w:lang w:val="sq-AL"/>
        </w:rPr>
        <w:t>,</w:t>
      </w:r>
      <w:r w:rsidR="005714D0" w:rsidRPr="00050FA4">
        <w:rPr>
          <w:lang w:val="sq-AL"/>
        </w:rPr>
        <w:t xml:space="preserve"> krijon një mekanizëm të </w:t>
      </w:r>
      <w:r w:rsidR="00EE083D" w:rsidRPr="00050FA4">
        <w:rPr>
          <w:lang w:val="sq-AL"/>
        </w:rPr>
        <w:t>mbikëqyrjes</w:t>
      </w:r>
      <w:r w:rsidR="005714D0" w:rsidRPr="00050FA4">
        <w:rPr>
          <w:lang w:val="sq-AL"/>
        </w:rPr>
        <w:t xml:space="preserve"> në kohë reale, të pajisjeve fiskale që operojnë me para në dorë dhe atyre pa para në dorë. </w:t>
      </w:r>
    </w:p>
    <w:p w14:paraId="3F03C68D" w14:textId="0050A34B" w:rsidR="005714D0" w:rsidRPr="00050FA4" w:rsidRDefault="005714D0" w:rsidP="003F1DA7">
      <w:pPr>
        <w:ind w:right="20" w:firstLine="284"/>
        <w:jc w:val="both"/>
        <w:rPr>
          <w:rFonts w:ascii="Garamond" w:eastAsia="Times New Roman" w:hAnsi="Garamond" w:cstheme="majorBidi"/>
          <w:color w:val="0D0D0D" w:themeColor="text1" w:themeTint="F2"/>
        </w:rPr>
      </w:pPr>
      <w:r w:rsidRPr="00050FA4">
        <w:rPr>
          <w:rFonts w:ascii="Garamond" w:eastAsia="Times New Roman" w:hAnsi="Garamond" w:cstheme="majorBidi"/>
          <w:color w:val="0D0D0D" w:themeColor="text1" w:themeTint="F2"/>
        </w:rPr>
        <w:t xml:space="preserve">Të ardhurat nga </w:t>
      </w:r>
      <w:r w:rsidR="00F229EF" w:rsidRPr="00050FA4">
        <w:rPr>
          <w:rFonts w:ascii="Garamond" w:eastAsia="Times New Roman" w:hAnsi="Garamond" w:cstheme="majorBidi"/>
          <w:color w:val="0D0D0D" w:themeColor="text1" w:themeTint="F2"/>
        </w:rPr>
        <w:t xml:space="preserve">tatimi mbi të ardhurat personale </w:t>
      </w:r>
      <w:r w:rsidRPr="00050FA4">
        <w:rPr>
          <w:rFonts w:ascii="Garamond" w:eastAsia="Times New Roman" w:hAnsi="Garamond" w:cstheme="majorBidi"/>
          <w:color w:val="0D0D0D" w:themeColor="text1" w:themeTint="F2"/>
        </w:rPr>
        <w:t>parashikohet të realizohen në 45.2 miliardë lekë, 2.5 miliardë lekë, ose 5.8% më shumë se në vitin 2020. Në parashikimin e të ardhurave nga tatimi mbi të ardhurat personale janë marrë në konsideratë rritja ekonomike dhe impakti i saj në nivelin e pagës mesatare</w:t>
      </w:r>
      <w:r w:rsidR="00CC4735" w:rsidRPr="00050FA4">
        <w:rPr>
          <w:rFonts w:ascii="Garamond" w:eastAsia="Times New Roman" w:hAnsi="Garamond" w:cstheme="majorBidi"/>
          <w:color w:val="0D0D0D" w:themeColor="text1" w:themeTint="F2"/>
        </w:rPr>
        <w:t>,</w:t>
      </w:r>
      <w:r w:rsidRPr="00050FA4">
        <w:rPr>
          <w:rFonts w:ascii="Garamond" w:eastAsia="Times New Roman" w:hAnsi="Garamond" w:cstheme="majorBidi"/>
          <w:color w:val="0D0D0D" w:themeColor="text1" w:themeTint="F2"/>
        </w:rPr>
        <w:t xml:space="preserve"> si dhe rritja e numrit të të punësuarve në sektorin privat, bazuar në ecurinë e vitit 2021.</w:t>
      </w:r>
    </w:p>
    <w:p w14:paraId="0EE4F2A8" w14:textId="7C78459E" w:rsidR="005714D0" w:rsidRPr="00050FA4" w:rsidRDefault="005714D0" w:rsidP="003F1DA7">
      <w:pPr>
        <w:ind w:right="20" w:firstLine="284"/>
        <w:jc w:val="both"/>
        <w:rPr>
          <w:rFonts w:ascii="Garamond" w:eastAsia="Times New Roman" w:hAnsi="Garamond" w:cstheme="majorBidi"/>
          <w:color w:val="0D0D0D" w:themeColor="text1" w:themeTint="F2"/>
        </w:rPr>
      </w:pPr>
      <w:r w:rsidRPr="00050FA4">
        <w:rPr>
          <w:rFonts w:ascii="Garamond" w:eastAsia="Times New Roman" w:hAnsi="Garamond" w:cstheme="majorBidi"/>
          <w:color w:val="0D0D0D" w:themeColor="text1" w:themeTint="F2"/>
        </w:rPr>
        <w:t xml:space="preserve">Të ardhurat nga </w:t>
      </w:r>
      <w:r w:rsidR="00CC4735" w:rsidRPr="00050FA4">
        <w:rPr>
          <w:rFonts w:ascii="Garamond" w:eastAsia="Times New Roman" w:hAnsi="Garamond" w:cstheme="majorBidi"/>
          <w:color w:val="0D0D0D" w:themeColor="text1" w:themeTint="F2"/>
        </w:rPr>
        <w:t xml:space="preserve">taksat nacionale vlerësohen </w:t>
      </w:r>
      <w:r w:rsidRPr="00050FA4">
        <w:rPr>
          <w:rFonts w:ascii="Garamond" w:eastAsia="Times New Roman" w:hAnsi="Garamond" w:cstheme="majorBidi"/>
          <w:color w:val="0D0D0D" w:themeColor="text1" w:themeTint="F2"/>
        </w:rPr>
        <w:t>të jenë 49.7 miliardë lekë, 8.8 miliardë lekë, ose 21.6% më shumë se një vit më parë.</w:t>
      </w:r>
    </w:p>
    <w:p w14:paraId="003DCBEF" w14:textId="1459F0F9" w:rsidR="005714D0" w:rsidRPr="00050FA4" w:rsidRDefault="005714D0" w:rsidP="003F1DA7">
      <w:pPr>
        <w:pStyle w:val="AAAAAAATEXXXX"/>
        <w:rPr>
          <w:lang w:val="sq-AL"/>
        </w:rPr>
      </w:pPr>
      <w:r w:rsidRPr="00050FA4">
        <w:rPr>
          <w:lang w:val="sq-AL"/>
        </w:rPr>
        <w:t xml:space="preserve">Të ardhurat nga </w:t>
      </w:r>
      <w:r w:rsidR="00CC4735" w:rsidRPr="00050FA4">
        <w:rPr>
          <w:lang w:val="sq-AL"/>
        </w:rPr>
        <w:t xml:space="preserve">taksa doganore </w:t>
      </w:r>
      <w:r w:rsidRPr="00050FA4">
        <w:rPr>
          <w:lang w:val="sq-AL"/>
        </w:rPr>
        <w:t xml:space="preserve">parashikohet të jenë 7.5 miliardë lekë, 8 milionë lekë, ose 0.1% më shumë se viti fiskal 2021. Në planifikimin e të ardhurave, merren parasysh efektet e rritjes së importeve të </w:t>
      </w:r>
      <w:r w:rsidRPr="00050FA4">
        <w:rPr>
          <w:lang w:val="sq-AL"/>
        </w:rPr>
        <w:lastRenderedPageBreak/>
        <w:t>tatueshme, si dhe disa efekte minimale nga lëvizja e tarifave doganore.</w:t>
      </w:r>
    </w:p>
    <w:p w14:paraId="5DC54C71" w14:textId="59D1C70A" w:rsidR="005714D0" w:rsidRPr="00050FA4" w:rsidRDefault="005714D0" w:rsidP="003F1DA7">
      <w:pPr>
        <w:pStyle w:val="AAAAAAATEXXXX"/>
        <w:rPr>
          <w:lang w:val="sq-AL"/>
        </w:rPr>
      </w:pPr>
      <w:r w:rsidRPr="00050FA4">
        <w:rPr>
          <w:lang w:val="sq-AL"/>
        </w:rPr>
        <w:t>Të ardhurat nga kontributet e sigurimeve shoqërore dhe shëndetësore të mbledhura nga DPT</w:t>
      </w:r>
      <w:r w:rsidR="00CC4735" w:rsidRPr="00050FA4">
        <w:rPr>
          <w:lang w:val="sq-AL"/>
        </w:rPr>
        <w:t>-ja</w:t>
      </w:r>
      <w:r w:rsidRPr="00050FA4">
        <w:rPr>
          <w:lang w:val="sq-AL"/>
        </w:rPr>
        <w:t xml:space="preserve"> konsiderohen të jenë 96.3 miliardë lekë, 5.4 miliardë lekë ose 5.9% më shumë se viti fiskal 2020. Planifikimi për rritjen ardhurave nga kontributet e sigurimeve shoqërore dhe shëndetësore mbështetet nga këta faktorë:</w:t>
      </w:r>
    </w:p>
    <w:p w14:paraId="751262DE" w14:textId="053695CC" w:rsidR="005714D0" w:rsidRPr="00050FA4" w:rsidRDefault="00D23643" w:rsidP="003F1DA7">
      <w:pPr>
        <w:pStyle w:val="AAAAAAATEXXXX"/>
        <w:rPr>
          <w:lang w:val="sq-AL"/>
        </w:rPr>
      </w:pPr>
      <w:r w:rsidRPr="00050FA4">
        <w:rPr>
          <w:lang w:val="sq-AL"/>
        </w:rPr>
        <w:t xml:space="preserve">- </w:t>
      </w:r>
      <w:r w:rsidR="005714D0" w:rsidRPr="00050FA4">
        <w:rPr>
          <w:lang w:val="sq-AL"/>
        </w:rPr>
        <w:t>Rimëkëmbja ekonomike</w:t>
      </w:r>
      <w:r w:rsidR="00CF6BA9" w:rsidRPr="00050FA4">
        <w:rPr>
          <w:lang w:val="sq-AL"/>
        </w:rPr>
        <w:t>,</w:t>
      </w:r>
      <w:r w:rsidR="005714D0" w:rsidRPr="00050FA4">
        <w:rPr>
          <w:lang w:val="sq-AL"/>
        </w:rPr>
        <w:t xml:space="preserve"> e cila do të reflektohet në rritjen e numrit të të punësuarve;</w:t>
      </w:r>
    </w:p>
    <w:p w14:paraId="5D67C260" w14:textId="68B76301" w:rsidR="005714D0" w:rsidRPr="00050FA4" w:rsidRDefault="00D23643" w:rsidP="003F1DA7">
      <w:pPr>
        <w:pStyle w:val="AAAAAAATEXXXX"/>
        <w:rPr>
          <w:lang w:val="sq-AL"/>
        </w:rPr>
      </w:pPr>
      <w:r w:rsidRPr="00050FA4">
        <w:rPr>
          <w:lang w:val="sq-AL"/>
        </w:rPr>
        <w:t xml:space="preserve">- </w:t>
      </w:r>
      <w:r w:rsidR="005714D0" w:rsidRPr="00050FA4">
        <w:rPr>
          <w:lang w:val="sq-AL"/>
        </w:rPr>
        <w:t>Forcimin e administrimit nëpërmjet kontrollit të nivelit të pagës të deklaruar dhe deviacionit të saj nga paga reale që përfitohet;</w:t>
      </w:r>
    </w:p>
    <w:p w14:paraId="7098D415" w14:textId="6EF01D93" w:rsidR="005714D0" w:rsidRPr="00050FA4" w:rsidRDefault="005714D0" w:rsidP="003F1DA7">
      <w:pPr>
        <w:ind w:firstLine="284"/>
        <w:jc w:val="both"/>
        <w:rPr>
          <w:rFonts w:ascii="Garamond" w:eastAsia="Times New Roman" w:hAnsi="Garamond" w:cstheme="majorBidi"/>
          <w:b/>
          <w:i/>
          <w:color w:val="0D0D0D" w:themeColor="text1" w:themeTint="F2"/>
        </w:rPr>
      </w:pPr>
      <w:r w:rsidRPr="00050FA4">
        <w:rPr>
          <w:rFonts w:ascii="Garamond" w:eastAsia="Times New Roman" w:hAnsi="Garamond" w:cstheme="majorBidi"/>
          <w:b/>
          <w:i/>
          <w:color w:val="0D0D0D" w:themeColor="text1" w:themeTint="F2"/>
        </w:rPr>
        <w:t>Rrisqet</w:t>
      </w:r>
      <w:r w:rsidR="009B1D6B" w:rsidRPr="00050FA4">
        <w:rPr>
          <w:rFonts w:ascii="Garamond" w:eastAsia="Times New Roman" w:hAnsi="Garamond" w:cstheme="majorBidi"/>
          <w:b/>
          <w:i/>
          <w:color w:val="0D0D0D" w:themeColor="text1" w:themeTint="F2"/>
        </w:rPr>
        <w:t xml:space="preserve"> </w:t>
      </w:r>
      <w:r w:rsidRPr="00050FA4">
        <w:rPr>
          <w:rFonts w:ascii="Garamond" w:eastAsia="Times New Roman" w:hAnsi="Garamond" w:cstheme="majorBidi"/>
          <w:b/>
          <w:i/>
          <w:color w:val="0D0D0D" w:themeColor="text1" w:themeTint="F2"/>
        </w:rPr>
        <w:t>fiskale</w:t>
      </w:r>
    </w:p>
    <w:p w14:paraId="320D2975" w14:textId="77777777" w:rsidR="005714D0" w:rsidRPr="00050FA4" w:rsidRDefault="005714D0" w:rsidP="003F1DA7">
      <w:pPr>
        <w:ind w:firstLine="284"/>
        <w:jc w:val="both"/>
        <w:rPr>
          <w:rFonts w:ascii="Garamond" w:eastAsia="Times New Roman" w:hAnsi="Garamond" w:cstheme="majorBidi"/>
          <w:color w:val="0D0D0D" w:themeColor="text1" w:themeTint="F2"/>
        </w:rPr>
      </w:pPr>
      <w:r w:rsidRPr="00050FA4">
        <w:rPr>
          <w:rFonts w:ascii="Garamond" w:eastAsia="Times New Roman" w:hAnsi="Garamond" w:cstheme="majorBidi"/>
          <w:color w:val="0D0D0D" w:themeColor="text1" w:themeTint="F2"/>
        </w:rPr>
        <w:t>Lidhur me parashikimin e të ardhurave tatimore dhe doganore, rreziqet fiskale për vitin 2022 konsistojnë në:</w:t>
      </w:r>
    </w:p>
    <w:p w14:paraId="3DFC42D9" w14:textId="5A2482EA" w:rsidR="005714D0" w:rsidRPr="00050FA4" w:rsidRDefault="00D23643" w:rsidP="003F1DA7">
      <w:pPr>
        <w:pStyle w:val="AAAAAAATEXXXX"/>
        <w:rPr>
          <w:lang w:val="sq-AL"/>
        </w:rPr>
      </w:pPr>
      <w:r w:rsidRPr="00050FA4">
        <w:rPr>
          <w:lang w:val="sq-AL"/>
        </w:rPr>
        <w:t xml:space="preserve">- </w:t>
      </w:r>
      <w:r w:rsidR="00EE083D" w:rsidRPr="00050FA4">
        <w:rPr>
          <w:lang w:val="sq-AL"/>
        </w:rPr>
        <w:t xml:space="preserve">zgjatja </w:t>
      </w:r>
      <w:r w:rsidR="005714D0" w:rsidRPr="00050FA4">
        <w:rPr>
          <w:lang w:val="sq-AL"/>
        </w:rPr>
        <w:t>e situatës pandemike dhe efektet reale të paparashikuara të saj</w:t>
      </w:r>
      <w:r w:rsidR="00EE083D" w:rsidRPr="00050FA4">
        <w:rPr>
          <w:lang w:val="sq-AL"/>
        </w:rPr>
        <w:t>;</w:t>
      </w:r>
      <w:r w:rsidR="005714D0" w:rsidRPr="00050FA4">
        <w:rPr>
          <w:lang w:val="sq-AL"/>
        </w:rPr>
        <w:t xml:space="preserve"> </w:t>
      </w:r>
    </w:p>
    <w:p w14:paraId="119D5467" w14:textId="75AD51E2" w:rsidR="005714D0" w:rsidRPr="00050FA4" w:rsidRDefault="00D23643" w:rsidP="003F1DA7">
      <w:pPr>
        <w:pStyle w:val="AAAAAAATEXXXX"/>
        <w:rPr>
          <w:lang w:val="sq-AL"/>
        </w:rPr>
      </w:pPr>
      <w:r w:rsidRPr="00050FA4">
        <w:rPr>
          <w:lang w:val="sq-AL"/>
        </w:rPr>
        <w:t xml:space="preserve">- </w:t>
      </w:r>
      <w:r w:rsidR="00EE083D" w:rsidRPr="00050FA4">
        <w:rPr>
          <w:lang w:val="sq-AL"/>
        </w:rPr>
        <w:t xml:space="preserve">efektet </w:t>
      </w:r>
      <w:r w:rsidR="005714D0" w:rsidRPr="00050FA4">
        <w:rPr>
          <w:lang w:val="sq-AL"/>
        </w:rPr>
        <w:t>e pritshme mbi ekonominë si pasojë e rritjes së çmimeve të karburanteve dhe energjisë elektrike</w:t>
      </w:r>
      <w:r w:rsidR="00CF6BA9" w:rsidRPr="00050FA4">
        <w:rPr>
          <w:lang w:val="sq-AL"/>
        </w:rPr>
        <w:t>.</w:t>
      </w:r>
    </w:p>
    <w:p w14:paraId="5BBBB787" w14:textId="399B7995" w:rsidR="005714D0" w:rsidRPr="00050FA4" w:rsidRDefault="005714D0" w:rsidP="003F1DA7">
      <w:pPr>
        <w:ind w:firstLine="284"/>
        <w:jc w:val="both"/>
        <w:rPr>
          <w:rFonts w:ascii="Garamond" w:hAnsi="Garamond" w:cstheme="majorBidi"/>
          <w:b/>
          <w:color w:val="0D0D0D" w:themeColor="text1" w:themeTint="F2"/>
          <w:lang w:eastAsia="sq-AL"/>
        </w:rPr>
      </w:pPr>
      <w:r w:rsidRPr="00050FA4">
        <w:rPr>
          <w:rFonts w:ascii="Garamond" w:hAnsi="Garamond" w:cstheme="majorBidi"/>
          <w:b/>
          <w:color w:val="0D0D0D" w:themeColor="text1" w:themeTint="F2"/>
          <w:lang w:eastAsia="sq-AL"/>
        </w:rPr>
        <w:t xml:space="preserve">Shpenzimet tatimore </w:t>
      </w:r>
      <w:r w:rsidRPr="00050FA4">
        <w:rPr>
          <w:rFonts w:ascii="Garamond" w:hAnsi="Garamond" w:cstheme="majorBidi"/>
          <w:b/>
          <w:i/>
          <w:color w:val="0D0D0D" w:themeColor="text1" w:themeTint="F2"/>
          <w:lang w:eastAsia="sq-AL"/>
        </w:rPr>
        <w:t xml:space="preserve">(Tax Expenditures) </w:t>
      </w:r>
    </w:p>
    <w:p w14:paraId="4B7C9427" w14:textId="14BE9D37" w:rsidR="005714D0" w:rsidRPr="00050FA4" w:rsidRDefault="005714D0" w:rsidP="003F1DA7">
      <w:pPr>
        <w:pStyle w:val="AAAAAAATEXXXX"/>
        <w:rPr>
          <w:lang w:val="sq-AL" w:eastAsia="sq-AL"/>
        </w:rPr>
      </w:pPr>
      <w:r w:rsidRPr="00050FA4">
        <w:rPr>
          <w:lang w:val="sq-AL" w:eastAsia="sq-AL"/>
        </w:rPr>
        <w:t xml:space="preserve">Shpenzimet tatimore, apo </w:t>
      </w:r>
      <w:r w:rsidRPr="00050FA4">
        <w:rPr>
          <w:i/>
          <w:lang w:val="sq-AL" w:eastAsia="sq-AL"/>
        </w:rPr>
        <w:t>tax expenditures</w:t>
      </w:r>
      <w:r w:rsidRPr="00050FA4">
        <w:rPr>
          <w:lang w:val="sq-AL" w:eastAsia="sq-AL"/>
        </w:rPr>
        <w:t xml:space="preserve"> konsiderohen humbje nga të ardhurat fiskale të parashikuara në legjislacionin fiskal në fuqi, si rezultat i lehtësirave fiskale ose normave preferenciale të vendosura për kategori të caktuara tatimpaguesish ose aktivitetesh. </w:t>
      </w:r>
      <w:r w:rsidR="008A0E5B" w:rsidRPr="00050FA4">
        <w:rPr>
          <w:lang w:val="sq-AL" w:eastAsia="sq-AL"/>
        </w:rPr>
        <w:t>“</w:t>
      </w:r>
      <w:r w:rsidRPr="00050FA4">
        <w:rPr>
          <w:lang w:val="sq-AL" w:eastAsia="sq-AL"/>
        </w:rPr>
        <w:t>Shpenzimet tatimore</w:t>
      </w:r>
      <w:r w:rsidR="008A0E5B" w:rsidRPr="00050FA4">
        <w:rPr>
          <w:lang w:val="sq-AL" w:eastAsia="sq-AL"/>
        </w:rPr>
        <w:t>”</w:t>
      </w:r>
      <w:r w:rsidRPr="00050FA4">
        <w:rPr>
          <w:lang w:val="sq-AL" w:eastAsia="sq-AL"/>
        </w:rPr>
        <w:t xml:space="preserve"> janë vlerësuar duke përdorur një metodologji të re bazuar mbi disa modele për vlerësimin e shpenzimeve tatimore</w:t>
      </w:r>
      <w:r w:rsidR="007A286A" w:rsidRPr="00050FA4">
        <w:rPr>
          <w:lang w:val="sq-AL" w:eastAsia="sq-AL"/>
        </w:rPr>
        <w:t>,</w:t>
      </w:r>
      <w:r w:rsidRPr="00050FA4">
        <w:rPr>
          <w:lang w:val="sq-AL" w:eastAsia="sq-AL"/>
        </w:rPr>
        <w:t xml:space="preserve"> sipas llojit të tatimeve. Analiza e përjashtimeve ligjore dhe përcaktimi i </w:t>
      </w:r>
      <w:r w:rsidRPr="00050FA4">
        <w:rPr>
          <w:i/>
          <w:lang w:val="sq-AL" w:eastAsia="sq-AL"/>
        </w:rPr>
        <w:t>benchmark</w:t>
      </w:r>
      <w:r w:rsidRPr="00050FA4">
        <w:rPr>
          <w:lang w:val="sq-AL" w:eastAsia="sq-AL"/>
        </w:rPr>
        <w:t xml:space="preserve">-ut (përjashtime që janë normë në të gjithë vendet) u krye me asistencë të Bankës Botërore. </w:t>
      </w:r>
    </w:p>
    <w:p w14:paraId="054C7B68" w14:textId="187B4E79" w:rsidR="005714D0" w:rsidRPr="00050FA4" w:rsidRDefault="005714D0" w:rsidP="003F1DA7">
      <w:pPr>
        <w:pStyle w:val="AAAAAAATEXXXX"/>
        <w:rPr>
          <w:lang w:val="sq-AL" w:eastAsia="sq-AL"/>
        </w:rPr>
      </w:pPr>
      <w:r w:rsidRPr="00050FA4">
        <w:rPr>
          <w:lang w:val="sq-AL" w:eastAsia="sq-AL"/>
        </w:rPr>
        <w:t xml:space="preserve">Për vlerësimin dhe matjen e </w:t>
      </w:r>
      <w:r w:rsidR="008A0E5B" w:rsidRPr="00050FA4">
        <w:rPr>
          <w:lang w:val="sq-AL" w:eastAsia="sq-AL"/>
        </w:rPr>
        <w:t>“</w:t>
      </w:r>
      <w:r w:rsidRPr="00050FA4">
        <w:rPr>
          <w:lang w:val="sq-AL" w:eastAsia="sq-AL"/>
        </w:rPr>
        <w:t>përjashtimeve nga taksat</w:t>
      </w:r>
      <w:r w:rsidR="008A0E5B" w:rsidRPr="00050FA4">
        <w:rPr>
          <w:lang w:val="sq-AL" w:eastAsia="sq-AL"/>
        </w:rPr>
        <w:t>”</w:t>
      </w:r>
      <w:r w:rsidRPr="00050FA4">
        <w:rPr>
          <w:lang w:val="sq-AL" w:eastAsia="sq-AL"/>
        </w:rPr>
        <w:t xml:space="preserve"> janë marrë në konsideratë tatimet dhe taksat e mëposhtme:</w:t>
      </w:r>
    </w:p>
    <w:p w14:paraId="0B487693" w14:textId="51948261" w:rsidR="005714D0" w:rsidRPr="00050FA4" w:rsidRDefault="00D23643" w:rsidP="003F1DA7">
      <w:pPr>
        <w:pStyle w:val="AAAAAAATEXXXX"/>
        <w:rPr>
          <w:lang w:val="sq-AL"/>
        </w:rPr>
      </w:pPr>
      <w:r w:rsidRPr="00050FA4">
        <w:rPr>
          <w:lang w:val="sq-AL"/>
        </w:rPr>
        <w:t xml:space="preserve">- </w:t>
      </w:r>
      <w:r w:rsidR="00EE083D" w:rsidRPr="00050FA4">
        <w:rPr>
          <w:lang w:val="sq-AL"/>
        </w:rPr>
        <w:t xml:space="preserve">tatimi </w:t>
      </w:r>
      <w:r w:rsidR="005714D0" w:rsidRPr="00050FA4">
        <w:rPr>
          <w:lang w:val="sq-AL"/>
        </w:rPr>
        <w:t xml:space="preserve">mbi vlerën e shtuar, përkatësisht në </w:t>
      </w:r>
      <w:r w:rsidR="00EE083D" w:rsidRPr="00050FA4">
        <w:rPr>
          <w:lang w:val="sq-AL"/>
        </w:rPr>
        <w:t xml:space="preserve">ligjin </w:t>
      </w:r>
      <w:r w:rsidR="005714D0" w:rsidRPr="00050FA4">
        <w:rPr>
          <w:lang w:val="sq-AL"/>
        </w:rPr>
        <w:t>nr. 92/2014</w:t>
      </w:r>
      <w:r w:rsidR="00EE083D" w:rsidRPr="00050FA4">
        <w:rPr>
          <w:lang w:val="sq-AL"/>
        </w:rPr>
        <w:t>,</w:t>
      </w:r>
      <w:r w:rsidR="005714D0" w:rsidRPr="00050FA4">
        <w:rPr>
          <w:lang w:val="sq-AL"/>
        </w:rPr>
        <w:t xml:space="preserve"> </w:t>
      </w:r>
      <w:r w:rsidR="008A0E5B" w:rsidRPr="00050FA4">
        <w:rPr>
          <w:lang w:val="sq-AL"/>
        </w:rPr>
        <w:t>“</w:t>
      </w:r>
      <w:r w:rsidR="005714D0" w:rsidRPr="00050FA4">
        <w:rPr>
          <w:lang w:val="sq-AL"/>
        </w:rPr>
        <w:t xml:space="preserve">Për </w:t>
      </w:r>
      <w:r w:rsidR="00EE083D" w:rsidRPr="00050FA4">
        <w:rPr>
          <w:lang w:val="sq-AL"/>
        </w:rPr>
        <w:t xml:space="preserve">tatimin mbi vlerën </w:t>
      </w:r>
      <w:r w:rsidR="005714D0" w:rsidRPr="00050FA4">
        <w:rPr>
          <w:lang w:val="sq-AL"/>
        </w:rPr>
        <w:t>e shtuar</w:t>
      </w:r>
      <w:r w:rsidR="008A0E5B" w:rsidRPr="00050FA4">
        <w:rPr>
          <w:lang w:val="sq-AL"/>
        </w:rPr>
        <w:t>”</w:t>
      </w:r>
      <w:r w:rsidR="005714D0" w:rsidRPr="00050FA4">
        <w:rPr>
          <w:lang w:val="sq-AL"/>
        </w:rPr>
        <w:t xml:space="preserve"> në Republikën e Shqipërisë, </w:t>
      </w:r>
      <w:r w:rsidR="007A286A" w:rsidRPr="00050FA4">
        <w:rPr>
          <w:lang w:val="sq-AL"/>
        </w:rPr>
        <w:t>të</w:t>
      </w:r>
      <w:r w:rsidR="005714D0" w:rsidRPr="00050FA4">
        <w:rPr>
          <w:lang w:val="sq-AL"/>
        </w:rPr>
        <w:t xml:space="preserve"> ndryshuar</w:t>
      </w:r>
      <w:r w:rsidR="00EE083D" w:rsidRPr="00050FA4">
        <w:rPr>
          <w:lang w:val="sq-AL"/>
        </w:rPr>
        <w:t>;</w:t>
      </w:r>
    </w:p>
    <w:p w14:paraId="75F9A83C" w14:textId="4BDBA16C" w:rsidR="005714D0" w:rsidRPr="00050FA4" w:rsidRDefault="00D23643" w:rsidP="003F1DA7">
      <w:pPr>
        <w:pStyle w:val="AAAAAAATEXXXX"/>
        <w:rPr>
          <w:lang w:val="sq-AL"/>
        </w:rPr>
      </w:pPr>
      <w:r w:rsidRPr="00050FA4">
        <w:rPr>
          <w:lang w:val="sq-AL"/>
        </w:rPr>
        <w:t xml:space="preserve">- </w:t>
      </w:r>
      <w:r w:rsidR="00EE083D" w:rsidRPr="00050FA4">
        <w:rPr>
          <w:lang w:val="sq-AL"/>
        </w:rPr>
        <w:t xml:space="preserve">tatimi </w:t>
      </w:r>
      <w:r w:rsidR="005714D0" w:rsidRPr="00050FA4">
        <w:rPr>
          <w:lang w:val="sq-AL"/>
        </w:rPr>
        <w:t xml:space="preserve">mbi të ardhurat, përkatësisht </w:t>
      </w:r>
      <w:r w:rsidR="005714D0" w:rsidRPr="00050FA4">
        <w:rPr>
          <w:color w:val="auto"/>
          <w:lang w:val="sq-AL"/>
        </w:rPr>
        <w:t xml:space="preserve">në </w:t>
      </w:r>
      <w:hyperlink r:id="rId43" w:history="1">
        <w:r w:rsidR="00EE083D" w:rsidRPr="00050FA4">
          <w:rPr>
            <w:rStyle w:val="Hyperlink"/>
            <w:color w:val="auto"/>
            <w:u w:val="none"/>
            <w:lang w:val="sq-AL"/>
          </w:rPr>
          <w:t>ligjin nr. 8438, datë 28.12.1998, “Për tatimin m</w:t>
        </w:r>
        <w:r w:rsidR="00EE083D" w:rsidRPr="00050FA4">
          <w:rPr>
            <w:rStyle w:val="Hyperlink"/>
            <w:rFonts w:ascii="Times New Roman" w:hAnsi="Times New Roman"/>
            <w:color w:val="auto"/>
            <w:u w:val="none"/>
            <w:lang w:val="sq-AL"/>
          </w:rPr>
          <w:t>​</w:t>
        </w:r>
        <w:r w:rsidR="00EE083D" w:rsidRPr="00050FA4">
          <w:rPr>
            <w:rStyle w:val="Hyperlink"/>
            <w:color w:val="auto"/>
            <w:u w:val="none"/>
            <w:lang w:val="sq-AL"/>
          </w:rPr>
          <w:t>bi të ardhurat”, i ndryshuar;</w:t>
        </w:r>
        <w:r w:rsidR="00EE083D" w:rsidRPr="00050FA4">
          <w:rPr>
            <w:rStyle w:val="Hyperlink"/>
            <w:rFonts w:ascii="Times New Roman" w:hAnsi="Times New Roman"/>
            <w:color w:val="auto"/>
            <w:u w:val="none"/>
            <w:lang w:val="sq-AL"/>
          </w:rPr>
          <w:t>​​​​</w:t>
        </w:r>
      </w:hyperlink>
      <w:r w:rsidR="005714D0" w:rsidRPr="00050FA4">
        <w:rPr>
          <w:rFonts w:ascii="Times New Roman" w:hAnsi="Times New Roman"/>
          <w:lang w:val="sq-AL"/>
        </w:rPr>
        <w:t>​</w:t>
      </w:r>
    </w:p>
    <w:p w14:paraId="05B806E7" w14:textId="1869FD0F" w:rsidR="005714D0" w:rsidRPr="00050FA4" w:rsidRDefault="00D23643" w:rsidP="003F1DA7">
      <w:pPr>
        <w:pStyle w:val="AAAAAAATEXXXX"/>
        <w:rPr>
          <w:lang w:val="sq-AL"/>
        </w:rPr>
      </w:pPr>
      <w:r w:rsidRPr="00050FA4">
        <w:rPr>
          <w:lang w:val="sq-AL"/>
        </w:rPr>
        <w:t xml:space="preserve">- </w:t>
      </w:r>
      <w:r w:rsidR="00EE083D" w:rsidRPr="00050FA4">
        <w:rPr>
          <w:lang w:val="sq-AL"/>
        </w:rPr>
        <w:t>akciza</w:t>
      </w:r>
      <w:r w:rsidR="005714D0" w:rsidRPr="00050FA4">
        <w:rPr>
          <w:lang w:val="sq-AL"/>
        </w:rPr>
        <w:t xml:space="preserve">, përkatësisht në </w:t>
      </w:r>
      <w:r w:rsidR="00EE083D" w:rsidRPr="00050FA4">
        <w:rPr>
          <w:lang w:val="sq-AL"/>
        </w:rPr>
        <w:t xml:space="preserve">ligjin </w:t>
      </w:r>
      <w:r w:rsidR="005714D0" w:rsidRPr="00050FA4">
        <w:rPr>
          <w:lang w:val="sq-AL"/>
        </w:rPr>
        <w:t>nr. 61/2012</w:t>
      </w:r>
      <w:r w:rsidR="00EE083D" w:rsidRPr="00050FA4">
        <w:rPr>
          <w:lang w:val="sq-AL"/>
        </w:rPr>
        <w:t>,</w:t>
      </w:r>
      <w:r w:rsidR="005714D0" w:rsidRPr="00050FA4">
        <w:rPr>
          <w:lang w:val="sq-AL"/>
        </w:rPr>
        <w:t xml:space="preserve"> </w:t>
      </w:r>
      <w:r w:rsidR="008A0E5B" w:rsidRPr="00050FA4">
        <w:rPr>
          <w:lang w:val="sq-AL"/>
        </w:rPr>
        <w:t>“</w:t>
      </w:r>
      <w:r w:rsidR="005714D0" w:rsidRPr="00050FA4">
        <w:rPr>
          <w:lang w:val="sq-AL"/>
        </w:rPr>
        <w:t xml:space="preserve">Për </w:t>
      </w:r>
      <w:r w:rsidR="00EE083D" w:rsidRPr="00050FA4">
        <w:rPr>
          <w:lang w:val="sq-AL"/>
        </w:rPr>
        <w:t xml:space="preserve">akcizën </w:t>
      </w:r>
      <w:r w:rsidR="005714D0" w:rsidRPr="00050FA4">
        <w:rPr>
          <w:lang w:val="sq-AL"/>
        </w:rPr>
        <w:t>në Republikën e Shqipërisë</w:t>
      </w:r>
      <w:r w:rsidR="008A0E5B" w:rsidRPr="00050FA4">
        <w:rPr>
          <w:lang w:val="sq-AL"/>
        </w:rPr>
        <w:t>”</w:t>
      </w:r>
      <w:r w:rsidR="005714D0" w:rsidRPr="00050FA4">
        <w:rPr>
          <w:lang w:val="sq-AL"/>
        </w:rPr>
        <w:t xml:space="preserve">, </w:t>
      </w:r>
      <w:r w:rsidR="00EE083D" w:rsidRPr="00050FA4">
        <w:rPr>
          <w:lang w:val="sq-AL"/>
        </w:rPr>
        <w:t>të</w:t>
      </w:r>
      <w:r w:rsidR="005714D0" w:rsidRPr="00050FA4">
        <w:rPr>
          <w:lang w:val="sq-AL"/>
        </w:rPr>
        <w:t xml:space="preserve"> ndryshuar.</w:t>
      </w:r>
    </w:p>
    <w:p w14:paraId="550F196E" w14:textId="77777777" w:rsidR="005714D0" w:rsidRPr="00050FA4" w:rsidRDefault="005714D0" w:rsidP="003F1DA7">
      <w:pPr>
        <w:ind w:firstLine="284"/>
        <w:jc w:val="both"/>
        <w:rPr>
          <w:rFonts w:ascii="Garamond" w:hAnsi="Garamond" w:cstheme="majorBidi"/>
          <w:color w:val="0D0D0D" w:themeColor="text1" w:themeTint="F2"/>
          <w:lang w:eastAsia="sq-AL"/>
        </w:rPr>
      </w:pPr>
      <w:r w:rsidRPr="00050FA4">
        <w:rPr>
          <w:rFonts w:ascii="Garamond" w:hAnsi="Garamond" w:cstheme="majorBidi"/>
          <w:color w:val="0D0D0D" w:themeColor="text1" w:themeTint="F2"/>
          <w:lang w:eastAsia="sq-AL"/>
        </w:rPr>
        <w:t>Duke marrë në konsideratë indeksin zinxhir të rritjes reale ekonomike, si dhe efektet e veçanta që prodhohen si pasojë e ndryshimeve në politikat fiskale, përcaktohet vlera totale paraprake e shpenzimeve tatimore për zërat e mëposhtëm:</w:t>
      </w:r>
    </w:p>
    <w:p w14:paraId="68D75D11" w14:textId="614F6998" w:rsidR="005714D0" w:rsidRPr="00050FA4" w:rsidRDefault="00D23643" w:rsidP="003F1DA7">
      <w:pPr>
        <w:pStyle w:val="AAAAAAATEXXXX"/>
        <w:rPr>
          <w:lang w:val="sq-AL"/>
        </w:rPr>
      </w:pPr>
      <w:r w:rsidRPr="00050FA4">
        <w:rPr>
          <w:lang w:val="sq-AL"/>
        </w:rPr>
        <w:t xml:space="preserve">- </w:t>
      </w:r>
      <w:r w:rsidR="00EE083D" w:rsidRPr="00050FA4">
        <w:rPr>
          <w:lang w:val="sq-AL"/>
        </w:rPr>
        <w:t>shpenzime tatimore nga tatimi mbi vlerën e shtuar;</w:t>
      </w:r>
    </w:p>
    <w:p w14:paraId="291A5109" w14:textId="3E92CCE0" w:rsidR="005714D0" w:rsidRPr="00050FA4" w:rsidRDefault="00D23643" w:rsidP="003F1DA7">
      <w:pPr>
        <w:pStyle w:val="AAAAAAATEXXXX"/>
        <w:rPr>
          <w:lang w:val="sq-AL"/>
        </w:rPr>
      </w:pPr>
      <w:r w:rsidRPr="00050FA4">
        <w:rPr>
          <w:lang w:val="sq-AL"/>
        </w:rPr>
        <w:t xml:space="preserve">- </w:t>
      </w:r>
      <w:r w:rsidR="00EE083D" w:rsidRPr="00050FA4">
        <w:rPr>
          <w:lang w:val="sq-AL"/>
        </w:rPr>
        <w:t>shpenzime tatimore nga akciza;</w:t>
      </w:r>
    </w:p>
    <w:p w14:paraId="71A38369" w14:textId="20CA935B" w:rsidR="005714D0" w:rsidRPr="00050FA4" w:rsidRDefault="00D23643" w:rsidP="003F1DA7">
      <w:pPr>
        <w:pStyle w:val="AAAAAAATEXXXX"/>
        <w:rPr>
          <w:lang w:val="sq-AL"/>
        </w:rPr>
      </w:pPr>
      <w:r w:rsidRPr="00050FA4">
        <w:rPr>
          <w:lang w:val="sq-AL"/>
        </w:rPr>
        <w:t xml:space="preserve">- </w:t>
      </w:r>
      <w:r w:rsidR="00EE083D" w:rsidRPr="00050FA4">
        <w:rPr>
          <w:lang w:val="sq-AL"/>
        </w:rPr>
        <w:t>shpenzime tatimore nga tatimi mbi fitimin.</w:t>
      </w:r>
    </w:p>
    <w:p w14:paraId="620D82CF" w14:textId="108A99E0" w:rsidR="005714D0" w:rsidRPr="00050FA4" w:rsidRDefault="005714D0" w:rsidP="003F1DA7">
      <w:pPr>
        <w:pStyle w:val="AAAAAAATEXXXX"/>
        <w:rPr>
          <w:lang w:val="sq-AL" w:eastAsia="sq-AL"/>
        </w:rPr>
      </w:pPr>
      <w:r w:rsidRPr="00050FA4">
        <w:rPr>
          <w:lang w:val="sq-AL" w:eastAsia="sq-AL"/>
        </w:rPr>
        <w:t>Duhet theksuar se pjesën më të madhe të vlerës së shpenzimeve tatimore e zënë ato shpenzime të cilat rrjedhin si efekt i përjashtimeve nga secili prej tatimeve të mësipërme. Pjesën dërrmuese të totalit të shpenzimeve tatimore e zë shpenzimi tatimor që vjen prej TVSH</w:t>
      </w:r>
      <w:r w:rsidR="00CA6050" w:rsidRPr="00050FA4">
        <w:rPr>
          <w:lang w:val="sq-AL" w:eastAsia="sq-AL"/>
        </w:rPr>
        <w:t>-së</w:t>
      </w:r>
      <w:r w:rsidRPr="00050FA4">
        <w:rPr>
          <w:lang w:val="sq-AL" w:eastAsia="sq-AL"/>
        </w:rPr>
        <w:t xml:space="preserve">, dhe diferenca e mbetur si shpenzim tatimor nga </w:t>
      </w:r>
      <w:r w:rsidR="00337735" w:rsidRPr="00050FA4">
        <w:rPr>
          <w:lang w:val="sq-AL" w:eastAsia="sq-AL"/>
        </w:rPr>
        <w:t>akciza dhe tatimi mbi fitimin</w:t>
      </w:r>
      <w:r w:rsidRPr="00050FA4">
        <w:rPr>
          <w:lang w:val="sq-AL" w:eastAsia="sq-AL"/>
        </w:rPr>
        <w:t>.</w:t>
      </w:r>
    </w:p>
    <w:p w14:paraId="71797D1F" w14:textId="50D43590" w:rsidR="005714D0" w:rsidRPr="00050FA4" w:rsidRDefault="005714D0" w:rsidP="003F1DA7">
      <w:pPr>
        <w:pStyle w:val="AAAAAAATEXXXX"/>
        <w:rPr>
          <w:lang w:val="sq-AL"/>
        </w:rPr>
      </w:pPr>
      <w:r w:rsidRPr="00050FA4">
        <w:rPr>
          <w:lang w:val="sq-AL"/>
        </w:rPr>
        <w:t xml:space="preserve">Vlerësimi për shpenzimet tatimore 2020 është 77.6 miliardë lekë. Ky është vlerësim paraprak, për vitin 2020, vlera e saktë do të publikohet në raportin e plotë periodik të </w:t>
      </w:r>
      <w:r w:rsidR="00337735" w:rsidRPr="00050FA4">
        <w:rPr>
          <w:lang w:val="sq-AL"/>
        </w:rPr>
        <w:t>shpenzimeve tatimore</w:t>
      </w:r>
      <w:r w:rsidRPr="00050FA4">
        <w:rPr>
          <w:lang w:val="sq-AL"/>
        </w:rPr>
        <w:t xml:space="preserve">, i cili do të </w:t>
      </w:r>
      <w:r w:rsidR="00B10568" w:rsidRPr="00050FA4">
        <w:rPr>
          <w:lang w:val="sq-AL"/>
        </w:rPr>
        <w:t>publikohet</w:t>
      </w:r>
      <w:r w:rsidRPr="00050FA4">
        <w:rPr>
          <w:lang w:val="sq-AL"/>
        </w:rPr>
        <w:t xml:space="preserve"> në fund të vitit 2021.</w:t>
      </w:r>
    </w:p>
    <w:p w14:paraId="1805C732" w14:textId="17EAC1FB" w:rsidR="005714D0" w:rsidRPr="00050FA4" w:rsidRDefault="005714D0" w:rsidP="003F1DA7">
      <w:pPr>
        <w:ind w:firstLine="284"/>
        <w:jc w:val="both"/>
        <w:rPr>
          <w:rFonts w:ascii="Garamond" w:hAnsi="Garamond" w:cstheme="majorBidi"/>
          <w:b/>
          <w:color w:val="0D0D0D" w:themeColor="text1" w:themeTint="F2"/>
        </w:rPr>
      </w:pPr>
      <w:bookmarkStart w:id="26" w:name="page50"/>
      <w:bookmarkEnd w:id="26"/>
      <w:r w:rsidRPr="00050FA4">
        <w:rPr>
          <w:rFonts w:ascii="Garamond" w:hAnsi="Garamond" w:cstheme="majorBidi"/>
          <w:b/>
          <w:color w:val="0D0D0D" w:themeColor="text1" w:themeTint="F2"/>
        </w:rPr>
        <w:t xml:space="preserve">Prioritetet që financon </w:t>
      </w:r>
      <w:r w:rsidR="00337735" w:rsidRPr="00050FA4">
        <w:rPr>
          <w:rFonts w:ascii="Garamond" w:hAnsi="Garamond" w:cstheme="majorBidi"/>
          <w:b/>
          <w:color w:val="0D0D0D" w:themeColor="text1" w:themeTint="F2"/>
        </w:rPr>
        <w:t xml:space="preserve">buxheti </w:t>
      </w:r>
      <w:r w:rsidRPr="00050FA4">
        <w:rPr>
          <w:rFonts w:ascii="Garamond" w:hAnsi="Garamond" w:cstheme="majorBidi"/>
          <w:b/>
          <w:color w:val="0D0D0D" w:themeColor="text1" w:themeTint="F2"/>
        </w:rPr>
        <w:t>afatmesëm 2022</w:t>
      </w:r>
      <w:r w:rsidR="00B10568" w:rsidRPr="00050FA4">
        <w:rPr>
          <w:rFonts w:ascii="Garamond" w:hAnsi="Garamond" w:cstheme="majorBidi"/>
          <w:b/>
          <w:color w:val="0D0D0D" w:themeColor="text1" w:themeTint="F2"/>
        </w:rPr>
        <w:t>–</w:t>
      </w:r>
      <w:r w:rsidRPr="00050FA4">
        <w:rPr>
          <w:rFonts w:ascii="Garamond" w:hAnsi="Garamond" w:cstheme="majorBidi"/>
          <w:b/>
          <w:color w:val="0D0D0D" w:themeColor="text1" w:themeTint="F2"/>
        </w:rPr>
        <w:t>2024</w:t>
      </w:r>
    </w:p>
    <w:p w14:paraId="0ADF09A0" w14:textId="58CB82B1" w:rsidR="005714D0" w:rsidRPr="00050FA4" w:rsidRDefault="005714D0" w:rsidP="003F1DA7">
      <w:pPr>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Buxheti për vitet 2022</w:t>
      </w:r>
      <w:r w:rsidR="00B10568" w:rsidRPr="00050FA4">
        <w:rPr>
          <w:rFonts w:ascii="Garamond" w:hAnsi="Garamond" w:cstheme="majorBidi"/>
          <w:color w:val="0D0D0D" w:themeColor="text1" w:themeTint="F2"/>
        </w:rPr>
        <w:t>–</w:t>
      </w:r>
      <w:r w:rsidRPr="00050FA4">
        <w:rPr>
          <w:rFonts w:ascii="Garamond" w:hAnsi="Garamond" w:cstheme="majorBidi"/>
          <w:color w:val="0D0D0D" w:themeColor="text1" w:themeTint="F2"/>
        </w:rPr>
        <w:t>2024 do të financojë me prioritet politikat e grupuara sipas fushave të mëposhtme:</w:t>
      </w:r>
    </w:p>
    <w:p w14:paraId="50E546C4" w14:textId="17DE6FD8" w:rsidR="005714D0" w:rsidRPr="00DB1933" w:rsidRDefault="00D23643" w:rsidP="003F1DA7">
      <w:pPr>
        <w:pStyle w:val="AAAAAAATEXXXX"/>
        <w:rPr>
          <w:b/>
          <w:lang w:val="sq-AL"/>
        </w:rPr>
      </w:pPr>
      <w:r w:rsidRPr="00DB1933">
        <w:rPr>
          <w:b/>
          <w:lang w:val="sq-AL"/>
        </w:rPr>
        <w:t xml:space="preserve">- </w:t>
      </w:r>
      <w:r w:rsidR="005714D0" w:rsidRPr="00DB1933">
        <w:rPr>
          <w:b/>
          <w:lang w:val="sq-AL"/>
        </w:rPr>
        <w:t>Shërbimet për qytetarët dhe sipërmarrjet:</w:t>
      </w:r>
    </w:p>
    <w:p w14:paraId="41CC3450" w14:textId="77777777" w:rsidR="005714D0" w:rsidRPr="00050FA4" w:rsidRDefault="005714D0" w:rsidP="003F1DA7">
      <w:pPr>
        <w:pStyle w:val="AAAAAAATEXXXX"/>
        <w:rPr>
          <w:lang w:val="sq-AL"/>
        </w:rPr>
      </w:pPr>
      <w:r w:rsidRPr="00050FA4">
        <w:rPr>
          <w:lang w:val="sq-AL"/>
        </w:rPr>
        <w:t>Rriten me 6% pagat e punonjësve në sektorët e shëndetësisë, arsimit dhe mbrojtjes.</w:t>
      </w:r>
    </w:p>
    <w:p w14:paraId="51FFBD60" w14:textId="75665EE6"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Financohen si prioritete mbështetja e </w:t>
      </w:r>
      <w:r w:rsidR="00E708DC" w:rsidRPr="00050FA4">
        <w:rPr>
          <w:i/>
          <w:lang w:val="sq-AL"/>
        </w:rPr>
        <w:t>start-up</w:t>
      </w:r>
      <w:r w:rsidR="005714D0" w:rsidRPr="00050FA4">
        <w:rPr>
          <w:i/>
          <w:lang w:val="sq-AL"/>
        </w:rPr>
        <w:t>-</w:t>
      </w:r>
      <w:r w:rsidR="005714D0" w:rsidRPr="00050FA4">
        <w:rPr>
          <w:lang w:val="sq-AL"/>
        </w:rPr>
        <w:t>eve, pagesa e papunësisë së naftëtarëve dhe garancia sovrane 1 miliardë lekë për manifakturën dhe sipërmarrjen.</w:t>
      </w:r>
    </w:p>
    <w:p w14:paraId="5B10DD52" w14:textId="13C5C9C9"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Fermerët përfitojnë rreth 12.7 miliardë lekë në vitin 2022 përmes skemave shtesë për fermerët, rimbursimit të naftës, projektit të </w:t>
      </w:r>
      <w:r w:rsidR="00892840" w:rsidRPr="00050FA4">
        <w:rPr>
          <w:lang w:val="sq-AL"/>
        </w:rPr>
        <w:t xml:space="preserve">garancisë së kredisë </w:t>
      </w:r>
      <w:r w:rsidR="005714D0" w:rsidRPr="00050FA4">
        <w:rPr>
          <w:lang w:val="sq-AL"/>
        </w:rPr>
        <w:t>për zonat rurale dhe garancisë sovrane për fermerët.</w:t>
      </w:r>
    </w:p>
    <w:p w14:paraId="31077DA3" w14:textId="60BBF439" w:rsidR="005714D0" w:rsidRPr="00050FA4" w:rsidRDefault="00D23643" w:rsidP="003F1DA7">
      <w:pPr>
        <w:pStyle w:val="AAAAAAATEXXXX"/>
        <w:rPr>
          <w:lang w:val="sq-AL"/>
        </w:rPr>
      </w:pPr>
      <w:r w:rsidRPr="00050FA4">
        <w:rPr>
          <w:lang w:val="sq-AL"/>
        </w:rPr>
        <w:t xml:space="preserve">- </w:t>
      </w:r>
      <w:r w:rsidR="005714D0" w:rsidRPr="00050FA4">
        <w:rPr>
          <w:lang w:val="sq-AL"/>
        </w:rPr>
        <w:t>Do të vijojë fokusi në shëndetësi me financimin e vaksinës COVID-19 për vitin 2022 me vlerën 2.7 miliardë lekë.</w:t>
      </w:r>
    </w:p>
    <w:p w14:paraId="076BB0CF" w14:textId="2595259F" w:rsidR="005714D0" w:rsidRPr="00050FA4" w:rsidRDefault="00D23643" w:rsidP="003F1DA7">
      <w:pPr>
        <w:pStyle w:val="AAAAAAATEXXXX"/>
        <w:rPr>
          <w:lang w:val="sq-AL"/>
        </w:rPr>
      </w:pPr>
      <w:r w:rsidRPr="00050FA4">
        <w:rPr>
          <w:lang w:val="sq-AL"/>
        </w:rPr>
        <w:t xml:space="preserve">- </w:t>
      </w:r>
      <w:r w:rsidR="005714D0" w:rsidRPr="00050FA4">
        <w:rPr>
          <w:lang w:val="sq-AL"/>
        </w:rPr>
        <w:t>Fondi i rindërtimit shkon në 20 miliardë lekë dhe për transfertën kapitale të fondit të shpronësimeve në 1,8 miliardë lekë për vitin 2022.</w:t>
      </w:r>
    </w:p>
    <w:p w14:paraId="496A9977" w14:textId="6B0C4E1E" w:rsidR="005714D0" w:rsidRPr="00050FA4" w:rsidRDefault="00D23643" w:rsidP="003F1DA7">
      <w:pPr>
        <w:pStyle w:val="AAAAAAATEXXXX"/>
        <w:rPr>
          <w:lang w:val="sq-AL"/>
        </w:rPr>
      </w:pPr>
      <w:r w:rsidRPr="00050FA4">
        <w:rPr>
          <w:lang w:val="sq-AL"/>
        </w:rPr>
        <w:lastRenderedPageBreak/>
        <w:t xml:space="preserve">- </w:t>
      </w:r>
      <w:r w:rsidR="005714D0" w:rsidRPr="00050FA4">
        <w:rPr>
          <w:lang w:val="sq-AL"/>
        </w:rPr>
        <w:t>Për Spitalin Rajonal të Fierit programohet një fond prej 750 milionë</w:t>
      </w:r>
      <w:r w:rsidR="00CA6050" w:rsidRPr="00050FA4">
        <w:rPr>
          <w:lang w:val="sq-AL"/>
        </w:rPr>
        <w:t>sh</w:t>
      </w:r>
      <w:r w:rsidR="005714D0" w:rsidRPr="00050FA4">
        <w:rPr>
          <w:lang w:val="sq-AL"/>
        </w:rPr>
        <w:t>, si dhe do të vijojnë skemat e rimbursimit të barnave dhe bonusit të bebes.</w:t>
      </w:r>
    </w:p>
    <w:p w14:paraId="198E40C6" w14:textId="1E541C60" w:rsidR="005714D0" w:rsidRPr="00050FA4" w:rsidRDefault="00D23643" w:rsidP="003F1DA7">
      <w:pPr>
        <w:pStyle w:val="AAAAAAATEXXXX"/>
        <w:rPr>
          <w:lang w:val="sq-AL"/>
        </w:rPr>
      </w:pPr>
      <w:r w:rsidRPr="00050FA4">
        <w:rPr>
          <w:lang w:val="sq-AL"/>
        </w:rPr>
        <w:t xml:space="preserve">- </w:t>
      </w:r>
      <w:r w:rsidR="005714D0" w:rsidRPr="00050FA4">
        <w:rPr>
          <w:lang w:val="sq-AL"/>
        </w:rPr>
        <w:t>Rritet fondi i mbështetjes për shtresat në nevojë: ndihma ekonomike rritet me 10%, trefishohet ndihma për gratë e trafikuara dhe fëmijët e mitur dhe dyfishohet ndihma për nënat me shumë fëmijë.</w:t>
      </w:r>
    </w:p>
    <w:p w14:paraId="0157BDE8" w14:textId="307F836D" w:rsidR="005714D0" w:rsidRPr="00050FA4" w:rsidRDefault="00D23643" w:rsidP="003F1DA7">
      <w:pPr>
        <w:pStyle w:val="AAAAAAATEXXXX"/>
        <w:rPr>
          <w:lang w:val="sq-AL"/>
        </w:rPr>
      </w:pPr>
      <w:r w:rsidRPr="00050FA4">
        <w:rPr>
          <w:lang w:val="sq-AL"/>
        </w:rPr>
        <w:t xml:space="preserve">- </w:t>
      </w:r>
      <w:r w:rsidR="005714D0" w:rsidRPr="00050FA4">
        <w:rPr>
          <w:lang w:val="sq-AL"/>
        </w:rPr>
        <w:t>Në një zë të veçantë të skemës së sigurimeve sociale, në buxhet parashikohet indeksimi i pensioneve (prej 2.6 miliardë lekë</w:t>
      </w:r>
      <w:r w:rsidR="002A6D78" w:rsidRPr="00050FA4">
        <w:rPr>
          <w:lang w:val="sq-AL"/>
        </w:rPr>
        <w:t>sh</w:t>
      </w:r>
      <w:r w:rsidR="005714D0" w:rsidRPr="00050FA4">
        <w:rPr>
          <w:lang w:val="sq-AL"/>
        </w:rPr>
        <w:t>) dhe bonusi i fundivitit për pensionistët (3.5 miliardë lekë).</w:t>
      </w:r>
    </w:p>
    <w:p w14:paraId="1E1D15D2" w14:textId="3506D9BF" w:rsidR="005714D0" w:rsidRPr="00050FA4" w:rsidRDefault="00D23643" w:rsidP="003F1DA7">
      <w:pPr>
        <w:pStyle w:val="AAAAAAATEXXXX"/>
        <w:rPr>
          <w:lang w:val="sq-AL"/>
        </w:rPr>
      </w:pPr>
      <w:r w:rsidRPr="00050FA4">
        <w:rPr>
          <w:lang w:val="sq-AL"/>
        </w:rPr>
        <w:t xml:space="preserve">- </w:t>
      </w:r>
      <w:r w:rsidR="005714D0" w:rsidRPr="00050FA4">
        <w:rPr>
          <w:lang w:val="sq-AL"/>
        </w:rPr>
        <w:t>Gjithashtu</w:t>
      </w:r>
      <w:r w:rsidR="00C04C65" w:rsidRPr="00050FA4">
        <w:rPr>
          <w:lang w:val="sq-AL"/>
        </w:rPr>
        <w:t>,</w:t>
      </w:r>
      <w:r w:rsidR="005714D0" w:rsidRPr="00050FA4">
        <w:rPr>
          <w:lang w:val="sq-AL"/>
        </w:rPr>
        <w:t xml:space="preserve"> buxheti i vitit 2022 parashikon shpenzimet për pagesën e papunësisë me 900 milionë lekë, për pagesën e aftësisë së kufizuar me 23.5 miliardë lekë dhe për ish-të përndjekurit me një fond prej 1 miliard</w:t>
      </w:r>
      <w:r w:rsidR="00892840" w:rsidRPr="00050FA4">
        <w:rPr>
          <w:lang w:val="sq-AL"/>
        </w:rPr>
        <w:t>ë</w:t>
      </w:r>
      <w:r w:rsidR="005714D0" w:rsidRPr="00050FA4">
        <w:rPr>
          <w:lang w:val="sq-AL"/>
        </w:rPr>
        <w:t xml:space="preserve"> lekë</w:t>
      </w:r>
      <w:r w:rsidR="00892840" w:rsidRPr="00050FA4">
        <w:rPr>
          <w:lang w:val="sq-AL"/>
        </w:rPr>
        <w:t>sh</w:t>
      </w:r>
      <w:r w:rsidR="005714D0" w:rsidRPr="00050FA4">
        <w:rPr>
          <w:lang w:val="sq-AL"/>
        </w:rPr>
        <w:t>.</w:t>
      </w:r>
    </w:p>
    <w:p w14:paraId="5CDAD708" w14:textId="30C11650" w:rsidR="005714D0" w:rsidRPr="00050FA4" w:rsidRDefault="00D23643" w:rsidP="003F1DA7">
      <w:pPr>
        <w:pStyle w:val="AAAAAAATEXXXX"/>
        <w:rPr>
          <w:lang w:val="sq-AL"/>
        </w:rPr>
      </w:pPr>
      <w:r w:rsidRPr="00050FA4">
        <w:rPr>
          <w:lang w:val="sq-AL"/>
        </w:rPr>
        <w:t xml:space="preserve">- </w:t>
      </w:r>
      <w:r w:rsidR="005714D0" w:rsidRPr="00050FA4">
        <w:rPr>
          <w:lang w:val="sq-AL"/>
        </w:rPr>
        <w:t>Do të vijojë skema e librave shkollorë falas për nxënësit nga shtresa në nevojë, e cila zgjerohet deri në shkollën e mesme.</w:t>
      </w:r>
    </w:p>
    <w:p w14:paraId="527826A8" w14:textId="29D2A7DC" w:rsidR="005714D0" w:rsidRPr="00050FA4" w:rsidRDefault="00D23643" w:rsidP="003F1DA7">
      <w:pPr>
        <w:pStyle w:val="AAAAAAATEXXXX"/>
        <w:rPr>
          <w:lang w:val="sq-AL"/>
        </w:rPr>
      </w:pPr>
      <w:r w:rsidRPr="00050FA4">
        <w:rPr>
          <w:lang w:val="sq-AL"/>
        </w:rPr>
        <w:t xml:space="preserve">- </w:t>
      </w:r>
      <w:r w:rsidR="005714D0" w:rsidRPr="00050FA4">
        <w:rPr>
          <w:lang w:val="sq-AL"/>
        </w:rPr>
        <w:t>Me një fond shtesë prej 250 milionë lekë</w:t>
      </w:r>
      <w:r w:rsidR="008176EE" w:rsidRPr="00050FA4">
        <w:rPr>
          <w:lang w:val="sq-AL"/>
        </w:rPr>
        <w:t>sh</w:t>
      </w:r>
      <w:r w:rsidR="005714D0" w:rsidRPr="00050FA4">
        <w:rPr>
          <w:lang w:val="sq-AL"/>
        </w:rPr>
        <w:t xml:space="preserve"> për 2022</w:t>
      </w:r>
      <w:r w:rsidR="00125719" w:rsidRPr="00050FA4">
        <w:rPr>
          <w:lang w:val="sq-AL"/>
        </w:rPr>
        <w:t>-shin</w:t>
      </w:r>
      <w:r w:rsidR="005714D0" w:rsidRPr="00050FA4">
        <w:rPr>
          <w:lang w:val="sq-AL"/>
        </w:rPr>
        <w:t xml:space="preserve"> e në vijim sigurohet transporti për nxënësit</w:t>
      </w:r>
      <w:r w:rsidR="009B1D6B" w:rsidRPr="00050FA4">
        <w:rPr>
          <w:lang w:val="sq-AL"/>
        </w:rPr>
        <w:t xml:space="preserve"> </w:t>
      </w:r>
      <w:r w:rsidR="005714D0" w:rsidRPr="00050FA4">
        <w:rPr>
          <w:lang w:val="sq-AL"/>
        </w:rPr>
        <w:t>dhe mësuesit që banojnë larg nga shkolla.</w:t>
      </w:r>
    </w:p>
    <w:p w14:paraId="666FEDF8" w14:textId="6574011B"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Me 700 milionë lekë të alokuara për projektet për </w:t>
      </w:r>
      <w:r w:rsidR="00271D1A" w:rsidRPr="00050FA4">
        <w:rPr>
          <w:lang w:val="sq-AL"/>
        </w:rPr>
        <w:t>universitetet</w:t>
      </w:r>
      <w:r w:rsidR="005714D0" w:rsidRPr="00050FA4">
        <w:rPr>
          <w:lang w:val="sq-AL"/>
        </w:rPr>
        <w:t>, fokusi mbetet tek të rinjtë dhe edukimi.</w:t>
      </w:r>
    </w:p>
    <w:p w14:paraId="6F09355B" w14:textId="29738E08"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Për shpenzimet e buxhetit vendor, po zbatohet një program decentralizimi, ku synohet një skemë financimi e përshtatshme dhe efektive që përmirëson në mënyrë të qëndrueshme cilësinë e shërbimeve. </w:t>
      </w:r>
    </w:p>
    <w:p w14:paraId="4F50E456" w14:textId="511C897E" w:rsidR="005714D0" w:rsidRPr="00DB1933" w:rsidRDefault="00D23643" w:rsidP="003F1DA7">
      <w:pPr>
        <w:pStyle w:val="AAAAAAATEXXXX"/>
        <w:rPr>
          <w:b/>
          <w:lang w:val="sq-AL"/>
        </w:rPr>
      </w:pPr>
      <w:r w:rsidRPr="00DB1933">
        <w:rPr>
          <w:b/>
          <w:lang w:val="sq-AL"/>
        </w:rPr>
        <w:t xml:space="preserve">- </w:t>
      </w:r>
      <w:r w:rsidR="005714D0" w:rsidRPr="00DB1933">
        <w:rPr>
          <w:b/>
          <w:lang w:val="sq-AL"/>
        </w:rPr>
        <w:t xml:space="preserve">Digjitalizimi: </w:t>
      </w:r>
    </w:p>
    <w:p w14:paraId="6D548FE1" w14:textId="77777777" w:rsidR="005714D0" w:rsidRPr="00050FA4" w:rsidRDefault="005714D0" w:rsidP="003F1DA7">
      <w:pPr>
        <w:pStyle w:val="AAAAAAATEXXXX"/>
        <w:rPr>
          <w:lang w:val="sq-AL"/>
        </w:rPr>
      </w:pPr>
      <w:r w:rsidRPr="00050FA4">
        <w:rPr>
          <w:lang w:val="sq-AL"/>
        </w:rPr>
        <w:t>Reforma e digjitalizimit rrit cilësinë e shërbimeve ndaj biznesit dhe qytetarit, si dhe ndihmon në luftën kundër korrupsionit.</w:t>
      </w:r>
    </w:p>
    <w:p w14:paraId="6020A65E" w14:textId="77777777" w:rsidR="005714D0" w:rsidRPr="00050FA4" w:rsidRDefault="005714D0" w:rsidP="003F1DA7">
      <w:pPr>
        <w:pStyle w:val="AAAAAAATEXXXX"/>
        <w:rPr>
          <w:lang w:val="sq-AL"/>
        </w:rPr>
      </w:pPr>
      <w:r w:rsidRPr="00050FA4">
        <w:rPr>
          <w:lang w:val="sq-AL"/>
        </w:rPr>
        <w:t>Me investimet në projektin e dronëve dhe satelitëve rritet efikasiteti i kontrollit në sektorët e mbrojtjes dhe rendit.</w:t>
      </w:r>
    </w:p>
    <w:p w14:paraId="5F9B5942" w14:textId="77777777" w:rsidR="005714D0" w:rsidRPr="00050FA4" w:rsidRDefault="005714D0" w:rsidP="003F1DA7">
      <w:pPr>
        <w:pStyle w:val="AAAAAAATEXXXX"/>
        <w:rPr>
          <w:lang w:val="sq-AL"/>
        </w:rPr>
      </w:pPr>
      <w:r w:rsidRPr="00050FA4">
        <w:rPr>
          <w:lang w:val="sq-AL"/>
        </w:rPr>
        <w:t xml:space="preserve">Investimet në digjitalizim përfshijnë ministritë përkatëse në sektorët e rendit, mbrojtjes, shëndetësisë, financave dhe ekonomisë dhe arsimin. </w:t>
      </w:r>
    </w:p>
    <w:p w14:paraId="65BC3581" w14:textId="77777777" w:rsidR="005714D0" w:rsidRPr="00050FA4" w:rsidRDefault="005714D0" w:rsidP="003F1DA7">
      <w:pPr>
        <w:pStyle w:val="AAAAAAATEXXXX"/>
        <w:rPr>
          <w:lang w:val="sq-AL"/>
        </w:rPr>
      </w:pPr>
      <w:r w:rsidRPr="00050FA4">
        <w:rPr>
          <w:lang w:val="sq-AL"/>
        </w:rPr>
        <w:t>Me një fond 1.9 miliardë lekë financohen në arsimin parauniversitar laboratorët shkencorë dhe klasat e teknologjisë së informacionit.</w:t>
      </w:r>
    </w:p>
    <w:p w14:paraId="005D91B9" w14:textId="67DEE720" w:rsidR="005714D0" w:rsidRPr="00050FA4" w:rsidRDefault="005714D0" w:rsidP="003F1DA7">
      <w:pPr>
        <w:pStyle w:val="AAAAAAATEXXXX"/>
        <w:rPr>
          <w:lang w:val="sq-AL"/>
        </w:rPr>
      </w:pPr>
      <w:r w:rsidRPr="00050FA4">
        <w:rPr>
          <w:lang w:val="sq-AL"/>
        </w:rPr>
        <w:t>Me investimet në projektet për trajnimin e të rinjve në teknologjinë e informacionit, ata do të përshtaten më mirë me kërkesat dhe ofertat në tregun e punës dhe krijohen vende cilësore të punës.</w:t>
      </w:r>
    </w:p>
    <w:p w14:paraId="20AC235A" w14:textId="4ED396A4" w:rsidR="005714D0" w:rsidRPr="00050FA4" w:rsidRDefault="00D23643" w:rsidP="003F1DA7">
      <w:pPr>
        <w:pStyle w:val="AAAAAAATEXXXX"/>
        <w:rPr>
          <w:lang w:val="sq-AL"/>
        </w:rPr>
      </w:pPr>
      <w:r w:rsidRPr="00050FA4">
        <w:rPr>
          <w:lang w:val="sq-AL"/>
        </w:rPr>
        <w:t xml:space="preserve">- </w:t>
      </w:r>
      <w:r w:rsidR="005714D0" w:rsidRPr="00050FA4">
        <w:rPr>
          <w:lang w:val="sq-AL"/>
        </w:rPr>
        <w:t>Investimet në infrastrukturën kyçe:</w:t>
      </w:r>
    </w:p>
    <w:p w14:paraId="06D4EF91" w14:textId="04F66B35" w:rsidR="005714D0" w:rsidRPr="00050FA4" w:rsidRDefault="00D23643" w:rsidP="003F1DA7">
      <w:pPr>
        <w:pStyle w:val="AAAAAAATEXXXX"/>
        <w:rPr>
          <w:lang w:val="sq-AL"/>
        </w:rPr>
      </w:pPr>
      <w:r w:rsidRPr="00050FA4">
        <w:rPr>
          <w:lang w:val="sq-AL"/>
        </w:rPr>
        <w:t xml:space="preserve">- </w:t>
      </w:r>
      <w:r w:rsidR="005714D0" w:rsidRPr="00050FA4">
        <w:rPr>
          <w:lang w:val="sq-AL"/>
        </w:rPr>
        <w:t>Do të vijojnë investimet për infrastrukturën rrugore në disa prej projekteve kryesore</w:t>
      </w:r>
      <w:r w:rsidR="00271D1A" w:rsidRPr="00050FA4">
        <w:rPr>
          <w:lang w:val="sq-AL"/>
        </w:rPr>
        <w:t>,</w:t>
      </w:r>
      <w:r w:rsidR="005714D0" w:rsidRPr="00050FA4">
        <w:rPr>
          <w:lang w:val="sq-AL"/>
        </w:rPr>
        <w:t xml:space="preserve"> si: Rruga e Arbrit, Tuneli i </w:t>
      </w:r>
      <w:r w:rsidR="00B10568" w:rsidRPr="00050FA4">
        <w:rPr>
          <w:lang w:val="sq-AL"/>
        </w:rPr>
        <w:t>Llogorasë</w:t>
      </w:r>
      <w:r w:rsidR="005714D0" w:rsidRPr="00050FA4">
        <w:rPr>
          <w:lang w:val="sq-AL"/>
        </w:rPr>
        <w:t xml:space="preserve">, Unaza e Jashtme e Tiranës, </w:t>
      </w:r>
      <w:r w:rsidR="005714D0" w:rsidRPr="00050FA4">
        <w:rPr>
          <w:i/>
          <w:lang w:val="sq-AL"/>
        </w:rPr>
        <w:t>By pass</w:t>
      </w:r>
      <w:r w:rsidR="005714D0" w:rsidRPr="00050FA4">
        <w:rPr>
          <w:lang w:val="sq-AL"/>
        </w:rPr>
        <w:t>-i në Shkodër dhe segmentet Palasë</w:t>
      </w:r>
      <w:r w:rsidR="00B10568" w:rsidRPr="00050FA4">
        <w:rPr>
          <w:lang w:val="sq-AL"/>
        </w:rPr>
        <w:t>–</w:t>
      </w:r>
      <w:r w:rsidR="005714D0" w:rsidRPr="00050FA4">
        <w:rPr>
          <w:lang w:val="sq-AL"/>
        </w:rPr>
        <w:t>Dhërmi e Elbasan</w:t>
      </w:r>
      <w:r w:rsidR="00B10568" w:rsidRPr="00050FA4">
        <w:rPr>
          <w:lang w:val="sq-AL"/>
        </w:rPr>
        <w:t>–</w:t>
      </w:r>
      <w:r w:rsidR="005714D0" w:rsidRPr="00050FA4">
        <w:rPr>
          <w:lang w:val="sq-AL"/>
        </w:rPr>
        <w:t>Përrenjas</w:t>
      </w:r>
      <w:r w:rsidR="00B10568" w:rsidRPr="00050FA4">
        <w:rPr>
          <w:lang w:val="sq-AL"/>
        </w:rPr>
        <w:t>–</w:t>
      </w:r>
      <w:r w:rsidR="00271D1A" w:rsidRPr="00050FA4">
        <w:rPr>
          <w:lang w:val="sq-AL"/>
        </w:rPr>
        <w:t>Qafëth</w:t>
      </w:r>
      <w:r w:rsidR="005714D0" w:rsidRPr="00050FA4">
        <w:rPr>
          <w:lang w:val="sq-AL"/>
        </w:rPr>
        <w:t>anë.</w:t>
      </w:r>
    </w:p>
    <w:p w14:paraId="31F7548F" w14:textId="271DC9C4" w:rsidR="005714D0" w:rsidRPr="00050FA4" w:rsidRDefault="00D23643" w:rsidP="003F1DA7">
      <w:pPr>
        <w:pStyle w:val="AAAAAAATEXXXX"/>
        <w:rPr>
          <w:lang w:val="sq-AL"/>
        </w:rPr>
      </w:pPr>
      <w:r w:rsidRPr="00050FA4">
        <w:rPr>
          <w:lang w:val="sq-AL"/>
        </w:rPr>
        <w:t xml:space="preserve">- </w:t>
      </w:r>
      <w:r w:rsidR="005714D0" w:rsidRPr="00050FA4">
        <w:rPr>
          <w:lang w:val="sq-AL"/>
        </w:rPr>
        <w:t>Mirëmbajtja e rrugëve nacionale me financim të brendshëm do të përfitojë një rritje prej 1 miliardë lekë</w:t>
      </w:r>
      <w:r w:rsidR="00271D1A" w:rsidRPr="00050FA4">
        <w:rPr>
          <w:lang w:val="sq-AL"/>
        </w:rPr>
        <w:t>sh</w:t>
      </w:r>
      <w:r w:rsidR="005714D0" w:rsidRPr="00050FA4">
        <w:rPr>
          <w:lang w:val="sq-AL"/>
        </w:rPr>
        <w:t>, duke mbajtur rreth 2.6 miliardë lekë në total për mirëmbajtjen e rrugëve duke përfshirë dhe financimet e projektit të Bankës Botërore për mirëmbajtjen e sigurinë rrugore.</w:t>
      </w:r>
    </w:p>
    <w:p w14:paraId="7873C557" w14:textId="1A4EA13F" w:rsidR="005714D0" w:rsidRPr="00050FA4" w:rsidRDefault="00D23643" w:rsidP="003F1DA7">
      <w:pPr>
        <w:pStyle w:val="AAAAAAATEXXXX"/>
        <w:rPr>
          <w:lang w:val="sq-AL"/>
        </w:rPr>
      </w:pPr>
      <w:r w:rsidRPr="00050FA4">
        <w:rPr>
          <w:lang w:val="sq-AL"/>
        </w:rPr>
        <w:t xml:space="preserve">- </w:t>
      </w:r>
      <w:r w:rsidR="005714D0" w:rsidRPr="00050FA4">
        <w:rPr>
          <w:lang w:val="sq-AL"/>
        </w:rPr>
        <w:t xml:space="preserve">Përfshihen në buxhetin e vitit 2022 investimet për portet e Durrësit dhe Vlorës dhe </w:t>
      </w:r>
      <w:r w:rsidR="00532039" w:rsidRPr="00050FA4">
        <w:rPr>
          <w:lang w:val="sq-AL"/>
        </w:rPr>
        <w:t xml:space="preserve">aeroportet </w:t>
      </w:r>
      <w:r w:rsidR="005714D0" w:rsidRPr="00050FA4">
        <w:rPr>
          <w:lang w:val="sq-AL"/>
        </w:rPr>
        <w:t>e Vlorës dhe Sarandës.</w:t>
      </w:r>
      <w:r w:rsidR="009B1D6B" w:rsidRPr="00050FA4">
        <w:rPr>
          <w:lang w:val="sq-AL"/>
        </w:rPr>
        <w:t xml:space="preserve"> </w:t>
      </w:r>
    </w:p>
    <w:p w14:paraId="0C66A12E" w14:textId="39C07A51" w:rsidR="005714D0" w:rsidRPr="00050FA4" w:rsidRDefault="005714D0" w:rsidP="003F1DA7">
      <w:pPr>
        <w:pStyle w:val="AAAAAAATEXXXX"/>
        <w:rPr>
          <w:lang w:val="sq-AL"/>
        </w:rPr>
      </w:pPr>
      <w:r w:rsidRPr="00050FA4">
        <w:rPr>
          <w:lang w:val="sq-AL"/>
        </w:rPr>
        <w:t>Parashikohen të këtë buxhet linjat e reja hekurudhore Tiranë</w:t>
      </w:r>
      <w:r w:rsidR="00532039" w:rsidRPr="00050FA4">
        <w:rPr>
          <w:lang w:val="sq-AL"/>
        </w:rPr>
        <w:t>–</w:t>
      </w:r>
      <w:r w:rsidRPr="00050FA4">
        <w:rPr>
          <w:lang w:val="sq-AL"/>
        </w:rPr>
        <w:t>Durrës</w:t>
      </w:r>
      <w:r w:rsidR="00B10568" w:rsidRPr="00050FA4">
        <w:rPr>
          <w:lang w:val="sq-AL"/>
        </w:rPr>
        <w:t xml:space="preserve"> </w:t>
      </w:r>
      <w:r w:rsidRPr="00050FA4">
        <w:rPr>
          <w:lang w:val="sq-AL"/>
        </w:rPr>
        <w:t>dhe Tiranë</w:t>
      </w:r>
      <w:r w:rsidR="00B10568" w:rsidRPr="00050FA4">
        <w:rPr>
          <w:lang w:val="sq-AL"/>
        </w:rPr>
        <w:t>–</w:t>
      </w:r>
      <w:r w:rsidRPr="00050FA4">
        <w:rPr>
          <w:lang w:val="sq-AL"/>
        </w:rPr>
        <w:t>Rinas</w:t>
      </w:r>
      <w:r w:rsidR="009B1D6B" w:rsidRPr="00050FA4">
        <w:rPr>
          <w:lang w:val="sq-AL"/>
        </w:rPr>
        <w:t xml:space="preserve"> </w:t>
      </w:r>
      <w:r w:rsidRPr="00050FA4">
        <w:rPr>
          <w:lang w:val="sq-AL"/>
        </w:rPr>
        <w:t>(1.7 miliardë lekë).</w:t>
      </w:r>
    </w:p>
    <w:p w14:paraId="58421DE1" w14:textId="4A96D05C" w:rsidR="005714D0" w:rsidRPr="00050FA4" w:rsidRDefault="00D23643" w:rsidP="003F1DA7">
      <w:pPr>
        <w:pStyle w:val="AAAAAAATEXXXX"/>
        <w:rPr>
          <w:lang w:val="sq-AL"/>
        </w:rPr>
      </w:pPr>
      <w:r w:rsidRPr="00050FA4">
        <w:rPr>
          <w:lang w:val="sq-AL"/>
        </w:rPr>
        <w:t xml:space="preserve">- </w:t>
      </w:r>
      <w:r w:rsidR="005714D0" w:rsidRPr="00050FA4">
        <w:rPr>
          <w:lang w:val="sq-AL"/>
        </w:rPr>
        <w:t>Do të vijojë puna për projektin e Teatrit në Tiranë dhe të Qendrës Kombëtare për Fëmijët.</w:t>
      </w:r>
    </w:p>
    <w:p w14:paraId="7B81151B" w14:textId="66081BAB" w:rsidR="005714D0" w:rsidRPr="00050FA4" w:rsidRDefault="00D23643" w:rsidP="003F1DA7">
      <w:pPr>
        <w:pStyle w:val="AAAAAAATEXXXX"/>
        <w:rPr>
          <w:lang w:val="sq-AL"/>
        </w:rPr>
      </w:pPr>
      <w:r w:rsidRPr="00050FA4">
        <w:rPr>
          <w:lang w:val="sq-AL"/>
        </w:rPr>
        <w:t xml:space="preserve">- </w:t>
      </w:r>
      <w:r w:rsidR="005714D0" w:rsidRPr="00050FA4">
        <w:rPr>
          <w:lang w:val="sq-AL"/>
        </w:rPr>
        <w:t>Financohet me këtë buxhet Agjencia Kombëtare e Bregdetit për pastrimin e plazheve me një fond total prej 200 milionë lekë</w:t>
      </w:r>
      <w:r w:rsidR="00271D1A" w:rsidRPr="00050FA4">
        <w:rPr>
          <w:lang w:val="sq-AL"/>
        </w:rPr>
        <w:t>sh</w:t>
      </w:r>
      <w:r w:rsidR="005714D0" w:rsidRPr="00050FA4">
        <w:rPr>
          <w:lang w:val="sq-AL"/>
        </w:rPr>
        <w:t>.</w:t>
      </w:r>
    </w:p>
    <w:p w14:paraId="22139AE1" w14:textId="77777777" w:rsidR="005714D0" w:rsidRPr="00050FA4" w:rsidRDefault="005714D0" w:rsidP="003F1DA7">
      <w:pPr>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Në sektorin e turizmit mundësohet garanci sovrane 1 miliardë lekë;</w:t>
      </w:r>
    </w:p>
    <w:p w14:paraId="65297D22" w14:textId="74262967" w:rsidR="005714D0" w:rsidRPr="00050FA4" w:rsidRDefault="005714D0" w:rsidP="003F1DA7">
      <w:pPr>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500 milion</w:t>
      </w:r>
      <w:r w:rsidR="00B10568" w:rsidRPr="00050FA4">
        <w:rPr>
          <w:rFonts w:ascii="Garamond" w:hAnsi="Garamond" w:cstheme="majorBidi"/>
          <w:color w:val="0D0D0D" w:themeColor="text1" w:themeTint="F2"/>
        </w:rPr>
        <w:t>ë</w:t>
      </w:r>
      <w:r w:rsidRPr="00050FA4">
        <w:rPr>
          <w:rFonts w:ascii="Garamond" w:hAnsi="Garamond" w:cstheme="majorBidi"/>
          <w:color w:val="0D0D0D" w:themeColor="text1" w:themeTint="F2"/>
        </w:rPr>
        <w:t xml:space="preserve"> lekë alokohen për njësitë e vetëqeverisjes vendore për pastrimin e mbetjeve.</w:t>
      </w:r>
    </w:p>
    <w:p w14:paraId="03B26190" w14:textId="10655C94" w:rsidR="005714D0" w:rsidRPr="00050FA4" w:rsidRDefault="005714D0" w:rsidP="003F1DA7">
      <w:pPr>
        <w:pStyle w:val="AAAAAAATEXXXX"/>
        <w:rPr>
          <w:lang w:val="sq-AL"/>
        </w:rPr>
      </w:pPr>
      <w:r w:rsidRPr="00050FA4">
        <w:rPr>
          <w:lang w:val="sq-AL"/>
        </w:rPr>
        <w:t xml:space="preserve">Huamarrja në </w:t>
      </w:r>
      <w:r w:rsidR="003279C2" w:rsidRPr="00050FA4">
        <w:rPr>
          <w:lang w:val="sq-AL"/>
        </w:rPr>
        <w:t>periudhën afatmesme</w:t>
      </w:r>
    </w:p>
    <w:p w14:paraId="6D558D7A" w14:textId="77777777" w:rsidR="005714D0" w:rsidRPr="00050FA4" w:rsidRDefault="005714D0" w:rsidP="003F1DA7">
      <w:pPr>
        <w:pStyle w:val="AAAAAAATEXXXX"/>
        <w:rPr>
          <w:lang w:val="sq-AL"/>
        </w:rPr>
      </w:pPr>
      <w:r w:rsidRPr="00050FA4">
        <w:rPr>
          <w:lang w:val="sq-AL"/>
        </w:rPr>
        <w:t>Në periudhën afatmesme, nevojat për financim do të plotësohen duke përdorur burimet e brendshme dhe ato të huaja të financimit.</w:t>
      </w:r>
    </w:p>
    <w:p w14:paraId="06217C0F" w14:textId="5710BD77" w:rsidR="005714D0" w:rsidRPr="00050FA4" w:rsidRDefault="005714D0" w:rsidP="003F1DA7">
      <w:pPr>
        <w:pStyle w:val="AAAAAAATEXXXX"/>
        <w:rPr>
          <w:lang w:val="sq-AL"/>
        </w:rPr>
      </w:pPr>
      <w:r w:rsidRPr="00050FA4">
        <w:rPr>
          <w:lang w:val="sq-AL"/>
        </w:rPr>
        <w:t>Burimet e brendshme të financimit do të vazhdojnë të jenë burimi kryesor i financimit (rreth 80% të financimit bruto), me qëllim zhvillimin e tregut të brendshëm të titujve shtetërorë</w:t>
      </w:r>
      <w:r w:rsidR="003279C2" w:rsidRPr="00050FA4">
        <w:rPr>
          <w:lang w:val="sq-AL"/>
        </w:rPr>
        <w:t>,</w:t>
      </w:r>
      <w:r w:rsidRPr="00050FA4">
        <w:rPr>
          <w:lang w:val="sq-AL"/>
        </w:rPr>
        <w:t xml:space="preserve"> si edhe </w:t>
      </w:r>
      <w:r w:rsidR="00B10568" w:rsidRPr="00050FA4">
        <w:rPr>
          <w:lang w:val="sq-AL"/>
        </w:rPr>
        <w:t>mbajtën</w:t>
      </w:r>
      <w:r w:rsidRPr="00050FA4">
        <w:rPr>
          <w:lang w:val="sq-AL"/>
        </w:rPr>
        <w:t xml:space="preserve"> e riskut të kursit të këmbimit nën kontroll (borxhi në monedhë të huaj jo më shumë se 55% e totalit të borxhit shtetëror). Huamarrja e brendshme do të v</w:t>
      </w:r>
      <w:r w:rsidR="00A417C0" w:rsidRPr="00050FA4">
        <w:rPr>
          <w:lang w:val="sq-AL"/>
        </w:rPr>
        <w:t>azhdojë të bazohet kryesisht te</w:t>
      </w:r>
      <w:r w:rsidRPr="00050FA4">
        <w:rPr>
          <w:lang w:val="sq-AL"/>
        </w:rPr>
        <w:t xml:space="preserve"> sektori bankar, ndërkohë që ka pritshmëri pozitive për rritjen e a</w:t>
      </w:r>
      <w:r w:rsidR="00490913" w:rsidRPr="00050FA4">
        <w:rPr>
          <w:lang w:val="sq-AL"/>
        </w:rPr>
        <w:t>ktivitetit të institucioneve jo</w:t>
      </w:r>
      <w:r w:rsidRPr="00050FA4">
        <w:rPr>
          <w:lang w:val="sq-AL"/>
        </w:rPr>
        <w:t>financiare dhe individëve.</w:t>
      </w:r>
      <w:r w:rsidR="009B1D6B" w:rsidRPr="00050FA4">
        <w:rPr>
          <w:lang w:val="sq-AL"/>
        </w:rPr>
        <w:t xml:space="preserve"> </w:t>
      </w:r>
    </w:p>
    <w:p w14:paraId="4DA0ECF1" w14:textId="38415EAA" w:rsidR="005714D0" w:rsidRPr="00050FA4" w:rsidRDefault="005714D0" w:rsidP="003F1DA7">
      <w:pPr>
        <w:pStyle w:val="AAAAAAATEXXXX"/>
        <w:rPr>
          <w:lang w:val="sq-AL"/>
        </w:rPr>
      </w:pPr>
      <w:r w:rsidRPr="00050FA4">
        <w:rPr>
          <w:lang w:val="sq-AL"/>
        </w:rPr>
        <w:t xml:space="preserve">Nëpërmjet </w:t>
      </w:r>
      <w:r w:rsidR="00B10568" w:rsidRPr="00050FA4">
        <w:rPr>
          <w:lang w:val="sq-AL"/>
        </w:rPr>
        <w:t>titujve</w:t>
      </w:r>
      <w:r w:rsidRPr="00050FA4">
        <w:rPr>
          <w:lang w:val="sq-AL"/>
        </w:rPr>
        <w:t xml:space="preserve"> afatshkurtër, kryesisht do të synohet rifinancimi me sukses i titujve ekzistues që maturohen dhe menaxhimi aktiv i nevojave për likuiditet. Ndërkohë, nëpërmjet titujve afatgjatë do të </w:t>
      </w:r>
      <w:r w:rsidRPr="00050FA4">
        <w:rPr>
          <w:lang w:val="sq-AL"/>
        </w:rPr>
        <w:lastRenderedPageBreak/>
        <w:t>synohet të mbulohet financimi i deficitit buxhetor. Struktura e financimit të brendshëm do të jetë fleksibël në terma të përzgjedhjes së titujve shtetërorë, në varësi të kushteve të tregut të brendshëm (niveli i kërkesës, normat e interesit</w:t>
      </w:r>
      <w:r w:rsidR="00577E94" w:rsidRPr="00050FA4">
        <w:rPr>
          <w:lang w:val="sq-AL"/>
        </w:rPr>
        <w:t xml:space="preserve"> etj</w:t>
      </w:r>
      <w:r w:rsidRPr="00050FA4">
        <w:rPr>
          <w:lang w:val="sq-AL"/>
        </w:rPr>
        <w:t>.), duke garantuar në këtë mënyrë optimizimin e kostove</w:t>
      </w:r>
      <w:r w:rsidR="00490913" w:rsidRPr="00050FA4">
        <w:rPr>
          <w:lang w:val="sq-AL"/>
        </w:rPr>
        <w:t>,</w:t>
      </w:r>
      <w:r w:rsidRPr="00050FA4">
        <w:rPr>
          <w:lang w:val="sq-AL"/>
        </w:rPr>
        <w:t xml:space="preserve"> në përputhje me objektivat e vendosur për të menaxhuar risqet e portofolit të borxhit.</w:t>
      </w:r>
    </w:p>
    <w:p w14:paraId="171E5790" w14:textId="3FEAB570" w:rsidR="00C505A7" w:rsidRPr="00050FA4" w:rsidRDefault="005714D0" w:rsidP="003F1DA7">
      <w:pPr>
        <w:pStyle w:val="AAAAAAATEXXXX"/>
        <w:rPr>
          <w:lang w:val="sq-AL"/>
        </w:rPr>
      </w:pPr>
      <w:r w:rsidRPr="00050FA4">
        <w:rPr>
          <w:lang w:val="sq-AL"/>
        </w:rPr>
        <w:t xml:space="preserve">Në periudhën afatmesme, huamarrja nëpërmjet burimeve të huaja do të plotësojë nevojat vjetore për hua të qeverisjes qendrore (në terma bruto) deri në 20%, si edhe do të kontribuojë në optimizimin e kostove të portofolit të borxhit, duke qenë se një pjesë e konsiderueshme e këtij financimi do </w:t>
      </w:r>
      <w:r w:rsidR="00490913" w:rsidRPr="00050FA4">
        <w:rPr>
          <w:lang w:val="sq-AL"/>
        </w:rPr>
        <w:t xml:space="preserve">të </w:t>
      </w:r>
      <w:r w:rsidRPr="00050FA4">
        <w:rPr>
          <w:lang w:val="sq-AL"/>
        </w:rPr>
        <w:t>synojë të sigurohet me terma koncesional</w:t>
      </w:r>
      <w:r w:rsidR="00A7354F" w:rsidRPr="00050FA4">
        <w:rPr>
          <w:lang w:val="sq-AL"/>
        </w:rPr>
        <w:t>ë</w:t>
      </w:r>
      <w:r w:rsidRPr="00050FA4">
        <w:rPr>
          <w:lang w:val="sq-AL"/>
        </w:rPr>
        <w:t xml:space="preserve"> dhe </w:t>
      </w:r>
      <w:r w:rsidR="00B10568" w:rsidRPr="00050FA4">
        <w:rPr>
          <w:lang w:val="sq-AL"/>
        </w:rPr>
        <w:t>gjysmë</w:t>
      </w:r>
      <w:r w:rsidRPr="00050FA4">
        <w:rPr>
          <w:lang w:val="sq-AL"/>
        </w:rPr>
        <w:t>koncesional</w:t>
      </w:r>
      <w:r w:rsidR="00A7354F" w:rsidRPr="00050FA4">
        <w:rPr>
          <w:lang w:val="sq-AL"/>
        </w:rPr>
        <w:t>ë</w:t>
      </w:r>
      <w:r w:rsidRPr="00050FA4">
        <w:rPr>
          <w:lang w:val="sq-AL"/>
        </w:rPr>
        <w:t xml:space="preserve"> (nëpërmjet burimeve dypalëshe dhe shumëpalëshe të financimit). Huamarrja nga burime bilaterale dhe multilaterale do të përdoret kryesisht për të financuar projektet strategjike të qeverisë dhe reformat e ndërmarra nga qeveria. Gjithashtu, burimet private të financimit të siguruara në tregjet ndërkombëtare të kapitalit do të përdoren kryesisht për qëllime të menaxhimit të riskut, menaxhimit të detyrimeve të borxhit në valutë të huaj, si edhe për të shmangur konsumin e burimeve të brendshme dhe stimuluar kreditimin e sektorit privat.</w:t>
      </w:r>
    </w:p>
    <w:p w14:paraId="680E13AB" w14:textId="5B710BC4" w:rsidR="005B4C87" w:rsidRPr="00050FA4" w:rsidRDefault="00DC3DD6" w:rsidP="003F1DA7">
      <w:pPr>
        <w:pStyle w:val="AAAAAAATEXXXX"/>
        <w:rPr>
          <w:b/>
          <w:lang w:val="sq-AL"/>
        </w:rPr>
      </w:pPr>
      <w:bookmarkStart w:id="27" w:name="_Toc30416396"/>
      <w:bookmarkStart w:id="28" w:name="_Toc61854157"/>
      <w:bookmarkStart w:id="29" w:name="_Toc93325757"/>
      <w:bookmarkStart w:id="30" w:name="_Toc62805586"/>
      <w:r w:rsidRPr="00050FA4">
        <w:rPr>
          <w:b/>
          <w:lang w:val="sq-AL"/>
        </w:rPr>
        <w:t xml:space="preserve">4.5 </w:t>
      </w:r>
      <w:r w:rsidR="005B4C87" w:rsidRPr="00050FA4">
        <w:rPr>
          <w:b/>
          <w:lang w:val="sq-AL"/>
        </w:rPr>
        <w:t>B</w:t>
      </w:r>
      <w:r w:rsidR="005714D0" w:rsidRPr="00050FA4">
        <w:rPr>
          <w:b/>
          <w:lang w:val="sq-AL"/>
        </w:rPr>
        <w:t>alanca</w:t>
      </w:r>
      <w:r w:rsidR="005B4C87" w:rsidRPr="00050FA4">
        <w:rPr>
          <w:b/>
          <w:lang w:val="sq-AL"/>
        </w:rPr>
        <w:t xml:space="preserve"> strukturor</w:t>
      </w:r>
      <w:bookmarkEnd w:id="27"/>
      <w:bookmarkEnd w:id="28"/>
      <w:r w:rsidR="005714D0" w:rsidRPr="00050FA4">
        <w:rPr>
          <w:b/>
          <w:lang w:val="sq-AL"/>
        </w:rPr>
        <w:t>e</w:t>
      </w:r>
      <w:bookmarkEnd w:id="29"/>
    </w:p>
    <w:p w14:paraId="288D1171" w14:textId="486B204F" w:rsidR="00EC487F" w:rsidRPr="00050FA4" w:rsidRDefault="004E6105" w:rsidP="003F1DA7">
      <w:pPr>
        <w:pStyle w:val="AAAAAAATEXXXX"/>
        <w:rPr>
          <w:rFonts w:cstheme="majorBidi"/>
          <w:color w:val="0D0D0D" w:themeColor="text1" w:themeTint="F2"/>
          <w:lang w:val="sq-AL"/>
        </w:rPr>
      </w:pPr>
      <w:r w:rsidRPr="00050FA4">
        <w:rPr>
          <w:rFonts w:cstheme="majorBidi"/>
          <w:color w:val="0D0D0D" w:themeColor="text1" w:themeTint="F2"/>
          <w:lang w:val="sq-AL"/>
        </w:rPr>
        <w:t>(</w:t>
      </w:r>
      <w:r w:rsidR="0074450F" w:rsidRPr="00050FA4">
        <w:rPr>
          <w:rFonts w:cstheme="majorBidi"/>
          <w:i/>
          <w:color w:val="0D0D0D" w:themeColor="text1" w:themeTint="F2"/>
          <w:lang w:val="sq-AL"/>
        </w:rPr>
        <w:t xml:space="preserve">Përbërësi </w:t>
      </w:r>
      <w:r w:rsidR="005B4C87" w:rsidRPr="00050FA4">
        <w:rPr>
          <w:rFonts w:cstheme="majorBidi"/>
          <w:i/>
          <w:color w:val="0D0D0D" w:themeColor="text1" w:themeTint="F2"/>
          <w:lang w:val="sq-AL"/>
        </w:rPr>
        <w:t>ciklik i deficitit, masat e njëhershme dhe të përkohshme, pozicioni fiskal</w:t>
      </w:r>
      <w:r w:rsidR="007C3BD0" w:rsidRPr="00050FA4">
        <w:rPr>
          <w:rFonts w:cstheme="majorBidi"/>
          <w:i/>
          <w:color w:val="0D0D0D" w:themeColor="text1" w:themeTint="F2"/>
          <w:lang w:val="sq-AL"/>
        </w:rPr>
        <w:t>)</w:t>
      </w:r>
      <w:bookmarkEnd w:id="23"/>
      <w:bookmarkEnd w:id="30"/>
    </w:p>
    <w:p w14:paraId="2141204D" w14:textId="77777777" w:rsidR="005714D0" w:rsidRPr="00050FA4" w:rsidRDefault="005714D0" w:rsidP="003F1DA7">
      <w:pPr>
        <w:pStyle w:val="AAAAAAATEXXXX"/>
        <w:rPr>
          <w:rFonts w:cstheme="majorBidi"/>
          <w:i/>
          <w:color w:val="0D0D0D" w:themeColor="text1" w:themeTint="F2"/>
          <w:lang w:val="sq-AL"/>
        </w:rPr>
      </w:pPr>
      <w:r w:rsidRPr="00050FA4">
        <w:rPr>
          <w:rFonts w:cstheme="majorBidi"/>
          <w:i/>
          <w:color w:val="0D0D0D" w:themeColor="text1" w:themeTint="F2"/>
          <w:lang w:val="sq-AL"/>
        </w:rPr>
        <w:t>Vlerësimi i PBB-së potenciale dhe hendekut të prodhimit</w:t>
      </w:r>
    </w:p>
    <w:p w14:paraId="5A80EAEF" w14:textId="778409C1" w:rsidR="005714D0" w:rsidRPr="00050FA4" w:rsidRDefault="005714D0" w:rsidP="00DB1933">
      <w:pPr>
        <w:pStyle w:val="AAAAAAATEXXXX"/>
        <w:keepNext/>
        <w:widowControl/>
        <w:ind w:firstLine="288"/>
        <w:rPr>
          <w:lang w:val="sq-AL"/>
        </w:rPr>
      </w:pPr>
      <w:r w:rsidRPr="00050FA4">
        <w:rPr>
          <w:lang w:val="sq-AL"/>
        </w:rPr>
        <w:t>Teknika e filtrimit HP u përdor për të vlerësuar një seri kohore të PBB-së potenciale. Filtrimi HP është aplikuar në rritjen ekonomike aktuale vjetore me çmime konstante, duke marrë parasysh vlerat më të përshtatshme të parametrit lambda në rastin e të dhënave vjetore, përkatësisht</w:t>
      </w:r>
      <w:r w:rsidR="0074450F" w:rsidRPr="00050FA4">
        <w:rPr>
          <w:lang w:val="sq-AL"/>
        </w:rPr>
        <w:t xml:space="preserve">: </w:t>
      </w:r>
      <w:r w:rsidRPr="00050FA4">
        <w:rPr>
          <w:lang w:val="sq-AL"/>
        </w:rPr>
        <w:t xml:space="preserve"> </w:t>
      </w:r>
      <m:oMath>
        <m:r>
          <w:rPr>
            <w:rFonts w:ascii="Cambria Math" w:hAnsi="Cambria Math"/>
            <w:lang w:val="sq-AL"/>
          </w:rPr>
          <m:t>λ</m:t>
        </m:r>
        <m:r>
          <m:rPr>
            <m:sty m:val="p"/>
          </m:rPr>
          <w:rPr>
            <w:rFonts w:ascii="Cambria Math" w:hAnsi="Cambria Math"/>
            <w:lang w:val="sq-AL"/>
          </w:rPr>
          <m:t xml:space="preserve">=100; </m:t>
        </m:r>
        <m:r>
          <w:rPr>
            <w:rFonts w:ascii="Cambria Math" w:hAnsi="Cambria Math"/>
            <w:lang w:val="sq-AL"/>
          </w:rPr>
          <m:t>λ</m:t>
        </m:r>
        <m:r>
          <m:rPr>
            <m:sty m:val="p"/>
          </m:rPr>
          <w:rPr>
            <w:rFonts w:ascii="Cambria Math" w:hAnsi="Cambria Math"/>
            <w:lang w:val="sq-AL"/>
          </w:rPr>
          <m:t xml:space="preserve">=30; </m:t>
        </m:r>
        <m:r>
          <w:rPr>
            <w:rFonts w:ascii="Cambria Math" w:hAnsi="Cambria Math"/>
            <w:lang w:val="sq-AL"/>
          </w:rPr>
          <m:t>λ</m:t>
        </m:r>
        <m:r>
          <m:rPr>
            <m:sty m:val="p"/>
          </m:rPr>
          <w:rPr>
            <w:rFonts w:ascii="Cambria Math" w:hAnsi="Cambria Math"/>
            <w:lang w:val="sq-AL"/>
          </w:rPr>
          <m:t>=6.5</m:t>
        </m:r>
      </m:oMath>
      <w:r w:rsidRPr="00050FA4">
        <w:rPr>
          <w:lang w:val="sq-AL"/>
        </w:rPr>
        <w:t xml:space="preserve"> Rritja e PBB-së potenciale u nxor më pas si një mesatare e serive të filtrimit HP bazuar në kët</w:t>
      </w:r>
      <w:r w:rsidR="005E6A97" w:rsidRPr="00050FA4">
        <w:rPr>
          <w:lang w:val="sq-AL"/>
        </w:rPr>
        <w:t>a</w:t>
      </w:r>
      <w:r w:rsidRPr="00050FA4">
        <w:rPr>
          <w:lang w:val="sq-AL"/>
        </w:rPr>
        <w:t xml:space="preserve"> tre </w:t>
      </w:r>
      <w:r w:rsidR="00535FB4" w:rsidRPr="00050FA4">
        <w:rPr>
          <w:lang w:val="sq-AL"/>
        </w:rPr>
        <w:t>parametra të ndryshëm të lambda</w:t>
      </w:r>
      <w:r w:rsidRPr="00050FA4">
        <w:rPr>
          <w:lang w:val="sq-AL"/>
        </w:rPr>
        <w:t xml:space="preserve">s. Bazuar në rritjen potenciale të përfituar, u nxor më pas niveli i PBB-së potenciale dhe në përputhje me të u llogarit dhe niveli i </w:t>
      </w:r>
      <w:r w:rsidRPr="00050FA4">
        <w:rPr>
          <w:i/>
          <w:lang w:val="sq-AL"/>
        </w:rPr>
        <w:t>output</w:t>
      </w:r>
      <w:r w:rsidR="00B10568" w:rsidRPr="00050FA4">
        <w:rPr>
          <w:lang w:val="sq-AL"/>
        </w:rPr>
        <w:t>-</w:t>
      </w:r>
      <w:r w:rsidRPr="00050FA4">
        <w:rPr>
          <w:lang w:val="sq-AL"/>
        </w:rPr>
        <w:t>it. Parashikimet më të fundit të MFE</w:t>
      </w:r>
      <w:r w:rsidR="00EB4031" w:rsidRPr="00050FA4">
        <w:rPr>
          <w:lang w:val="sq-AL"/>
        </w:rPr>
        <w:t>-së</w:t>
      </w:r>
      <w:r w:rsidRPr="00050FA4">
        <w:rPr>
          <w:lang w:val="sq-AL"/>
        </w:rPr>
        <w:t xml:space="preserve"> deri në vitin 2028 janë përdorur për t</w:t>
      </w:r>
      <w:r w:rsidR="00F56E92" w:rsidRPr="00050FA4">
        <w:rPr>
          <w:lang w:val="sq-AL"/>
        </w:rPr>
        <w:t>’</w:t>
      </w:r>
      <w:r w:rsidRPr="00050FA4">
        <w:rPr>
          <w:lang w:val="sq-AL"/>
        </w:rPr>
        <w:t>u marrë me problemin e të dhënës së fundit që shfaq teknika e filtrimit HP.</w:t>
      </w:r>
    </w:p>
    <w:p w14:paraId="1EC1BF2C"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09CFC77D" w14:textId="77777777" w:rsidR="005714D0" w:rsidRPr="00050FA4" w:rsidRDefault="005714D0" w:rsidP="003F1DA7">
      <w:pPr>
        <w:pStyle w:val="AAAAAAATEXXXX"/>
        <w:rPr>
          <w:lang w:val="sq-AL"/>
        </w:rPr>
      </w:pPr>
      <w:r w:rsidRPr="00050FA4">
        <w:rPr>
          <w:lang w:val="sq-AL"/>
        </w:rPr>
        <w:t xml:space="preserve">Hendeku i prodhimit, e përcaktuar zyrtarisht si </w:t>
      </w:r>
      <m:oMath>
        <m:sSub>
          <m:sSubPr>
            <m:ctrlPr>
              <w:rPr>
                <w:rFonts w:ascii="Cambria Math" w:hAnsi="Cambria Math"/>
                <w:i/>
                <w:lang w:val="sq-AL"/>
              </w:rPr>
            </m:ctrlPr>
          </m:sSubPr>
          <m:e>
            <m:r>
              <w:rPr>
                <w:rFonts w:ascii="Cambria Math" w:hAnsi="Cambria Math"/>
                <w:lang w:val="sq-AL"/>
              </w:rPr>
              <m:t>G</m:t>
            </m:r>
          </m:e>
          <m:sub>
            <m:r>
              <w:rPr>
                <w:rFonts w:ascii="Cambria Math" w:hAnsi="Cambria Math"/>
                <w:lang w:val="sq-AL"/>
              </w:rPr>
              <m:t>t</m:t>
            </m:r>
          </m:sub>
        </m:sSub>
        <m:r>
          <w:rPr>
            <w:rFonts w:ascii="Cambria Math" w:hAnsi="Cambria Math"/>
            <w:lang w:val="sq-AL"/>
          </w:rPr>
          <m:t>=</m:t>
        </m:r>
        <m:f>
          <m:fPr>
            <m:ctrlPr>
              <w:rPr>
                <w:rFonts w:ascii="Cambria Math" w:hAnsi="Cambria Math"/>
                <w:i/>
                <w:lang w:val="sq-AL"/>
              </w:rPr>
            </m:ctrlPr>
          </m:fPr>
          <m:num>
            <m:sSub>
              <m:sSubPr>
                <m:ctrlPr>
                  <w:rPr>
                    <w:rFonts w:ascii="Cambria Math" w:hAnsi="Cambria Math"/>
                    <w:i/>
                    <w:lang w:val="sq-AL"/>
                  </w:rPr>
                </m:ctrlPr>
              </m:sSubPr>
              <m:e>
                <m:r>
                  <w:rPr>
                    <w:rFonts w:ascii="Cambria Math" w:hAnsi="Cambria Math"/>
                    <w:lang w:val="sq-AL"/>
                  </w:rPr>
                  <m:t>GDP</m:t>
                </m:r>
              </m:e>
              <m:sub>
                <m:r>
                  <w:rPr>
                    <w:rFonts w:ascii="Cambria Math" w:hAnsi="Cambria Math"/>
                    <w:lang w:val="sq-AL"/>
                  </w:rPr>
                  <m:t>t, aktual</m:t>
                </m:r>
              </m:sub>
            </m:sSub>
            <m:r>
              <w:rPr>
                <w:rFonts w:ascii="Cambria Math" w:hAnsi="Cambria Math"/>
                <w:lang w:val="sq-AL"/>
              </w:rPr>
              <m:t>-</m:t>
            </m:r>
            <m:sSub>
              <m:sSubPr>
                <m:ctrlPr>
                  <w:rPr>
                    <w:rFonts w:ascii="Cambria Math" w:hAnsi="Cambria Math"/>
                    <w:i/>
                    <w:lang w:val="sq-AL"/>
                  </w:rPr>
                </m:ctrlPr>
              </m:sSubPr>
              <m:e>
                <m:r>
                  <w:rPr>
                    <w:rFonts w:ascii="Cambria Math" w:hAnsi="Cambria Math"/>
                    <w:lang w:val="sq-AL"/>
                  </w:rPr>
                  <m:t>GDP</m:t>
                </m:r>
              </m:e>
              <m:sub>
                <m:r>
                  <w:rPr>
                    <w:rFonts w:ascii="Cambria Math" w:hAnsi="Cambria Math"/>
                    <w:lang w:val="sq-AL"/>
                  </w:rPr>
                  <m:t>t,potencial</m:t>
                </m:r>
              </m:sub>
            </m:sSub>
          </m:num>
          <m:den>
            <m:sSub>
              <m:sSubPr>
                <m:ctrlPr>
                  <w:rPr>
                    <w:rFonts w:ascii="Cambria Math" w:hAnsi="Cambria Math"/>
                    <w:i/>
                    <w:lang w:val="sq-AL"/>
                  </w:rPr>
                </m:ctrlPr>
              </m:sSubPr>
              <m:e>
                <m:r>
                  <w:rPr>
                    <w:rFonts w:ascii="Cambria Math" w:hAnsi="Cambria Math"/>
                    <w:lang w:val="sq-AL"/>
                  </w:rPr>
                  <m:t>GDP</m:t>
                </m:r>
              </m:e>
              <m:sub>
                <m:r>
                  <w:rPr>
                    <w:rFonts w:ascii="Cambria Math" w:hAnsi="Cambria Math"/>
                    <w:lang w:val="sq-AL"/>
                  </w:rPr>
                  <m:t>t,potencial</m:t>
                </m:r>
              </m:sub>
            </m:sSub>
          </m:den>
        </m:f>
      </m:oMath>
      <w:r w:rsidRPr="00050FA4">
        <w:rPr>
          <w:lang w:val="sq-AL"/>
        </w:rPr>
        <w:t xml:space="preserve"> është paraqitur në anën e majtë të figurës së mëposhtme. Ndërsa rritja potenciale përkatëse kundrejt asaj aktuale paraqitet në anën e djathtë.</w:t>
      </w:r>
    </w:p>
    <w:p w14:paraId="0324CB59" w14:textId="77777777" w:rsidR="005714D0" w:rsidRPr="00050FA4" w:rsidRDefault="005714D0" w:rsidP="003F1DA7">
      <w:pPr>
        <w:pStyle w:val="AAAAAAATEXXXX"/>
        <w:rPr>
          <w:lang w:val="sq-AL"/>
        </w:rPr>
      </w:pPr>
    </w:p>
    <w:p w14:paraId="3599CD01" w14:textId="3EED5CF7" w:rsidR="005714D0" w:rsidRPr="00050FA4" w:rsidRDefault="00C04C65" w:rsidP="003F1DA7">
      <w:pPr>
        <w:pStyle w:val="AAAAAAATEXXXX"/>
        <w:jc w:val="center"/>
        <w:rPr>
          <w:b/>
          <w:i/>
          <w:sz w:val="20"/>
          <w:szCs w:val="20"/>
          <w:lang w:val="sq-AL"/>
        </w:rPr>
      </w:pPr>
      <w:r w:rsidRPr="00050FA4">
        <w:rPr>
          <w:b/>
          <w:i/>
          <w:sz w:val="20"/>
          <w:szCs w:val="20"/>
          <w:lang w:val="sq-AL"/>
        </w:rPr>
        <w:t>Grafik 4.5.1</w:t>
      </w:r>
      <w:r w:rsidR="005714D0" w:rsidRPr="00050FA4">
        <w:rPr>
          <w:b/>
          <w:i/>
          <w:sz w:val="20"/>
          <w:szCs w:val="20"/>
          <w:lang w:val="sq-AL"/>
        </w:rPr>
        <w:t xml:space="preserve"> Hendeku i prodhimit (majtas) dhe rritja aktuale dhe potenciale (djathtas)</w:t>
      </w:r>
    </w:p>
    <w:p w14:paraId="685A77A1" w14:textId="360091AD" w:rsidR="005714D0" w:rsidRPr="00050FA4" w:rsidRDefault="005714D0" w:rsidP="003F1DA7">
      <w:pPr>
        <w:pStyle w:val="AAAAAAATEXXXX"/>
        <w:jc w:val="center"/>
        <w:rPr>
          <w:lang w:val="sq-AL"/>
        </w:rPr>
      </w:pPr>
      <w:r w:rsidRPr="00050FA4">
        <w:rPr>
          <w:noProof/>
        </w:rPr>
        <w:drawing>
          <wp:inline distT="0" distB="0" distL="0" distR="0" wp14:anchorId="5CA964AA" wp14:editId="6C45349E">
            <wp:extent cx="6096000" cy="1981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96000" cy="1981200"/>
                    </a:xfrm>
                    <a:prstGeom prst="rect">
                      <a:avLst/>
                    </a:prstGeom>
                    <a:noFill/>
                    <a:ln>
                      <a:noFill/>
                    </a:ln>
                  </pic:spPr>
                </pic:pic>
              </a:graphicData>
            </a:graphic>
          </wp:inline>
        </w:drawing>
      </w:r>
    </w:p>
    <w:p w14:paraId="71AC4B47" w14:textId="77777777" w:rsidR="005714D0" w:rsidRPr="00050FA4" w:rsidRDefault="005714D0" w:rsidP="003F1DA7">
      <w:pPr>
        <w:pStyle w:val="AAAAAAATEXXXX"/>
        <w:jc w:val="center"/>
        <w:rPr>
          <w:sz w:val="20"/>
          <w:lang w:val="sq-AL"/>
        </w:rPr>
      </w:pPr>
      <w:r w:rsidRPr="00050FA4">
        <w:rPr>
          <w:sz w:val="20"/>
          <w:lang w:val="sq-AL"/>
        </w:rPr>
        <w:t>Burimi: Ministria e Financave dhe Ekonomisë</w:t>
      </w:r>
    </w:p>
    <w:p w14:paraId="79D0E34B" w14:textId="77777777" w:rsidR="005714D0" w:rsidRPr="00050FA4" w:rsidRDefault="005714D0" w:rsidP="003F1DA7">
      <w:pPr>
        <w:ind w:firstLine="284"/>
        <w:jc w:val="both"/>
        <w:rPr>
          <w:rFonts w:ascii="Garamond" w:hAnsi="Garamond" w:cstheme="majorBidi"/>
          <w:i/>
          <w:color w:val="0D0D0D" w:themeColor="text1" w:themeTint="F2"/>
        </w:rPr>
      </w:pPr>
    </w:p>
    <w:p w14:paraId="5DACA1DD" w14:textId="1F771EBC" w:rsidR="005714D0" w:rsidRPr="00050FA4" w:rsidRDefault="005714D0" w:rsidP="00DB1933">
      <w:pPr>
        <w:pStyle w:val="AAAAAAATEXXXX"/>
        <w:rPr>
          <w:lang w:val="sq-AL"/>
        </w:rPr>
      </w:pPr>
      <w:r w:rsidRPr="00050FA4">
        <w:rPr>
          <w:lang w:val="sq-AL"/>
        </w:rPr>
        <w:t>Rezultatet tregojnë se prodhimi aktual ka qenë nën</w:t>
      </w:r>
      <w:r w:rsidR="00B10568" w:rsidRPr="00050FA4">
        <w:rPr>
          <w:lang w:val="sq-AL"/>
        </w:rPr>
        <w:t xml:space="preserve"> potencialin për periudhën 2002–</w:t>
      </w:r>
      <w:r w:rsidRPr="00050FA4">
        <w:rPr>
          <w:lang w:val="sq-AL"/>
        </w:rPr>
        <w:t xml:space="preserve">2006, gati duke u mbyllur në vitin 2007 dhe më pas duke kaluar në një hendek pozitiv relativisht të madh në vitin 2008. Ndryshimi i fundit pozitiv në hendekun e prodhimit vazhdoi disi edhe gjatë </w:t>
      </w:r>
      <w:r w:rsidR="00B10568" w:rsidRPr="00050FA4">
        <w:rPr>
          <w:lang w:val="sq-AL"/>
        </w:rPr>
        <w:t>periudhës</w:t>
      </w:r>
      <w:r w:rsidRPr="00050FA4">
        <w:rPr>
          <w:lang w:val="sq-AL"/>
        </w:rPr>
        <w:t xml:space="preserve"> 2009</w:t>
      </w:r>
      <w:r w:rsidR="00B10568" w:rsidRPr="00050FA4">
        <w:rPr>
          <w:lang w:val="sq-AL"/>
        </w:rPr>
        <w:t>–</w:t>
      </w:r>
      <w:r w:rsidRPr="00050FA4">
        <w:rPr>
          <w:lang w:val="sq-AL"/>
        </w:rPr>
        <w:t>2012 duke u tkurrur gradualisht në reflektim të një rritje aktuale më të ulët krahasuar me atë potenciale</w:t>
      </w:r>
      <w:r w:rsidR="00BC078B" w:rsidRPr="00050FA4">
        <w:rPr>
          <w:lang w:val="sq-AL"/>
        </w:rPr>
        <w:t>,</w:t>
      </w:r>
      <w:r w:rsidRPr="00050FA4">
        <w:rPr>
          <w:lang w:val="sq-AL"/>
        </w:rPr>
        <w:t xml:space="preserve"> për shkak të efekteve negative të krizës financiare globale. Pavarësisht se Shqipëria arriti të absorbojë shumë më lehtë goditjen e parë nga kriza globale në vitin 2009</w:t>
      </w:r>
      <w:r w:rsidR="00BC078B" w:rsidRPr="00050FA4">
        <w:rPr>
          <w:lang w:val="sq-AL"/>
        </w:rPr>
        <w:t>,</w:t>
      </w:r>
      <w:r w:rsidRPr="00050FA4">
        <w:rPr>
          <w:lang w:val="sq-AL"/>
        </w:rPr>
        <w:t xml:space="preserve"> duke shmangur një recesion të rëndë që ndodhi në shumicën e vendeve të tjera, prapë rritja aktuale u dobësua ndjeshëm krahasuar me nivelet e para krizës, por</w:t>
      </w:r>
      <w:r w:rsidR="00BC078B" w:rsidRPr="00050FA4">
        <w:rPr>
          <w:lang w:val="sq-AL"/>
        </w:rPr>
        <w:t>,</w:t>
      </w:r>
      <w:r w:rsidRPr="00050FA4">
        <w:rPr>
          <w:lang w:val="sq-AL"/>
        </w:rPr>
        <w:t xml:space="preserve"> gjithashtu</w:t>
      </w:r>
      <w:r w:rsidR="00BC078B" w:rsidRPr="00050FA4">
        <w:rPr>
          <w:lang w:val="sq-AL"/>
        </w:rPr>
        <w:t>,</w:t>
      </w:r>
      <w:r w:rsidRPr="00050FA4">
        <w:rPr>
          <w:lang w:val="sq-AL"/>
        </w:rPr>
        <w:t xml:space="preserve"> edhe në krahasim me potencialin e saj. Në vitin 2013 u regjistrua rritja më e ulët dhe në të njëjtën kohë hendeku i prodhimit u zhvendos në territorin negativ dhe qëndroi negativ deri në vitin 2016, me nivelin më të ulët të arritur në vitin 2015. Hendeku i prodhimit u zhvendos pak në territorin pozitiv </w:t>
      </w:r>
      <w:r w:rsidRPr="00050FA4">
        <w:rPr>
          <w:lang w:val="sq-AL"/>
        </w:rPr>
        <w:lastRenderedPageBreak/>
        <w:t>deri në vitin 2017, u intensifikua në vitin 2018 dhe</w:t>
      </w:r>
      <w:r w:rsidR="00BC078B" w:rsidRPr="00050FA4">
        <w:rPr>
          <w:lang w:val="sq-AL"/>
        </w:rPr>
        <w:t>,</w:t>
      </w:r>
      <w:r w:rsidRPr="00050FA4">
        <w:rPr>
          <w:lang w:val="sq-AL"/>
        </w:rPr>
        <w:t xml:space="preserve"> gjithashtu</w:t>
      </w:r>
      <w:r w:rsidR="00BC078B" w:rsidRPr="00050FA4">
        <w:rPr>
          <w:lang w:val="sq-AL"/>
        </w:rPr>
        <w:t>,</w:t>
      </w:r>
      <w:r w:rsidRPr="00050FA4">
        <w:rPr>
          <w:lang w:val="sq-AL"/>
        </w:rPr>
        <w:t xml:space="preserve"> vazhdoi e fortë edhe në vitin 2019, me gjithë rritjen aktuale më të ulët në këtë vit, veçanërisht rritjen e tremujorit të fundit kur vendi u godit nga tërmeti i nëntorit. Në vitin 2020, më e rëndësishmja për shkak të goditjes pandemike </w:t>
      </w:r>
      <w:r w:rsidR="001C0FC0" w:rsidRPr="00050FA4">
        <w:rPr>
          <w:lang w:val="sq-AL"/>
        </w:rPr>
        <w:t>COVID</w:t>
      </w:r>
      <w:r w:rsidRPr="00050FA4">
        <w:rPr>
          <w:lang w:val="sq-AL"/>
        </w:rPr>
        <w:t>-19</w:t>
      </w:r>
      <w:r w:rsidR="00BB35EE" w:rsidRPr="00050FA4">
        <w:rPr>
          <w:lang w:val="sq-AL"/>
        </w:rPr>
        <w:t>,</w:t>
      </w:r>
      <w:r w:rsidRPr="00050FA4">
        <w:rPr>
          <w:lang w:val="sq-AL"/>
        </w:rPr>
        <w:t xml:space="preserve"> e cila e detyroi ekonominë në një recesion të fortë në rreth -4.0 për</w:t>
      </w:r>
      <w:r w:rsidR="001C0FC0" w:rsidRPr="00050FA4">
        <w:rPr>
          <w:lang w:val="sq-AL"/>
        </w:rPr>
        <w:t xml:space="preserve"> </w:t>
      </w:r>
      <w:r w:rsidRPr="00050FA4">
        <w:rPr>
          <w:lang w:val="sq-AL"/>
        </w:rPr>
        <w:t>qind, por</w:t>
      </w:r>
      <w:r w:rsidR="00BB35EE" w:rsidRPr="00050FA4">
        <w:rPr>
          <w:lang w:val="sq-AL"/>
        </w:rPr>
        <w:t>,</w:t>
      </w:r>
      <w:r w:rsidRPr="00050FA4">
        <w:rPr>
          <w:lang w:val="sq-AL"/>
        </w:rPr>
        <w:t xml:space="preserve"> gjithashtu</w:t>
      </w:r>
      <w:r w:rsidR="00BB35EE" w:rsidRPr="00050FA4">
        <w:rPr>
          <w:lang w:val="sq-AL"/>
        </w:rPr>
        <w:t>,</w:t>
      </w:r>
      <w:r w:rsidRPr="00050FA4">
        <w:rPr>
          <w:lang w:val="sq-AL"/>
        </w:rPr>
        <w:t xml:space="preserve"> duke reflektuar në një farë mase ngadalësimin e ndjeshëm të rritjes aktuale që kishte ndodhur tashmë në vitin 2019, hendeku i prodhimit arriti pikën më negative në dekada me rreth -5.6 për</w:t>
      </w:r>
      <w:r w:rsidR="001C0FC0" w:rsidRPr="00050FA4">
        <w:rPr>
          <w:lang w:val="sq-AL"/>
        </w:rPr>
        <w:t xml:space="preserve"> </w:t>
      </w:r>
      <w:r w:rsidRPr="00050FA4">
        <w:rPr>
          <w:lang w:val="sq-AL"/>
        </w:rPr>
        <w:t>qind të PBB-së potenciale. Megjithëse rritja aktuale u rrit me shpejtësi në vitin 2021 dhe do të vazhdojë edhe më fort në periudhën afatmesëm, duke çuar kështu që prodhimi të konvergojë gradualisht drejt potencialit të tij, prapë për shkak të humbjes drastike të prodhimit në vitin 2020, hendeku negativ i prodhimit parashikohet të vazhdojnë deri në vitin 2022 dhe pastaj të konvergojë drejt potencialit në vitin 2023 dhe 2024.</w:t>
      </w:r>
    </w:p>
    <w:p w14:paraId="70406D26" w14:textId="77777777" w:rsidR="005714D0" w:rsidRPr="00050FA4" w:rsidRDefault="005714D0" w:rsidP="003F1DA7">
      <w:pPr>
        <w:pStyle w:val="AAAAAAATEXXXX"/>
        <w:rPr>
          <w:lang w:val="sq-AL"/>
        </w:rPr>
      </w:pPr>
      <w:r w:rsidRPr="00050FA4">
        <w:rPr>
          <w:lang w:val="sq-AL"/>
        </w:rPr>
        <w:t>Vlerësimi i elasticitetit dhe ndjeshmërisë së buxhetit ndaj hendekut të prodhimit</w:t>
      </w:r>
    </w:p>
    <w:p w14:paraId="72A85173" w14:textId="373E16B2" w:rsidR="005714D0" w:rsidRPr="00050FA4" w:rsidRDefault="005714D0" w:rsidP="003F1DA7">
      <w:pPr>
        <w:pStyle w:val="AAAAAAATEXXXX"/>
        <w:rPr>
          <w:lang w:val="sq-AL"/>
        </w:rPr>
      </w:pPr>
      <w:r w:rsidRPr="00050FA4">
        <w:rPr>
          <w:lang w:val="sq-AL"/>
        </w:rPr>
        <w:t>Pasi u hoqën faktorët që kanë pasur ndikime vetëm në një periudhë të caktuar, u vlerësuan</w:t>
      </w:r>
      <w:r w:rsidR="009B1D6B" w:rsidRPr="00050FA4">
        <w:rPr>
          <w:lang w:val="sq-AL"/>
        </w:rPr>
        <w:t xml:space="preserve"> </w:t>
      </w:r>
      <w:r w:rsidRPr="00050FA4">
        <w:rPr>
          <w:lang w:val="sq-AL"/>
        </w:rPr>
        <w:t xml:space="preserve">elasticitetet e të ardhurave dhe </w:t>
      </w:r>
      <w:r w:rsidR="00BB35EE" w:rsidRPr="00050FA4">
        <w:rPr>
          <w:lang w:val="sq-AL"/>
        </w:rPr>
        <w:t xml:space="preserve">të </w:t>
      </w:r>
      <w:r w:rsidRPr="00050FA4">
        <w:rPr>
          <w:lang w:val="sq-AL"/>
        </w:rPr>
        <w:t>shpenzimeve edhe me metodën e disagregimit (sipas qasjes së OECD-së 2005) dhe me metodën agregate (sipas qasjes së FMN-së 2010). Gjithsesi, elasticitetet finale totale të marra nga secila metodë ishin pothuajse të ngjashme.</w:t>
      </w:r>
    </w:p>
    <w:p w14:paraId="3E49925A" w14:textId="77777777" w:rsidR="005714D0" w:rsidRPr="00050FA4" w:rsidRDefault="005714D0" w:rsidP="003F1DA7">
      <w:pPr>
        <w:pStyle w:val="AAAAAAATEXXXX"/>
        <w:rPr>
          <w:lang w:val="sq-AL"/>
        </w:rPr>
      </w:pPr>
      <w:r w:rsidRPr="00050FA4">
        <w:rPr>
          <w:lang w:val="sq-AL"/>
        </w:rPr>
        <w:t>Për të qenë më konkretë, elasticiteti i përgjithshëm i të ardhurave, i nxjerrë nga elasticitetet specifike të zërave kryesorë të të ardhurave me metodën e disagregimit ishte 1.031, ndërsa elasticiteti i vlerësuar nga metoda agregate ishte 1.460.</w:t>
      </w:r>
      <w:r w:rsidRPr="00050FA4">
        <w:rPr>
          <w:vertAlign w:val="superscript"/>
          <w:lang w:val="sq-AL"/>
        </w:rPr>
        <w:footnoteReference w:id="8"/>
      </w:r>
      <w:r w:rsidRPr="00050FA4">
        <w:rPr>
          <w:lang w:val="sq-AL"/>
        </w:rPr>
        <w:t xml:space="preserve"> Të ardhurat totale u rregulluan për efektet e ciklit, duke aplikuar mbi to elasticitetin mesatar të përfituar nga të dyja qasjet, i cili është:</w:t>
      </w:r>
    </w:p>
    <w:p w14:paraId="27805DFD" w14:textId="77777777" w:rsidR="005714D0" w:rsidRPr="00050FA4" w:rsidRDefault="005714D0" w:rsidP="003F1DA7">
      <w:pPr>
        <w:pStyle w:val="AAAAAAATEXXXX"/>
        <w:rPr>
          <w:lang w:val="sq-AL"/>
        </w:rPr>
      </w:pPr>
    </w:p>
    <w:p w14:paraId="02A27DD8"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ParaPr>
          <m:jc m:val="center"/>
        </m:oMathParaPr>
        <m:oMath>
          <m:sSub>
            <m:sSubPr>
              <m:ctrlPr>
                <w:rPr>
                  <w:rFonts w:ascii="Cambria Math" w:hAnsi="Cambria Math" w:cs="Courier New"/>
                  <w:i/>
                  <w:color w:val="0D0D0D" w:themeColor="text1" w:themeTint="F2"/>
                </w:rPr>
              </m:ctrlPr>
            </m:sSubPr>
            <m:e>
              <m:r>
                <w:rPr>
                  <w:rFonts w:ascii="Cambria Math" w:hAnsi="Cambria Math" w:cs="Courier New"/>
                  <w:color w:val="0D0D0D" w:themeColor="text1" w:themeTint="F2"/>
                </w:rPr>
                <m:t>ε</m:t>
              </m:r>
            </m:e>
            <m:sub>
              <m:r>
                <w:rPr>
                  <w:rFonts w:ascii="Cambria Math" w:hAnsi="Cambria Math" w:cs="Courier New"/>
                  <w:color w:val="0D0D0D" w:themeColor="text1" w:themeTint="F2"/>
                </w:rPr>
                <m:t>R,Y</m:t>
              </m:r>
            </m:sub>
          </m:sSub>
          <m:r>
            <w:rPr>
              <w:rFonts w:ascii="Cambria Math" w:hAnsi="Cambria Math" w:cs="Courier New"/>
              <w:color w:val="0D0D0D" w:themeColor="text1" w:themeTint="F2"/>
            </w:rPr>
            <m:t xml:space="preserve">=mesatare </m:t>
          </m:r>
          <m:d>
            <m:dPr>
              <m:ctrlPr>
                <w:rPr>
                  <w:rFonts w:ascii="Cambria Math" w:hAnsi="Cambria Math" w:cs="Courier New"/>
                  <w:i/>
                  <w:color w:val="0D0D0D" w:themeColor="text1" w:themeTint="F2"/>
                </w:rPr>
              </m:ctrlPr>
            </m:dPr>
            <m:e>
              <m:r>
                <w:rPr>
                  <w:rFonts w:ascii="Cambria Math" w:hAnsi="Cambria Math" w:cs="Courier New"/>
                  <w:color w:val="0D0D0D" w:themeColor="text1" w:themeTint="F2"/>
                </w:rPr>
                <m:t>1.031, 1.460</m:t>
              </m:r>
            </m:e>
          </m:d>
          <m:r>
            <w:rPr>
              <w:rFonts w:ascii="Cambria Math" w:hAnsi="Cambria Math" w:cs="Courier New"/>
              <w:color w:val="0D0D0D" w:themeColor="text1" w:themeTint="F2"/>
            </w:rPr>
            <m:t>=1.246</m:t>
          </m:r>
        </m:oMath>
      </m:oMathPara>
    </w:p>
    <w:p w14:paraId="2EC26D29" w14:textId="77777777" w:rsidR="005714D0" w:rsidRPr="00050FA4" w:rsidRDefault="005714D0" w:rsidP="003F1DA7">
      <w:pPr>
        <w:tabs>
          <w:tab w:val="left" w:pos="3111"/>
        </w:tabs>
        <w:ind w:firstLine="284"/>
        <w:jc w:val="center"/>
        <w:rPr>
          <w:rFonts w:ascii="Garamond" w:hAnsi="Garamond" w:cstheme="majorBidi"/>
          <w:color w:val="0D0D0D" w:themeColor="text1" w:themeTint="F2"/>
        </w:rPr>
      </w:pPr>
    </w:p>
    <w:p w14:paraId="73E27F62" w14:textId="77777777" w:rsidR="005714D0" w:rsidRPr="00050FA4" w:rsidRDefault="005714D0" w:rsidP="003F1DA7">
      <w:pPr>
        <w:pStyle w:val="AAAAAAATEXXXX"/>
        <w:rPr>
          <w:lang w:val="sq-AL"/>
        </w:rPr>
      </w:pPr>
      <w:r w:rsidRPr="00050FA4">
        <w:rPr>
          <w:lang w:val="sq-AL"/>
        </w:rPr>
        <w:t>Për sa u përket elasticiteteve të shpenzimeve, ato nuk ishin të ndryshme nga niveli zero. Analiza e regresionit na prodhoi elasticitete të shpenzimeve me shenjë negative, sipas të dyja metodave, por asnjëra prej tyre nuk ishte statistikisht e rëndësishme, duke na treguar se koeficienti i elasticitetit është i barabartë me zero:</w:t>
      </w:r>
    </w:p>
    <w:p w14:paraId="533DBA00"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ε</m:t>
              </m:r>
            </m:e>
            <m:sub>
              <m:r>
                <w:rPr>
                  <w:rFonts w:ascii="Cambria Math" w:hAnsi="Cambria Math" w:cstheme="majorBidi"/>
                  <w:color w:val="0D0D0D" w:themeColor="text1" w:themeTint="F2"/>
                </w:rPr>
                <m:t>G,Y</m:t>
              </m:r>
            </m:sub>
          </m:sSub>
          <m:r>
            <w:rPr>
              <w:rFonts w:ascii="Cambria Math" w:hAnsi="Cambria Math" w:cstheme="majorBidi"/>
              <w:color w:val="0D0D0D" w:themeColor="text1" w:themeTint="F2"/>
            </w:rPr>
            <m:t>=0</m:t>
          </m:r>
        </m:oMath>
      </m:oMathPara>
    </w:p>
    <w:p w14:paraId="02158552"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0EA83CCF" w14:textId="77777777" w:rsidR="005714D0" w:rsidRPr="00050FA4" w:rsidRDefault="005714D0" w:rsidP="003F1DA7">
      <w:pPr>
        <w:pStyle w:val="AAAAAAATEXXXX"/>
        <w:rPr>
          <w:lang w:val="sq-AL"/>
        </w:rPr>
      </w:pPr>
      <w:r w:rsidRPr="00050FA4">
        <w:rPr>
          <w:lang w:val="sq-AL"/>
        </w:rPr>
        <w:t>Si rezultat, shpenzimet totale nuk u rregulluan për efekte ciklike. Aplikimi direkt i formulës së ndjeshmërisë për bilancin e buxhetit ndaj hendekut të prodhimit (ose i ashtuquajtur elasticitet i pjesshëm) na dha vlerën e mëposhtme:</w:t>
      </w:r>
    </w:p>
    <w:p w14:paraId="67319682"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7467EABD"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σ</m:t>
              </m:r>
            </m:e>
            <m:sub>
              <m:r>
                <w:rPr>
                  <w:rFonts w:ascii="Cambria Math" w:hAnsi="Cambria Math" w:cstheme="majorBidi"/>
                  <w:color w:val="0D0D0D" w:themeColor="text1" w:themeTint="F2"/>
                </w:rPr>
                <m:t>B</m:t>
              </m:r>
            </m:sub>
          </m:sSub>
          <m:r>
            <w:rPr>
              <w:rFonts w:ascii="Cambria Math" w:hAnsi="Cambria Math" w:cstheme="majorBidi"/>
              <w:color w:val="0D0D0D" w:themeColor="text1" w:themeTint="F2"/>
            </w:rPr>
            <m:t>≡r</m:t>
          </m:r>
          <m:d>
            <m:dPr>
              <m:ctrlPr>
                <w:rPr>
                  <w:rFonts w:ascii="Cambria Math" w:hAnsi="Cambria Math" w:cstheme="majorBidi"/>
                  <w:i/>
                  <w:color w:val="0D0D0D" w:themeColor="text1" w:themeTint="F2"/>
                </w:rPr>
              </m:ctrlPr>
            </m:dPr>
            <m:e>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ε</m:t>
                  </m:r>
                </m:e>
                <m:sub>
                  <m:r>
                    <w:rPr>
                      <w:rFonts w:ascii="Cambria Math" w:hAnsi="Cambria Math" w:cstheme="majorBidi"/>
                      <w:color w:val="0D0D0D" w:themeColor="text1" w:themeTint="F2"/>
                    </w:rPr>
                    <m:t>R,Y</m:t>
                  </m:r>
                </m:sub>
              </m:sSub>
              <m:r>
                <w:rPr>
                  <w:rFonts w:ascii="Cambria Math" w:hAnsi="Cambria Math" w:cstheme="majorBidi"/>
                  <w:color w:val="0D0D0D" w:themeColor="text1" w:themeTint="F2"/>
                </w:rPr>
                <m:t>-1</m:t>
              </m:r>
            </m:e>
          </m:d>
          <m:r>
            <w:rPr>
              <w:rFonts w:ascii="Cambria Math" w:hAnsi="Cambria Math" w:cstheme="majorBidi"/>
              <w:color w:val="0D0D0D" w:themeColor="text1" w:themeTint="F2"/>
            </w:rPr>
            <m:t>-g</m:t>
          </m:r>
          <m:d>
            <m:dPr>
              <m:ctrlPr>
                <w:rPr>
                  <w:rFonts w:ascii="Cambria Math" w:hAnsi="Cambria Math" w:cstheme="majorBidi"/>
                  <w:i/>
                  <w:color w:val="0D0D0D" w:themeColor="text1" w:themeTint="F2"/>
                </w:rPr>
              </m:ctrlPr>
            </m:dPr>
            <m:e>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ε</m:t>
                  </m:r>
                </m:e>
                <m:sub>
                  <m:r>
                    <w:rPr>
                      <w:rFonts w:ascii="Cambria Math" w:hAnsi="Cambria Math" w:cstheme="majorBidi"/>
                      <w:color w:val="0D0D0D" w:themeColor="text1" w:themeTint="F2"/>
                    </w:rPr>
                    <m:t>G,Y</m:t>
                  </m:r>
                </m:sub>
              </m:sSub>
              <m:r>
                <w:rPr>
                  <w:rFonts w:ascii="Cambria Math" w:hAnsi="Cambria Math" w:cstheme="majorBidi"/>
                  <w:color w:val="0D0D0D" w:themeColor="text1" w:themeTint="F2"/>
                </w:rPr>
                <m:t>-1</m:t>
              </m:r>
            </m:e>
          </m:d>
          <m:r>
            <w:rPr>
              <w:rFonts w:ascii="Cambria Math" w:hAnsi="Cambria Math" w:cstheme="majorBidi"/>
              <w:color w:val="0D0D0D" w:themeColor="text1" w:themeTint="F2"/>
            </w:rPr>
            <m:t>=0.256</m:t>
          </m:r>
          <m:d>
            <m:dPr>
              <m:ctrlPr>
                <w:rPr>
                  <w:rFonts w:ascii="Cambria Math" w:hAnsi="Cambria Math" w:cstheme="majorBidi"/>
                  <w:i/>
                  <w:color w:val="0D0D0D" w:themeColor="text1" w:themeTint="F2"/>
                </w:rPr>
              </m:ctrlPr>
            </m:dPr>
            <m:e>
              <m:r>
                <w:rPr>
                  <w:rFonts w:ascii="Cambria Math" w:hAnsi="Cambria Math" w:cstheme="majorBidi"/>
                  <w:color w:val="0D0D0D" w:themeColor="text1" w:themeTint="F2"/>
                </w:rPr>
                <m:t>1.246-1</m:t>
              </m:r>
            </m:e>
          </m:d>
          <m:r>
            <w:rPr>
              <w:rFonts w:ascii="Cambria Math" w:hAnsi="Cambria Math" w:cstheme="majorBidi"/>
              <w:color w:val="0D0D0D" w:themeColor="text1" w:themeTint="F2"/>
            </w:rPr>
            <m:t>-0.265</m:t>
          </m:r>
          <m:d>
            <m:dPr>
              <m:ctrlPr>
                <w:rPr>
                  <w:rFonts w:ascii="Cambria Math" w:hAnsi="Cambria Math" w:cstheme="majorBidi"/>
                  <w:i/>
                  <w:color w:val="0D0D0D" w:themeColor="text1" w:themeTint="F2"/>
                </w:rPr>
              </m:ctrlPr>
            </m:dPr>
            <m:e>
              <m:r>
                <w:rPr>
                  <w:rFonts w:ascii="Cambria Math" w:hAnsi="Cambria Math" w:cstheme="majorBidi"/>
                  <w:color w:val="0D0D0D" w:themeColor="text1" w:themeTint="F2"/>
                </w:rPr>
                <m:t>0-1</m:t>
              </m:r>
            </m:e>
          </m:d>
          <m:r>
            <w:rPr>
              <w:rFonts w:ascii="Cambria Math" w:hAnsi="Cambria Math" w:cstheme="majorBidi"/>
              <w:color w:val="0D0D0D" w:themeColor="text1" w:themeTint="F2"/>
            </w:rPr>
            <m:t>=0.327</m:t>
          </m:r>
        </m:oMath>
      </m:oMathPara>
    </w:p>
    <w:p w14:paraId="51A55BFB"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4FC687D2" w14:textId="1CF959E9" w:rsidR="005714D0" w:rsidRPr="00050FA4" w:rsidRDefault="005714D0" w:rsidP="003F1DA7">
      <w:pPr>
        <w:pStyle w:val="AAAAAAATEXXXX"/>
        <w:rPr>
          <w:lang w:val="sq-AL"/>
        </w:rPr>
      </w:pPr>
      <w:r w:rsidRPr="00050FA4">
        <w:rPr>
          <w:lang w:val="sq-AL"/>
        </w:rPr>
        <w:t>Ku</w:t>
      </w:r>
      <m:oMath>
        <m:r>
          <m:rPr>
            <m:sty m:val="p"/>
          </m:rPr>
          <w:rPr>
            <w:rFonts w:ascii="Cambria Math" w:hAnsi="Cambria Math"/>
            <w:lang w:val="sq-AL"/>
          </w:rPr>
          <m:t xml:space="preserve"> </m:t>
        </m:r>
        <m:r>
          <w:rPr>
            <w:rFonts w:ascii="Cambria Math" w:hAnsi="Cambria Math"/>
            <w:lang w:val="sq-AL"/>
          </w:rPr>
          <m:t>r</m:t>
        </m:r>
        <m:r>
          <m:rPr>
            <m:sty m:val="p"/>
          </m:rPr>
          <w:rPr>
            <w:rFonts w:ascii="Cambria Math" w:hAnsi="Cambria Math"/>
            <w:lang w:val="sq-AL"/>
          </w:rPr>
          <m:t>=0.256</m:t>
        </m:r>
      </m:oMath>
      <w:r w:rsidRPr="00050FA4">
        <w:rPr>
          <w:lang w:val="sq-AL"/>
        </w:rPr>
        <w:t xml:space="preserve"> është norma mesatare e të ardhurave totale ndaj PBB-së (duke përjashtuar faktorët njëndikimësh) për 5 vitet e fundit (2016 - 2020); </w:t>
      </w:r>
      <m:oMath>
        <m:r>
          <w:rPr>
            <w:rFonts w:ascii="Cambria Math" w:hAnsi="Cambria Math"/>
            <w:lang w:val="sq-AL"/>
          </w:rPr>
          <m:t>g</m:t>
        </m:r>
        <m:r>
          <m:rPr>
            <m:sty m:val="p"/>
          </m:rPr>
          <w:rPr>
            <w:rFonts w:ascii="Cambria Math" w:hAnsi="Cambria Math"/>
            <w:lang w:val="sq-AL"/>
          </w:rPr>
          <m:t>=0.256</m:t>
        </m:r>
      </m:oMath>
      <w:r w:rsidRPr="00050FA4">
        <w:rPr>
          <w:lang w:val="sq-AL"/>
        </w:rPr>
        <w:t xml:space="preserve"> është norma mesatare e shpenzimeve primare ndaj PBB-së</w:t>
      </w:r>
      <w:r w:rsidR="007716CF" w:rsidRPr="00050FA4">
        <w:rPr>
          <w:lang w:val="sq-AL"/>
        </w:rPr>
        <w:t xml:space="preserve"> (duke përjashtuar faktorët një</w:t>
      </w:r>
      <w:r w:rsidRPr="00050FA4">
        <w:rPr>
          <w:lang w:val="sq-AL"/>
        </w:rPr>
        <w:t>ndikimës</w:t>
      </w:r>
      <w:r w:rsidR="007716CF" w:rsidRPr="00050FA4">
        <w:rPr>
          <w:lang w:val="sq-AL"/>
        </w:rPr>
        <w:t>h) për 5 vitet e fundit (2016–</w:t>
      </w:r>
      <w:r w:rsidRPr="00050FA4">
        <w:rPr>
          <w:lang w:val="sq-AL"/>
        </w:rPr>
        <w:t>2020). Parametri i vlerësuar i ndjeshmërisë së buxhetit na thotë se për çdo pikë përqindje negative (pozitive) të hendekut të prodhimit, bilanci i përgjithshëm fiskal primar do të përkeqësohet (përmirësohet) me 0.327 pikë përqindje</w:t>
      </w:r>
      <w:r w:rsidR="007716CF" w:rsidRPr="00050FA4">
        <w:rPr>
          <w:lang w:val="sq-AL"/>
        </w:rPr>
        <w:t>je</w:t>
      </w:r>
      <w:r w:rsidRPr="00050FA4">
        <w:rPr>
          <w:lang w:val="sq-AL"/>
        </w:rPr>
        <w:t xml:space="preserve"> të PBB-së potenciale.</w:t>
      </w:r>
    </w:p>
    <w:p w14:paraId="7CBA22F5" w14:textId="77777777" w:rsidR="005714D0" w:rsidRPr="00050FA4" w:rsidRDefault="005714D0" w:rsidP="003F1DA7">
      <w:pPr>
        <w:pStyle w:val="AAAAAAATEXXXX"/>
        <w:rPr>
          <w:lang w:val="sq-AL"/>
        </w:rPr>
      </w:pPr>
      <w:r w:rsidRPr="00050FA4">
        <w:rPr>
          <w:lang w:val="sq-AL"/>
        </w:rPr>
        <w:t>Llogaritja e bilancit fiskal të rregulluar ciklikisht dhe vlerësimi i ndikimit të pritshëm të politikës fiskale në ekonomi.</w:t>
      </w:r>
    </w:p>
    <w:p w14:paraId="0BDC0E96" w14:textId="7C383E39" w:rsidR="005714D0" w:rsidRPr="00050FA4" w:rsidRDefault="00A417C0" w:rsidP="003F1DA7">
      <w:pPr>
        <w:pStyle w:val="AAAAAAATEXXXX"/>
        <w:rPr>
          <w:lang w:val="sq-AL"/>
        </w:rPr>
      </w:pPr>
      <w:r w:rsidRPr="00050FA4">
        <w:rPr>
          <w:lang w:val="sq-AL"/>
        </w:rPr>
        <w:t>Bazuar te</w:t>
      </w:r>
      <w:r w:rsidR="005714D0" w:rsidRPr="00050FA4">
        <w:rPr>
          <w:lang w:val="sq-AL"/>
        </w:rPr>
        <w:t xml:space="preserve"> hendeku i vlerësuar i prodhimit </w:t>
      </w:r>
      <w:r w:rsidR="005714D0" w:rsidRPr="00050FA4">
        <w:rPr>
          <w:i/>
          <w:lang w:val="sq-AL"/>
        </w:rPr>
        <w:t>(OG)</w:t>
      </w:r>
      <w:r w:rsidR="005714D0" w:rsidRPr="00050FA4">
        <w:rPr>
          <w:lang w:val="sq-AL"/>
        </w:rPr>
        <w:t xml:space="preserve"> dhe parametri i ndjeshmërisë së buxhetit </w:t>
      </w:r>
      <m:oMath>
        <m:d>
          <m:dPr>
            <m:ctrlPr>
              <w:rPr>
                <w:rFonts w:ascii="Cambria Math" w:hAnsi="Cambria Math"/>
                <w:i/>
                <w:lang w:val="sq-AL"/>
              </w:rPr>
            </m:ctrlPr>
          </m:dPr>
          <m:e>
            <m:sSub>
              <m:sSubPr>
                <m:ctrlPr>
                  <w:rPr>
                    <w:rFonts w:ascii="Cambria Math" w:hAnsi="Cambria Math"/>
                    <w:i/>
                    <w:lang w:val="sq-AL"/>
                  </w:rPr>
                </m:ctrlPr>
              </m:sSubPr>
              <m:e>
                <m:r>
                  <w:rPr>
                    <w:rFonts w:ascii="Cambria Math" w:hAnsi="Cambria Math"/>
                    <w:lang w:val="sq-AL"/>
                  </w:rPr>
                  <m:t>σ</m:t>
                </m:r>
              </m:e>
              <m:sub>
                <m:r>
                  <w:rPr>
                    <w:rFonts w:ascii="Cambria Math" w:hAnsi="Cambria Math"/>
                    <w:lang w:val="sq-AL"/>
                  </w:rPr>
                  <m:t>B</m:t>
                </m:r>
              </m:sub>
            </m:sSub>
          </m:e>
        </m:d>
      </m:oMath>
      <w:r w:rsidR="005714D0" w:rsidRPr="00050FA4">
        <w:rPr>
          <w:i/>
          <w:lang w:val="sq-AL"/>
        </w:rPr>
        <w:t xml:space="preserve"> </w:t>
      </w:r>
      <w:r w:rsidR="005714D0" w:rsidRPr="00050FA4">
        <w:rPr>
          <w:lang w:val="sq-AL"/>
        </w:rPr>
        <w:t>komponenti ciklik i bilancit fiskal primar (CPB) në terma të PBB</w:t>
      </w:r>
      <w:r w:rsidR="001C7AC5" w:rsidRPr="00050FA4">
        <w:rPr>
          <w:lang w:val="sq-AL"/>
        </w:rPr>
        <w:t xml:space="preserve">-së potenciale është llogaritur, </w:t>
      </w:r>
      <w:r w:rsidR="005714D0" w:rsidRPr="00050FA4">
        <w:rPr>
          <w:lang w:val="sq-AL"/>
        </w:rPr>
        <w:t>si:</w:t>
      </w:r>
    </w:p>
    <w:p w14:paraId="14285475"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6A3CB650"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CBT</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σ</m:t>
              </m:r>
            </m:e>
            <m:sub>
              <m:r>
                <w:rPr>
                  <w:rFonts w:ascii="Cambria Math" w:hAnsi="Cambria Math" w:cstheme="majorBidi"/>
                  <w:color w:val="0D0D0D" w:themeColor="text1" w:themeTint="F2"/>
                </w:rPr>
                <m:t>B</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OG</m:t>
              </m:r>
            </m:e>
            <m:sub>
              <m:r>
                <w:rPr>
                  <w:rFonts w:ascii="Cambria Math" w:hAnsi="Cambria Math" w:cstheme="majorBidi"/>
                  <w:color w:val="0D0D0D" w:themeColor="text1" w:themeTint="F2"/>
                </w:rPr>
                <m:t>t</m:t>
              </m:r>
            </m:sub>
          </m:sSub>
        </m:oMath>
      </m:oMathPara>
    </w:p>
    <w:p w14:paraId="362B028A"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2B0D3C0E" w14:textId="725124B4" w:rsidR="005714D0" w:rsidRPr="00050FA4" w:rsidRDefault="005714D0" w:rsidP="003F1DA7">
      <w:pPr>
        <w:pStyle w:val="AAAAAAATEXXXX"/>
        <w:rPr>
          <w:lang w:val="sq-AL"/>
        </w:rPr>
      </w:pPr>
      <w:r w:rsidRPr="00050FA4">
        <w:rPr>
          <w:lang w:val="sq-AL"/>
        </w:rPr>
        <w:t>ku stabilizatorët automatikë (AS) janë përkufizuar si ndryshimi i CPB</w:t>
      </w:r>
      <w:r w:rsidR="00821414" w:rsidRPr="00050FA4">
        <w:rPr>
          <w:lang w:val="sq-AL"/>
        </w:rPr>
        <w:t>-së</w:t>
      </w:r>
      <w:r w:rsidRPr="00050FA4">
        <w:rPr>
          <w:lang w:val="sq-AL"/>
        </w:rPr>
        <w:t xml:space="preserve"> të dy</w:t>
      </w:r>
      <w:r w:rsidR="00821414" w:rsidRPr="00050FA4">
        <w:rPr>
          <w:lang w:val="sq-AL"/>
        </w:rPr>
        <w:t>ja</w:t>
      </w:r>
      <w:r w:rsidRPr="00050FA4">
        <w:rPr>
          <w:lang w:val="sq-AL"/>
        </w:rPr>
        <w:t xml:space="preserve"> viteve rresht, pra:</w:t>
      </w:r>
    </w:p>
    <w:p w14:paraId="35C5A959" w14:textId="77777777" w:rsidR="005714D0" w:rsidRPr="00050FA4" w:rsidRDefault="005714D0" w:rsidP="003F1DA7">
      <w:pPr>
        <w:tabs>
          <w:tab w:val="left" w:pos="3111"/>
        </w:tabs>
        <w:ind w:firstLine="284"/>
        <w:rPr>
          <w:rFonts w:ascii="Garamond" w:hAnsi="Garamond" w:cstheme="majorBidi"/>
          <w:color w:val="0D0D0D" w:themeColor="text1" w:themeTint="F2"/>
        </w:rPr>
      </w:pPr>
    </w:p>
    <w:p w14:paraId="7AFE8103" w14:textId="77777777" w:rsidR="005714D0" w:rsidRPr="00050FA4" w:rsidRDefault="005714D0" w:rsidP="003F1DA7">
      <w:pPr>
        <w:tabs>
          <w:tab w:val="left" w:pos="3111"/>
        </w:tabs>
        <w:ind w:firstLine="284"/>
        <w:jc w:val="center"/>
        <w:rPr>
          <w:rFonts w:ascii="Garamond" w:hAnsi="Garamond" w:cstheme="majorBidi"/>
          <w:color w:val="0D0D0D" w:themeColor="text1" w:themeTint="F2"/>
        </w:rPr>
      </w:pPr>
      <w:r w:rsidRPr="00050FA4">
        <w:rPr>
          <w:rFonts w:ascii="Garamond" w:hAnsi="Garamond" w:cstheme="majorBidi"/>
          <w:color w:val="0D0D0D" w:themeColor="text1" w:themeTint="F2"/>
        </w:rPr>
        <w:lastRenderedPageBreak/>
        <w:t xml:space="preserve"> </w:t>
      </w:r>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AS</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CPB</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CPB</m:t>
            </m:r>
          </m:e>
          <m:sub>
            <m:r>
              <w:rPr>
                <w:rFonts w:ascii="Cambria Math" w:hAnsi="Cambria Math" w:cstheme="majorBidi"/>
                <w:color w:val="0D0D0D" w:themeColor="text1" w:themeTint="F2"/>
              </w:rPr>
              <m:t>t-1</m:t>
            </m:r>
          </m:sub>
        </m:sSub>
      </m:oMath>
    </w:p>
    <w:p w14:paraId="10A84D73" w14:textId="77777777" w:rsidR="005714D0" w:rsidRPr="00050FA4" w:rsidRDefault="005714D0" w:rsidP="003F1DA7">
      <w:pPr>
        <w:tabs>
          <w:tab w:val="left" w:pos="3111"/>
        </w:tabs>
        <w:ind w:firstLine="284"/>
        <w:jc w:val="center"/>
        <w:rPr>
          <w:rFonts w:ascii="Garamond" w:hAnsi="Garamond" w:cstheme="majorBidi"/>
          <w:color w:val="0D0D0D" w:themeColor="text1" w:themeTint="F2"/>
        </w:rPr>
      </w:pPr>
    </w:p>
    <w:p w14:paraId="23AFE3E9" w14:textId="77777777" w:rsidR="005714D0" w:rsidRPr="00050FA4" w:rsidRDefault="005714D0" w:rsidP="003F1DA7">
      <w:pPr>
        <w:pStyle w:val="AAAAAAATEXXXX"/>
        <w:rPr>
          <w:lang w:val="sq-AL"/>
        </w:rPr>
      </w:pPr>
      <w:r w:rsidRPr="00050FA4">
        <w:rPr>
          <w:lang w:val="sq-AL"/>
        </w:rPr>
        <w:t>Bilanci primar i rregulluar ciklikisht (CAPB) llogaritet si diferencë mes bilancit primar fiskal aktual (PB) dhe komponentit të tij ciklik (CPB):</w:t>
      </w:r>
    </w:p>
    <w:p w14:paraId="2DC71ECA" w14:textId="77777777" w:rsidR="005714D0" w:rsidRPr="00050FA4" w:rsidRDefault="005714D0" w:rsidP="003F1DA7">
      <w:pPr>
        <w:tabs>
          <w:tab w:val="left" w:pos="3111"/>
        </w:tabs>
        <w:ind w:firstLine="284"/>
        <w:rPr>
          <w:rFonts w:ascii="Garamond" w:hAnsi="Garamond" w:cstheme="majorBidi"/>
          <w:color w:val="0D0D0D" w:themeColor="text1" w:themeTint="F2"/>
        </w:rPr>
      </w:pPr>
    </w:p>
    <w:p w14:paraId="4AF4E740"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CAPB</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PB</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CPB</m:t>
              </m:r>
            </m:e>
            <m:sub>
              <m:r>
                <w:rPr>
                  <w:rFonts w:ascii="Cambria Math" w:hAnsi="Cambria Math" w:cstheme="majorBidi"/>
                  <w:color w:val="0D0D0D" w:themeColor="text1" w:themeTint="F2"/>
                </w:rPr>
                <m:t>t</m:t>
              </m:r>
            </m:sub>
          </m:sSub>
        </m:oMath>
      </m:oMathPara>
    </w:p>
    <w:p w14:paraId="3058611C" w14:textId="77777777" w:rsidR="005714D0" w:rsidRPr="00050FA4" w:rsidRDefault="005714D0" w:rsidP="003F1DA7">
      <w:pPr>
        <w:tabs>
          <w:tab w:val="left" w:pos="3111"/>
        </w:tabs>
        <w:ind w:firstLine="284"/>
        <w:jc w:val="center"/>
        <w:rPr>
          <w:rFonts w:ascii="Garamond" w:hAnsi="Garamond" w:cstheme="majorBidi"/>
          <w:color w:val="0D0D0D" w:themeColor="text1" w:themeTint="F2"/>
        </w:rPr>
      </w:pPr>
    </w:p>
    <w:p w14:paraId="4992475D" w14:textId="0F55E6FA" w:rsidR="005714D0" w:rsidRPr="00050FA4" w:rsidRDefault="005714D0" w:rsidP="003F1DA7">
      <w:pPr>
        <w:pStyle w:val="AAAAAAATEXXXX"/>
        <w:rPr>
          <w:lang w:val="sq-AL"/>
        </w:rPr>
      </w:pPr>
      <w:r w:rsidRPr="00050FA4">
        <w:rPr>
          <w:lang w:val="sq-AL"/>
        </w:rPr>
        <w:t>Bilanci i përgjithshëm i rregulluar ciklikisht (CAB) del pasi bilancit primar të rregulluar ciklikisht i hiqen sh</w:t>
      </w:r>
      <w:r w:rsidR="00A417C0" w:rsidRPr="00050FA4">
        <w:rPr>
          <w:lang w:val="sq-AL"/>
        </w:rPr>
        <w:t>penzimet për interesat (INT) te</w:t>
      </w:r>
      <w:r w:rsidRPr="00050FA4">
        <w:rPr>
          <w:lang w:val="sq-AL"/>
        </w:rPr>
        <w:t xml:space="preserve"> bilanci primar i rregulluar ciklikisht:</w:t>
      </w:r>
    </w:p>
    <w:p w14:paraId="0BC88C9C" w14:textId="77777777" w:rsidR="005714D0" w:rsidRPr="00050FA4" w:rsidRDefault="005714D0" w:rsidP="003F1DA7">
      <w:pPr>
        <w:tabs>
          <w:tab w:val="left" w:pos="3111"/>
        </w:tabs>
        <w:ind w:firstLine="284"/>
        <w:jc w:val="both"/>
        <w:rPr>
          <w:rFonts w:ascii="Garamond" w:hAnsi="Garamond" w:cstheme="majorBidi"/>
          <w:color w:val="0D0D0D" w:themeColor="text1" w:themeTint="F2"/>
        </w:rPr>
      </w:pPr>
    </w:p>
    <w:p w14:paraId="27C6FDA3"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CAB</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CAPB</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INT</m:t>
              </m:r>
            </m:e>
            <m:sub>
              <m:r>
                <w:rPr>
                  <w:rFonts w:ascii="Cambria Math" w:hAnsi="Cambria Math" w:cstheme="majorBidi"/>
                  <w:color w:val="0D0D0D" w:themeColor="text1" w:themeTint="F2"/>
                </w:rPr>
                <m:t>t</m:t>
              </m:r>
            </m:sub>
          </m:sSub>
        </m:oMath>
      </m:oMathPara>
    </w:p>
    <w:p w14:paraId="17FD1C33" w14:textId="77777777" w:rsidR="005714D0" w:rsidRPr="00050FA4" w:rsidRDefault="005714D0" w:rsidP="003F1DA7">
      <w:pPr>
        <w:tabs>
          <w:tab w:val="left" w:pos="3111"/>
        </w:tabs>
        <w:ind w:firstLine="284"/>
        <w:jc w:val="center"/>
        <w:rPr>
          <w:rFonts w:ascii="Garamond" w:hAnsi="Garamond" w:cstheme="majorBidi"/>
          <w:color w:val="0D0D0D" w:themeColor="text1" w:themeTint="F2"/>
          <w:sz w:val="20"/>
        </w:rPr>
      </w:pPr>
    </w:p>
    <w:p w14:paraId="642F9D07" w14:textId="43E64DD4" w:rsidR="005714D0" w:rsidRPr="00050FA4" w:rsidRDefault="005714D0" w:rsidP="003F1DA7">
      <w:pPr>
        <w:pStyle w:val="AAAAAAATEXXXX"/>
        <w:rPr>
          <w:lang w:val="sq-AL"/>
        </w:rPr>
      </w:pPr>
      <w:r w:rsidRPr="00050FA4">
        <w:rPr>
          <w:lang w:val="sq-AL"/>
        </w:rPr>
        <w:t>Impulsi fiskal (FI) në terma të PBB-së potenciale është ndryshimi i bilancit primar të rregulluar ciklikisht çdo vit, relativisht me vitin e kaluar:</w:t>
      </w:r>
      <w:r w:rsidR="009B1D6B" w:rsidRPr="00050FA4">
        <w:rPr>
          <w:lang w:val="sq-AL"/>
        </w:rPr>
        <w:t xml:space="preserve"> </w:t>
      </w:r>
    </w:p>
    <w:p w14:paraId="11A800D8" w14:textId="77777777" w:rsidR="005714D0" w:rsidRPr="00050FA4" w:rsidRDefault="005714D0" w:rsidP="003F1DA7">
      <w:pPr>
        <w:tabs>
          <w:tab w:val="left" w:pos="3111"/>
        </w:tabs>
        <w:ind w:firstLine="284"/>
        <w:jc w:val="both"/>
        <w:rPr>
          <w:rFonts w:ascii="Garamond" w:hAnsi="Garamond" w:cstheme="majorBidi"/>
          <w:color w:val="0D0D0D" w:themeColor="text1" w:themeTint="F2"/>
          <w:sz w:val="20"/>
        </w:rPr>
      </w:pPr>
    </w:p>
    <w:p w14:paraId="75351623" w14:textId="77777777" w:rsidR="005714D0" w:rsidRPr="00050FA4" w:rsidRDefault="00467F1F" w:rsidP="003F1DA7">
      <w:pPr>
        <w:tabs>
          <w:tab w:val="left" w:pos="3111"/>
        </w:tabs>
        <w:ind w:firstLine="284"/>
        <w:jc w:val="both"/>
        <w:rPr>
          <w:rFonts w:ascii="Garamond" w:hAnsi="Garamond" w:cstheme="majorBidi"/>
          <w:color w:val="0D0D0D" w:themeColor="text1" w:themeTint="F2"/>
        </w:rPr>
      </w:pPr>
      <m:oMathPara>
        <m:oMath>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FI</m:t>
              </m:r>
            </m:e>
            <m:sub>
              <m:r>
                <w:rPr>
                  <w:rFonts w:ascii="Cambria Math" w:hAnsi="Cambria Math" w:cstheme="majorBidi"/>
                  <w:color w:val="0D0D0D" w:themeColor="text1" w:themeTint="F2"/>
                </w:rPr>
                <m:t>t</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CAPB</m:t>
              </m:r>
            </m:e>
            <m:sub>
              <m:r>
                <w:rPr>
                  <w:rFonts w:ascii="Cambria Math" w:hAnsi="Cambria Math" w:cstheme="majorBidi"/>
                  <w:color w:val="0D0D0D" w:themeColor="text1" w:themeTint="F2"/>
                </w:rPr>
                <m:t>t-1</m:t>
              </m:r>
            </m:sub>
          </m:sSub>
          <m:r>
            <w:rPr>
              <w:rFonts w:ascii="Cambria Math" w:hAnsi="Cambria Math" w:cstheme="majorBidi"/>
              <w:color w:val="0D0D0D" w:themeColor="text1" w:themeTint="F2"/>
            </w:rPr>
            <m:t>-</m:t>
          </m:r>
          <m:sSub>
            <m:sSubPr>
              <m:ctrlPr>
                <w:rPr>
                  <w:rFonts w:ascii="Cambria Math" w:hAnsi="Cambria Math" w:cstheme="majorBidi"/>
                  <w:i/>
                  <w:color w:val="0D0D0D" w:themeColor="text1" w:themeTint="F2"/>
                </w:rPr>
              </m:ctrlPr>
            </m:sSubPr>
            <m:e>
              <m:r>
                <w:rPr>
                  <w:rFonts w:ascii="Cambria Math" w:hAnsi="Cambria Math" w:cstheme="majorBidi"/>
                  <w:color w:val="0D0D0D" w:themeColor="text1" w:themeTint="F2"/>
                </w:rPr>
                <m:t>CAPB</m:t>
              </m:r>
            </m:e>
            <m:sub>
              <m:r>
                <w:rPr>
                  <w:rFonts w:ascii="Cambria Math" w:hAnsi="Cambria Math" w:cstheme="majorBidi"/>
                  <w:color w:val="0D0D0D" w:themeColor="text1" w:themeTint="F2"/>
                </w:rPr>
                <m:t>t</m:t>
              </m:r>
            </m:sub>
          </m:sSub>
        </m:oMath>
      </m:oMathPara>
    </w:p>
    <w:p w14:paraId="109F3B59" w14:textId="77777777" w:rsidR="005714D0" w:rsidRPr="00050FA4" w:rsidRDefault="005714D0" w:rsidP="003F1DA7">
      <w:pPr>
        <w:tabs>
          <w:tab w:val="left" w:pos="3111"/>
        </w:tabs>
        <w:ind w:firstLine="284"/>
        <w:jc w:val="center"/>
        <w:rPr>
          <w:rFonts w:ascii="Garamond" w:hAnsi="Garamond" w:cstheme="majorBidi"/>
          <w:color w:val="0D0D0D" w:themeColor="text1" w:themeTint="F2"/>
          <w:sz w:val="20"/>
        </w:rPr>
      </w:pPr>
    </w:p>
    <w:p w14:paraId="47B477E9" w14:textId="2DF9F53E" w:rsidR="005714D0" w:rsidRPr="00050FA4" w:rsidRDefault="005714D0" w:rsidP="003F1DA7">
      <w:pPr>
        <w:pStyle w:val="AAAAAAATEXXXX"/>
        <w:rPr>
          <w:lang w:val="sq-AL"/>
        </w:rPr>
      </w:pPr>
      <w:r w:rsidRPr="00050FA4">
        <w:rPr>
          <w:lang w:val="sq-AL"/>
        </w:rPr>
        <w:t>Bazuar në drejtimin e impulsit fiskal (ngushtues apo zgjerues) dhe hendekut të prodhimit (negative ose pozitive), ne po japim një paraqitje të thjeshtë për sa i përket natyrës së politikës fiskale, n</w:t>
      </w:r>
      <w:r w:rsidR="00B76368" w:rsidRPr="00050FA4">
        <w:rPr>
          <w:lang w:val="sq-AL"/>
        </w:rPr>
        <w:t>.</w:t>
      </w:r>
      <w:r w:rsidRPr="00050FA4">
        <w:rPr>
          <w:lang w:val="sq-AL"/>
        </w:rPr>
        <w:t>q</w:t>
      </w:r>
      <w:r w:rsidR="00B76368" w:rsidRPr="00050FA4">
        <w:rPr>
          <w:lang w:val="sq-AL"/>
        </w:rPr>
        <w:t>.</w:t>
      </w:r>
      <w:r w:rsidRPr="00050FA4">
        <w:rPr>
          <w:lang w:val="sq-AL"/>
        </w:rPr>
        <w:t>s</w:t>
      </w:r>
      <w:r w:rsidR="00B76368" w:rsidRPr="00050FA4">
        <w:rPr>
          <w:lang w:val="sq-AL"/>
        </w:rPr>
        <w:t>.</w:t>
      </w:r>
      <w:r w:rsidRPr="00050FA4">
        <w:rPr>
          <w:lang w:val="sq-AL"/>
        </w:rPr>
        <w:t xml:space="preserve"> ajo ka qenë prociklike, kundërciklike apo neutrale. Rezultatet e marra janë paraqitur në tabelën dhe grafikun më poshtë.</w:t>
      </w:r>
    </w:p>
    <w:p w14:paraId="7168F06C" w14:textId="77777777" w:rsidR="005714D0" w:rsidRPr="00050FA4" w:rsidRDefault="005714D0" w:rsidP="003F1DA7">
      <w:pPr>
        <w:tabs>
          <w:tab w:val="left" w:pos="3111"/>
        </w:tabs>
        <w:ind w:firstLine="284"/>
        <w:jc w:val="center"/>
        <w:rPr>
          <w:rFonts w:ascii="Garamond" w:hAnsi="Garamond" w:cstheme="majorBidi"/>
          <w:color w:val="0D0D0D" w:themeColor="text1" w:themeTint="F2"/>
          <w:sz w:val="22"/>
        </w:rPr>
      </w:pPr>
    </w:p>
    <w:p w14:paraId="61DC43B6" w14:textId="02F46AD8" w:rsidR="005714D0" w:rsidRPr="00050FA4" w:rsidRDefault="006B5E92" w:rsidP="003F1DA7">
      <w:pPr>
        <w:pStyle w:val="AAAAAAATEXXXX"/>
        <w:jc w:val="center"/>
        <w:rPr>
          <w:b/>
          <w:i/>
          <w:sz w:val="20"/>
          <w:szCs w:val="20"/>
          <w:bdr w:val="none" w:sz="0" w:space="0" w:color="auto" w:frame="1"/>
          <w:lang w:val="sq-AL"/>
        </w:rPr>
      </w:pPr>
      <w:r w:rsidRPr="00050FA4">
        <w:rPr>
          <w:b/>
          <w:i/>
          <w:sz w:val="20"/>
          <w:szCs w:val="20"/>
          <w:bdr w:val="none" w:sz="0" w:space="0" w:color="auto" w:frame="1"/>
          <w:lang w:val="sq-AL"/>
        </w:rPr>
        <w:t xml:space="preserve">- </w:t>
      </w:r>
      <w:r w:rsidR="005714D0" w:rsidRPr="00050FA4">
        <w:rPr>
          <w:b/>
          <w:i/>
          <w:sz w:val="20"/>
          <w:szCs w:val="20"/>
          <w:bdr w:val="none" w:sz="0" w:space="0" w:color="auto" w:frame="1"/>
          <w:lang w:val="sq-AL"/>
        </w:rPr>
        <w:t>Tabelë 4.5.1 Qëndrimi i politikës fiskale</w:t>
      </w:r>
    </w:p>
    <w:p w14:paraId="5A1E8D49" w14:textId="6EAA00CC" w:rsidR="005714D0" w:rsidRPr="00050FA4" w:rsidRDefault="005714D0"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6987AFFD" wp14:editId="62253672">
            <wp:extent cx="5431809" cy="4965014"/>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53395" cy="4984745"/>
                    </a:xfrm>
                    <a:prstGeom prst="rect">
                      <a:avLst/>
                    </a:prstGeom>
                    <a:noFill/>
                    <a:ln>
                      <a:noFill/>
                    </a:ln>
                  </pic:spPr>
                </pic:pic>
              </a:graphicData>
            </a:graphic>
          </wp:inline>
        </w:drawing>
      </w:r>
    </w:p>
    <w:p w14:paraId="611F0023" w14:textId="77777777" w:rsidR="005714D0" w:rsidRPr="00050FA4" w:rsidRDefault="005714D0" w:rsidP="003F1DA7">
      <w:pPr>
        <w:ind w:firstLine="284"/>
        <w:jc w:val="center"/>
        <w:rPr>
          <w:rFonts w:ascii="Garamond" w:eastAsia="Arial Unicode MS" w:hAnsi="Garamond" w:cstheme="majorBidi"/>
          <w:color w:val="0D0D0D" w:themeColor="text1" w:themeTint="F2"/>
          <w:sz w:val="20"/>
          <w:bdr w:val="none" w:sz="0" w:space="0" w:color="auto" w:frame="1"/>
        </w:rPr>
      </w:pPr>
      <w:r w:rsidRPr="00050FA4">
        <w:rPr>
          <w:rFonts w:ascii="Garamond" w:eastAsia="Arial Unicode MS" w:hAnsi="Garamond" w:cstheme="majorBidi"/>
          <w:color w:val="0D0D0D" w:themeColor="text1" w:themeTint="F2"/>
          <w:sz w:val="20"/>
          <w:bdr w:val="none" w:sz="0" w:space="0" w:color="auto" w:frame="1"/>
        </w:rPr>
        <w:t>Burimi: Ministria e Financave dhe Ekonomisë</w:t>
      </w:r>
    </w:p>
    <w:p w14:paraId="0B5F29B4" w14:textId="77777777" w:rsidR="005714D0" w:rsidRPr="00050FA4" w:rsidRDefault="005714D0" w:rsidP="003F1DA7">
      <w:pPr>
        <w:ind w:firstLine="284"/>
        <w:jc w:val="both"/>
        <w:rPr>
          <w:rFonts w:ascii="Garamond" w:eastAsia="Arial Unicode MS" w:hAnsi="Garamond" w:cstheme="majorBidi"/>
          <w:color w:val="0D0D0D" w:themeColor="text1" w:themeTint="F2"/>
          <w:sz w:val="20"/>
          <w:bdr w:val="none" w:sz="0" w:space="0" w:color="auto" w:frame="1"/>
        </w:rPr>
      </w:pPr>
    </w:p>
    <w:p w14:paraId="22E15527" w14:textId="77777777" w:rsidR="00C04C65" w:rsidRPr="00050FA4" w:rsidRDefault="00C04C65" w:rsidP="003F1DA7">
      <w:pPr>
        <w:ind w:firstLine="284"/>
        <w:jc w:val="center"/>
        <w:rPr>
          <w:rFonts w:ascii="Garamond" w:eastAsia="Arial Unicode MS" w:hAnsi="Garamond" w:cstheme="majorBidi"/>
          <w:b/>
          <w:i/>
          <w:color w:val="0D0D0D" w:themeColor="text1" w:themeTint="F2"/>
          <w:sz w:val="20"/>
          <w:bdr w:val="none" w:sz="0" w:space="0" w:color="auto" w:frame="1"/>
        </w:rPr>
      </w:pPr>
    </w:p>
    <w:p w14:paraId="398C6FB7" w14:textId="77777777" w:rsidR="00C04C65" w:rsidRPr="00050FA4" w:rsidRDefault="00C04C65" w:rsidP="003F1DA7">
      <w:pPr>
        <w:ind w:firstLine="284"/>
        <w:jc w:val="center"/>
        <w:rPr>
          <w:rFonts w:ascii="Garamond" w:eastAsia="Arial Unicode MS" w:hAnsi="Garamond" w:cstheme="majorBidi"/>
          <w:b/>
          <w:i/>
          <w:color w:val="0D0D0D" w:themeColor="text1" w:themeTint="F2"/>
          <w:sz w:val="20"/>
          <w:bdr w:val="none" w:sz="0" w:space="0" w:color="auto" w:frame="1"/>
        </w:rPr>
      </w:pPr>
    </w:p>
    <w:p w14:paraId="5BA6A24F" w14:textId="77777777" w:rsidR="00C04C65" w:rsidRPr="00050FA4" w:rsidRDefault="00C04C65" w:rsidP="003F1DA7">
      <w:pPr>
        <w:ind w:firstLine="284"/>
        <w:jc w:val="center"/>
        <w:rPr>
          <w:rFonts w:ascii="Garamond" w:eastAsia="Arial Unicode MS" w:hAnsi="Garamond" w:cstheme="majorBidi"/>
          <w:b/>
          <w:i/>
          <w:color w:val="0D0D0D" w:themeColor="text1" w:themeTint="F2"/>
          <w:sz w:val="20"/>
          <w:bdr w:val="none" w:sz="0" w:space="0" w:color="auto" w:frame="1"/>
        </w:rPr>
      </w:pPr>
    </w:p>
    <w:p w14:paraId="22ADA0F2" w14:textId="77777777" w:rsidR="00C04C65" w:rsidRPr="00050FA4" w:rsidRDefault="00C04C65" w:rsidP="003F1DA7">
      <w:pPr>
        <w:ind w:firstLine="284"/>
        <w:jc w:val="center"/>
        <w:rPr>
          <w:rFonts w:ascii="Garamond" w:eastAsia="Arial Unicode MS" w:hAnsi="Garamond" w:cstheme="majorBidi"/>
          <w:b/>
          <w:i/>
          <w:color w:val="0D0D0D" w:themeColor="text1" w:themeTint="F2"/>
          <w:sz w:val="20"/>
          <w:bdr w:val="none" w:sz="0" w:space="0" w:color="auto" w:frame="1"/>
        </w:rPr>
      </w:pPr>
    </w:p>
    <w:p w14:paraId="5CCF91CA" w14:textId="04CF61A3" w:rsidR="005714D0" w:rsidRPr="00050FA4" w:rsidRDefault="00C04C65" w:rsidP="003F1DA7">
      <w:pPr>
        <w:ind w:firstLine="284"/>
        <w:jc w:val="center"/>
        <w:rPr>
          <w:rFonts w:ascii="Garamond" w:eastAsia="Arial Unicode MS" w:hAnsi="Garamond" w:cstheme="majorBidi"/>
          <w:b/>
          <w:i/>
          <w:color w:val="0D0D0D" w:themeColor="text1" w:themeTint="F2"/>
          <w:sz w:val="20"/>
          <w:bdr w:val="none" w:sz="0" w:space="0" w:color="auto" w:frame="1"/>
        </w:rPr>
      </w:pPr>
      <w:r w:rsidRPr="00050FA4">
        <w:rPr>
          <w:rFonts w:ascii="Garamond" w:eastAsia="Arial Unicode MS" w:hAnsi="Garamond" w:cstheme="majorBidi"/>
          <w:b/>
          <w:i/>
          <w:color w:val="0D0D0D" w:themeColor="text1" w:themeTint="F2"/>
          <w:sz w:val="20"/>
          <w:bdr w:val="none" w:sz="0" w:space="0" w:color="auto" w:frame="1"/>
        </w:rPr>
        <w:t>Grafik 4.5.2</w:t>
      </w:r>
      <w:r w:rsidR="005714D0" w:rsidRPr="00050FA4">
        <w:rPr>
          <w:rFonts w:ascii="Garamond" w:eastAsia="Arial Unicode MS" w:hAnsi="Garamond" w:cstheme="majorBidi"/>
          <w:b/>
          <w:i/>
          <w:color w:val="0D0D0D" w:themeColor="text1" w:themeTint="F2"/>
          <w:sz w:val="20"/>
          <w:bdr w:val="none" w:sz="0" w:space="0" w:color="auto" w:frame="1"/>
        </w:rPr>
        <w:t xml:space="preserve"> Qëndrimi i politikës fiskale</w:t>
      </w:r>
    </w:p>
    <w:p w14:paraId="2218E374" w14:textId="34CF917D" w:rsidR="005714D0" w:rsidRPr="00050FA4" w:rsidRDefault="005714D0"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15775BC6" wp14:editId="49574A70">
            <wp:extent cx="6076950" cy="23336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76950" cy="2333625"/>
                    </a:xfrm>
                    <a:prstGeom prst="rect">
                      <a:avLst/>
                    </a:prstGeom>
                    <a:noFill/>
                    <a:ln>
                      <a:noFill/>
                    </a:ln>
                  </pic:spPr>
                </pic:pic>
              </a:graphicData>
            </a:graphic>
          </wp:inline>
        </w:drawing>
      </w:r>
    </w:p>
    <w:p w14:paraId="2FDA904A" w14:textId="77777777" w:rsidR="005714D0" w:rsidRPr="00050FA4" w:rsidRDefault="005714D0" w:rsidP="003F1DA7">
      <w:pPr>
        <w:ind w:firstLine="284"/>
        <w:jc w:val="center"/>
        <w:rPr>
          <w:rFonts w:ascii="Garamond" w:eastAsia="Arial Unicode MS" w:hAnsi="Garamond" w:cstheme="majorBidi"/>
          <w:color w:val="0D0D0D" w:themeColor="text1" w:themeTint="F2"/>
          <w:sz w:val="20"/>
          <w:szCs w:val="20"/>
          <w:bdr w:val="none" w:sz="0" w:space="0" w:color="auto" w:frame="1"/>
        </w:rPr>
      </w:pPr>
      <w:r w:rsidRPr="00050FA4">
        <w:rPr>
          <w:rFonts w:ascii="Garamond" w:eastAsia="Arial Unicode MS" w:hAnsi="Garamond" w:cstheme="majorBidi"/>
          <w:color w:val="0D0D0D" w:themeColor="text1" w:themeTint="F2"/>
          <w:sz w:val="20"/>
          <w:szCs w:val="20"/>
          <w:bdr w:val="none" w:sz="0" w:space="0" w:color="auto" w:frame="1"/>
        </w:rPr>
        <w:t>Burimi: Ministria e Financave dhe Ekonomisë</w:t>
      </w:r>
    </w:p>
    <w:p w14:paraId="5D99DF92" w14:textId="77777777" w:rsidR="005714D0" w:rsidRPr="00050FA4" w:rsidRDefault="005714D0" w:rsidP="003F1DA7">
      <w:pPr>
        <w:ind w:firstLine="284"/>
        <w:jc w:val="both"/>
        <w:rPr>
          <w:rFonts w:ascii="Garamond" w:hAnsi="Garamond" w:cstheme="majorBidi"/>
          <w:color w:val="0D0D0D" w:themeColor="text1" w:themeTint="F2"/>
        </w:rPr>
      </w:pPr>
    </w:p>
    <w:p w14:paraId="7322C4C5" w14:textId="0A91E28A" w:rsidR="005714D0" w:rsidRPr="00050FA4" w:rsidRDefault="00C04C65" w:rsidP="003F1DA7">
      <w:pPr>
        <w:ind w:firstLine="284"/>
        <w:jc w:val="center"/>
        <w:rPr>
          <w:rFonts w:ascii="Garamond" w:hAnsi="Garamond" w:cstheme="majorBidi"/>
          <w:b/>
          <w:i/>
          <w:color w:val="0D0D0D" w:themeColor="text1" w:themeTint="F2"/>
          <w:sz w:val="20"/>
          <w:szCs w:val="20"/>
        </w:rPr>
      </w:pPr>
      <w:r w:rsidRPr="00050FA4">
        <w:rPr>
          <w:rFonts w:ascii="Garamond" w:hAnsi="Garamond" w:cstheme="majorBidi"/>
          <w:b/>
          <w:i/>
          <w:color w:val="0D0D0D" w:themeColor="text1" w:themeTint="F2"/>
          <w:sz w:val="20"/>
          <w:szCs w:val="20"/>
        </w:rPr>
        <w:t>Tabelë 4.5.2</w:t>
      </w:r>
      <w:r w:rsidR="005714D0" w:rsidRPr="00050FA4">
        <w:rPr>
          <w:rFonts w:ascii="Garamond" w:hAnsi="Garamond" w:cstheme="majorBidi"/>
          <w:b/>
          <w:i/>
          <w:color w:val="0D0D0D" w:themeColor="text1" w:themeTint="F2"/>
          <w:sz w:val="20"/>
          <w:szCs w:val="20"/>
        </w:rPr>
        <w:t xml:space="preserve"> Politika fiskale në raport me ciklet ekonomike</w:t>
      </w:r>
    </w:p>
    <w:p w14:paraId="17E3A684" w14:textId="37254DF2" w:rsidR="005714D0" w:rsidRPr="00050FA4" w:rsidRDefault="005714D0"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1F086CC2" wp14:editId="345189EE">
            <wp:extent cx="5133975" cy="17240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33975" cy="1724025"/>
                    </a:xfrm>
                    <a:prstGeom prst="rect">
                      <a:avLst/>
                    </a:prstGeom>
                    <a:noFill/>
                    <a:ln>
                      <a:noFill/>
                    </a:ln>
                  </pic:spPr>
                </pic:pic>
              </a:graphicData>
            </a:graphic>
          </wp:inline>
        </w:drawing>
      </w:r>
    </w:p>
    <w:p w14:paraId="1377CDA1" w14:textId="77777777" w:rsidR="005714D0" w:rsidRPr="00050FA4" w:rsidRDefault="005714D0" w:rsidP="003F1DA7">
      <w:pPr>
        <w:ind w:firstLine="284"/>
        <w:jc w:val="center"/>
        <w:rPr>
          <w:rFonts w:ascii="Garamond" w:eastAsia="Arial Unicode MS" w:hAnsi="Garamond" w:cstheme="majorBidi"/>
          <w:color w:val="0D0D0D" w:themeColor="text1" w:themeTint="F2"/>
          <w:sz w:val="20"/>
          <w:bdr w:val="none" w:sz="0" w:space="0" w:color="auto" w:frame="1"/>
        </w:rPr>
      </w:pPr>
      <w:r w:rsidRPr="00050FA4">
        <w:rPr>
          <w:rFonts w:ascii="Garamond" w:eastAsia="Arial Unicode MS" w:hAnsi="Garamond" w:cstheme="majorBidi"/>
          <w:color w:val="0D0D0D" w:themeColor="text1" w:themeTint="F2"/>
          <w:sz w:val="20"/>
          <w:bdr w:val="none" w:sz="0" w:space="0" w:color="auto" w:frame="1"/>
        </w:rPr>
        <w:t>Burimi: Ministria e Financave dhe Ekonomisë</w:t>
      </w:r>
    </w:p>
    <w:p w14:paraId="76184B63" w14:textId="77777777" w:rsidR="005714D0" w:rsidRPr="00050FA4" w:rsidRDefault="005714D0" w:rsidP="003F1DA7">
      <w:pPr>
        <w:ind w:firstLine="284"/>
        <w:jc w:val="center"/>
        <w:rPr>
          <w:rFonts w:ascii="Garamond" w:hAnsi="Garamond" w:cstheme="majorBidi"/>
          <w:color w:val="0D0D0D" w:themeColor="text1" w:themeTint="F2"/>
        </w:rPr>
      </w:pPr>
    </w:p>
    <w:p w14:paraId="1D11141F" w14:textId="2AD7EC96" w:rsidR="005714D0" w:rsidRPr="00050FA4" w:rsidRDefault="005714D0" w:rsidP="003F1DA7">
      <w:pPr>
        <w:pStyle w:val="AAAAAAATEXXXX"/>
        <w:rPr>
          <w:lang w:val="sq-AL"/>
        </w:rPr>
      </w:pPr>
      <w:r w:rsidRPr="00050FA4">
        <w:rPr>
          <w:lang w:val="sq-AL"/>
        </w:rPr>
        <w:t>Kjo analizë e thjeshtë përshkruese tregon s</w:t>
      </w:r>
      <w:r w:rsidR="00C04C65" w:rsidRPr="00050FA4">
        <w:rPr>
          <w:lang w:val="sq-AL"/>
        </w:rPr>
        <w:t>e gjatë viteve 2000–</w:t>
      </w:r>
      <w:r w:rsidRPr="00050FA4">
        <w:rPr>
          <w:lang w:val="sq-AL"/>
        </w:rPr>
        <w:t>2021 qëndrimi i politikës fiskale ka qenë prociklik në dhjetë vjet, kundërciklike në tetë vjet dhe neutral në tre prej tyre. Kur matet si një shumë akumuluese e impulseve fiskale gjatë gjithë viteve (2000</w:t>
      </w:r>
      <w:r w:rsidR="00C04C65" w:rsidRPr="00050FA4">
        <w:rPr>
          <w:lang w:val="sq-AL"/>
        </w:rPr>
        <w:t>–</w:t>
      </w:r>
      <w:r w:rsidRPr="00050FA4">
        <w:rPr>
          <w:lang w:val="sq-AL"/>
        </w:rPr>
        <w:t xml:space="preserve">2021) në raport me hendekun e prodhimit kumulativ për ato vite përkatëse, qëndrimi fiskal rezulton </w:t>
      </w:r>
      <w:r w:rsidR="001C0FC0" w:rsidRPr="00050FA4">
        <w:rPr>
          <w:lang w:val="sq-AL"/>
        </w:rPr>
        <w:t>gjerësisht</w:t>
      </w:r>
      <w:r w:rsidRPr="00050FA4">
        <w:rPr>
          <w:lang w:val="sq-AL"/>
        </w:rPr>
        <w:t xml:space="preserve"> në anën kundërciklike. Më konkretisht, hendeku kumulativ i prodhimit për vitet 2000</w:t>
      </w:r>
      <w:r w:rsidR="00C04C65" w:rsidRPr="00050FA4">
        <w:rPr>
          <w:lang w:val="sq-AL"/>
        </w:rPr>
        <w:t>–</w:t>
      </w:r>
      <w:r w:rsidRPr="00050FA4">
        <w:rPr>
          <w:lang w:val="sq-AL"/>
        </w:rPr>
        <w:t>2021 rezulton negativ, në -1.2 pikë përqindje</w:t>
      </w:r>
      <w:r w:rsidR="007C3B6C" w:rsidRPr="00050FA4">
        <w:rPr>
          <w:lang w:val="sq-AL"/>
        </w:rPr>
        <w:t>je</w:t>
      </w:r>
      <w:r w:rsidRPr="00050FA4">
        <w:rPr>
          <w:lang w:val="sq-AL"/>
        </w:rPr>
        <w:t xml:space="preserve"> të PBB-së potenciale, ndërsa impulset kumulative fiskale për periudhën përkatëse rezultojnë</w:t>
      </w:r>
      <w:r w:rsidR="007C3B6C" w:rsidRPr="00050FA4">
        <w:rPr>
          <w:lang w:val="sq-AL"/>
        </w:rPr>
        <w:t>,</w:t>
      </w:r>
      <w:r w:rsidRPr="00050FA4">
        <w:rPr>
          <w:lang w:val="sq-AL"/>
        </w:rPr>
        <w:t xml:space="preserve"> gjithashtu</w:t>
      </w:r>
      <w:r w:rsidR="007C3B6C" w:rsidRPr="00050FA4">
        <w:rPr>
          <w:lang w:val="sq-AL"/>
        </w:rPr>
        <w:t>,</w:t>
      </w:r>
      <w:r w:rsidRPr="00050FA4">
        <w:rPr>
          <w:lang w:val="sq-AL"/>
        </w:rPr>
        <w:t xml:space="preserve"> pozitive me vetëm 1.4 pikë përqindje</w:t>
      </w:r>
      <w:r w:rsidR="007C3B6C" w:rsidRPr="00050FA4">
        <w:rPr>
          <w:lang w:val="sq-AL"/>
        </w:rPr>
        <w:t>je</w:t>
      </w:r>
      <w:r w:rsidRPr="00050FA4">
        <w:rPr>
          <w:lang w:val="sq-AL"/>
        </w:rPr>
        <w:t xml:space="preserve"> të PBB-së.</w:t>
      </w:r>
    </w:p>
    <w:p w14:paraId="333DA62E" w14:textId="398710C2" w:rsidR="005714D0" w:rsidRPr="00050FA4" w:rsidRDefault="007C3B6C" w:rsidP="003F1DA7">
      <w:pPr>
        <w:pStyle w:val="AAAAAAATEXXXX"/>
        <w:rPr>
          <w:lang w:val="sq-AL"/>
        </w:rPr>
      </w:pPr>
      <w:r w:rsidRPr="00050FA4">
        <w:rPr>
          <w:lang w:val="sq-AL"/>
        </w:rPr>
        <w:t>Ndërsa për horizontin tre</w:t>
      </w:r>
      <w:r w:rsidR="005714D0" w:rsidRPr="00050FA4">
        <w:rPr>
          <w:lang w:val="sq-AL"/>
        </w:rPr>
        <w:t>vjeçar në vijim (2022</w:t>
      </w:r>
      <w:r w:rsidR="00C04C65" w:rsidRPr="00050FA4">
        <w:rPr>
          <w:lang w:val="sq-AL"/>
        </w:rPr>
        <w:t>–</w:t>
      </w:r>
      <w:r w:rsidR="005714D0" w:rsidRPr="00050FA4">
        <w:rPr>
          <w:lang w:val="sq-AL"/>
        </w:rPr>
        <w:t>2024), edhe pse hendeku kumulativ i prodhimit parashikohet të jetë pothuajse zero</w:t>
      </w:r>
      <w:r w:rsidRPr="00050FA4">
        <w:rPr>
          <w:lang w:val="sq-AL"/>
        </w:rPr>
        <w:t>,</w:t>
      </w:r>
      <w:r w:rsidR="005714D0" w:rsidRPr="00050FA4">
        <w:rPr>
          <w:lang w:val="sq-AL"/>
        </w:rPr>
        <w:t xml:space="preserve"> por prapë negativ, ajo gradualisht do të konvergjojë drejt potencialit të tij</w:t>
      </w:r>
      <w:r w:rsidR="007A6B8F" w:rsidRPr="00050FA4">
        <w:rPr>
          <w:lang w:val="sq-AL"/>
        </w:rPr>
        <w:t>,</w:t>
      </w:r>
      <w:r w:rsidR="005714D0" w:rsidRPr="00050FA4">
        <w:rPr>
          <w:lang w:val="sq-AL"/>
        </w:rPr>
        <w:t xml:space="preserve"> duke u rikuperuar nga humbja e madhe e vitit 2020, si dhe politika fiskal kumulative synohet të jetë negative. Kjo </w:t>
      </w:r>
      <w:r w:rsidRPr="00050FA4">
        <w:rPr>
          <w:lang w:val="sq-AL"/>
        </w:rPr>
        <w:t>tregon një politikë fiskale pro</w:t>
      </w:r>
      <w:r w:rsidR="005714D0" w:rsidRPr="00050FA4">
        <w:rPr>
          <w:lang w:val="sq-AL"/>
        </w:rPr>
        <w:t>ciklike</w:t>
      </w:r>
      <w:r w:rsidR="007A6B8F" w:rsidRPr="00050FA4">
        <w:rPr>
          <w:lang w:val="sq-AL"/>
        </w:rPr>
        <w:t>,</w:t>
      </w:r>
      <w:r w:rsidR="005714D0" w:rsidRPr="00050FA4">
        <w:rPr>
          <w:lang w:val="sq-AL"/>
        </w:rPr>
        <w:t xml:space="preserve"> që ka të ngjarë të pasqyrojë borxhin publik të nivelit relativisht të lartë dhe</w:t>
      </w:r>
      <w:r w:rsidR="007A6B8F" w:rsidRPr="00050FA4">
        <w:rPr>
          <w:lang w:val="sq-AL"/>
        </w:rPr>
        <w:t xml:space="preserve">, për këtë arsye, </w:t>
      </w:r>
      <w:r w:rsidR="005714D0" w:rsidRPr="00050FA4">
        <w:rPr>
          <w:lang w:val="sq-AL"/>
        </w:rPr>
        <w:t>nënkupton që një rëndësi më e madhe i jepet objektivit të sigurimit të qëndrueshmërisë afatgjatë të financave publike kundrejt objektivit të stabilizimit afatshkurtër të cikleve ekonomike. Drejtimi i qartë drejt një rruge më të fortë konsoliduese merr edhe më shumë rëndësi nga nevoja për të përmirësuar më shpejt parametrat kryesorë të financave publike pas përkeqësimit të ndjeshëm në vitin 2020. P</w:t>
      </w:r>
      <w:r w:rsidR="007A6B8F" w:rsidRPr="00050FA4">
        <w:rPr>
          <w:lang w:val="sq-AL"/>
        </w:rPr>
        <w:t>randaj, në programin aktual tre</w:t>
      </w:r>
      <w:r w:rsidR="005714D0" w:rsidRPr="00050FA4">
        <w:rPr>
          <w:lang w:val="sq-AL"/>
        </w:rPr>
        <w:t>vjeçar qëndrimi kumulativ fiskal gjatë vitit 2022</w:t>
      </w:r>
      <w:r w:rsidR="007A6B8F" w:rsidRPr="00050FA4">
        <w:rPr>
          <w:lang w:val="sq-AL"/>
        </w:rPr>
        <w:t xml:space="preserve">– </w:t>
      </w:r>
      <w:r w:rsidR="005714D0" w:rsidRPr="00050FA4">
        <w:rPr>
          <w:lang w:val="sq-AL"/>
        </w:rPr>
        <w:t>2</w:t>
      </w:r>
      <w:r w:rsidR="007A6B8F" w:rsidRPr="00050FA4">
        <w:rPr>
          <w:lang w:val="sq-AL"/>
        </w:rPr>
        <w:t>024 synohet të jetë pro</w:t>
      </w:r>
      <w:r w:rsidR="005714D0" w:rsidRPr="00050FA4">
        <w:rPr>
          <w:lang w:val="sq-AL"/>
        </w:rPr>
        <w:t>ciklik në terma kumulativë për tërë horizontin kohor.</w:t>
      </w:r>
    </w:p>
    <w:p w14:paraId="54253888" w14:textId="1ADD4D19" w:rsidR="008B60AF" w:rsidRPr="00050FA4" w:rsidRDefault="00DC3DD6" w:rsidP="003F1DA7">
      <w:pPr>
        <w:pStyle w:val="AAAAAAATEXXXX"/>
        <w:rPr>
          <w:b/>
          <w:lang w:val="sq-AL"/>
        </w:rPr>
      </w:pPr>
      <w:bookmarkStart w:id="31" w:name="_Toc30416397"/>
      <w:bookmarkStart w:id="32" w:name="_Toc61854158"/>
      <w:bookmarkStart w:id="33" w:name="_Toc93325758"/>
      <w:bookmarkStart w:id="34" w:name="_Toc484076176"/>
      <w:r w:rsidRPr="00050FA4">
        <w:rPr>
          <w:b/>
          <w:lang w:val="sq-AL"/>
        </w:rPr>
        <w:t xml:space="preserve">4.6 </w:t>
      </w:r>
      <w:r w:rsidR="005B4C87" w:rsidRPr="00050FA4">
        <w:rPr>
          <w:b/>
          <w:lang w:val="sq-AL"/>
        </w:rPr>
        <w:t>Niveli i borxhit dhe zhvillimet</w:t>
      </w:r>
      <w:bookmarkEnd w:id="31"/>
      <w:bookmarkEnd w:id="32"/>
      <w:bookmarkEnd w:id="33"/>
    </w:p>
    <w:p w14:paraId="71703D55" w14:textId="4ADB2EB2" w:rsidR="005714D0" w:rsidRPr="00050FA4" w:rsidRDefault="005714D0" w:rsidP="003F1DA7">
      <w:pPr>
        <w:pStyle w:val="AAAAAAATEXXXX"/>
        <w:rPr>
          <w:b/>
          <w:lang w:val="sq-AL"/>
        </w:rPr>
      </w:pPr>
      <w:r w:rsidRPr="00050FA4">
        <w:rPr>
          <w:b/>
          <w:lang w:val="sq-AL"/>
        </w:rPr>
        <w:t xml:space="preserve">Ecuria e </w:t>
      </w:r>
      <w:r w:rsidR="007A6B8F" w:rsidRPr="00050FA4">
        <w:rPr>
          <w:b/>
          <w:lang w:val="sq-AL"/>
        </w:rPr>
        <w:t>borxhit të qeverisjes qendrore</w:t>
      </w:r>
    </w:p>
    <w:p w14:paraId="79EDDA77" w14:textId="6FAF80E5" w:rsidR="005714D0" w:rsidRPr="00050FA4" w:rsidRDefault="005714D0" w:rsidP="003F1DA7">
      <w:pPr>
        <w:pStyle w:val="AAAAAAATEXXXX"/>
        <w:rPr>
          <w:lang w:val="sq-AL"/>
        </w:rPr>
      </w:pPr>
      <w:r w:rsidRPr="00050FA4">
        <w:rPr>
          <w:lang w:val="sq-AL"/>
        </w:rPr>
        <w:t xml:space="preserve">Përgjatë periudhës </w:t>
      </w:r>
      <w:r w:rsidR="007A6B8F" w:rsidRPr="00050FA4">
        <w:rPr>
          <w:lang w:val="sq-AL"/>
        </w:rPr>
        <w:t xml:space="preserve">janar–shtator </w:t>
      </w:r>
      <w:r w:rsidRPr="00050FA4">
        <w:rPr>
          <w:lang w:val="sq-AL"/>
        </w:rPr>
        <w:t xml:space="preserve">2021, portofoli i borxhit është menaxhuar në përputhje me objektivat e Strategjisë Afatmesme të Menaxhimit të Borxhit (SAMB), për të siguruar mbajtjen e raporteve të qëndrueshme ndërmjet kostos dhe risqeve. Pavarësisht nevojave të larta që karakterizuan edhe këtë vit, në </w:t>
      </w:r>
      <w:r w:rsidRPr="00050FA4">
        <w:rPr>
          <w:lang w:val="sq-AL"/>
        </w:rPr>
        <w:lastRenderedPageBreak/>
        <w:t>vijim të vitit 2020</w:t>
      </w:r>
      <w:r w:rsidR="005C2D70" w:rsidRPr="00050FA4">
        <w:rPr>
          <w:lang w:val="sq-AL"/>
        </w:rPr>
        <w:t>,</w:t>
      </w:r>
      <w:r w:rsidRPr="00050FA4">
        <w:rPr>
          <w:lang w:val="sq-AL"/>
        </w:rPr>
        <w:t xml:space="preserve"> që u godit nga pandemia COVID-19, dhe vitit 2019</w:t>
      </w:r>
      <w:r w:rsidR="005C2D70" w:rsidRPr="00050FA4">
        <w:rPr>
          <w:lang w:val="sq-AL"/>
        </w:rPr>
        <w:t>,</w:t>
      </w:r>
      <w:r w:rsidRPr="00050FA4">
        <w:rPr>
          <w:lang w:val="sq-AL"/>
        </w:rPr>
        <w:t xml:space="preserve"> kur Shqipëria u godit nga një tërmet i fuqishëm, huamarrja gjatë kësaj periudhe ka arritur të përmbush</w:t>
      </w:r>
      <w:r w:rsidR="005C2D70" w:rsidRPr="00050FA4">
        <w:rPr>
          <w:lang w:val="sq-AL"/>
        </w:rPr>
        <w:t>ë</w:t>
      </w:r>
      <w:r w:rsidRPr="00050FA4">
        <w:rPr>
          <w:lang w:val="sq-AL"/>
        </w:rPr>
        <w:t xml:space="preserve"> plotësisht nevojat buxhetore, si edhe të gjitha nevojat që burojnë nga detyrimet e borxhit ekzistues. Huamarrja u realizua duke përdorur burimet e brendshme të financimit dhe të ato të huaja,</w:t>
      </w:r>
      <w:r w:rsidR="009B1D6B" w:rsidRPr="00050FA4">
        <w:rPr>
          <w:lang w:val="sq-AL"/>
        </w:rPr>
        <w:t xml:space="preserve"> </w:t>
      </w:r>
      <w:r w:rsidRPr="00050FA4">
        <w:rPr>
          <w:lang w:val="sq-AL"/>
        </w:rPr>
        <w:t>përkatësisht në nivelet 279.3 miliard</w:t>
      </w:r>
      <w:r w:rsidR="005C2D70" w:rsidRPr="00050FA4">
        <w:rPr>
          <w:lang w:val="sq-AL"/>
        </w:rPr>
        <w:t>ë</w:t>
      </w:r>
      <w:r w:rsidRPr="00050FA4">
        <w:rPr>
          <w:lang w:val="sq-AL"/>
        </w:rPr>
        <w:t xml:space="preserve"> </w:t>
      </w:r>
      <w:r w:rsidR="005C2D70" w:rsidRPr="00050FA4">
        <w:rPr>
          <w:lang w:val="sq-AL"/>
        </w:rPr>
        <w:t xml:space="preserve">lekë </w:t>
      </w:r>
      <w:r w:rsidRPr="00050FA4">
        <w:rPr>
          <w:lang w:val="sq-AL"/>
        </w:rPr>
        <w:t>dhe 31.7 miliard</w:t>
      </w:r>
      <w:r w:rsidR="005C2D70" w:rsidRPr="00050FA4">
        <w:rPr>
          <w:lang w:val="sq-AL"/>
        </w:rPr>
        <w:t>ë</w:t>
      </w:r>
      <w:r w:rsidRPr="00050FA4">
        <w:rPr>
          <w:lang w:val="sq-AL"/>
        </w:rPr>
        <w:t xml:space="preserve"> </w:t>
      </w:r>
      <w:r w:rsidR="005C2D70" w:rsidRPr="00050FA4">
        <w:rPr>
          <w:lang w:val="sq-AL"/>
        </w:rPr>
        <w:t>l</w:t>
      </w:r>
      <w:r w:rsidRPr="00050FA4">
        <w:rPr>
          <w:lang w:val="sq-AL"/>
        </w:rPr>
        <w:t xml:space="preserve">ekë. Gjithashtu, gjatë kësaj periudhe, është vijuar me aktivitetet që kanë synuar zhvillimin e mëtejshëm të tregut primar. Në këtë drejtim, pas </w:t>
      </w:r>
      <w:r w:rsidR="005C2D70" w:rsidRPr="00050FA4">
        <w:rPr>
          <w:lang w:val="sq-AL"/>
        </w:rPr>
        <w:t xml:space="preserve">shtatorit </w:t>
      </w:r>
      <w:r w:rsidRPr="00050FA4">
        <w:rPr>
          <w:lang w:val="sq-AL"/>
        </w:rPr>
        <w:t>2021 vlen për t’u përmendur emetimi me sukses i Eurobondit me vlerë 650 milion</w:t>
      </w:r>
      <w:r w:rsidR="005C2D70" w:rsidRPr="00050FA4">
        <w:rPr>
          <w:lang w:val="sq-AL"/>
        </w:rPr>
        <w:t>ë</w:t>
      </w:r>
      <w:r w:rsidRPr="00050FA4">
        <w:rPr>
          <w:lang w:val="sq-AL"/>
        </w:rPr>
        <w:t xml:space="preserve"> </w:t>
      </w:r>
      <w:r w:rsidR="005C2D70" w:rsidRPr="00050FA4">
        <w:rPr>
          <w:lang w:val="sq-AL"/>
        </w:rPr>
        <w:t xml:space="preserve">euro </w:t>
      </w:r>
      <w:r w:rsidRPr="00050FA4">
        <w:rPr>
          <w:lang w:val="sq-AL"/>
        </w:rPr>
        <w:t>në tregj</w:t>
      </w:r>
      <w:r w:rsidR="005C2D70" w:rsidRPr="00050FA4">
        <w:rPr>
          <w:lang w:val="sq-AL"/>
        </w:rPr>
        <w:t>et ndërkombëtare, i cili përveç</w:t>
      </w:r>
      <w:r w:rsidRPr="00050FA4">
        <w:rPr>
          <w:lang w:val="sq-AL"/>
        </w:rPr>
        <w:t>se plotësoi nevojat për likuiditet, përçoi një sinjal pozitiv për</w:t>
      </w:r>
      <w:r w:rsidR="001C0FC0" w:rsidRPr="00050FA4">
        <w:rPr>
          <w:lang w:val="sq-AL"/>
        </w:rPr>
        <w:t xml:space="preserve"> </w:t>
      </w:r>
      <w:r w:rsidRPr="00050FA4">
        <w:rPr>
          <w:lang w:val="sq-AL"/>
        </w:rPr>
        <w:t>sa i përket aftësisë për të siguruar fonde dhe qëndrueshmërisë së financave publike në Republikën e Shqipërisë.</w:t>
      </w:r>
    </w:p>
    <w:p w14:paraId="34E2F959" w14:textId="5A65040E" w:rsidR="005714D0" w:rsidRPr="00050FA4" w:rsidRDefault="005714D0" w:rsidP="003F1DA7">
      <w:pPr>
        <w:pStyle w:val="AAAAAAATEXXXX"/>
        <w:rPr>
          <w:b/>
          <w:lang w:val="sq-AL"/>
        </w:rPr>
      </w:pPr>
      <w:r w:rsidRPr="00050FA4">
        <w:rPr>
          <w:b/>
          <w:lang w:val="sq-AL"/>
        </w:rPr>
        <w:t xml:space="preserve">Borxhi i </w:t>
      </w:r>
      <w:r w:rsidR="005C2D70" w:rsidRPr="00050FA4">
        <w:rPr>
          <w:b/>
          <w:lang w:val="sq-AL"/>
        </w:rPr>
        <w:t>qeverisjes q</w:t>
      </w:r>
      <w:r w:rsidRPr="00050FA4">
        <w:rPr>
          <w:b/>
          <w:lang w:val="sq-AL"/>
        </w:rPr>
        <w:t>endrore</w:t>
      </w:r>
    </w:p>
    <w:p w14:paraId="02849763" w14:textId="2ECE6C94" w:rsidR="005714D0" w:rsidRPr="00050FA4" w:rsidRDefault="005714D0" w:rsidP="003F1DA7">
      <w:pPr>
        <w:pStyle w:val="AAAAAAATEXXXX"/>
        <w:rPr>
          <w:lang w:val="sq-AL"/>
        </w:rPr>
      </w:pPr>
      <w:r w:rsidRPr="00050FA4">
        <w:rPr>
          <w:lang w:val="sq-AL"/>
        </w:rPr>
        <w:t xml:space="preserve">Në fund të muajit </w:t>
      </w:r>
      <w:r w:rsidR="005C2D70" w:rsidRPr="00050FA4">
        <w:rPr>
          <w:lang w:val="sq-AL"/>
        </w:rPr>
        <w:t xml:space="preserve">shtator </w:t>
      </w:r>
      <w:r w:rsidRPr="00050FA4">
        <w:rPr>
          <w:lang w:val="sq-AL"/>
        </w:rPr>
        <w:t>2021, borxhi i qeverisjes qendrore u vlerësua në nivelin 1,281.8 miliard</w:t>
      </w:r>
      <w:r w:rsidR="00601BCD" w:rsidRPr="00050FA4">
        <w:rPr>
          <w:lang w:val="sq-AL"/>
        </w:rPr>
        <w:t>ë</w:t>
      </w:r>
      <w:r w:rsidRPr="00050FA4">
        <w:rPr>
          <w:lang w:val="sq-AL"/>
        </w:rPr>
        <w:t xml:space="preserve"> </w:t>
      </w:r>
      <w:r w:rsidR="00601BCD" w:rsidRPr="00050FA4">
        <w:rPr>
          <w:lang w:val="sq-AL"/>
        </w:rPr>
        <w:t>l</w:t>
      </w:r>
      <w:r w:rsidRPr="00050FA4">
        <w:rPr>
          <w:lang w:val="sq-AL"/>
        </w:rPr>
        <w:t>ekë ose 76.2% e PBB</w:t>
      </w:r>
      <w:r w:rsidRPr="00050FA4">
        <w:rPr>
          <w:vertAlign w:val="superscript"/>
          <w:lang w:val="sq-AL"/>
        </w:rPr>
        <w:footnoteReference w:id="9"/>
      </w:r>
      <w:r w:rsidRPr="00050FA4">
        <w:rPr>
          <w:lang w:val="sq-AL"/>
        </w:rPr>
        <w:t>. Në terma nominal</w:t>
      </w:r>
      <w:r w:rsidR="00A7354F" w:rsidRPr="00050FA4">
        <w:rPr>
          <w:lang w:val="sq-AL"/>
        </w:rPr>
        <w:t>ë</w:t>
      </w:r>
      <w:r w:rsidRPr="00050FA4">
        <w:rPr>
          <w:lang w:val="sq-AL"/>
        </w:rPr>
        <w:t>, stoku i borxhit të qeverisjes qendrore është rritur me rreth 57.8 miliard</w:t>
      </w:r>
      <w:r w:rsidR="00A7354F" w:rsidRPr="00050FA4">
        <w:rPr>
          <w:lang w:val="sq-AL"/>
        </w:rPr>
        <w:t>ë</w:t>
      </w:r>
      <w:r w:rsidRPr="00050FA4">
        <w:rPr>
          <w:lang w:val="sq-AL"/>
        </w:rPr>
        <w:t xml:space="preserve"> </w:t>
      </w:r>
      <w:r w:rsidR="00A7354F" w:rsidRPr="00050FA4">
        <w:rPr>
          <w:lang w:val="sq-AL"/>
        </w:rPr>
        <w:t xml:space="preserve">lekë </w:t>
      </w:r>
      <w:r w:rsidRPr="00050FA4">
        <w:rPr>
          <w:lang w:val="sq-AL"/>
        </w:rPr>
        <w:t>krahasuar me fundin e vitit 2020, nga të cilat 53 miliard</w:t>
      </w:r>
      <w:r w:rsidR="00A7354F" w:rsidRPr="00050FA4">
        <w:rPr>
          <w:lang w:val="sq-AL"/>
        </w:rPr>
        <w:t>ë</w:t>
      </w:r>
      <w:r w:rsidRPr="00050FA4">
        <w:rPr>
          <w:lang w:val="sq-AL"/>
        </w:rPr>
        <w:t xml:space="preserve"> </w:t>
      </w:r>
      <w:r w:rsidR="00A7354F" w:rsidRPr="00050FA4">
        <w:rPr>
          <w:lang w:val="sq-AL"/>
        </w:rPr>
        <w:t xml:space="preserve">lekë </w:t>
      </w:r>
      <w:r w:rsidRPr="00050FA4">
        <w:rPr>
          <w:lang w:val="sq-AL"/>
        </w:rPr>
        <w:t>i përkasin borxhit të brendshëm dhe 4.8 miliard</w:t>
      </w:r>
      <w:r w:rsidR="00A7354F" w:rsidRPr="00050FA4">
        <w:rPr>
          <w:lang w:val="sq-AL"/>
        </w:rPr>
        <w:t>ë</w:t>
      </w:r>
      <w:r w:rsidRPr="00050FA4">
        <w:rPr>
          <w:lang w:val="sq-AL"/>
        </w:rPr>
        <w:t xml:space="preserve"> </w:t>
      </w:r>
      <w:r w:rsidR="00A7354F" w:rsidRPr="00050FA4">
        <w:rPr>
          <w:lang w:val="sq-AL"/>
        </w:rPr>
        <w:t xml:space="preserve">lekë </w:t>
      </w:r>
      <w:r w:rsidRPr="00050FA4">
        <w:rPr>
          <w:lang w:val="sq-AL"/>
        </w:rPr>
        <w:t xml:space="preserve">borxhit të jashtëm. Në fund të muajit </w:t>
      </w:r>
      <w:r w:rsidR="00A7354F" w:rsidRPr="00050FA4">
        <w:rPr>
          <w:lang w:val="sq-AL"/>
        </w:rPr>
        <w:t xml:space="preserve">shtator </w:t>
      </w:r>
      <w:r w:rsidRPr="00050FA4">
        <w:rPr>
          <w:lang w:val="sq-AL"/>
        </w:rPr>
        <w:t>2021</w:t>
      </w:r>
      <w:r w:rsidR="00601BCD" w:rsidRPr="00050FA4">
        <w:rPr>
          <w:lang w:val="sq-AL"/>
        </w:rPr>
        <w:t>,</w:t>
      </w:r>
      <w:r w:rsidRPr="00050FA4">
        <w:rPr>
          <w:lang w:val="sq-AL"/>
        </w:rPr>
        <w:t xml:space="preserve"> stoku i</w:t>
      </w:r>
      <w:r w:rsidR="009B1D6B" w:rsidRPr="00050FA4">
        <w:rPr>
          <w:lang w:val="sq-AL"/>
        </w:rPr>
        <w:t xml:space="preserve"> </w:t>
      </w:r>
      <w:r w:rsidR="00601BCD" w:rsidRPr="00050FA4">
        <w:rPr>
          <w:lang w:val="sq-AL"/>
        </w:rPr>
        <w:t xml:space="preserve">borxhit </w:t>
      </w:r>
      <w:r w:rsidRPr="00050FA4">
        <w:rPr>
          <w:lang w:val="sq-AL"/>
        </w:rPr>
        <w:t>ndaj PBB</w:t>
      </w:r>
      <w:r w:rsidR="00601BCD" w:rsidRPr="00050FA4">
        <w:rPr>
          <w:lang w:val="sq-AL"/>
        </w:rPr>
        <w:t>-së</w:t>
      </w:r>
      <w:r w:rsidRPr="00050FA4">
        <w:rPr>
          <w:lang w:val="sq-AL"/>
        </w:rPr>
        <w:t xml:space="preserve"> është ulur në krahasim me fundin e vitit 2020. Gjithsesi</w:t>
      </w:r>
      <w:r w:rsidR="00A7354F" w:rsidRPr="00050FA4">
        <w:rPr>
          <w:lang w:val="sq-AL"/>
        </w:rPr>
        <w:t>,</w:t>
      </w:r>
      <w:r w:rsidRPr="00050FA4">
        <w:rPr>
          <w:lang w:val="sq-AL"/>
        </w:rPr>
        <w:t xml:space="preserve"> kjo është një rënie e përkohshme</w:t>
      </w:r>
      <w:r w:rsidR="00601BCD" w:rsidRPr="00050FA4">
        <w:rPr>
          <w:lang w:val="sq-AL"/>
        </w:rPr>
        <w:t>,</w:t>
      </w:r>
      <w:r w:rsidRPr="00050FA4">
        <w:rPr>
          <w:lang w:val="sq-AL"/>
        </w:rPr>
        <w:t xml:space="preserve"> pasi huamarrja e jashtme kryesore është kryer pas </w:t>
      </w:r>
      <w:r w:rsidR="00601BCD" w:rsidRPr="00050FA4">
        <w:rPr>
          <w:lang w:val="sq-AL"/>
        </w:rPr>
        <w:t xml:space="preserve">shtatorit </w:t>
      </w:r>
      <w:r w:rsidRPr="00050FA4">
        <w:rPr>
          <w:lang w:val="sq-AL"/>
        </w:rPr>
        <w:t>2021 dhe do të ndikojë ndjeshëm në nivelin e borxhit.</w:t>
      </w:r>
    </w:p>
    <w:p w14:paraId="33B07274" w14:textId="77777777" w:rsidR="005714D0" w:rsidRPr="00050FA4" w:rsidRDefault="005714D0" w:rsidP="003F1DA7">
      <w:pPr>
        <w:shd w:val="clear" w:color="auto" w:fill="FFFFFF" w:themeFill="background1"/>
        <w:tabs>
          <w:tab w:val="left" w:pos="0"/>
        </w:tabs>
        <w:ind w:right="-46" w:firstLine="284"/>
        <w:jc w:val="both"/>
        <w:rPr>
          <w:rFonts w:ascii="Garamond" w:hAnsi="Garamond" w:cstheme="majorBidi"/>
          <w:color w:val="0D0D0D" w:themeColor="text1" w:themeTint="F2"/>
        </w:rPr>
      </w:pPr>
    </w:p>
    <w:p w14:paraId="13239C8B" w14:textId="2048452C" w:rsidR="005714D0" w:rsidRPr="00050FA4" w:rsidRDefault="005714D0" w:rsidP="003F1DA7">
      <w:pPr>
        <w:ind w:firstLine="284"/>
        <w:jc w:val="center"/>
        <w:rPr>
          <w:rFonts w:ascii="Garamond" w:hAnsi="Garamond" w:cstheme="majorBidi"/>
          <w:b/>
          <w:bCs/>
          <w:i/>
          <w:color w:val="0D0D0D" w:themeColor="text1" w:themeTint="F2"/>
          <w:sz w:val="20"/>
          <w:szCs w:val="20"/>
        </w:rPr>
      </w:pPr>
      <w:r w:rsidRPr="00050FA4">
        <w:rPr>
          <w:rFonts w:ascii="Garamond" w:hAnsi="Garamond" w:cstheme="majorBidi"/>
          <w:b/>
          <w:bCs/>
          <w:i/>
          <w:color w:val="0D0D0D" w:themeColor="text1" w:themeTint="F2"/>
          <w:sz w:val="20"/>
          <w:szCs w:val="20"/>
        </w:rPr>
        <w:t xml:space="preserve">Tabelë 4.6.1 Stoku i </w:t>
      </w:r>
      <w:r w:rsidR="00601BCD" w:rsidRPr="00050FA4">
        <w:rPr>
          <w:rFonts w:ascii="Garamond" w:hAnsi="Garamond" w:cstheme="majorBidi"/>
          <w:b/>
          <w:bCs/>
          <w:i/>
          <w:color w:val="0D0D0D" w:themeColor="text1" w:themeTint="F2"/>
          <w:sz w:val="20"/>
          <w:szCs w:val="20"/>
        </w:rPr>
        <w:t xml:space="preserve">borxhit të qeverisjes qendrore (në milionë </w:t>
      </w:r>
      <w:r w:rsidRPr="00050FA4">
        <w:rPr>
          <w:rFonts w:ascii="Garamond" w:hAnsi="Garamond" w:cstheme="majorBidi"/>
          <w:b/>
          <w:bCs/>
          <w:i/>
          <w:color w:val="0D0D0D" w:themeColor="text1" w:themeTint="F2"/>
          <w:sz w:val="20"/>
          <w:szCs w:val="20"/>
        </w:rPr>
        <w:t>lekë)</w:t>
      </w:r>
    </w:p>
    <w:p w14:paraId="58394727" w14:textId="3EE09706" w:rsidR="005714D0" w:rsidRPr="00050FA4" w:rsidRDefault="005714D0" w:rsidP="003F1DA7">
      <w:pPr>
        <w:ind w:firstLine="284"/>
        <w:jc w:val="center"/>
        <w:rPr>
          <w:rFonts w:ascii="Garamond" w:hAnsi="Garamond" w:cstheme="majorBidi"/>
          <w:bCs/>
          <w:color w:val="0D0D0D" w:themeColor="text1" w:themeTint="F2"/>
        </w:rPr>
      </w:pPr>
      <w:r w:rsidRPr="00050FA4">
        <w:rPr>
          <w:rFonts w:ascii="Garamond" w:hAnsi="Garamond" w:cstheme="majorBidi"/>
          <w:noProof/>
          <w:color w:val="0D0D0D" w:themeColor="text1" w:themeTint="F2"/>
          <w:lang w:val="en-US"/>
        </w:rPr>
        <w:drawing>
          <wp:inline distT="0" distB="0" distL="0" distR="0" wp14:anchorId="6079C7D5" wp14:editId="7C3CADB3">
            <wp:extent cx="5943600" cy="20002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000250"/>
                    </a:xfrm>
                    <a:prstGeom prst="rect">
                      <a:avLst/>
                    </a:prstGeom>
                    <a:noFill/>
                    <a:ln>
                      <a:noFill/>
                    </a:ln>
                  </pic:spPr>
                </pic:pic>
              </a:graphicData>
            </a:graphic>
          </wp:inline>
        </w:drawing>
      </w:r>
    </w:p>
    <w:p w14:paraId="286B8806"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404E1463" w14:textId="77777777" w:rsidR="005714D0" w:rsidRPr="00050FA4" w:rsidRDefault="005714D0" w:rsidP="003F1DA7">
      <w:pPr>
        <w:ind w:firstLine="284"/>
        <w:rPr>
          <w:rFonts w:ascii="Garamond" w:hAnsi="Garamond" w:cstheme="majorBidi"/>
          <w:i/>
          <w:color w:val="0D0D0D" w:themeColor="text1" w:themeTint="F2"/>
        </w:rPr>
      </w:pPr>
    </w:p>
    <w:p w14:paraId="0E70FB60" w14:textId="47AC30CA" w:rsidR="005714D0" w:rsidRPr="00050FA4" w:rsidRDefault="005714D0" w:rsidP="003F1DA7">
      <w:pPr>
        <w:pStyle w:val="AAAAAAATEXXXX"/>
        <w:rPr>
          <w:lang w:val="sq-AL"/>
        </w:rPr>
      </w:pPr>
      <w:r w:rsidRPr="00050FA4">
        <w:rPr>
          <w:lang w:val="sq-AL"/>
        </w:rPr>
        <w:t>Për</w:t>
      </w:r>
      <w:r w:rsidR="001C0FC0" w:rsidRPr="00050FA4">
        <w:rPr>
          <w:lang w:val="sq-AL"/>
        </w:rPr>
        <w:t xml:space="preserve"> </w:t>
      </w:r>
      <w:r w:rsidRPr="00050FA4">
        <w:rPr>
          <w:lang w:val="sq-AL"/>
        </w:rPr>
        <w:t xml:space="preserve">sa i përket kompozimit sipas instrumenteve, më shumë se 60% e peshës së portofolit të borxhit të qeverisjes qendrore vazhdojnë ta mbajnë instrumentet e tregtueshme (bono thesari, obligacione, Eurobond). Instrumentet e tregtueshme kanë shënuar një rritje të peshës me 1 pp krahasuar me fundin e vitit 2020, ndërkohë kreditë për projekte janë reduktuar me të </w:t>
      </w:r>
      <w:r w:rsidR="00601BCD" w:rsidRPr="00050FA4">
        <w:rPr>
          <w:lang w:val="sq-AL"/>
        </w:rPr>
        <w:t>njëjtën</w:t>
      </w:r>
      <w:r w:rsidRPr="00050FA4">
        <w:rPr>
          <w:lang w:val="sq-AL"/>
        </w:rPr>
        <w:t xml:space="preserve"> masë. </w:t>
      </w:r>
    </w:p>
    <w:p w14:paraId="1F684A73" w14:textId="77777777" w:rsidR="005714D0" w:rsidRPr="00050FA4" w:rsidRDefault="005714D0" w:rsidP="003F1DA7">
      <w:pPr>
        <w:ind w:firstLine="284"/>
        <w:jc w:val="both"/>
        <w:rPr>
          <w:rFonts w:ascii="Garamond" w:hAnsi="Garamond" w:cstheme="majorBidi"/>
          <w:color w:val="0D0D0D" w:themeColor="text1" w:themeTint="F2"/>
        </w:rPr>
      </w:pPr>
    </w:p>
    <w:p w14:paraId="7EFCD692" w14:textId="4163431C" w:rsidR="005714D0" w:rsidRPr="00050FA4" w:rsidRDefault="005714D0" w:rsidP="003F1DA7">
      <w:pPr>
        <w:pStyle w:val="AAAAAAATEXXXX"/>
        <w:jc w:val="center"/>
        <w:rPr>
          <w:b/>
          <w:i/>
          <w:sz w:val="20"/>
          <w:szCs w:val="20"/>
          <w:lang w:val="sq-AL"/>
        </w:rPr>
      </w:pPr>
      <w:r w:rsidRPr="00050FA4">
        <w:rPr>
          <w:b/>
          <w:i/>
          <w:sz w:val="20"/>
          <w:szCs w:val="20"/>
          <w:lang w:val="sq-AL"/>
        </w:rPr>
        <w:t xml:space="preserve">Grafik 4.6.1 Kompozimi i </w:t>
      </w:r>
      <w:r w:rsidR="00601BCD" w:rsidRPr="00050FA4">
        <w:rPr>
          <w:b/>
          <w:i/>
          <w:sz w:val="20"/>
          <w:szCs w:val="20"/>
          <w:lang w:val="sq-AL"/>
        </w:rPr>
        <w:t xml:space="preserve">borxhit të qeverisjes qendrore </w:t>
      </w:r>
      <w:r w:rsidRPr="00050FA4">
        <w:rPr>
          <w:b/>
          <w:i/>
          <w:sz w:val="20"/>
          <w:szCs w:val="20"/>
          <w:lang w:val="sq-AL"/>
        </w:rPr>
        <w:t>sipas instrumenteve</w:t>
      </w:r>
    </w:p>
    <w:p w14:paraId="44C0931A" w14:textId="52E62A6A" w:rsidR="005714D0" w:rsidRPr="00050FA4" w:rsidRDefault="005714D0" w:rsidP="003F1DA7">
      <w:pPr>
        <w:pStyle w:val="AAAAAAATEXXXX"/>
        <w:jc w:val="center"/>
        <w:rPr>
          <w:lang w:val="sq-AL" w:eastAsia="en-GB"/>
        </w:rPr>
      </w:pPr>
      <w:r w:rsidRPr="00050FA4">
        <w:rPr>
          <w:noProof/>
        </w:rPr>
        <w:drawing>
          <wp:inline distT="0" distB="0" distL="0" distR="0" wp14:anchorId="3AF4310A" wp14:editId="0051884A">
            <wp:extent cx="5943600" cy="2019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2019300"/>
                    </a:xfrm>
                    <a:prstGeom prst="rect">
                      <a:avLst/>
                    </a:prstGeom>
                    <a:noFill/>
                    <a:ln>
                      <a:noFill/>
                    </a:ln>
                  </pic:spPr>
                </pic:pic>
              </a:graphicData>
            </a:graphic>
          </wp:inline>
        </w:drawing>
      </w:r>
    </w:p>
    <w:p w14:paraId="2AD83439" w14:textId="77777777" w:rsidR="005714D0" w:rsidRPr="00050FA4" w:rsidRDefault="005714D0" w:rsidP="003F1DA7">
      <w:pPr>
        <w:pStyle w:val="AAAAAAATEXXXX"/>
        <w:jc w:val="center"/>
        <w:rPr>
          <w:sz w:val="20"/>
          <w:lang w:val="sq-AL"/>
        </w:rPr>
      </w:pPr>
      <w:r w:rsidRPr="00050FA4">
        <w:rPr>
          <w:sz w:val="20"/>
          <w:lang w:val="sq-AL"/>
        </w:rPr>
        <w:t>Burimi: Ministria e Financave dhe Ekonomisë (2021)</w:t>
      </w:r>
    </w:p>
    <w:p w14:paraId="43583823" w14:textId="77777777" w:rsidR="005714D0" w:rsidRPr="00050FA4" w:rsidRDefault="005714D0" w:rsidP="003F1DA7">
      <w:pPr>
        <w:ind w:firstLine="284"/>
        <w:rPr>
          <w:rFonts w:ascii="Garamond" w:hAnsi="Garamond" w:cstheme="majorBidi"/>
          <w:color w:val="0D0D0D" w:themeColor="text1" w:themeTint="F2"/>
        </w:rPr>
      </w:pPr>
    </w:p>
    <w:p w14:paraId="2A6E70DB" w14:textId="18FF9AE0" w:rsidR="005714D0" w:rsidRPr="00050FA4" w:rsidRDefault="005714D0" w:rsidP="003F1DA7">
      <w:pPr>
        <w:pStyle w:val="AAAAAAATEXXXX"/>
        <w:rPr>
          <w:lang w:val="sq-AL"/>
        </w:rPr>
      </w:pPr>
      <w:r w:rsidRPr="00050FA4">
        <w:rPr>
          <w:lang w:val="sq-AL"/>
        </w:rPr>
        <w:lastRenderedPageBreak/>
        <w:t>Në përputhje me objektivat për reduktimin e ekzpozimit të portofolit të borxhit ndaj risqeve, pesha e instrumenteve afatgjata u rrit me 0.4 pikë përqindje</w:t>
      </w:r>
      <w:r w:rsidR="00601BCD" w:rsidRPr="00050FA4">
        <w:rPr>
          <w:lang w:val="sq-AL"/>
        </w:rPr>
        <w:t>je</w:t>
      </w:r>
      <w:r w:rsidRPr="00050FA4">
        <w:rPr>
          <w:lang w:val="sq-AL"/>
        </w:rPr>
        <w:t>.</w:t>
      </w:r>
    </w:p>
    <w:p w14:paraId="2EDCDF12" w14:textId="77777777" w:rsidR="005714D0" w:rsidRPr="00050FA4" w:rsidRDefault="005714D0" w:rsidP="003F1DA7">
      <w:pPr>
        <w:pStyle w:val="AAAAAAATEXXXX"/>
        <w:jc w:val="center"/>
        <w:rPr>
          <w:b/>
          <w:lang w:val="sq-AL"/>
        </w:rPr>
      </w:pPr>
    </w:p>
    <w:p w14:paraId="28AF69EE" w14:textId="675C9A5C" w:rsidR="005714D0" w:rsidRPr="00050FA4" w:rsidRDefault="005714D0" w:rsidP="003F1DA7">
      <w:pPr>
        <w:pStyle w:val="AAAAAAATEXXXX"/>
        <w:jc w:val="center"/>
        <w:rPr>
          <w:i/>
          <w:sz w:val="20"/>
          <w:szCs w:val="20"/>
          <w:lang w:val="sq-AL"/>
        </w:rPr>
      </w:pPr>
      <w:r w:rsidRPr="00050FA4">
        <w:rPr>
          <w:b/>
          <w:i/>
          <w:sz w:val="20"/>
          <w:szCs w:val="20"/>
          <w:lang w:val="sq-AL"/>
        </w:rPr>
        <w:t>Grafik 4.6.2 Kompozimi i borxhit sipas maturitetit ori</w:t>
      </w:r>
      <w:r w:rsidR="00C04C65" w:rsidRPr="00050FA4">
        <w:rPr>
          <w:b/>
          <w:i/>
          <w:sz w:val="20"/>
          <w:szCs w:val="20"/>
          <w:lang w:val="sq-AL"/>
        </w:rPr>
        <w:t>gjinal të instrumenteve të huas</w:t>
      </w:r>
    </w:p>
    <w:p w14:paraId="6C7F9F2F" w14:textId="10C23C3D" w:rsidR="005714D0" w:rsidRPr="00050FA4" w:rsidRDefault="005714D0" w:rsidP="003F1DA7">
      <w:pPr>
        <w:pStyle w:val="AAAAAAATEXXXX"/>
        <w:jc w:val="center"/>
        <w:rPr>
          <w:lang w:val="sq-AL" w:eastAsia="en-GB"/>
        </w:rPr>
      </w:pPr>
      <w:r w:rsidRPr="00050FA4">
        <w:rPr>
          <w:noProof/>
        </w:rPr>
        <w:drawing>
          <wp:inline distT="0" distB="0" distL="0" distR="0" wp14:anchorId="450A0D5F" wp14:editId="24C7494A">
            <wp:extent cx="3028950" cy="21240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28950" cy="2124075"/>
                    </a:xfrm>
                    <a:prstGeom prst="rect">
                      <a:avLst/>
                    </a:prstGeom>
                    <a:noFill/>
                    <a:ln>
                      <a:noFill/>
                    </a:ln>
                  </pic:spPr>
                </pic:pic>
              </a:graphicData>
            </a:graphic>
          </wp:inline>
        </w:drawing>
      </w:r>
      <w:r w:rsidRPr="00050FA4">
        <w:rPr>
          <w:noProof/>
        </w:rPr>
        <w:drawing>
          <wp:inline distT="0" distB="0" distL="0" distR="0" wp14:anchorId="2DAFCCF4" wp14:editId="27861C38">
            <wp:extent cx="2790825" cy="21526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90825" cy="2152650"/>
                    </a:xfrm>
                    <a:prstGeom prst="rect">
                      <a:avLst/>
                    </a:prstGeom>
                    <a:noFill/>
                    <a:ln>
                      <a:noFill/>
                    </a:ln>
                  </pic:spPr>
                </pic:pic>
              </a:graphicData>
            </a:graphic>
          </wp:inline>
        </w:drawing>
      </w:r>
    </w:p>
    <w:p w14:paraId="770AB21A" w14:textId="77777777" w:rsidR="005714D0" w:rsidRPr="00050FA4" w:rsidRDefault="005714D0" w:rsidP="003F1DA7">
      <w:pPr>
        <w:pStyle w:val="AAAAAAATEXXXX"/>
        <w:jc w:val="center"/>
        <w:rPr>
          <w:sz w:val="20"/>
          <w:lang w:val="sq-AL"/>
        </w:rPr>
      </w:pPr>
      <w:r w:rsidRPr="00050FA4">
        <w:rPr>
          <w:sz w:val="20"/>
          <w:lang w:val="sq-AL"/>
        </w:rPr>
        <w:t>Burimi: Ministria e Financave dhe Ekonomisë (2021)</w:t>
      </w:r>
    </w:p>
    <w:p w14:paraId="705F7C2A" w14:textId="77777777" w:rsidR="005714D0" w:rsidRPr="00050FA4" w:rsidRDefault="005714D0" w:rsidP="003F1DA7">
      <w:pPr>
        <w:ind w:firstLine="284"/>
        <w:rPr>
          <w:rFonts w:ascii="Garamond" w:hAnsi="Garamond" w:cstheme="majorBidi"/>
          <w:color w:val="0D0D0D" w:themeColor="text1" w:themeTint="F2"/>
        </w:rPr>
      </w:pPr>
    </w:p>
    <w:p w14:paraId="1A2B46AE" w14:textId="352AE9D3" w:rsidR="005714D0" w:rsidRPr="00050FA4" w:rsidRDefault="005714D0" w:rsidP="003F1DA7">
      <w:pPr>
        <w:pStyle w:val="AAAAAAATEXXXX"/>
        <w:rPr>
          <w:b/>
          <w:lang w:val="sq-AL"/>
        </w:rPr>
      </w:pPr>
      <w:r w:rsidRPr="00050FA4">
        <w:rPr>
          <w:b/>
          <w:lang w:val="sq-AL"/>
        </w:rPr>
        <w:t xml:space="preserve">Burimet e </w:t>
      </w:r>
      <w:r w:rsidR="00C04C65" w:rsidRPr="00050FA4">
        <w:rPr>
          <w:b/>
          <w:lang w:val="sq-AL"/>
        </w:rPr>
        <w:t>financimit</w:t>
      </w:r>
    </w:p>
    <w:p w14:paraId="72DE8EE2" w14:textId="7624DEA0" w:rsidR="005714D0" w:rsidRPr="00050FA4" w:rsidRDefault="005714D0" w:rsidP="003F1DA7">
      <w:pPr>
        <w:pStyle w:val="AAAAAAATEXXXX"/>
        <w:rPr>
          <w:lang w:val="sq-AL"/>
        </w:rPr>
      </w:pPr>
      <w:r w:rsidRPr="00050FA4">
        <w:rPr>
          <w:lang w:val="sq-AL"/>
        </w:rPr>
        <w:t xml:space="preserve">Gjatë periudhës </w:t>
      </w:r>
      <w:r w:rsidR="00C04C65" w:rsidRPr="00050FA4">
        <w:rPr>
          <w:lang w:val="sq-AL"/>
        </w:rPr>
        <w:t>janar–shtator</w:t>
      </w:r>
      <w:r w:rsidRPr="00050FA4">
        <w:rPr>
          <w:lang w:val="sq-AL"/>
        </w:rPr>
        <w:t xml:space="preserve"> 2021, nevojat për hua vijuan të jenë të larta në krahasim me periudha të zakonshme, si rezultat i situatës së pandemisë </w:t>
      </w:r>
      <w:r w:rsidR="001C0FC0" w:rsidRPr="00050FA4">
        <w:rPr>
          <w:lang w:val="sq-AL"/>
        </w:rPr>
        <w:t>COVID</w:t>
      </w:r>
      <w:r w:rsidRPr="00050FA4">
        <w:rPr>
          <w:lang w:val="sq-AL"/>
        </w:rPr>
        <w:t>-19</w:t>
      </w:r>
      <w:r w:rsidR="00D139DC" w:rsidRPr="00050FA4">
        <w:rPr>
          <w:lang w:val="sq-AL"/>
        </w:rPr>
        <w:t>,</w:t>
      </w:r>
      <w:r w:rsidRPr="00050FA4">
        <w:rPr>
          <w:lang w:val="sq-AL"/>
        </w:rPr>
        <w:t xml:space="preserve"> e cila vazhdon të jetë prezente, si dhe nevojës për të stimuluar rimëkëmbjen e ekonomisë pas rënies së madhe që pati në vitin 2020. Pavarësisht nevojave për financim të rritura, huamarrja ka arritur të përmbush plotësisht nevojat buxhetore, si edhe të gjitha nevojat që burojnë nga detyrimet e borxhit ekzistues.</w:t>
      </w:r>
    </w:p>
    <w:p w14:paraId="0AC8F1F1" w14:textId="4AC2B9ED" w:rsidR="006B5E92" w:rsidRPr="00050FA4" w:rsidRDefault="005714D0" w:rsidP="003F1DA7">
      <w:pPr>
        <w:pStyle w:val="AAAAAAATEXXXX"/>
        <w:rPr>
          <w:lang w:val="sq-AL"/>
        </w:rPr>
      </w:pPr>
      <w:r w:rsidRPr="00050FA4">
        <w:rPr>
          <w:lang w:val="sq-AL"/>
        </w:rPr>
        <w:t>Gjatë nëntëmujorit të vitit 2021, Ministria e Financave dhe Ekonomisë ka emetuar në tregun e brendshëm tituj shtetërorë në vlerën 279.3 miliard</w:t>
      </w:r>
      <w:r w:rsidR="001C0FC0" w:rsidRPr="00050FA4">
        <w:rPr>
          <w:lang w:val="sq-AL"/>
        </w:rPr>
        <w:t>ë</w:t>
      </w:r>
      <w:r w:rsidRPr="00050FA4">
        <w:rPr>
          <w:lang w:val="sq-AL"/>
        </w:rPr>
        <w:t xml:space="preserve"> </w:t>
      </w:r>
      <w:r w:rsidR="001C0FC0" w:rsidRPr="00050FA4">
        <w:rPr>
          <w:lang w:val="sq-AL"/>
        </w:rPr>
        <w:t>lekë</w:t>
      </w:r>
      <w:r w:rsidRPr="00050FA4">
        <w:rPr>
          <w:lang w:val="sq-AL"/>
        </w:rPr>
        <w:t>, nga të cilat</w:t>
      </w:r>
      <w:r w:rsidR="009B1D6B" w:rsidRPr="00050FA4">
        <w:rPr>
          <w:lang w:val="sq-AL"/>
        </w:rPr>
        <w:t xml:space="preserve"> </w:t>
      </w:r>
      <w:r w:rsidRPr="00050FA4">
        <w:rPr>
          <w:lang w:val="sq-AL"/>
        </w:rPr>
        <w:t>233.6 miliard</w:t>
      </w:r>
      <w:r w:rsidR="001C0FC0" w:rsidRPr="00050FA4">
        <w:rPr>
          <w:lang w:val="sq-AL"/>
        </w:rPr>
        <w:t>ë</w:t>
      </w:r>
      <w:r w:rsidRPr="00050FA4">
        <w:rPr>
          <w:lang w:val="sq-AL"/>
        </w:rPr>
        <w:t xml:space="preserve"> </w:t>
      </w:r>
      <w:r w:rsidR="001C0FC0" w:rsidRPr="00050FA4">
        <w:rPr>
          <w:lang w:val="sq-AL"/>
        </w:rPr>
        <w:t xml:space="preserve">lekë </w:t>
      </w:r>
      <w:r w:rsidRPr="00050FA4">
        <w:rPr>
          <w:lang w:val="sq-AL"/>
        </w:rPr>
        <w:t>shërbyen për rifinancimin e titujve ekzistues. Në përputhje me objektivat strategjikë, huamarrja e re u realizua kryesis</w:t>
      </w:r>
      <w:r w:rsidR="006B5E92" w:rsidRPr="00050FA4">
        <w:rPr>
          <w:lang w:val="sq-AL"/>
        </w:rPr>
        <w:t>ht nëpërmjet titujve afatgjatë.</w:t>
      </w:r>
    </w:p>
    <w:p w14:paraId="5E05E73F" w14:textId="77777777" w:rsidR="006B5E92" w:rsidRPr="00050FA4" w:rsidRDefault="006B5E92" w:rsidP="003F1DA7">
      <w:pPr>
        <w:pStyle w:val="AAAAAAATEXXXX"/>
        <w:rPr>
          <w:lang w:val="sq-AL"/>
        </w:rPr>
      </w:pPr>
    </w:p>
    <w:p w14:paraId="5E370DA8" w14:textId="1C547347" w:rsidR="005714D0" w:rsidRPr="00050FA4" w:rsidRDefault="005714D0" w:rsidP="003F1DA7">
      <w:pPr>
        <w:pStyle w:val="AAAAAAATEXXXX"/>
        <w:jc w:val="center"/>
        <w:rPr>
          <w:b/>
          <w:i/>
          <w:sz w:val="20"/>
          <w:lang w:val="sq-AL"/>
        </w:rPr>
      </w:pPr>
      <w:r w:rsidRPr="00050FA4">
        <w:rPr>
          <w:rFonts w:cstheme="majorBidi"/>
          <w:b/>
          <w:bCs/>
          <w:i/>
          <w:color w:val="0D0D0D" w:themeColor="text1" w:themeTint="F2"/>
          <w:sz w:val="20"/>
          <w:lang w:val="sq-AL"/>
        </w:rPr>
        <w:t>Tabelë 4.6.2 Huamarrja e Brendshme (</w:t>
      </w:r>
      <w:r w:rsidR="00C04C65" w:rsidRPr="00050FA4">
        <w:rPr>
          <w:rFonts w:cstheme="majorBidi"/>
          <w:b/>
          <w:bCs/>
          <w:i/>
          <w:color w:val="0D0D0D" w:themeColor="text1" w:themeTint="F2"/>
          <w:sz w:val="20"/>
          <w:lang w:val="sq-AL"/>
        </w:rPr>
        <w:t xml:space="preserve">janar –shtator </w:t>
      </w:r>
      <w:r w:rsidRPr="00050FA4">
        <w:rPr>
          <w:rFonts w:cstheme="majorBidi"/>
          <w:b/>
          <w:bCs/>
          <w:i/>
          <w:color w:val="0D0D0D" w:themeColor="text1" w:themeTint="F2"/>
          <w:sz w:val="20"/>
          <w:lang w:val="sq-AL"/>
        </w:rPr>
        <w:t>2021)</w:t>
      </w:r>
    </w:p>
    <w:p w14:paraId="0113C173" w14:textId="51710F76" w:rsidR="005714D0" w:rsidRPr="00050FA4" w:rsidRDefault="005714D0" w:rsidP="003F1DA7">
      <w:pPr>
        <w:ind w:firstLine="284"/>
        <w:jc w:val="center"/>
        <w:rPr>
          <w:rFonts w:ascii="Garamond" w:hAnsi="Garamond" w:cstheme="majorBidi"/>
          <w:color w:val="0D0D0D" w:themeColor="text1" w:themeTint="F2"/>
        </w:rPr>
      </w:pPr>
      <w:r w:rsidRPr="00050FA4">
        <w:rPr>
          <w:rFonts w:ascii="Garamond" w:hAnsi="Garamond" w:cstheme="majorBidi"/>
          <w:noProof/>
          <w:color w:val="0D0D0D" w:themeColor="text1" w:themeTint="F2"/>
          <w:lang w:val="en-US"/>
        </w:rPr>
        <w:drawing>
          <wp:inline distT="0" distB="0" distL="0" distR="0" wp14:anchorId="4C568581" wp14:editId="2E356504">
            <wp:extent cx="6200775" cy="21621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00775" cy="2162175"/>
                    </a:xfrm>
                    <a:prstGeom prst="rect">
                      <a:avLst/>
                    </a:prstGeom>
                    <a:noFill/>
                    <a:ln>
                      <a:noFill/>
                    </a:ln>
                  </pic:spPr>
                </pic:pic>
              </a:graphicData>
            </a:graphic>
          </wp:inline>
        </w:drawing>
      </w:r>
      <w:r w:rsidRPr="00050FA4">
        <w:rPr>
          <w:rFonts w:ascii="Garamond" w:hAnsi="Garamond" w:cstheme="majorBidi"/>
          <w:color w:val="0D0D0D" w:themeColor="text1" w:themeTint="F2"/>
          <w:sz w:val="20"/>
        </w:rPr>
        <w:t>Burimi: Ministria e Financave dhe Ekonomisë (2021)</w:t>
      </w:r>
    </w:p>
    <w:p w14:paraId="6DF0FCF7" w14:textId="77777777" w:rsidR="005714D0" w:rsidRPr="00050FA4" w:rsidRDefault="005714D0" w:rsidP="003F1DA7">
      <w:pPr>
        <w:ind w:firstLine="284"/>
        <w:jc w:val="both"/>
        <w:rPr>
          <w:rFonts w:ascii="Garamond" w:hAnsi="Garamond" w:cstheme="majorBidi"/>
          <w:color w:val="0D0D0D" w:themeColor="text1" w:themeTint="F2"/>
        </w:rPr>
      </w:pPr>
    </w:p>
    <w:p w14:paraId="512585AB" w14:textId="6FB82FC9" w:rsidR="005714D0" w:rsidRPr="00050FA4" w:rsidRDefault="005714D0" w:rsidP="003F1DA7">
      <w:pPr>
        <w:pStyle w:val="AAAAAAATEXXXX"/>
        <w:rPr>
          <w:lang w:val="sq-AL"/>
        </w:rPr>
      </w:pPr>
      <w:r w:rsidRPr="00050FA4">
        <w:rPr>
          <w:lang w:val="sq-AL"/>
        </w:rPr>
        <w:t>Huamarrja e huaj gjatë nëntë muajve të vitit 2021 u realizua në nivelin prej 258 milion</w:t>
      </w:r>
      <w:r w:rsidR="001C0FC0" w:rsidRPr="00050FA4">
        <w:rPr>
          <w:lang w:val="sq-AL"/>
        </w:rPr>
        <w:t>ë</w:t>
      </w:r>
      <w:r w:rsidRPr="00050FA4">
        <w:rPr>
          <w:lang w:val="sq-AL"/>
        </w:rPr>
        <w:t xml:space="preserve"> </w:t>
      </w:r>
      <w:r w:rsidR="001C0FC0" w:rsidRPr="00050FA4">
        <w:rPr>
          <w:lang w:val="sq-AL"/>
        </w:rPr>
        <w:t>euro</w:t>
      </w:r>
      <w:r w:rsidR="00271D1A" w:rsidRPr="00050FA4">
        <w:rPr>
          <w:lang w:val="sq-AL"/>
        </w:rPr>
        <w:t>sh</w:t>
      </w:r>
      <w:r w:rsidRPr="00050FA4">
        <w:rPr>
          <w:lang w:val="sq-AL"/>
        </w:rPr>
        <w:t xml:space="preserve">. </w:t>
      </w:r>
      <w:r w:rsidR="001C0FC0" w:rsidRPr="00050FA4">
        <w:rPr>
          <w:lang w:val="sq-AL"/>
        </w:rPr>
        <w:t>Përveç</w:t>
      </w:r>
      <w:r w:rsidRPr="00050FA4">
        <w:rPr>
          <w:lang w:val="sq-AL"/>
        </w:rPr>
        <w:t xml:space="preserve"> huave për financimin e projekteve nga kreditorët dypalësh dhe shumëpalësh, gjatë kësaj periudhe vlen për t</w:t>
      </w:r>
      <w:r w:rsidR="00F56E92" w:rsidRPr="00050FA4">
        <w:rPr>
          <w:lang w:val="sq-AL"/>
        </w:rPr>
        <w:t>’</w:t>
      </w:r>
      <w:r w:rsidRPr="00050FA4">
        <w:rPr>
          <w:lang w:val="sq-AL"/>
        </w:rPr>
        <w:t>u përmendur:</w:t>
      </w:r>
    </w:p>
    <w:p w14:paraId="53F30397" w14:textId="5B4E4574" w:rsidR="005714D0" w:rsidRPr="00050FA4" w:rsidRDefault="006B5E92" w:rsidP="003F1DA7">
      <w:pPr>
        <w:pStyle w:val="AAAAAAATEXXXX"/>
        <w:rPr>
          <w:lang w:val="sq-AL"/>
        </w:rPr>
      </w:pPr>
      <w:r w:rsidRPr="00050FA4">
        <w:rPr>
          <w:lang w:val="sq-AL"/>
        </w:rPr>
        <w:t xml:space="preserve">- </w:t>
      </w:r>
      <w:r w:rsidR="005714D0" w:rsidRPr="00050FA4">
        <w:rPr>
          <w:lang w:val="sq-AL"/>
        </w:rPr>
        <w:t xml:space="preserve">Mbështetja </w:t>
      </w:r>
      <w:r w:rsidR="00D139DC" w:rsidRPr="00050FA4">
        <w:rPr>
          <w:lang w:val="sq-AL"/>
        </w:rPr>
        <w:t xml:space="preserve">buxhetore </w:t>
      </w:r>
      <w:r w:rsidR="005714D0" w:rsidRPr="00050FA4">
        <w:rPr>
          <w:lang w:val="sq-AL"/>
        </w:rPr>
        <w:t>e Bankë Botërore në vlerën 80 milion</w:t>
      </w:r>
      <w:r w:rsidR="00D139DC" w:rsidRPr="00050FA4">
        <w:rPr>
          <w:lang w:val="sq-AL"/>
        </w:rPr>
        <w:t>ë</w:t>
      </w:r>
      <w:r w:rsidR="005714D0" w:rsidRPr="00050FA4">
        <w:rPr>
          <w:lang w:val="sq-AL"/>
        </w:rPr>
        <w:t xml:space="preserve"> USD në politikat për zhvillimin e qëndrueshmërisë dhe rritjes fiskale.</w:t>
      </w:r>
    </w:p>
    <w:p w14:paraId="2CDD8AA7" w14:textId="4329DA3C" w:rsidR="005714D0" w:rsidRDefault="006B5E92" w:rsidP="003F1DA7">
      <w:pPr>
        <w:pStyle w:val="AAAAAAATEXXXX"/>
        <w:rPr>
          <w:lang w:val="sq-AL"/>
        </w:rPr>
      </w:pPr>
      <w:r w:rsidRPr="00050FA4">
        <w:rPr>
          <w:lang w:val="sq-AL"/>
        </w:rPr>
        <w:t xml:space="preserve">- </w:t>
      </w:r>
      <w:r w:rsidR="005714D0" w:rsidRPr="00050FA4">
        <w:rPr>
          <w:lang w:val="sq-AL"/>
        </w:rPr>
        <w:t xml:space="preserve">Mbështetja </w:t>
      </w:r>
      <w:r w:rsidR="00D139DC" w:rsidRPr="00050FA4">
        <w:rPr>
          <w:lang w:val="sq-AL"/>
        </w:rPr>
        <w:t xml:space="preserve">buxhetore </w:t>
      </w:r>
      <w:r w:rsidR="005714D0" w:rsidRPr="00050FA4">
        <w:rPr>
          <w:lang w:val="sq-AL"/>
        </w:rPr>
        <w:t xml:space="preserve">e Bashkimit </w:t>
      </w:r>
      <w:r w:rsidR="001C0FC0" w:rsidRPr="00050FA4">
        <w:rPr>
          <w:lang w:val="sq-AL"/>
        </w:rPr>
        <w:t>Evropian</w:t>
      </w:r>
      <w:r w:rsidR="005714D0" w:rsidRPr="00050FA4">
        <w:rPr>
          <w:lang w:val="sq-AL"/>
        </w:rPr>
        <w:t>, kësti i parë në vlerën 90 milion</w:t>
      </w:r>
      <w:r w:rsidR="001C0FC0" w:rsidRPr="00050FA4">
        <w:rPr>
          <w:lang w:val="sq-AL"/>
        </w:rPr>
        <w:t>ë</w:t>
      </w:r>
      <w:r w:rsidR="005714D0" w:rsidRPr="00050FA4">
        <w:rPr>
          <w:lang w:val="sq-AL"/>
        </w:rPr>
        <w:t xml:space="preserve"> </w:t>
      </w:r>
      <w:r w:rsidR="001C0FC0" w:rsidRPr="00050FA4">
        <w:rPr>
          <w:lang w:val="sq-AL"/>
        </w:rPr>
        <w:t>euro për asistencën makrofiskale.</w:t>
      </w:r>
    </w:p>
    <w:p w14:paraId="160E5D76" w14:textId="77777777" w:rsidR="00DB1933" w:rsidRDefault="00DB1933" w:rsidP="003F1DA7">
      <w:pPr>
        <w:pStyle w:val="AAAAAAATEXXXX"/>
        <w:rPr>
          <w:lang w:val="sq-AL"/>
        </w:rPr>
      </w:pPr>
    </w:p>
    <w:p w14:paraId="402431C9" w14:textId="77777777" w:rsidR="00DB1933" w:rsidRPr="00050FA4" w:rsidRDefault="00DB1933" w:rsidP="003F1DA7">
      <w:pPr>
        <w:pStyle w:val="AAAAAAATEXXXX"/>
        <w:rPr>
          <w:lang w:val="sq-AL"/>
        </w:rPr>
      </w:pPr>
    </w:p>
    <w:p w14:paraId="37E2E23F" w14:textId="77777777" w:rsidR="00DB1933" w:rsidRDefault="00DB1933" w:rsidP="003F1DA7">
      <w:pPr>
        <w:pStyle w:val="AAAAAAATEXXXX"/>
        <w:jc w:val="center"/>
        <w:rPr>
          <w:lang w:val="sq-AL"/>
        </w:rPr>
      </w:pPr>
    </w:p>
    <w:p w14:paraId="4A1CF77E" w14:textId="4796D585" w:rsidR="005714D0" w:rsidRPr="00050FA4" w:rsidRDefault="005714D0" w:rsidP="003F1DA7">
      <w:pPr>
        <w:pStyle w:val="AAAAAAATEXXXX"/>
        <w:jc w:val="center"/>
        <w:rPr>
          <w:b/>
          <w:i/>
          <w:sz w:val="20"/>
          <w:lang w:val="sq-AL"/>
        </w:rPr>
      </w:pPr>
      <w:r w:rsidRPr="00050FA4">
        <w:rPr>
          <w:b/>
          <w:i/>
          <w:sz w:val="20"/>
          <w:lang w:val="sq-AL"/>
        </w:rPr>
        <w:t xml:space="preserve">Tabelë 4.6.3 Huamarrja e </w:t>
      </w:r>
      <w:r w:rsidR="00D139DC" w:rsidRPr="00050FA4">
        <w:rPr>
          <w:b/>
          <w:i/>
          <w:sz w:val="20"/>
          <w:lang w:val="sq-AL"/>
        </w:rPr>
        <w:t>huaj</w:t>
      </w:r>
    </w:p>
    <w:p w14:paraId="544F79E9" w14:textId="71053ECA" w:rsidR="005714D0" w:rsidRPr="00050FA4" w:rsidRDefault="005714D0" w:rsidP="003F1DA7">
      <w:pPr>
        <w:pStyle w:val="AAAAAAATEXXXX"/>
        <w:jc w:val="center"/>
        <w:rPr>
          <w:lang w:val="sq-AL"/>
        </w:rPr>
      </w:pPr>
      <w:r w:rsidRPr="00050FA4">
        <w:rPr>
          <w:noProof/>
        </w:rPr>
        <w:drawing>
          <wp:inline distT="0" distB="0" distL="0" distR="0" wp14:anchorId="2E4C900A" wp14:editId="18CC4F27">
            <wp:extent cx="5972175" cy="14382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72175" cy="1438275"/>
                    </a:xfrm>
                    <a:prstGeom prst="rect">
                      <a:avLst/>
                    </a:prstGeom>
                    <a:noFill/>
                    <a:ln>
                      <a:noFill/>
                    </a:ln>
                  </pic:spPr>
                </pic:pic>
              </a:graphicData>
            </a:graphic>
          </wp:inline>
        </w:drawing>
      </w:r>
    </w:p>
    <w:p w14:paraId="0804B105"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3707CA55" w14:textId="77777777" w:rsidR="005714D0" w:rsidRPr="00050FA4" w:rsidRDefault="005714D0" w:rsidP="003F1DA7">
      <w:pPr>
        <w:ind w:firstLine="284"/>
        <w:rPr>
          <w:rFonts w:ascii="Garamond" w:hAnsi="Garamond" w:cstheme="majorBidi"/>
          <w:i/>
          <w:color w:val="0D0D0D" w:themeColor="text1" w:themeTint="F2"/>
          <w:sz w:val="20"/>
        </w:rPr>
      </w:pPr>
    </w:p>
    <w:p w14:paraId="40E9FD97" w14:textId="6440F916" w:rsidR="005714D0" w:rsidRPr="00050FA4" w:rsidRDefault="005714D0" w:rsidP="003F1DA7">
      <w:pPr>
        <w:pStyle w:val="AAAAAAATEXXXX"/>
        <w:rPr>
          <w:b/>
          <w:lang w:val="sq-AL"/>
        </w:rPr>
      </w:pPr>
      <w:r w:rsidRPr="00050FA4">
        <w:rPr>
          <w:b/>
          <w:lang w:val="sq-AL"/>
        </w:rPr>
        <w:t>Kosto</w:t>
      </w:r>
      <w:r w:rsidR="004F5490" w:rsidRPr="00050FA4">
        <w:rPr>
          <w:b/>
          <w:lang w:val="sq-AL"/>
        </w:rPr>
        <w:t>t</w:t>
      </w:r>
      <w:r w:rsidRPr="00050FA4">
        <w:rPr>
          <w:b/>
          <w:lang w:val="sq-AL"/>
        </w:rPr>
        <w:t xml:space="preserve"> dhe </w:t>
      </w:r>
      <w:r w:rsidR="000B1526" w:rsidRPr="00050FA4">
        <w:rPr>
          <w:b/>
          <w:lang w:val="sq-AL"/>
        </w:rPr>
        <w:t>risqet</w:t>
      </w:r>
    </w:p>
    <w:p w14:paraId="6BB2541B" w14:textId="1924D044" w:rsidR="005714D0" w:rsidRPr="00050FA4" w:rsidRDefault="005714D0" w:rsidP="003F1DA7">
      <w:pPr>
        <w:pStyle w:val="AAAAAAATEXXXX"/>
        <w:rPr>
          <w:lang w:val="sq-AL"/>
        </w:rPr>
      </w:pPr>
      <w:r w:rsidRPr="00050FA4">
        <w:rPr>
          <w:lang w:val="sq-AL"/>
        </w:rPr>
        <w:t>Kushtet e favorshme në tregjet e brendshme dhe të jashtme për</w:t>
      </w:r>
      <w:r w:rsidR="001C0FC0" w:rsidRPr="00050FA4">
        <w:rPr>
          <w:lang w:val="sq-AL"/>
        </w:rPr>
        <w:t xml:space="preserve"> </w:t>
      </w:r>
      <w:r w:rsidRPr="00050FA4">
        <w:rPr>
          <w:lang w:val="sq-AL"/>
        </w:rPr>
        <w:t>sa i përket kërkesës për borxh</w:t>
      </w:r>
      <w:r w:rsidR="008E49D4" w:rsidRPr="00050FA4">
        <w:rPr>
          <w:lang w:val="sq-AL"/>
        </w:rPr>
        <w:t>,</w:t>
      </w:r>
      <w:r w:rsidRPr="00050FA4">
        <w:rPr>
          <w:lang w:val="sq-AL"/>
        </w:rPr>
        <w:t xml:space="preserve"> si dhe mjedisi i favorshëm i normave të interesit, shoqëruar me një strategji huamarrje të mbështetur kryesisht në titujt afatgjatë me norma interesi fikse, mundësuan reduktimin e mëtejshëm të ekspozimit ndaj risqeve si edhe mbajtjen e kostos nën </w:t>
      </w:r>
      <w:r w:rsidR="001C0FC0" w:rsidRPr="00050FA4">
        <w:rPr>
          <w:lang w:val="sq-AL"/>
        </w:rPr>
        <w:t>kontroll</w:t>
      </w:r>
      <w:r w:rsidRPr="00050FA4">
        <w:rPr>
          <w:lang w:val="sq-AL"/>
        </w:rPr>
        <w:t>.</w:t>
      </w:r>
    </w:p>
    <w:p w14:paraId="64DC6311" w14:textId="77777777" w:rsidR="006B1843" w:rsidRPr="00050FA4" w:rsidRDefault="005714D0" w:rsidP="003F1DA7">
      <w:pPr>
        <w:pStyle w:val="AAAAAAATEXXXX"/>
        <w:rPr>
          <w:lang w:val="sq-AL"/>
        </w:rPr>
      </w:pPr>
      <w:r w:rsidRPr="00050FA4">
        <w:rPr>
          <w:lang w:val="sq-AL"/>
        </w:rPr>
        <w:t>Gjithashtu, në portofolin e borxhit të brendshëm ka vazhduar përmirësimi i mëtejshëm i raportit kosto risk, dhe YMP ka shënuar rënie pavarësisht rritjes së peshës së instrumenteve afatgjata në portofol.</w:t>
      </w:r>
    </w:p>
    <w:p w14:paraId="3351903D" w14:textId="75D16195" w:rsidR="005714D0" w:rsidRPr="00050FA4" w:rsidRDefault="005714D0" w:rsidP="003F1DA7">
      <w:pPr>
        <w:pStyle w:val="AAAAAAATEXXXX"/>
        <w:rPr>
          <w:lang w:val="sq-AL"/>
        </w:rPr>
      </w:pPr>
      <w:r w:rsidRPr="00050FA4">
        <w:rPr>
          <w:lang w:val="sq-AL"/>
        </w:rPr>
        <w:t xml:space="preserve"> </w:t>
      </w:r>
    </w:p>
    <w:p w14:paraId="38E3D909" w14:textId="10E96535" w:rsidR="005714D0" w:rsidRPr="00050FA4" w:rsidRDefault="005714D0" w:rsidP="006B1843">
      <w:pPr>
        <w:pStyle w:val="AAAAAAATEXXXX"/>
        <w:jc w:val="center"/>
        <w:rPr>
          <w:b/>
          <w:i/>
          <w:sz w:val="20"/>
          <w:lang w:val="sq-AL"/>
        </w:rPr>
      </w:pPr>
      <w:r w:rsidRPr="00050FA4">
        <w:rPr>
          <w:b/>
          <w:i/>
          <w:sz w:val="20"/>
          <w:lang w:val="sq-AL"/>
        </w:rPr>
        <w:t xml:space="preserve">Grafik 4.6.3 Borxhi i </w:t>
      </w:r>
      <w:r w:rsidR="006B1843" w:rsidRPr="00050FA4">
        <w:rPr>
          <w:b/>
          <w:i/>
          <w:sz w:val="20"/>
          <w:lang w:val="sq-AL"/>
        </w:rPr>
        <w:t>brendshëm afatshkurtër/borxhi i brendshëm afatgja</w:t>
      </w:r>
      <w:r w:rsidRPr="00050FA4">
        <w:rPr>
          <w:b/>
          <w:i/>
          <w:sz w:val="20"/>
          <w:lang w:val="sq-AL"/>
        </w:rPr>
        <w:t>të &amp; YMP</w:t>
      </w:r>
    </w:p>
    <w:p w14:paraId="180A12C0" w14:textId="50D3AD81" w:rsidR="005714D0" w:rsidRPr="00050FA4" w:rsidRDefault="005714D0" w:rsidP="003F1DA7">
      <w:pPr>
        <w:ind w:firstLine="284"/>
        <w:jc w:val="center"/>
        <w:rPr>
          <w:rFonts w:ascii="Garamond" w:hAnsi="Garamond" w:cstheme="majorBidi"/>
          <w:i/>
          <w:color w:val="0D0D0D" w:themeColor="text1" w:themeTint="F2"/>
        </w:rPr>
      </w:pPr>
      <w:r w:rsidRPr="00050FA4">
        <w:rPr>
          <w:rFonts w:ascii="Garamond" w:hAnsi="Garamond" w:cstheme="majorBidi"/>
          <w:bCs/>
          <w:noProof/>
          <w:color w:val="0D0D0D" w:themeColor="text1" w:themeTint="F2"/>
          <w:lang w:val="en-US"/>
        </w:rPr>
        <w:drawing>
          <wp:inline distT="0" distB="0" distL="0" distR="0" wp14:anchorId="4A3E91DE" wp14:editId="13983270">
            <wp:extent cx="5629275" cy="21907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29275" cy="2190750"/>
                    </a:xfrm>
                    <a:prstGeom prst="rect">
                      <a:avLst/>
                    </a:prstGeom>
                    <a:noFill/>
                    <a:ln>
                      <a:noFill/>
                    </a:ln>
                  </pic:spPr>
                </pic:pic>
              </a:graphicData>
            </a:graphic>
          </wp:inline>
        </w:drawing>
      </w:r>
    </w:p>
    <w:p w14:paraId="557E197A"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61A45355" w14:textId="77777777" w:rsidR="005714D0" w:rsidRPr="00050FA4" w:rsidRDefault="005714D0" w:rsidP="003F1DA7">
      <w:pPr>
        <w:widowControl w:val="0"/>
        <w:ind w:firstLine="284"/>
        <w:jc w:val="both"/>
        <w:rPr>
          <w:rFonts w:ascii="Garamond" w:hAnsi="Garamond" w:cstheme="majorBidi"/>
          <w:i/>
          <w:color w:val="0D0D0D" w:themeColor="text1" w:themeTint="F2"/>
        </w:rPr>
      </w:pPr>
    </w:p>
    <w:p w14:paraId="781DC0F0" w14:textId="2BC793BE" w:rsidR="005714D0" w:rsidRPr="00050FA4" w:rsidRDefault="005714D0" w:rsidP="003F1DA7">
      <w:pPr>
        <w:pStyle w:val="AAAAAAATEXXXX"/>
        <w:rPr>
          <w:lang w:val="sq-AL"/>
        </w:rPr>
      </w:pPr>
      <w:r w:rsidRPr="00050FA4">
        <w:rPr>
          <w:lang w:val="sq-AL"/>
        </w:rPr>
        <w:t>Shpenzimet për interesa gjatë periudhës janar</w:t>
      </w:r>
      <w:r w:rsidR="001C0FC0" w:rsidRPr="00050FA4">
        <w:rPr>
          <w:lang w:val="sq-AL"/>
        </w:rPr>
        <w:t>–</w:t>
      </w:r>
      <w:r w:rsidRPr="00050FA4">
        <w:rPr>
          <w:lang w:val="sq-AL"/>
        </w:rPr>
        <w:t>shtator të vitit 2021 janë vlerësuar në 28.4 miliard</w:t>
      </w:r>
      <w:r w:rsidR="00B83744" w:rsidRPr="00050FA4">
        <w:rPr>
          <w:lang w:val="sq-AL"/>
        </w:rPr>
        <w:t>ë</w:t>
      </w:r>
      <w:r w:rsidRPr="00050FA4">
        <w:rPr>
          <w:lang w:val="sq-AL"/>
        </w:rPr>
        <w:t xml:space="preserve"> </w:t>
      </w:r>
      <w:r w:rsidR="00B83744" w:rsidRPr="00050FA4">
        <w:rPr>
          <w:lang w:val="sq-AL"/>
        </w:rPr>
        <w:t>l</w:t>
      </w:r>
      <w:r w:rsidRPr="00050FA4">
        <w:rPr>
          <w:lang w:val="sq-AL"/>
        </w:rPr>
        <w:t>ekë. Krahasuar me të njëjtën periudhë të vitit 2020, shpenzimet për interesa të borxhit shtetëror janë rritur me 3.8 miliard</w:t>
      </w:r>
      <w:r w:rsidR="00B83744" w:rsidRPr="00050FA4">
        <w:rPr>
          <w:lang w:val="sq-AL"/>
        </w:rPr>
        <w:t>ë</w:t>
      </w:r>
      <w:r w:rsidRPr="00050FA4">
        <w:rPr>
          <w:lang w:val="sq-AL"/>
        </w:rPr>
        <w:t xml:space="preserve"> </w:t>
      </w:r>
      <w:r w:rsidR="00B83744" w:rsidRPr="00050FA4">
        <w:rPr>
          <w:lang w:val="sq-AL"/>
        </w:rPr>
        <w:t>l</w:t>
      </w:r>
      <w:r w:rsidRPr="00050FA4">
        <w:rPr>
          <w:lang w:val="sq-AL"/>
        </w:rPr>
        <w:t>ekë, kryesisht si rezultat i një stoku më të lartë të borxhit për periudhën e referuar.</w:t>
      </w:r>
    </w:p>
    <w:p w14:paraId="287FA7F5" w14:textId="77777777" w:rsidR="005714D0" w:rsidRPr="00050FA4" w:rsidRDefault="005714D0" w:rsidP="003F1DA7">
      <w:pPr>
        <w:widowControl w:val="0"/>
        <w:ind w:firstLine="284"/>
        <w:jc w:val="both"/>
        <w:rPr>
          <w:rFonts w:ascii="Garamond" w:hAnsi="Garamond" w:cstheme="majorBidi"/>
          <w:bCs/>
          <w:color w:val="0D0D0D" w:themeColor="text1" w:themeTint="F2"/>
        </w:rPr>
      </w:pPr>
    </w:p>
    <w:p w14:paraId="445B23B7" w14:textId="3FED8B04" w:rsidR="005714D0" w:rsidRPr="00050FA4" w:rsidRDefault="005714D0" w:rsidP="003F1DA7">
      <w:pPr>
        <w:widowControl w:val="0"/>
        <w:ind w:firstLine="284"/>
        <w:jc w:val="center"/>
        <w:rPr>
          <w:rFonts w:ascii="Garamond" w:hAnsi="Garamond" w:cstheme="majorBidi"/>
          <w:b/>
          <w:bCs/>
          <w:i/>
          <w:color w:val="0D0D0D" w:themeColor="text1" w:themeTint="F2"/>
          <w:sz w:val="20"/>
        </w:rPr>
      </w:pPr>
      <w:r w:rsidRPr="00050FA4">
        <w:rPr>
          <w:rFonts w:ascii="Garamond" w:hAnsi="Garamond" w:cstheme="majorBidi"/>
          <w:b/>
          <w:bCs/>
          <w:i/>
          <w:color w:val="0D0D0D" w:themeColor="text1" w:themeTint="F2"/>
          <w:sz w:val="20"/>
        </w:rPr>
        <w:t xml:space="preserve">Grafiku 4.6.4 Interesat e </w:t>
      </w:r>
      <w:r w:rsidR="00B83744" w:rsidRPr="00050FA4">
        <w:rPr>
          <w:rFonts w:ascii="Garamond" w:hAnsi="Garamond" w:cstheme="majorBidi"/>
          <w:b/>
          <w:bCs/>
          <w:i/>
          <w:color w:val="0D0D0D" w:themeColor="text1" w:themeTint="F2"/>
          <w:sz w:val="20"/>
        </w:rPr>
        <w:t xml:space="preserve">borxhit shtetëror </w:t>
      </w:r>
      <w:r w:rsidRPr="00050FA4">
        <w:rPr>
          <w:rFonts w:ascii="Garamond" w:hAnsi="Garamond" w:cstheme="majorBidi"/>
          <w:b/>
          <w:bCs/>
          <w:i/>
          <w:color w:val="0D0D0D" w:themeColor="text1" w:themeTint="F2"/>
          <w:sz w:val="20"/>
        </w:rPr>
        <w:t>në vlerë absolute dhe relative ndaj PBB</w:t>
      </w:r>
      <w:r w:rsidR="00B83744" w:rsidRPr="00050FA4">
        <w:rPr>
          <w:rFonts w:ascii="Garamond" w:hAnsi="Garamond" w:cstheme="majorBidi"/>
          <w:b/>
          <w:bCs/>
          <w:i/>
          <w:color w:val="0D0D0D" w:themeColor="text1" w:themeTint="F2"/>
          <w:sz w:val="20"/>
        </w:rPr>
        <w:t>-së</w:t>
      </w:r>
    </w:p>
    <w:p w14:paraId="777608C8" w14:textId="6450685C" w:rsidR="005714D0" w:rsidRPr="00050FA4" w:rsidRDefault="005714D0" w:rsidP="003F1DA7">
      <w:pPr>
        <w:widowControl w:val="0"/>
        <w:ind w:firstLine="284"/>
        <w:jc w:val="center"/>
        <w:rPr>
          <w:rFonts w:ascii="Garamond" w:hAnsi="Garamond" w:cstheme="majorBidi"/>
          <w:bCs/>
          <w:color w:val="0D0D0D" w:themeColor="text1" w:themeTint="F2"/>
        </w:rPr>
      </w:pPr>
      <w:r w:rsidRPr="00050FA4">
        <w:rPr>
          <w:rFonts w:ascii="Garamond" w:hAnsi="Garamond" w:cstheme="majorBidi"/>
          <w:bCs/>
          <w:noProof/>
          <w:color w:val="0D0D0D" w:themeColor="text1" w:themeTint="F2"/>
          <w:lang w:val="en-US"/>
        </w:rPr>
        <w:drawing>
          <wp:inline distT="0" distB="0" distL="0" distR="0" wp14:anchorId="5D6EE15D" wp14:editId="63919D67">
            <wp:extent cx="5524500" cy="2057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24500" cy="2057400"/>
                    </a:xfrm>
                    <a:prstGeom prst="rect">
                      <a:avLst/>
                    </a:prstGeom>
                    <a:noFill/>
                    <a:ln>
                      <a:noFill/>
                    </a:ln>
                  </pic:spPr>
                </pic:pic>
              </a:graphicData>
            </a:graphic>
          </wp:inline>
        </w:drawing>
      </w:r>
    </w:p>
    <w:p w14:paraId="063BD0AE"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3FC1459A" w14:textId="77777777" w:rsidR="005714D0" w:rsidRPr="00050FA4" w:rsidRDefault="005714D0" w:rsidP="003F1DA7">
      <w:pPr>
        <w:ind w:firstLine="284"/>
        <w:rPr>
          <w:rFonts w:ascii="Garamond" w:hAnsi="Garamond" w:cstheme="majorBidi"/>
          <w:i/>
          <w:color w:val="0D0D0D" w:themeColor="text1" w:themeTint="F2"/>
        </w:rPr>
      </w:pPr>
    </w:p>
    <w:p w14:paraId="74980D18" w14:textId="3D1956B5" w:rsidR="005714D0" w:rsidRPr="00050FA4" w:rsidRDefault="005714D0" w:rsidP="003F1DA7">
      <w:pPr>
        <w:pStyle w:val="AAAAAAATEXXXX"/>
        <w:rPr>
          <w:lang w:val="sq-AL"/>
        </w:rPr>
      </w:pPr>
      <w:r w:rsidRPr="00050FA4">
        <w:rPr>
          <w:lang w:val="sq-AL"/>
        </w:rPr>
        <w:lastRenderedPageBreak/>
        <w:t>Në periudhën afatmesme, pritet një rritje graduale e shpenzimeve për interesa në vlerë nominale, kryesisht si rezultat i rritjes së stokut të borxhit. Gjithashtu, në terma relativ</w:t>
      </w:r>
      <w:r w:rsidR="00A7354F" w:rsidRPr="00050FA4">
        <w:rPr>
          <w:lang w:val="sq-AL"/>
        </w:rPr>
        <w:t>ë</w:t>
      </w:r>
      <w:r w:rsidRPr="00050FA4">
        <w:rPr>
          <w:lang w:val="sq-AL"/>
        </w:rPr>
        <w:t xml:space="preserve"> ndaj PBB</w:t>
      </w:r>
      <w:r w:rsidR="001C0FC0" w:rsidRPr="00050FA4">
        <w:rPr>
          <w:lang w:val="sq-AL"/>
        </w:rPr>
        <w:t>-së</w:t>
      </w:r>
      <w:r w:rsidRPr="00050FA4">
        <w:rPr>
          <w:lang w:val="sq-AL"/>
        </w:rPr>
        <w:t xml:space="preserve"> dhe të ardhurave tatimore, kosto e borxhit pritet të rritet gradualisht.</w:t>
      </w:r>
      <w:r w:rsidR="009B1D6B" w:rsidRPr="00050FA4">
        <w:rPr>
          <w:lang w:val="sq-AL"/>
        </w:rPr>
        <w:t xml:space="preserve"> </w:t>
      </w:r>
    </w:p>
    <w:p w14:paraId="591609E4" w14:textId="77777777" w:rsidR="005714D0" w:rsidRPr="00050FA4" w:rsidRDefault="005714D0" w:rsidP="003F1DA7">
      <w:pPr>
        <w:pStyle w:val="AAAAAAATEXXXX"/>
        <w:rPr>
          <w:bCs/>
          <w:lang w:val="sq-AL"/>
        </w:rPr>
      </w:pPr>
    </w:p>
    <w:p w14:paraId="3D864AB7" w14:textId="52A8A507" w:rsidR="005714D0" w:rsidRPr="00050FA4" w:rsidRDefault="005714D0" w:rsidP="006B1843">
      <w:pPr>
        <w:pStyle w:val="AAAAAAATEXXXX"/>
        <w:jc w:val="center"/>
        <w:rPr>
          <w:b/>
          <w:bCs/>
          <w:i/>
          <w:sz w:val="20"/>
          <w:lang w:val="sq-AL"/>
        </w:rPr>
      </w:pPr>
      <w:r w:rsidRPr="00050FA4">
        <w:rPr>
          <w:b/>
          <w:bCs/>
          <w:i/>
          <w:sz w:val="20"/>
          <w:lang w:val="sq-AL"/>
        </w:rPr>
        <w:t xml:space="preserve">Grafik 4.6.5 Shpenzimet për </w:t>
      </w:r>
      <w:r w:rsidR="006B1843" w:rsidRPr="00050FA4">
        <w:rPr>
          <w:b/>
          <w:bCs/>
          <w:i/>
          <w:sz w:val="20"/>
          <w:lang w:val="sq-AL"/>
        </w:rPr>
        <w:t xml:space="preserve">interesa dhe interesa </w:t>
      </w:r>
      <w:r w:rsidRPr="00050FA4">
        <w:rPr>
          <w:b/>
          <w:bCs/>
          <w:i/>
          <w:sz w:val="20"/>
          <w:lang w:val="sq-AL"/>
        </w:rPr>
        <w:t xml:space="preserve">ndaj PBB-së dhe </w:t>
      </w:r>
      <w:r w:rsidR="006B1843" w:rsidRPr="00050FA4">
        <w:rPr>
          <w:b/>
          <w:bCs/>
          <w:i/>
          <w:sz w:val="20"/>
          <w:lang w:val="sq-AL"/>
        </w:rPr>
        <w:t>të ardhurave tatimor</w:t>
      </w:r>
      <w:r w:rsidRPr="00050FA4">
        <w:rPr>
          <w:b/>
          <w:bCs/>
          <w:i/>
          <w:sz w:val="20"/>
          <w:lang w:val="sq-AL"/>
        </w:rPr>
        <w:t>e</w:t>
      </w:r>
    </w:p>
    <w:p w14:paraId="63ED34FB" w14:textId="55B22091" w:rsidR="005714D0" w:rsidRPr="00050FA4" w:rsidRDefault="005714D0" w:rsidP="003F1DA7">
      <w:pPr>
        <w:widowControl w:val="0"/>
        <w:ind w:firstLine="284"/>
        <w:jc w:val="center"/>
        <w:rPr>
          <w:rFonts w:ascii="Garamond" w:hAnsi="Garamond" w:cstheme="majorBidi"/>
          <w:bCs/>
          <w:color w:val="0D0D0D" w:themeColor="text1" w:themeTint="F2"/>
        </w:rPr>
      </w:pPr>
      <w:r w:rsidRPr="00050FA4">
        <w:rPr>
          <w:rFonts w:ascii="Garamond" w:hAnsi="Garamond" w:cstheme="majorBidi"/>
          <w:bCs/>
          <w:noProof/>
          <w:color w:val="0D0D0D" w:themeColor="text1" w:themeTint="F2"/>
          <w:lang w:val="en-US"/>
        </w:rPr>
        <w:drawing>
          <wp:inline distT="0" distB="0" distL="0" distR="0" wp14:anchorId="01C8A653" wp14:editId="34590218">
            <wp:extent cx="5591175" cy="24193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91175" cy="2419350"/>
                    </a:xfrm>
                    <a:prstGeom prst="rect">
                      <a:avLst/>
                    </a:prstGeom>
                    <a:noFill/>
                    <a:ln>
                      <a:noFill/>
                    </a:ln>
                  </pic:spPr>
                </pic:pic>
              </a:graphicData>
            </a:graphic>
          </wp:inline>
        </w:drawing>
      </w:r>
    </w:p>
    <w:p w14:paraId="1E166D9B"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5D77A6C7" w14:textId="77777777" w:rsidR="005714D0" w:rsidRPr="00050FA4" w:rsidRDefault="005714D0" w:rsidP="003F1DA7">
      <w:pPr>
        <w:widowControl w:val="0"/>
        <w:ind w:firstLine="284"/>
        <w:jc w:val="both"/>
        <w:rPr>
          <w:rFonts w:ascii="Garamond" w:hAnsi="Garamond" w:cstheme="majorBidi"/>
          <w:color w:val="0D0D0D" w:themeColor="text1" w:themeTint="F2"/>
        </w:rPr>
      </w:pPr>
    </w:p>
    <w:p w14:paraId="52460778" w14:textId="5F5EB21A" w:rsidR="005714D0" w:rsidRPr="00050FA4" w:rsidRDefault="005714D0" w:rsidP="003F1DA7">
      <w:pPr>
        <w:pStyle w:val="AAAAAAATEXXXX"/>
        <w:rPr>
          <w:lang w:val="sq-AL"/>
        </w:rPr>
      </w:pPr>
      <w:r w:rsidRPr="00050FA4">
        <w:rPr>
          <w:lang w:val="sq-AL"/>
        </w:rPr>
        <w:t>Reduktimi i riskut të rifinancimit dhe riskut të normave të interesit në tregun e brendshëm është ndër objektivat parësor</w:t>
      </w:r>
      <w:r w:rsidR="00BA32E8" w:rsidRPr="00050FA4">
        <w:rPr>
          <w:lang w:val="sq-AL"/>
        </w:rPr>
        <w:t>ë</w:t>
      </w:r>
      <w:r w:rsidRPr="00050FA4">
        <w:rPr>
          <w:lang w:val="sq-AL"/>
        </w:rPr>
        <w:t xml:space="preserve"> në menaxhimin e portofolit të borxhit. Në këtë drejtim, pavarësisht situatës së krijuar nga përhapja së pandemisë </w:t>
      </w:r>
      <w:r w:rsidR="006B1843" w:rsidRPr="00050FA4">
        <w:rPr>
          <w:lang w:val="sq-AL"/>
        </w:rPr>
        <w:t>COVID-</w:t>
      </w:r>
      <w:r w:rsidRPr="00050FA4">
        <w:rPr>
          <w:lang w:val="sq-AL"/>
        </w:rPr>
        <w:t xml:space="preserve">19, e cila shkaktoi një rritje të nevojave për huamarrje, raportet e riskut në portofolin e borxhit të brendshëm kanë qenë në nivele të qëndrueshme. </w:t>
      </w:r>
    </w:p>
    <w:p w14:paraId="0EC4AC1C" w14:textId="3FCD18E3" w:rsidR="005714D0" w:rsidRPr="00050FA4" w:rsidRDefault="005714D0" w:rsidP="003F1DA7">
      <w:pPr>
        <w:pStyle w:val="AAAAAAATEXXXX"/>
        <w:rPr>
          <w:lang w:val="sq-AL"/>
        </w:rPr>
      </w:pPr>
      <w:r w:rsidRPr="00050FA4">
        <w:rPr>
          <w:lang w:val="sq-AL"/>
        </w:rPr>
        <w:t>Borxhi i jashtëm paraqet më pak risk se borxhi i brendshëm, kryesisht pasi është i kompozuar nga instrumente me afat të gjatë maturimi dhe një pjesë e konsiderueshme e tij është me terma koncesional</w:t>
      </w:r>
      <w:r w:rsidR="00A7354F" w:rsidRPr="00050FA4">
        <w:rPr>
          <w:lang w:val="sq-AL"/>
        </w:rPr>
        <w:t>ë</w:t>
      </w:r>
      <w:r w:rsidRPr="00050FA4">
        <w:rPr>
          <w:lang w:val="sq-AL"/>
        </w:rPr>
        <w:t>.</w:t>
      </w:r>
    </w:p>
    <w:p w14:paraId="142EF224" w14:textId="77777777" w:rsidR="005714D0" w:rsidRPr="00050FA4" w:rsidRDefault="005714D0" w:rsidP="003F1DA7">
      <w:pPr>
        <w:pStyle w:val="AAAAAAATEXXXX"/>
        <w:rPr>
          <w:lang w:val="sq-AL"/>
        </w:rPr>
      </w:pPr>
      <w:r w:rsidRPr="00050FA4">
        <w:rPr>
          <w:lang w:val="sq-AL"/>
        </w:rPr>
        <w:t>Risku i rifinancimit është përmirësuar si rezultat i reduktimit të peshës së instrumenteve afatshkurtra. Jetëgjatësia e borxhit të brendshëm është rritur duke prekur nivelin e 796 ditëve në fund të muajit shtator 2021, krahasuar me 783 ditë në fund të vitit 2020.</w:t>
      </w:r>
    </w:p>
    <w:p w14:paraId="680C03D3" w14:textId="63EE8BC0" w:rsidR="005714D0" w:rsidRPr="00050FA4" w:rsidRDefault="005714D0" w:rsidP="003F1DA7">
      <w:pPr>
        <w:pStyle w:val="AAAAAAATEXXXX"/>
        <w:rPr>
          <w:lang w:val="sq-AL"/>
        </w:rPr>
      </w:pPr>
      <w:r w:rsidRPr="00050FA4">
        <w:rPr>
          <w:lang w:val="sq-AL"/>
        </w:rPr>
        <w:t>Risku i normave të interesit</w:t>
      </w:r>
      <w:r w:rsidR="00D5447B" w:rsidRPr="00050FA4">
        <w:rPr>
          <w:lang w:val="sq-AL"/>
        </w:rPr>
        <w:t>,</w:t>
      </w:r>
      <w:r w:rsidRPr="00050FA4">
        <w:rPr>
          <w:lang w:val="sq-AL"/>
        </w:rPr>
        <w:t xml:space="preserve"> gjithashtu</w:t>
      </w:r>
      <w:r w:rsidR="00D5447B" w:rsidRPr="00050FA4">
        <w:rPr>
          <w:lang w:val="sq-AL"/>
        </w:rPr>
        <w:t>,</w:t>
      </w:r>
      <w:r w:rsidRPr="00050FA4">
        <w:rPr>
          <w:lang w:val="sq-AL"/>
        </w:rPr>
        <w:t xml:space="preserve"> është përmirësuar, si rezultat i reduktimit të peshës së instrumenteve me afat të shkurtër maturimi dhe instrumenteve me norma interesi të ndryshueshme. Koha mesatare e rivlerësimit të normës së interesit është rritur nga 2.14 në 2.19 vite. Ndërkohë, pesha e instrumenteve që rivlerësojnë normën e interesit në harkun kohor të një viti është rritur nga 46.7% në </w:t>
      </w:r>
      <w:r w:rsidR="00D5447B" w:rsidRPr="00050FA4">
        <w:rPr>
          <w:lang w:val="sq-AL"/>
        </w:rPr>
        <w:t xml:space="preserve">dhjetor </w:t>
      </w:r>
      <w:r w:rsidRPr="00050FA4">
        <w:rPr>
          <w:lang w:val="sq-AL"/>
        </w:rPr>
        <w:t xml:space="preserve">2020 në 49% në </w:t>
      </w:r>
      <w:r w:rsidR="00D5447B" w:rsidRPr="00050FA4">
        <w:rPr>
          <w:lang w:val="sq-AL"/>
        </w:rPr>
        <w:t xml:space="preserve">shtator </w:t>
      </w:r>
      <w:r w:rsidRPr="00050FA4">
        <w:rPr>
          <w:lang w:val="sq-AL"/>
        </w:rPr>
        <w:t>2021, si rezultat i përfshirjes rregullisht të instrumenteve</w:t>
      </w:r>
      <w:r w:rsidR="009B1D6B" w:rsidRPr="00050FA4">
        <w:rPr>
          <w:lang w:val="sq-AL"/>
        </w:rPr>
        <w:t xml:space="preserve"> </w:t>
      </w:r>
      <w:r w:rsidRPr="00050FA4">
        <w:rPr>
          <w:lang w:val="sq-AL"/>
        </w:rPr>
        <w:t xml:space="preserve">me maturim afatshkurtër (3M dhe 6M) në ankandet e tregut </w:t>
      </w:r>
      <w:r w:rsidR="00643BAF" w:rsidRPr="00050FA4">
        <w:rPr>
          <w:lang w:val="sq-AL"/>
        </w:rPr>
        <w:t>vendës</w:t>
      </w:r>
      <w:r w:rsidRPr="00050FA4">
        <w:rPr>
          <w:lang w:val="sq-AL"/>
        </w:rPr>
        <w:t xml:space="preserve">. </w:t>
      </w:r>
    </w:p>
    <w:p w14:paraId="2FFBB10F" w14:textId="77777777" w:rsidR="005714D0" w:rsidRPr="00050FA4" w:rsidRDefault="005714D0" w:rsidP="003F1DA7">
      <w:pPr>
        <w:widowControl w:val="0"/>
        <w:ind w:firstLine="284"/>
        <w:jc w:val="both"/>
        <w:rPr>
          <w:rFonts w:ascii="Garamond" w:hAnsi="Garamond" w:cstheme="majorBidi"/>
          <w:color w:val="0D0D0D" w:themeColor="text1" w:themeTint="F2"/>
        </w:rPr>
      </w:pPr>
    </w:p>
    <w:p w14:paraId="65C46C81" w14:textId="4E0F341D" w:rsidR="005714D0" w:rsidRPr="00050FA4" w:rsidRDefault="005714D0" w:rsidP="003F1DA7">
      <w:pPr>
        <w:pStyle w:val="AAAAAAATEXXXX"/>
        <w:jc w:val="center"/>
        <w:rPr>
          <w:b/>
          <w:i/>
          <w:sz w:val="20"/>
          <w:lang w:val="sq-AL"/>
        </w:rPr>
      </w:pPr>
      <w:r w:rsidRPr="00050FA4">
        <w:rPr>
          <w:b/>
          <w:i/>
          <w:sz w:val="20"/>
          <w:lang w:val="sq-AL"/>
        </w:rPr>
        <w:t xml:space="preserve">Tabelë 4.6.4 Treguesit e </w:t>
      </w:r>
      <w:r w:rsidR="006B1843" w:rsidRPr="00050FA4">
        <w:rPr>
          <w:b/>
          <w:i/>
          <w:sz w:val="20"/>
          <w:lang w:val="sq-AL"/>
        </w:rPr>
        <w:t>riskut të normave të interesit në borxhin e brendshëm</w:t>
      </w:r>
    </w:p>
    <w:p w14:paraId="3B838BD2" w14:textId="6964F4CB" w:rsidR="005714D0" w:rsidRPr="00050FA4" w:rsidRDefault="005714D0" w:rsidP="003F1DA7">
      <w:pPr>
        <w:widowControl w:val="0"/>
        <w:ind w:firstLine="284"/>
        <w:jc w:val="center"/>
        <w:rPr>
          <w:rFonts w:ascii="Garamond" w:hAnsi="Garamond" w:cstheme="majorBidi"/>
          <w:bCs/>
          <w:color w:val="0D0D0D" w:themeColor="text1" w:themeTint="F2"/>
        </w:rPr>
      </w:pPr>
      <w:r w:rsidRPr="00050FA4">
        <w:rPr>
          <w:rFonts w:ascii="Garamond" w:hAnsi="Garamond" w:cstheme="majorBidi"/>
          <w:noProof/>
          <w:color w:val="0D0D0D" w:themeColor="text1" w:themeTint="F2"/>
          <w:lang w:val="en-US"/>
        </w:rPr>
        <w:drawing>
          <wp:inline distT="0" distB="0" distL="0" distR="0" wp14:anchorId="09A16318" wp14:editId="78BF9931">
            <wp:extent cx="5267325" cy="771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67325" cy="771525"/>
                    </a:xfrm>
                    <a:prstGeom prst="rect">
                      <a:avLst/>
                    </a:prstGeom>
                    <a:noFill/>
                    <a:ln>
                      <a:noFill/>
                    </a:ln>
                  </pic:spPr>
                </pic:pic>
              </a:graphicData>
            </a:graphic>
          </wp:inline>
        </w:drawing>
      </w:r>
    </w:p>
    <w:p w14:paraId="4097D3E7"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1BA90BE1" w14:textId="77777777" w:rsidR="005714D0" w:rsidRPr="00050FA4" w:rsidRDefault="005714D0" w:rsidP="003F1DA7">
      <w:pPr>
        <w:ind w:firstLine="284"/>
        <w:jc w:val="both"/>
        <w:rPr>
          <w:rFonts w:ascii="Garamond" w:hAnsi="Garamond" w:cstheme="majorBidi"/>
          <w:color w:val="0D0D0D" w:themeColor="text1" w:themeTint="F2"/>
        </w:rPr>
      </w:pPr>
    </w:p>
    <w:p w14:paraId="3F396ABD" w14:textId="77777777" w:rsidR="005714D0" w:rsidRPr="00050FA4" w:rsidRDefault="005714D0" w:rsidP="003F1DA7">
      <w:pPr>
        <w:pStyle w:val="AAAAAAATEXXXX"/>
        <w:rPr>
          <w:lang w:val="sq-AL"/>
        </w:rPr>
      </w:pPr>
      <w:r w:rsidRPr="00050FA4">
        <w:rPr>
          <w:lang w:val="sq-AL"/>
        </w:rPr>
        <w:t>Pavarësisht zhvillimeve pozitive të tregut të brendshëm, portofoli i borxhit vazhdon të jetë i ekspozuar ndaj riskut të rifinancimit dhe riskut të normave të interesit. Nisur nga ky fakt, në të ardhmen, menaxhimi i borxhit të vazhdojë përpjekjet për zgjatjen e mëtejshme të jetëgjatësisë së borxhit të brendshëm si edhe mbajtjen nën kontroll të peshës së instrumenteve me norma interesi të ndryshueshme.</w:t>
      </w:r>
    </w:p>
    <w:p w14:paraId="18C0B0C0" w14:textId="31DEBA81" w:rsidR="005714D0" w:rsidRPr="00050FA4" w:rsidRDefault="005714D0" w:rsidP="003F1DA7">
      <w:pPr>
        <w:pStyle w:val="AAAAAAATEXXXX"/>
        <w:rPr>
          <w:rFonts w:cstheme="majorBidi"/>
          <w:b/>
          <w:i/>
          <w:color w:val="0D0D0D" w:themeColor="text1" w:themeTint="F2"/>
          <w:lang w:val="sq-AL"/>
        </w:rPr>
      </w:pPr>
      <w:r w:rsidRPr="00050FA4">
        <w:rPr>
          <w:rFonts w:cstheme="majorBidi"/>
          <w:b/>
          <w:i/>
          <w:color w:val="0D0D0D" w:themeColor="text1" w:themeTint="F2"/>
          <w:lang w:val="sq-AL"/>
        </w:rPr>
        <w:t xml:space="preserve">Zhvillimi i </w:t>
      </w:r>
      <w:r w:rsidR="003F2215" w:rsidRPr="00050FA4">
        <w:rPr>
          <w:rFonts w:cstheme="majorBidi"/>
          <w:b/>
          <w:i/>
          <w:color w:val="0D0D0D" w:themeColor="text1" w:themeTint="F2"/>
          <w:lang w:val="sq-AL"/>
        </w:rPr>
        <w:t>tregut primar</w:t>
      </w:r>
    </w:p>
    <w:p w14:paraId="3349724B" w14:textId="60C67EB5" w:rsidR="005714D0" w:rsidRPr="00050FA4" w:rsidRDefault="005714D0" w:rsidP="003F1DA7">
      <w:pPr>
        <w:pStyle w:val="AAAAAAATEXXXX"/>
        <w:rPr>
          <w:lang w:val="sq-AL"/>
        </w:rPr>
      </w:pPr>
      <w:r w:rsidRPr="00050FA4">
        <w:rPr>
          <w:lang w:val="sq-AL"/>
        </w:rPr>
        <w:t xml:space="preserve">Tregu primar i titujve shtetërorë gjatë periudhës </w:t>
      </w:r>
      <w:r w:rsidR="003F2215" w:rsidRPr="00050FA4">
        <w:rPr>
          <w:lang w:val="sq-AL"/>
        </w:rPr>
        <w:t xml:space="preserve">janar–shtator </w:t>
      </w:r>
      <w:r w:rsidRPr="00050FA4">
        <w:rPr>
          <w:lang w:val="sq-AL"/>
        </w:rPr>
        <w:t>të vitit 2021</w:t>
      </w:r>
      <w:r w:rsidR="00417DD6" w:rsidRPr="00050FA4">
        <w:rPr>
          <w:lang w:val="sq-AL"/>
        </w:rPr>
        <w:t>,</w:t>
      </w:r>
      <w:r w:rsidRPr="00050FA4">
        <w:rPr>
          <w:lang w:val="sq-AL"/>
        </w:rPr>
        <w:t xml:space="preserve"> përgjithësisht është karakterizuar nga zhvillime pozitive, ndër të cilat mund të përmenden: i</w:t>
      </w:r>
      <w:r w:rsidR="003F2215" w:rsidRPr="00050FA4">
        <w:rPr>
          <w:lang w:val="sq-AL"/>
        </w:rPr>
        <w:t>.</w:t>
      </w:r>
      <w:r w:rsidRPr="00050FA4">
        <w:rPr>
          <w:lang w:val="sq-AL"/>
        </w:rPr>
        <w:t xml:space="preserve"> kërkesa e kënaqshme e tregut në raport me nevojat e qeverisë për huamarrje; ii</w:t>
      </w:r>
      <w:r w:rsidR="003F2215" w:rsidRPr="00050FA4">
        <w:rPr>
          <w:lang w:val="sq-AL"/>
        </w:rPr>
        <w:t>.</w:t>
      </w:r>
      <w:r w:rsidRPr="00050FA4">
        <w:rPr>
          <w:lang w:val="sq-AL"/>
        </w:rPr>
        <w:t xml:space="preserve"> vijimi me projektin </w:t>
      </w:r>
      <w:r w:rsidRPr="00050FA4">
        <w:rPr>
          <w:i/>
          <w:lang w:val="sq-AL"/>
        </w:rPr>
        <w:t>market maker</w:t>
      </w:r>
      <w:r w:rsidRPr="00050FA4">
        <w:rPr>
          <w:lang w:val="sq-AL"/>
        </w:rPr>
        <w:t xml:space="preserve"> për emetimin e obligacionit 3-vjeçar dhe 5-vjeçar reference.</w:t>
      </w:r>
    </w:p>
    <w:p w14:paraId="10B60A30" w14:textId="0115A048" w:rsidR="005714D0" w:rsidRPr="00050FA4" w:rsidRDefault="005714D0" w:rsidP="003F1DA7">
      <w:pPr>
        <w:pStyle w:val="AAAAAAATEXXXX"/>
        <w:rPr>
          <w:lang w:val="sq-AL"/>
        </w:rPr>
      </w:pPr>
      <w:r w:rsidRPr="00050FA4">
        <w:rPr>
          <w:lang w:val="sq-AL"/>
        </w:rPr>
        <w:t>Gjatë periudhës nëntëmujore, kërkesa për tituj shtetërorë ka rezultuar në vlerën 376.2 miliard</w:t>
      </w:r>
      <w:r w:rsidR="003F2215" w:rsidRPr="00050FA4">
        <w:rPr>
          <w:lang w:val="sq-AL"/>
        </w:rPr>
        <w:t>ë</w:t>
      </w:r>
      <w:r w:rsidRPr="00050FA4">
        <w:rPr>
          <w:lang w:val="sq-AL"/>
        </w:rPr>
        <w:t xml:space="preserve"> </w:t>
      </w:r>
      <w:r w:rsidR="003F2215" w:rsidRPr="00050FA4">
        <w:rPr>
          <w:lang w:val="sq-AL"/>
        </w:rPr>
        <w:t>lekë</w:t>
      </w:r>
      <w:r w:rsidRPr="00050FA4">
        <w:rPr>
          <w:lang w:val="sq-AL"/>
        </w:rPr>
        <w:t xml:space="preserve">, nga </w:t>
      </w:r>
      <w:r w:rsidRPr="00050FA4">
        <w:rPr>
          <w:lang w:val="sq-AL"/>
        </w:rPr>
        <w:lastRenderedPageBreak/>
        <w:t>të cilat 224.8 miliard</w:t>
      </w:r>
      <w:r w:rsidR="003F2215" w:rsidRPr="00050FA4">
        <w:rPr>
          <w:lang w:val="sq-AL"/>
        </w:rPr>
        <w:t>ë</w:t>
      </w:r>
      <w:r w:rsidRPr="00050FA4">
        <w:rPr>
          <w:lang w:val="sq-AL"/>
        </w:rPr>
        <w:t xml:space="preserve"> </w:t>
      </w:r>
      <w:r w:rsidR="003F2215" w:rsidRPr="00050FA4">
        <w:rPr>
          <w:lang w:val="sq-AL"/>
        </w:rPr>
        <w:t xml:space="preserve">lekë </w:t>
      </w:r>
      <w:r w:rsidRPr="00050FA4">
        <w:rPr>
          <w:lang w:val="sq-AL"/>
        </w:rPr>
        <w:t>për bono thesari dhe 151.4 miliard</w:t>
      </w:r>
      <w:r w:rsidR="003F2215" w:rsidRPr="00050FA4">
        <w:rPr>
          <w:lang w:val="sq-AL"/>
        </w:rPr>
        <w:t>ë</w:t>
      </w:r>
      <w:r w:rsidRPr="00050FA4">
        <w:rPr>
          <w:lang w:val="sq-AL"/>
        </w:rPr>
        <w:t xml:space="preserve"> </w:t>
      </w:r>
      <w:r w:rsidR="003F2215" w:rsidRPr="00050FA4">
        <w:rPr>
          <w:lang w:val="sq-AL"/>
        </w:rPr>
        <w:t xml:space="preserve">lekë </w:t>
      </w:r>
      <w:r w:rsidRPr="00050FA4">
        <w:rPr>
          <w:lang w:val="sq-AL"/>
        </w:rPr>
        <w:t>për obligacione. Kërkesa ka qenë relativisht më e lartë se oferta e qeverisë për tituj shtetërorë, duke rezultuar në një raport të përgjithshëm mbulimi prej 1.36 herë</w:t>
      </w:r>
      <w:r w:rsidR="00271D1A" w:rsidRPr="00050FA4">
        <w:rPr>
          <w:lang w:val="sq-AL"/>
        </w:rPr>
        <w:t>sh</w:t>
      </w:r>
      <w:r w:rsidRPr="00050FA4">
        <w:rPr>
          <w:lang w:val="sq-AL"/>
        </w:rPr>
        <w:t xml:space="preserve">. Për sa </w:t>
      </w:r>
      <w:r w:rsidR="00271D1A" w:rsidRPr="00050FA4">
        <w:rPr>
          <w:lang w:val="sq-AL"/>
        </w:rPr>
        <w:t>u</w:t>
      </w:r>
      <w:r w:rsidRPr="00050FA4">
        <w:rPr>
          <w:lang w:val="sq-AL"/>
        </w:rPr>
        <w:t xml:space="preserve"> përket karakteristikave të kërkesës, kërkesa e investitorëve për bono thesari 3-mujore dhe 6-mujore vijon të jetë prezente, edhe pse jo e lartë, dhe këto instrumente përdoren kryesisht në menaxhimin e likuiditetit. Ndërkohë, instrumentet me maturim afatgjatë (obligacione 5-vjeçare, obligacione 7-vjeçare dhe 10-vjeçare) kanë treguar një kërkesë shumë të mirë.</w:t>
      </w:r>
    </w:p>
    <w:p w14:paraId="32B18245" w14:textId="77777777" w:rsidR="005714D0" w:rsidRPr="00050FA4" w:rsidRDefault="005714D0" w:rsidP="003F1DA7">
      <w:pPr>
        <w:tabs>
          <w:tab w:val="left" w:pos="1182"/>
        </w:tabs>
        <w:ind w:right="-46" w:firstLine="284"/>
        <w:rPr>
          <w:rFonts w:ascii="Garamond" w:hAnsi="Garamond" w:cstheme="majorBidi"/>
          <w:b/>
          <w:color w:val="0D0D0D" w:themeColor="text1" w:themeTint="F2"/>
        </w:rPr>
      </w:pPr>
    </w:p>
    <w:p w14:paraId="5EDF58B2" w14:textId="77777777" w:rsidR="005714D0" w:rsidRPr="00050FA4" w:rsidRDefault="005714D0" w:rsidP="003F1DA7">
      <w:pPr>
        <w:widowControl w:val="0"/>
        <w:ind w:firstLine="284"/>
        <w:jc w:val="center"/>
        <w:rPr>
          <w:rFonts w:ascii="Garamond" w:hAnsi="Garamond" w:cstheme="majorBidi"/>
          <w:b/>
          <w:bCs/>
          <w:i/>
          <w:color w:val="0D0D0D" w:themeColor="text1" w:themeTint="F2"/>
          <w:sz w:val="20"/>
        </w:rPr>
      </w:pPr>
      <w:r w:rsidRPr="00050FA4">
        <w:rPr>
          <w:rFonts w:ascii="Garamond" w:hAnsi="Garamond" w:cstheme="majorBidi"/>
          <w:b/>
          <w:bCs/>
          <w:i/>
          <w:color w:val="0D0D0D" w:themeColor="text1" w:themeTint="F2"/>
          <w:sz w:val="20"/>
        </w:rPr>
        <w:t>Grafik 4.6.6 Kërkesa dhe oferta për tituj shtetërorë në tregun e brendshëm</w:t>
      </w:r>
    </w:p>
    <w:p w14:paraId="395A9761" w14:textId="3AAAD0A3" w:rsidR="005714D0" w:rsidRPr="00050FA4" w:rsidRDefault="005714D0" w:rsidP="003F1DA7">
      <w:pPr>
        <w:widowControl w:val="0"/>
        <w:ind w:firstLine="284"/>
        <w:jc w:val="center"/>
        <w:rPr>
          <w:rFonts w:ascii="Garamond" w:hAnsi="Garamond" w:cstheme="majorBidi"/>
          <w:bCs/>
          <w:color w:val="0D0D0D" w:themeColor="text1" w:themeTint="F2"/>
        </w:rPr>
      </w:pPr>
      <w:r w:rsidRPr="00050FA4">
        <w:rPr>
          <w:rFonts w:ascii="Garamond" w:hAnsi="Garamond" w:cstheme="majorBidi"/>
          <w:bCs/>
          <w:noProof/>
          <w:color w:val="0D0D0D" w:themeColor="text1" w:themeTint="F2"/>
          <w:lang w:val="en-US"/>
        </w:rPr>
        <w:drawing>
          <wp:inline distT="0" distB="0" distL="0" distR="0" wp14:anchorId="0F635841" wp14:editId="4DCC88D9">
            <wp:extent cx="5886450" cy="20383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86450" cy="2038350"/>
                    </a:xfrm>
                    <a:prstGeom prst="rect">
                      <a:avLst/>
                    </a:prstGeom>
                    <a:noFill/>
                    <a:ln>
                      <a:noFill/>
                    </a:ln>
                  </pic:spPr>
                </pic:pic>
              </a:graphicData>
            </a:graphic>
          </wp:inline>
        </w:drawing>
      </w:r>
    </w:p>
    <w:p w14:paraId="636E4199"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17D770DD" w14:textId="77777777" w:rsidR="005714D0" w:rsidRPr="00050FA4" w:rsidRDefault="005714D0" w:rsidP="003F1DA7">
      <w:pPr>
        <w:ind w:firstLine="284"/>
        <w:rPr>
          <w:rFonts w:ascii="Garamond" w:hAnsi="Garamond" w:cstheme="majorBidi"/>
          <w:i/>
          <w:color w:val="0D0D0D" w:themeColor="text1" w:themeTint="F2"/>
        </w:rPr>
      </w:pPr>
    </w:p>
    <w:p w14:paraId="3F117F70" w14:textId="39F7C763" w:rsidR="005714D0" w:rsidRPr="00050FA4" w:rsidRDefault="005714D0" w:rsidP="003F1DA7">
      <w:pPr>
        <w:pStyle w:val="AAAAAAATEXXXX"/>
        <w:rPr>
          <w:lang w:val="sq-AL"/>
        </w:rPr>
      </w:pPr>
      <w:r w:rsidRPr="00050FA4">
        <w:rPr>
          <w:lang w:val="sq-AL"/>
        </w:rPr>
        <w:t>Në vazhdim të angazhimit të marrë</w:t>
      </w:r>
      <w:r w:rsidR="00417DD6" w:rsidRPr="00050FA4">
        <w:rPr>
          <w:lang w:val="sq-AL"/>
        </w:rPr>
        <w:t>,</w:t>
      </w:r>
      <w:r w:rsidRPr="00050FA4">
        <w:rPr>
          <w:lang w:val="sq-AL"/>
        </w:rPr>
        <w:t xml:space="preserve"> në lidhje me përmirësimin e mëtejshëm të tregut primar të titujve shtetërorë, si edhe hedhjen e hapave për funksionimin e tregut sekondar, përgjatë vitit 2021 janë ndërmarrë aktivitete që kanë për qëllim reduktimin e fragmentizimit të kërkesës dhe krijimin e madhësive </w:t>
      </w:r>
      <w:r w:rsidRPr="00050FA4">
        <w:rPr>
          <w:i/>
          <w:lang w:val="sq-AL"/>
        </w:rPr>
        <w:t>benchmark</w:t>
      </w:r>
      <w:r w:rsidRPr="00050FA4">
        <w:rPr>
          <w:lang w:val="sq-AL"/>
        </w:rPr>
        <w:t xml:space="preserve"> për titujt afatgjatë. Për sa i përket krijimit të madhësive </w:t>
      </w:r>
      <w:r w:rsidRPr="00050FA4">
        <w:rPr>
          <w:i/>
          <w:lang w:val="sq-AL"/>
        </w:rPr>
        <w:t>benchmark</w:t>
      </w:r>
      <w:r w:rsidRPr="00050FA4">
        <w:rPr>
          <w:lang w:val="sq-AL"/>
        </w:rPr>
        <w:t>, ka vazhduar implementimi</w:t>
      </w:r>
      <w:r w:rsidR="009B1D6B" w:rsidRPr="00050FA4">
        <w:rPr>
          <w:lang w:val="sq-AL"/>
        </w:rPr>
        <w:t xml:space="preserve"> </w:t>
      </w:r>
      <w:r w:rsidRPr="00050FA4">
        <w:rPr>
          <w:lang w:val="sq-AL"/>
        </w:rPr>
        <w:t>i projektit për emetimin e obligacioneve 3</w:t>
      </w:r>
      <w:r w:rsidR="006A72A1" w:rsidRPr="00050FA4">
        <w:rPr>
          <w:lang w:val="sq-AL"/>
        </w:rPr>
        <w:t>-</w:t>
      </w:r>
      <w:r w:rsidRPr="00050FA4">
        <w:rPr>
          <w:lang w:val="sq-AL"/>
        </w:rPr>
        <w:t xml:space="preserve"> dhe 5</w:t>
      </w:r>
      <w:r w:rsidR="006A72A1" w:rsidRPr="00050FA4">
        <w:rPr>
          <w:lang w:val="sq-AL"/>
        </w:rPr>
        <w:t>-</w:t>
      </w:r>
      <w:r w:rsidRPr="00050FA4">
        <w:rPr>
          <w:lang w:val="sq-AL"/>
        </w:rPr>
        <w:t>vjeçare referencë. Rezultatet e këtij projekti kanë qenë pozitive në kuadër të rritjes së aktivitetit të tregtimit të titujve në tregun sekondar. Për më tepër, numri i titujve të emetuar është konsoliduar duke përdorur</w:t>
      </w:r>
      <w:r w:rsidR="009B1D6B" w:rsidRPr="00050FA4">
        <w:rPr>
          <w:lang w:val="sq-AL"/>
        </w:rPr>
        <w:t xml:space="preserve"> </w:t>
      </w:r>
      <w:r w:rsidRPr="00050FA4">
        <w:rPr>
          <w:lang w:val="sq-AL"/>
        </w:rPr>
        <w:t>ankandet e rihapjes së titujve ekzistues në vend të emetimeve të reja.</w:t>
      </w:r>
    </w:p>
    <w:p w14:paraId="1D52CB86" w14:textId="77777777" w:rsidR="005714D0" w:rsidRPr="00050FA4" w:rsidRDefault="005714D0" w:rsidP="003F1DA7">
      <w:pPr>
        <w:pStyle w:val="AAAAAAATEXXXX"/>
        <w:rPr>
          <w:rFonts w:cstheme="majorBidi"/>
          <w:bCs/>
          <w:color w:val="0D0D0D" w:themeColor="text1" w:themeTint="F2"/>
          <w:lang w:val="sq-AL"/>
        </w:rPr>
      </w:pPr>
    </w:p>
    <w:p w14:paraId="0C56935F" w14:textId="57E9397F" w:rsidR="005714D0" w:rsidRPr="00050FA4" w:rsidRDefault="005714D0" w:rsidP="003F1DA7">
      <w:pPr>
        <w:pStyle w:val="AAAAAAATEXXXX"/>
        <w:jc w:val="center"/>
        <w:rPr>
          <w:b/>
          <w:i/>
          <w:sz w:val="20"/>
          <w:lang w:val="sq-AL" w:eastAsia="en-GB"/>
        </w:rPr>
      </w:pPr>
      <w:r w:rsidRPr="00050FA4">
        <w:rPr>
          <w:b/>
          <w:i/>
          <w:sz w:val="20"/>
          <w:lang w:val="sq-AL"/>
        </w:rPr>
        <w:t>Grafik 4.6.7 Ecuria e ankandeve në tregun primar</w:t>
      </w:r>
    </w:p>
    <w:p w14:paraId="7060661F" w14:textId="5A7C36B3" w:rsidR="005714D0" w:rsidRPr="00050FA4" w:rsidRDefault="005714D0" w:rsidP="003F1DA7">
      <w:pPr>
        <w:pStyle w:val="AAAAAAATEXXXX"/>
        <w:jc w:val="center"/>
        <w:rPr>
          <w:rFonts w:cstheme="majorBidi"/>
          <w:bCs/>
          <w:color w:val="0D0D0D" w:themeColor="text1" w:themeTint="F2"/>
          <w:lang w:val="sq-AL" w:eastAsia="en-GB"/>
        </w:rPr>
      </w:pPr>
      <w:r w:rsidRPr="00050FA4">
        <w:rPr>
          <w:rFonts w:cstheme="majorBidi"/>
          <w:bCs/>
          <w:noProof/>
          <w:color w:val="0D0D0D" w:themeColor="text1" w:themeTint="F2"/>
        </w:rPr>
        <w:drawing>
          <wp:inline distT="0" distB="0" distL="0" distR="0" wp14:anchorId="713D797C" wp14:editId="4878B9C9">
            <wp:extent cx="5857875" cy="20288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57875" cy="2028825"/>
                    </a:xfrm>
                    <a:prstGeom prst="rect">
                      <a:avLst/>
                    </a:prstGeom>
                    <a:noFill/>
                    <a:ln>
                      <a:noFill/>
                    </a:ln>
                  </pic:spPr>
                </pic:pic>
              </a:graphicData>
            </a:graphic>
          </wp:inline>
        </w:drawing>
      </w:r>
    </w:p>
    <w:p w14:paraId="3D3A9F75" w14:textId="77777777" w:rsidR="005714D0" w:rsidRPr="00050FA4" w:rsidRDefault="005714D0" w:rsidP="003F1DA7">
      <w:pPr>
        <w:pStyle w:val="AAAAAAATEXXXX"/>
        <w:jc w:val="center"/>
        <w:rPr>
          <w:rFonts w:cstheme="majorBidi"/>
          <w:iCs/>
          <w:color w:val="0D0D0D" w:themeColor="text1" w:themeTint="F2"/>
          <w:sz w:val="20"/>
          <w:lang w:val="sq-AL"/>
        </w:rPr>
      </w:pPr>
      <w:r w:rsidRPr="00050FA4">
        <w:rPr>
          <w:rFonts w:cstheme="majorBidi"/>
          <w:iCs/>
          <w:color w:val="0D0D0D" w:themeColor="text1" w:themeTint="F2"/>
          <w:sz w:val="20"/>
          <w:lang w:val="sq-AL"/>
        </w:rPr>
        <w:t>Burimi: Ministria e Financave dhe Ekonomisë 2021</w:t>
      </w:r>
    </w:p>
    <w:p w14:paraId="2B077391" w14:textId="77777777" w:rsidR="008625E0" w:rsidRPr="00050FA4" w:rsidRDefault="008625E0" w:rsidP="003F1DA7">
      <w:pPr>
        <w:ind w:firstLine="284"/>
        <w:jc w:val="both"/>
        <w:rPr>
          <w:rFonts w:ascii="Garamond" w:hAnsi="Garamond" w:cstheme="majorBidi"/>
          <w:color w:val="0D0D0D" w:themeColor="text1" w:themeTint="F2"/>
        </w:rPr>
      </w:pPr>
    </w:p>
    <w:p w14:paraId="0D043070" w14:textId="085C0056" w:rsidR="005714D0" w:rsidRPr="00050FA4" w:rsidRDefault="005714D0" w:rsidP="003F1DA7">
      <w:pPr>
        <w:pStyle w:val="AAAAAAATEXXXX"/>
        <w:rPr>
          <w:lang w:val="sq-AL"/>
        </w:rPr>
      </w:pPr>
      <w:r w:rsidRPr="00050FA4">
        <w:rPr>
          <w:lang w:val="sq-AL"/>
        </w:rPr>
        <w:t>Në periudhën afatmesme, zhvillimi i tregut primar do të bazohet kryesisht në aktivitetet të cilat kanë për qëllim rritjen e likuiditetit, efic</w:t>
      </w:r>
      <w:r w:rsidR="001C0FC0" w:rsidRPr="00050FA4">
        <w:rPr>
          <w:lang w:val="sq-AL"/>
        </w:rPr>
        <w:t>i</w:t>
      </w:r>
      <w:r w:rsidRPr="00050FA4">
        <w:rPr>
          <w:lang w:val="sq-AL"/>
        </w:rPr>
        <w:t>encës dhe transparencës.</w:t>
      </w:r>
    </w:p>
    <w:p w14:paraId="73050EC8" w14:textId="524C2374" w:rsidR="005714D0" w:rsidRPr="00050FA4" w:rsidRDefault="005714D0" w:rsidP="003F1DA7">
      <w:pPr>
        <w:pStyle w:val="AAAAAAATEXXXX"/>
        <w:rPr>
          <w:b/>
          <w:i/>
          <w:lang w:val="sq-AL"/>
        </w:rPr>
      </w:pPr>
      <w:r w:rsidRPr="00050FA4">
        <w:rPr>
          <w:b/>
          <w:i/>
          <w:lang w:val="sq-AL"/>
        </w:rPr>
        <w:t xml:space="preserve">Ecuria e </w:t>
      </w:r>
      <w:r w:rsidR="00D058D3" w:rsidRPr="00050FA4">
        <w:rPr>
          <w:b/>
          <w:i/>
          <w:lang w:val="sq-AL"/>
        </w:rPr>
        <w:t>normave të interesit</w:t>
      </w:r>
    </w:p>
    <w:p w14:paraId="57BC9619" w14:textId="2A921FB5" w:rsidR="005714D0" w:rsidRPr="00050FA4" w:rsidRDefault="005714D0" w:rsidP="003F1DA7">
      <w:pPr>
        <w:pStyle w:val="AAAAAAATEXXXX"/>
        <w:rPr>
          <w:lang w:val="sq-AL"/>
        </w:rPr>
      </w:pPr>
      <w:r w:rsidRPr="00050FA4">
        <w:rPr>
          <w:lang w:val="sq-AL"/>
        </w:rPr>
        <w:t>Gjatë vitit 2021, normat e interesit në tregun e letrave me vlerë kanë shënuar ulje të ndjeshme krahasuar me fundin e vitit 2020, pavarësisht nga rritja e nevojave të financimit. Normat e interesit të instrumenteve me maturitet më të gjatë (5Vj, 7Vj dhe 10Vj) kanë qenë më të ul</w:t>
      </w:r>
      <w:r w:rsidR="00266B5D" w:rsidRPr="00050FA4">
        <w:rPr>
          <w:lang w:val="sq-AL"/>
        </w:rPr>
        <w:t>ë</w:t>
      </w:r>
      <w:r w:rsidRPr="00050FA4">
        <w:rPr>
          <w:lang w:val="sq-AL"/>
        </w:rPr>
        <w:t xml:space="preserve">ta se vitin e kaluar. </w:t>
      </w:r>
      <w:r w:rsidR="001C0FC0" w:rsidRPr="00050FA4">
        <w:rPr>
          <w:lang w:val="sq-AL"/>
        </w:rPr>
        <w:t>Instrumentet</w:t>
      </w:r>
      <w:r w:rsidRPr="00050FA4">
        <w:rPr>
          <w:lang w:val="sq-AL"/>
        </w:rPr>
        <w:t xml:space="preserve"> afatshkurt</w:t>
      </w:r>
      <w:r w:rsidR="001C0FC0" w:rsidRPr="00050FA4">
        <w:rPr>
          <w:lang w:val="sq-AL"/>
        </w:rPr>
        <w:t>ra</w:t>
      </w:r>
      <w:r w:rsidRPr="00050FA4">
        <w:rPr>
          <w:lang w:val="sq-AL"/>
        </w:rPr>
        <w:t xml:space="preserve">, bonot e thesarit kanë pësuar një ulje të lehtë të normës. </w:t>
      </w:r>
      <w:r w:rsidR="001C0FC0" w:rsidRPr="00050FA4">
        <w:rPr>
          <w:lang w:val="sq-AL"/>
        </w:rPr>
        <w:t>Instrumentet</w:t>
      </w:r>
      <w:r w:rsidRPr="00050FA4">
        <w:rPr>
          <w:lang w:val="sq-AL"/>
        </w:rPr>
        <w:t xml:space="preserve"> me maturitet afatmesëm (2VJ dhe 3VJ) gjatë 2021 kanë shfaqur norma lehtësisht më të larta </w:t>
      </w:r>
      <w:r w:rsidR="001C0FC0" w:rsidRPr="00050FA4">
        <w:rPr>
          <w:lang w:val="sq-AL"/>
        </w:rPr>
        <w:t>krahasuar</w:t>
      </w:r>
      <w:r w:rsidRPr="00050FA4">
        <w:rPr>
          <w:lang w:val="sq-AL"/>
        </w:rPr>
        <w:t xml:space="preserve"> me ato të vitit 2020.</w:t>
      </w:r>
    </w:p>
    <w:p w14:paraId="78D71F63" w14:textId="77777777" w:rsidR="005714D0" w:rsidRPr="00050FA4" w:rsidRDefault="005714D0" w:rsidP="003F1DA7">
      <w:pPr>
        <w:ind w:firstLine="284"/>
        <w:jc w:val="both"/>
        <w:rPr>
          <w:rFonts w:ascii="Garamond" w:hAnsi="Garamond" w:cstheme="majorBidi"/>
          <w:color w:val="0D0D0D" w:themeColor="text1" w:themeTint="F2"/>
        </w:rPr>
      </w:pPr>
    </w:p>
    <w:p w14:paraId="6FDBFECA" w14:textId="4F6A3088" w:rsidR="005714D0" w:rsidRPr="00050FA4" w:rsidRDefault="005714D0" w:rsidP="003F1DA7">
      <w:pPr>
        <w:ind w:firstLine="284"/>
        <w:jc w:val="center"/>
        <w:rPr>
          <w:rFonts w:ascii="Garamond" w:hAnsi="Garamond" w:cstheme="majorBidi"/>
          <w:b/>
          <w:bCs/>
          <w:i/>
          <w:color w:val="0D0D0D" w:themeColor="text1" w:themeTint="F2"/>
          <w:sz w:val="20"/>
        </w:rPr>
      </w:pPr>
      <w:r w:rsidRPr="00050FA4">
        <w:rPr>
          <w:rFonts w:ascii="Garamond" w:hAnsi="Garamond" w:cstheme="majorBidi"/>
          <w:b/>
          <w:bCs/>
          <w:i/>
          <w:color w:val="0D0D0D" w:themeColor="text1" w:themeTint="F2"/>
          <w:sz w:val="20"/>
        </w:rPr>
        <w:t xml:space="preserve">Grafik 4.6.8 Yield-i </w:t>
      </w:r>
      <w:r w:rsidR="00D058D3" w:rsidRPr="00050FA4">
        <w:rPr>
          <w:rFonts w:ascii="Garamond" w:hAnsi="Garamond" w:cstheme="majorBidi"/>
          <w:b/>
          <w:bCs/>
          <w:i/>
          <w:color w:val="0D0D0D" w:themeColor="text1" w:themeTint="F2"/>
          <w:sz w:val="20"/>
        </w:rPr>
        <w:t>mesatar i ponderuar</w:t>
      </w:r>
    </w:p>
    <w:p w14:paraId="65CA85E3" w14:textId="0DC74938" w:rsidR="005714D0" w:rsidRPr="00050FA4" w:rsidRDefault="005714D0" w:rsidP="003F1DA7">
      <w:pPr>
        <w:ind w:firstLine="284"/>
        <w:jc w:val="center"/>
        <w:rPr>
          <w:rFonts w:ascii="Garamond" w:hAnsi="Garamond" w:cstheme="majorBidi"/>
          <w:bCs/>
          <w:color w:val="0D0D0D" w:themeColor="text1" w:themeTint="F2"/>
        </w:rPr>
      </w:pPr>
      <w:r w:rsidRPr="00050FA4">
        <w:rPr>
          <w:rFonts w:ascii="Garamond" w:hAnsi="Garamond" w:cstheme="majorBidi"/>
          <w:bCs/>
          <w:noProof/>
          <w:color w:val="0D0D0D" w:themeColor="text1" w:themeTint="F2"/>
          <w:lang w:val="en-US"/>
        </w:rPr>
        <w:drawing>
          <wp:inline distT="0" distB="0" distL="0" distR="0" wp14:anchorId="5E6A90BB" wp14:editId="0F0D56CA">
            <wp:extent cx="5895975" cy="20574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95975" cy="2057400"/>
                    </a:xfrm>
                    <a:prstGeom prst="rect">
                      <a:avLst/>
                    </a:prstGeom>
                    <a:noFill/>
                    <a:ln>
                      <a:noFill/>
                    </a:ln>
                  </pic:spPr>
                </pic:pic>
              </a:graphicData>
            </a:graphic>
          </wp:inline>
        </w:drawing>
      </w:r>
    </w:p>
    <w:p w14:paraId="257F5512"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20EF53D4" w14:textId="77777777" w:rsidR="005714D0" w:rsidRPr="00050FA4" w:rsidRDefault="005714D0" w:rsidP="003F1DA7">
      <w:pPr>
        <w:ind w:firstLine="284"/>
        <w:jc w:val="center"/>
        <w:rPr>
          <w:rFonts w:ascii="Garamond" w:hAnsi="Garamond" w:cstheme="majorBidi"/>
          <w:i/>
          <w:color w:val="0D0D0D" w:themeColor="text1" w:themeTint="F2"/>
        </w:rPr>
      </w:pPr>
    </w:p>
    <w:p w14:paraId="186FC003" w14:textId="63309407" w:rsidR="005714D0" w:rsidRPr="00050FA4" w:rsidRDefault="005714D0" w:rsidP="003F1DA7">
      <w:pPr>
        <w:pStyle w:val="AAAAAAATEXXXX"/>
        <w:rPr>
          <w:b/>
          <w:lang w:val="sq-AL"/>
        </w:rPr>
      </w:pPr>
      <w:r w:rsidRPr="00050FA4">
        <w:rPr>
          <w:b/>
          <w:lang w:val="sq-AL"/>
        </w:rPr>
        <w:t xml:space="preserve">Detyrimet </w:t>
      </w:r>
      <w:r w:rsidR="00397F9D" w:rsidRPr="00050FA4">
        <w:rPr>
          <w:b/>
          <w:lang w:val="sq-AL"/>
        </w:rPr>
        <w:t>kontigjente</w:t>
      </w:r>
    </w:p>
    <w:p w14:paraId="569A515A" w14:textId="700EDCCB" w:rsidR="005714D0" w:rsidRPr="00050FA4" w:rsidRDefault="005714D0" w:rsidP="003F1DA7">
      <w:pPr>
        <w:pStyle w:val="AAAAAAATEXXXX"/>
        <w:rPr>
          <w:lang w:val="sq-AL"/>
        </w:rPr>
      </w:pPr>
      <w:r w:rsidRPr="00050FA4">
        <w:rPr>
          <w:lang w:val="sq-AL"/>
        </w:rPr>
        <w:t>Në fund të muajit shtator 2021, portofoli i borxhit të garantuar vlerësohet në 47.5 miliard</w:t>
      </w:r>
      <w:r w:rsidR="00266B5D" w:rsidRPr="00050FA4">
        <w:rPr>
          <w:lang w:val="sq-AL"/>
        </w:rPr>
        <w:t>ë</w:t>
      </w:r>
      <w:r w:rsidRPr="00050FA4">
        <w:rPr>
          <w:lang w:val="sq-AL"/>
        </w:rPr>
        <w:t xml:space="preserve"> </w:t>
      </w:r>
      <w:r w:rsidR="00266B5D" w:rsidRPr="00050FA4">
        <w:rPr>
          <w:lang w:val="sq-AL"/>
        </w:rPr>
        <w:t>l</w:t>
      </w:r>
      <w:r w:rsidRPr="00050FA4">
        <w:rPr>
          <w:lang w:val="sq-AL"/>
        </w:rPr>
        <w:t>ekë (2.8% e PBB) ose 3.7% e portofolit të borxhit të qeverisjes qendrore. Garancitë në tregun e brendshëm përfaqësojnë 29.9% të totalit të stokut të borxhit të garantuar ose 14.2 miliard</w:t>
      </w:r>
      <w:r w:rsidR="00A912BB" w:rsidRPr="00050FA4">
        <w:rPr>
          <w:lang w:val="sq-AL"/>
        </w:rPr>
        <w:t>ë</w:t>
      </w:r>
      <w:r w:rsidRPr="00050FA4">
        <w:rPr>
          <w:lang w:val="sq-AL"/>
        </w:rPr>
        <w:t xml:space="preserve"> </w:t>
      </w:r>
      <w:r w:rsidR="00A912BB" w:rsidRPr="00050FA4">
        <w:rPr>
          <w:lang w:val="sq-AL"/>
        </w:rPr>
        <w:t>l</w:t>
      </w:r>
      <w:r w:rsidRPr="00050FA4">
        <w:rPr>
          <w:lang w:val="sq-AL"/>
        </w:rPr>
        <w:t>ekë, ndërsa garancitë e emetuara në favor të kreditorëve të huaj përfaqësojnë 70.1% të stokut të borxhit të garantuar ose 33.3 miliard</w:t>
      </w:r>
      <w:r w:rsidR="0074075A" w:rsidRPr="00050FA4">
        <w:rPr>
          <w:lang w:val="sq-AL"/>
        </w:rPr>
        <w:t>ë</w:t>
      </w:r>
      <w:r w:rsidRPr="00050FA4">
        <w:rPr>
          <w:lang w:val="sq-AL"/>
        </w:rPr>
        <w:t xml:space="preserve"> </w:t>
      </w:r>
      <w:r w:rsidR="0074075A" w:rsidRPr="00050FA4">
        <w:rPr>
          <w:lang w:val="sq-AL"/>
        </w:rPr>
        <w:t>l</w:t>
      </w:r>
      <w:r w:rsidRPr="00050FA4">
        <w:rPr>
          <w:lang w:val="sq-AL"/>
        </w:rPr>
        <w:t xml:space="preserve">ekë. Gjatë vitit 2020, Qeveria e Republikës së Shqipërisë emetoi dy </w:t>
      </w:r>
      <w:r w:rsidR="0074075A" w:rsidRPr="00050FA4">
        <w:rPr>
          <w:lang w:val="sq-AL"/>
        </w:rPr>
        <w:t>garanci shtetërore</w:t>
      </w:r>
      <w:r w:rsidRPr="00050FA4">
        <w:rPr>
          <w:lang w:val="sq-AL"/>
        </w:rPr>
        <w:t>, në kuadër të menaxhimit të situatës së krijuar nga pandemia COVID-19.</w:t>
      </w:r>
    </w:p>
    <w:p w14:paraId="792FC10F" w14:textId="52293BBE" w:rsidR="005714D0" w:rsidRPr="00050FA4" w:rsidRDefault="005714D0" w:rsidP="003F1DA7">
      <w:pPr>
        <w:pStyle w:val="AAAAAAATEXXXX"/>
        <w:rPr>
          <w:rFonts w:eastAsia="SimSun" w:cstheme="majorBidi"/>
          <w:color w:val="0D0D0D" w:themeColor="text1" w:themeTint="F2"/>
          <w:lang w:val="sq-AL"/>
        </w:rPr>
      </w:pPr>
      <w:r w:rsidRPr="00050FA4">
        <w:rPr>
          <w:rFonts w:eastAsia="SimSun" w:cstheme="majorBidi"/>
          <w:color w:val="0D0D0D" w:themeColor="text1" w:themeTint="F2"/>
          <w:lang w:val="sq-AL"/>
        </w:rPr>
        <w:t xml:space="preserve">Për të mbështetur tregtarët dhe shoqëritë tregtare me likuiditet, </w:t>
      </w:r>
      <w:r w:rsidR="0074075A" w:rsidRPr="00050FA4">
        <w:rPr>
          <w:rFonts w:eastAsia="SimSun" w:cstheme="majorBidi"/>
          <w:color w:val="0D0D0D" w:themeColor="text1" w:themeTint="F2"/>
          <w:lang w:val="sq-AL"/>
        </w:rPr>
        <w:t xml:space="preserve">qeveria </w:t>
      </w:r>
      <w:r w:rsidRPr="00050FA4">
        <w:rPr>
          <w:rFonts w:eastAsia="SimSun" w:cstheme="majorBidi"/>
          <w:color w:val="0D0D0D" w:themeColor="text1" w:themeTint="F2"/>
          <w:lang w:val="sq-AL"/>
        </w:rPr>
        <w:t xml:space="preserve">e Republikës së Shqipërisë emetoi </w:t>
      </w:r>
      <w:r w:rsidR="0074075A" w:rsidRPr="00050FA4">
        <w:rPr>
          <w:rFonts w:eastAsia="SimSun" w:cstheme="majorBidi"/>
          <w:color w:val="0D0D0D" w:themeColor="text1" w:themeTint="F2"/>
          <w:lang w:val="sq-AL"/>
        </w:rPr>
        <w:t>garancinë shtetërore në shumën prej 11.0 miliardë lekësh, për kompanitë që kishin vështirësi në pagimin e pagave të punonjësve</w:t>
      </w:r>
      <w:r w:rsidRPr="00050FA4">
        <w:rPr>
          <w:rFonts w:eastAsia="SimSun" w:cstheme="majorBidi"/>
          <w:color w:val="0D0D0D" w:themeColor="text1" w:themeTint="F2"/>
          <w:lang w:val="sq-AL"/>
        </w:rPr>
        <w:t xml:space="preserve">. Shpenzimet e interesit mbulohen plotësisht nga qeveria dhe nuk kërkohet asnjë kolateral nga kompanitë. Përveç </w:t>
      </w:r>
      <w:r w:rsidR="0074075A" w:rsidRPr="00050FA4">
        <w:rPr>
          <w:rFonts w:eastAsia="SimSun" w:cstheme="majorBidi"/>
          <w:color w:val="0D0D0D" w:themeColor="text1" w:themeTint="F2"/>
          <w:lang w:val="sq-AL"/>
        </w:rPr>
        <w:t xml:space="preserve">garancisë së parë, qeveria e </w:t>
      </w:r>
      <w:r w:rsidRPr="00050FA4">
        <w:rPr>
          <w:rFonts w:eastAsia="SimSun" w:cstheme="majorBidi"/>
          <w:color w:val="0D0D0D" w:themeColor="text1" w:themeTint="F2"/>
          <w:lang w:val="sq-AL"/>
        </w:rPr>
        <w:t xml:space="preserve">Republikës së Shqipërisë emetoi </w:t>
      </w:r>
      <w:r w:rsidRPr="00050FA4">
        <w:rPr>
          <w:rFonts w:ascii="Times New Roman" w:eastAsia="SimSun" w:hAnsi="Times New Roman"/>
          <w:color w:val="0D0D0D" w:themeColor="text1" w:themeTint="F2"/>
          <w:lang w:val="sq-AL"/>
        </w:rPr>
        <w:t>​​</w:t>
      </w:r>
      <w:r w:rsidRPr="00050FA4">
        <w:rPr>
          <w:rFonts w:eastAsia="SimSun" w:cstheme="majorBidi"/>
          <w:color w:val="0D0D0D" w:themeColor="text1" w:themeTint="F2"/>
          <w:lang w:val="sq-AL"/>
        </w:rPr>
        <w:t>nj</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 xml:space="preserve"> </w:t>
      </w:r>
      <w:r w:rsidR="0074075A" w:rsidRPr="00050FA4">
        <w:rPr>
          <w:rFonts w:eastAsia="SimSun" w:cstheme="majorBidi"/>
          <w:color w:val="0D0D0D" w:themeColor="text1" w:themeTint="F2"/>
          <w:lang w:val="sq-AL"/>
        </w:rPr>
        <w:t>garanci shtet</w:t>
      </w:r>
      <w:r w:rsidR="0074075A" w:rsidRPr="00050FA4">
        <w:rPr>
          <w:rFonts w:eastAsia="SimSun" w:cs="Garamond"/>
          <w:color w:val="0D0D0D" w:themeColor="text1" w:themeTint="F2"/>
          <w:lang w:val="sq-AL"/>
        </w:rPr>
        <w:t>ë</w:t>
      </w:r>
      <w:r w:rsidR="0074075A" w:rsidRPr="00050FA4">
        <w:rPr>
          <w:rFonts w:eastAsia="SimSun" w:cstheme="majorBidi"/>
          <w:color w:val="0D0D0D" w:themeColor="text1" w:themeTint="F2"/>
          <w:lang w:val="sq-AL"/>
        </w:rPr>
        <w:t xml:space="preserve">rore </w:t>
      </w:r>
      <w:r w:rsidRPr="00050FA4">
        <w:rPr>
          <w:rFonts w:eastAsia="SimSun" w:cstheme="majorBidi"/>
          <w:color w:val="0D0D0D" w:themeColor="text1" w:themeTint="F2"/>
          <w:lang w:val="sq-AL"/>
        </w:rPr>
        <w:t>t</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 xml:space="preserve"> dyt</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 n</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 xml:space="preserve"> shum</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n prej 15.0 miliard</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 xml:space="preserve"> lek</w:t>
      </w:r>
      <w:r w:rsidRPr="00050FA4">
        <w:rPr>
          <w:rFonts w:eastAsia="SimSun" w:cs="Garamond"/>
          <w:color w:val="0D0D0D" w:themeColor="text1" w:themeTint="F2"/>
          <w:lang w:val="sq-AL"/>
        </w:rPr>
        <w:t>ë</w:t>
      </w:r>
      <w:r w:rsidRPr="00050FA4">
        <w:rPr>
          <w:rFonts w:eastAsia="SimSun" w:cstheme="majorBidi"/>
          <w:color w:val="0D0D0D" w:themeColor="text1" w:themeTint="F2"/>
          <w:lang w:val="sq-AL"/>
        </w:rPr>
        <w:t>sh, duke siguruar hua për kapital qarkullues dhe investime për të gjithë sektorët e ekonomisë. Qeveria garantoi 60% , e cila nënkupton se skema e dytë e garancisë mund të garantojë kreditimin e biznesit deri në shumën prej 25 miliard</w:t>
      </w:r>
      <w:r w:rsidR="00271D1A" w:rsidRPr="00050FA4">
        <w:rPr>
          <w:rFonts w:eastAsia="SimSun" w:cstheme="majorBidi"/>
          <w:color w:val="0D0D0D" w:themeColor="text1" w:themeTint="F2"/>
          <w:lang w:val="sq-AL"/>
        </w:rPr>
        <w:t>ë</w:t>
      </w:r>
      <w:r w:rsidRPr="00050FA4">
        <w:rPr>
          <w:rFonts w:eastAsia="SimSun" w:cstheme="majorBidi"/>
          <w:color w:val="0D0D0D" w:themeColor="text1" w:themeTint="F2"/>
          <w:lang w:val="sq-AL"/>
        </w:rPr>
        <w:t xml:space="preserve"> </w:t>
      </w:r>
      <w:r w:rsidR="001C0FC0" w:rsidRPr="00050FA4">
        <w:rPr>
          <w:rFonts w:eastAsia="SimSun" w:cstheme="majorBidi"/>
          <w:color w:val="0D0D0D" w:themeColor="text1" w:themeTint="F2"/>
          <w:lang w:val="sq-AL"/>
        </w:rPr>
        <w:t>lekë</w:t>
      </w:r>
      <w:r w:rsidR="00271D1A" w:rsidRPr="00050FA4">
        <w:rPr>
          <w:rFonts w:eastAsia="SimSun" w:cstheme="majorBidi"/>
          <w:color w:val="0D0D0D" w:themeColor="text1" w:themeTint="F2"/>
          <w:lang w:val="sq-AL"/>
        </w:rPr>
        <w:t>sh</w:t>
      </w:r>
      <w:r w:rsidRPr="00050FA4">
        <w:rPr>
          <w:rFonts w:eastAsia="SimSun" w:cstheme="majorBidi"/>
          <w:color w:val="0D0D0D" w:themeColor="text1" w:themeTint="F2"/>
          <w:lang w:val="sq-AL"/>
        </w:rPr>
        <w:t xml:space="preserve">. Deri në fund të muajit shtator 2021 nga këto garanci janë </w:t>
      </w:r>
      <w:r w:rsidR="001C0FC0" w:rsidRPr="00050FA4">
        <w:rPr>
          <w:rFonts w:eastAsia="SimSun" w:cstheme="majorBidi"/>
          <w:color w:val="0D0D0D" w:themeColor="text1" w:themeTint="F2"/>
          <w:lang w:val="sq-AL"/>
        </w:rPr>
        <w:t xml:space="preserve">aprovuar kredi në vlerën prej: </w:t>
      </w:r>
      <w:r w:rsidRPr="00050FA4">
        <w:rPr>
          <w:rFonts w:eastAsia="SimSun" w:cstheme="majorBidi"/>
          <w:color w:val="0D0D0D" w:themeColor="text1" w:themeTint="F2"/>
          <w:lang w:val="sq-AL"/>
        </w:rPr>
        <w:t>i</w:t>
      </w:r>
      <w:r w:rsidR="001C0FC0" w:rsidRPr="00050FA4">
        <w:rPr>
          <w:rFonts w:eastAsia="SimSun" w:cstheme="majorBidi"/>
          <w:color w:val="0D0D0D" w:themeColor="text1" w:themeTint="F2"/>
          <w:lang w:val="sq-AL"/>
        </w:rPr>
        <w:t>.</w:t>
      </w:r>
      <w:r w:rsidRPr="00050FA4">
        <w:rPr>
          <w:rFonts w:eastAsia="SimSun" w:cstheme="majorBidi"/>
          <w:color w:val="0D0D0D" w:themeColor="text1" w:themeTint="F2"/>
          <w:lang w:val="sq-AL"/>
        </w:rPr>
        <w:t xml:space="preserve"> rreth 5.9 miliard</w:t>
      </w:r>
      <w:r w:rsidR="001C0FC0" w:rsidRPr="00050FA4">
        <w:rPr>
          <w:rFonts w:eastAsia="SimSun" w:cstheme="majorBidi"/>
          <w:color w:val="0D0D0D" w:themeColor="text1" w:themeTint="F2"/>
          <w:lang w:val="sq-AL"/>
        </w:rPr>
        <w:t>ë</w:t>
      </w:r>
      <w:r w:rsidRPr="00050FA4">
        <w:rPr>
          <w:rFonts w:eastAsia="SimSun" w:cstheme="majorBidi"/>
          <w:color w:val="0D0D0D" w:themeColor="text1" w:themeTint="F2"/>
          <w:lang w:val="sq-AL"/>
        </w:rPr>
        <w:t xml:space="preserve"> </w:t>
      </w:r>
      <w:r w:rsidR="001C0FC0" w:rsidRPr="00050FA4">
        <w:rPr>
          <w:rFonts w:eastAsia="SimSun" w:cstheme="majorBidi"/>
          <w:color w:val="0D0D0D" w:themeColor="text1" w:themeTint="F2"/>
          <w:lang w:val="sq-AL"/>
        </w:rPr>
        <w:t xml:space="preserve">lekë </w:t>
      </w:r>
      <w:r w:rsidRPr="00050FA4">
        <w:rPr>
          <w:rFonts w:eastAsia="SimSun" w:cstheme="majorBidi"/>
          <w:color w:val="0D0D0D" w:themeColor="text1" w:themeTint="F2"/>
          <w:lang w:val="sq-AL"/>
        </w:rPr>
        <w:t>(nga të cilat 5.3 miliard</w:t>
      </w:r>
      <w:r w:rsidR="0074075A" w:rsidRPr="00050FA4">
        <w:rPr>
          <w:rFonts w:eastAsia="SimSun" w:cstheme="majorBidi"/>
          <w:color w:val="0D0D0D" w:themeColor="text1" w:themeTint="F2"/>
          <w:lang w:val="sq-AL"/>
        </w:rPr>
        <w:t>ë</w:t>
      </w:r>
      <w:r w:rsidRPr="00050FA4">
        <w:rPr>
          <w:rFonts w:eastAsia="SimSun" w:cstheme="majorBidi"/>
          <w:color w:val="0D0D0D" w:themeColor="text1" w:themeTint="F2"/>
          <w:lang w:val="sq-AL"/>
        </w:rPr>
        <w:t xml:space="preserve"> </w:t>
      </w:r>
      <w:r w:rsidR="0074075A" w:rsidRPr="00050FA4">
        <w:rPr>
          <w:rFonts w:eastAsia="SimSun" w:cstheme="majorBidi"/>
          <w:color w:val="0D0D0D" w:themeColor="text1" w:themeTint="F2"/>
          <w:lang w:val="sq-AL"/>
        </w:rPr>
        <w:t xml:space="preserve">lekë </w:t>
      </w:r>
      <w:r w:rsidRPr="00050FA4">
        <w:rPr>
          <w:rFonts w:eastAsia="SimSun" w:cstheme="majorBidi"/>
          <w:color w:val="0D0D0D" w:themeColor="text1" w:themeTint="F2"/>
          <w:lang w:val="sq-AL"/>
        </w:rPr>
        <w:t xml:space="preserve">të disbursuara) për </w:t>
      </w:r>
      <w:r w:rsidR="0074075A" w:rsidRPr="00050FA4">
        <w:rPr>
          <w:rFonts w:eastAsia="SimSun" w:cstheme="majorBidi"/>
          <w:color w:val="0D0D0D" w:themeColor="text1" w:themeTint="F2"/>
          <w:lang w:val="sq-AL"/>
        </w:rPr>
        <w:t>garancinë e parë</w:t>
      </w:r>
      <w:r w:rsidR="001C0FC0" w:rsidRPr="00050FA4">
        <w:rPr>
          <w:rFonts w:eastAsia="SimSun" w:cstheme="majorBidi"/>
          <w:color w:val="0D0D0D" w:themeColor="text1" w:themeTint="F2"/>
          <w:lang w:val="sq-AL"/>
        </w:rPr>
        <w:t xml:space="preserve">; dhe </w:t>
      </w:r>
      <w:r w:rsidRPr="00050FA4">
        <w:rPr>
          <w:rFonts w:eastAsia="SimSun" w:cstheme="majorBidi"/>
          <w:color w:val="0D0D0D" w:themeColor="text1" w:themeTint="F2"/>
          <w:lang w:val="sq-AL"/>
        </w:rPr>
        <w:t>ii</w:t>
      </w:r>
      <w:r w:rsidR="001C0FC0" w:rsidRPr="00050FA4">
        <w:rPr>
          <w:rFonts w:eastAsia="SimSun" w:cstheme="majorBidi"/>
          <w:color w:val="0D0D0D" w:themeColor="text1" w:themeTint="F2"/>
          <w:lang w:val="sq-AL"/>
        </w:rPr>
        <w:t>.</w:t>
      </w:r>
      <w:r w:rsidRPr="00050FA4">
        <w:rPr>
          <w:rFonts w:eastAsia="SimSun" w:cstheme="majorBidi"/>
          <w:color w:val="0D0D0D" w:themeColor="text1" w:themeTint="F2"/>
          <w:lang w:val="sq-AL"/>
        </w:rPr>
        <w:t xml:space="preserve"> rreth 16.5 miliard</w:t>
      </w:r>
      <w:r w:rsidR="0074075A" w:rsidRPr="00050FA4">
        <w:rPr>
          <w:rFonts w:eastAsia="SimSun" w:cstheme="majorBidi"/>
          <w:color w:val="0D0D0D" w:themeColor="text1" w:themeTint="F2"/>
          <w:lang w:val="sq-AL"/>
        </w:rPr>
        <w:t>ë</w:t>
      </w:r>
      <w:r w:rsidRPr="00050FA4">
        <w:rPr>
          <w:rFonts w:eastAsia="SimSun" w:cstheme="majorBidi"/>
          <w:color w:val="0D0D0D" w:themeColor="text1" w:themeTint="F2"/>
          <w:lang w:val="sq-AL"/>
        </w:rPr>
        <w:t xml:space="preserve"> </w:t>
      </w:r>
      <w:r w:rsidR="001C0FC0" w:rsidRPr="00050FA4">
        <w:rPr>
          <w:rFonts w:eastAsia="SimSun" w:cstheme="majorBidi"/>
          <w:color w:val="0D0D0D" w:themeColor="text1" w:themeTint="F2"/>
          <w:lang w:val="sq-AL"/>
        </w:rPr>
        <w:t xml:space="preserve">lekë </w:t>
      </w:r>
      <w:r w:rsidRPr="00050FA4">
        <w:rPr>
          <w:rFonts w:eastAsia="SimSun" w:cstheme="majorBidi"/>
          <w:color w:val="0D0D0D" w:themeColor="text1" w:themeTint="F2"/>
          <w:lang w:val="sq-AL"/>
        </w:rPr>
        <w:t>(prej të cilave 16.1 miliard</w:t>
      </w:r>
      <w:r w:rsidR="001C0FC0" w:rsidRPr="00050FA4">
        <w:rPr>
          <w:rFonts w:eastAsia="SimSun" w:cstheme="majorBidi"/>
          <w:color w:val="0D0D0D" w:themeColor="text1" w:themeTint="F2"/>
          <w:lang w:val="sq-AL"/>
        </w:rPr>
        <w:t>ë</w:t>
      </w:r>
      <w:r w:rsidRPr="00050FA4">
        <w:rPr>
          <w:rFonts w:eastAsia="SimSun" w:cstheme="majorBidi"/>
          <w:color w:val="0D0D0D" w:themeColor="text1" w:themeTint="F2"/>
          <w:lang w:val="sq-AL"/>
        </w:rPr>
        <w:t xml:space="preserve"> </w:t>
      </w:r>
      <w:r w:rsidR="001C0FC0" w:rsidRPr="00050FA4">
        <w:rPr>
          <w:rFonts w:eastAsia="SimSun" w:cstheme="majorBidi"/>
          <w:color w:val="0D0D0D" w:themeColor="text1" w:themeTint="F2"/>
          <w:lang w:val="sq-AL"/>
        </w:rPr>
        <w:t xml:space="preserve">lekë </w:t>
      </w:r>
      <w:r w:rsidRPr="00050FA4">
        <w:rPr>
          <w:rFonts w:eastAsia="SimSun" w:cstheme="majorBidi"/>
          <w:color w:val="0D0D0D" w:themeColor="text1" w:themeTint="F2"/>
          <w:lang w:val="sq-AL"/>
        </w:rPr>
        <w:t xml:space="preserve">të disbursuara) për </w:t>
      </w:r>
      <w:r w:rsidR="0074075A" w:rsidRPr="00050FA4">
        <w:rPr>
          <w:rFonts w:eastAsia="SimSun" w:cstheme="majorBidi"/>
          <w:color w:val="0D0D0D" w:themeColor="text1" w:themeTint="F2"/>
          <w:lang w:val="sq-AL"/>
        </w:rPr>
        <w:t>garancinë e dytë</w:t>
      </w:r>
      <w:r w:rsidRPr="00050FA4">
        <w:rPr>
          <w:rFonts w:eastAsia="SimSun" w:cstheme="majorBidi"/>
          <w:color w:val="0D0D0D" w:themeColor="text1" w:themeTint="F2"/>
          <w:lang w:val="sq-AL"/>
        </w:rPr>
        <w:t>. Afati i fundit i aplikimit për të dy</w:t>
      </w:r>
      <w:r w:rsidR="00821414" w:rsidRPr="00050FA4">
        <w:rPr>
          <w:rFonts w:eastAsia="SimSun" w:cstheme="majorBidi"/>
          <w:color w:val="0D0D0D" w:themeColor="text1" w:themeTint="F2"/>
          <w:lang w:val="sq-AL"/>
        </w:rPr>
        <w:t>ja</w:t>
      </w:r>
      <w:r w:rsidRPr="00050FA4">
        <w:rPr>
          <w:rFonts w:eastAsia="SimSun" w:cstheme="majorBidi"/>
          <w:color w:val="0D0D0D" w:themeColor="text1" w:themeTint="F2"/>
          <w:lang w:val="sq-AL"/>
        </w:rPr>
        <w:t xml:space="preserve"> skemat e garancive ka përfunduar. Deri në fund të </w:t>
      </w:r>
      <w:r w:rsidR="00271D1A" w:rsidRPr="00050FA4">
        <w:rPr>
          <w:rFonts w:eastAsia="SimSun" w:cstheme="majorBidi"/>
          <w:color w:val="0D0D0D" w:themeColor="text1" w:themeTint="F2"/>
          <w:lang w:val="sq-AL"/>
        </w:rPr>
        <w:t xml:space="preserve">shtatorit </w:t>
      </w:r>
      <w:r w:rsidRPr="00050FA4">
        <w:rPr>
          <w:rFonts w:eastAsia="SimSun" w:cstheme="majorBidi"/>
          <w:color w:val="0D0D0D" w:themeColor="text1" w:themeTint="F2"/>
          <w:lang w:val="sq-AL"/>
        </w:rPr>
        <w:t xml:space="preserve">2021 stoku i </w:t>
      </w:r>
      <w:r w:rsidR="00271D1A" w:rsidRPr="00050FA4">
        <w:rPr>
          <w:rFonts w:eastAsia="SimSun" w:cstheme="majorBidi"/>
          <w:color w:val="0D0D0D" w:themeColor="text1" w:themeTint="F2"/>
          <w:lang w:val="sq-AL"/>
        </w:rPr>
        <w:t xml:space="preserve">garancive </w:t>
      </w:r>
      <w:r w:rsidRPr="00050FA4">
        <w:rPr>
          <w:rFonts w:eastAsia="SimSun" w:cstheme="majorBidi"/>
          <w:color w:val="0D0D0D" w:themeColor="text1" w:themeTint="F2"/>
          <w:lang w:val="sq-AL"/>
        </w:rPr>
        <w:t xml:space="preserve">është 10.1 miliardë </w:t>
      </w:r>
      <w:r w:rsidR="001C0FC0" w:rsidRPr="00050FA4">
        <w:rPr>
          <w:rFonts w:eastAsia="SimSun" w:cstheme="majorBidi"/>
          <w:color w:val="0D0D0D" w:themeColor="text1" w:themeTint="F2"/>
          <w:lang w:val="sq-AL"/>
        </w:rPr>
        <w:t>lekë</w:t>
      </w:r>
      <w:r w:rsidR="0074075A" w:rsidRPr="00050FA4">
        <w:rPr>
          <w:rFonts w:eastAsia="SimSun" w:cstheme="majorBidi"/>
          <w:color w:val="0D0D0D" w:themeColor="text1" w:themeTint="F2"/>
          <w:lang w:val="sq-AL"/>
        </w:rPr>
        <w:t xml:space="preserve"> </w:t>
      </w:r>
      <w:r w:rsidRPr="00050FA4">
        <w:rPr>
          <w:rFonts w:eastAsia="SimSun" w:cstheme="majorBidi"/>
          <w:color w:val="0D0D0D" w:themeColor="text1" w:themeTint="F2"/>
          <w:lang w:val="sq-AL"/>
        </w:rPr>
        <w:t>ose ndryshe 21.3% e stokut total të garantuar.</w:t>
      </w:r>
    </w:p>
    <w:p w14:paraId="380E54B6" w14:textId="2E2712C9" w:rsidR="005714D0" w:rsidRPr="00050FA4" w:rsidRDefault="005714D0" w:rsidP="003F1DA7">
      <w:pPr>
        <w:pStyle w:val="AAAAAAATEXXXX"/>
        <w:rPr>
          <w:rFonts w:eastAsia="SimSun" w:cstheme="majorBidi"/>
          <w:color w:val="0D0D0D" w:themeColor="text1" w:themeTint="F2"/>
          <w:lang w:val="sq-AL"/>
        </w:rPr>
      </w:pPr>
      <w:r w:rsidRPr="00050FA4">
        <w:rPr>
          <w:rFonts w:eastAsia="SimSun" w:cstheme="majorBidi"/>
          <w:color w:val="0D0D0D" w:themeColor="text1" w:themeTint="F2"/>
          <w:lang w:val="sq-AL"/>
        </w:rPr>
        <w:t xml:space="preserve">Përveç </w:t>
      </w:r>
      <w:r w:rsidR="00271D1A" w:rsidRPr="00050FA4">
        <w:rPr>
          <w:rFonts w:eastAsia="SimSun" w:cstheme="majorBidi"/>
          <w:color w:val="0D0D0D" w:themeColor="text1" w:themeTint="F2"/>
          <w:lang w:val="sq-AL"/>
        </w:rPr>
        <w:t xml:space="preserve">garancive për biznesin, </w:t>
      </w:r>
      <w:r w:rsidRPr="00050FA4">
        <w:rPr>
          <w:rFonts w:eastAsia="SimSun" w:cstheme="majorBidi"/>
          <w:color w:val="0D0D0D" w:themeColor="text1" w:themeTint="F2"/>
          <w:lang w:val="sq-AL"/>
        </w:rPr>
        <w:t xml:space="preserve">në kuadër të situatës së krijuar nga </w:t>
      </w:r>
      <w:r w:rsidR="001C0FC0" w:rsidRPr="00050FA4">
        <w:rPr>
          <w:rFonts w:eastAsia="SimSun" w:cstheme="majorBidi"/>
          <w:color w:val="0D0D0D" w:themeColor="text1" w:themeTint="F2"/>
          <w:lang w:val="sq-AL"/>
        </w:rPr>
        <w:t>COVID-</w:t>
      </w:r>
      <w:r w:rsidRPr="00050FA4">
        <w:rPr>
          <w:rFonts w:eastAsia="SimSun" w:cstheme="majorBidi"/>
          <w:color w:val="0D0D0D" w:themeColor="text1" w:themeTint="F2"/>
          <w:lang w:val="sq-AL"/>
        </w:rPr>
        <w:t xml:space="preserve">19, portofoli i garancive të brendshme përbëhet nga linja kredie afatshkurtra dhe me norma interesi tregtare, të cilat i janë akorduar KESH sh.a. nga bankat tregtare </w:t>
      </w:r>
      <w:r w:rsidR="00643BAF" w:rsidRPr="00050FA4">
        <w:rPr>
          <w:rFonts w:eastAsia="SimSun" w:cstheme="majorBidi"/>
          <w:color w:val="0D0D0D" w:themeColor="text1" w:themeTint="F2"/>
          <w:lang w:val="sq-AL"/>
        </w:rPr>
        <w:t>vendës</w:t>
      </w:r>
      <w:r w:rsidRPr="00050FA4">
        <w:rPr>
          <w:rFonts w:eastAsia="SimSun" w:cstheme="majorBidi"/>
          <w:color w:val="0D0D0D" w:themeColor="text1" w:themeTint="F2"/>
          <w:lang w:val="sq-AL"/>
        </w:rPr>
        <w:t>e. Në dallim nga garancitë e brendshme, garancitë e huaja janë kredi afatgjata të akorduara kryesisht me norma interesi koncesionale.</w:t>
      </w:r>
    </w:p>
    <w:p w14:paraId="6929B742" w14:textId="77777777" w:rsidR="005714D0" w:rsidRPr="00050FA4" w:rsidRDefault="005714D0" w:rsidP="003F1DA7">
      <w:pPr>
        <w:pStyle w:val="AAAAAAATEXXXX"/>
        <w:rPr>
          <w:rFonts w:cstheme="majorBidi"/>
          <w:bCs/>
          <w:color w:val="0D0D0D" w:themeColor="text1" w:themeTint="F2"/>
          <w:lang w:val="sq-AL"/>
        </w:rPr>
      </w:pPr>
    </w:p>
    <w:p w14:paraId="00684722" w14:textId="77777777" w:rsidR="005714D0" w:rsidRPr="00050FA4" w:rsidRDefault="005714D0" w:rsidP="003F1DA7">
      <w:pPr>
        <w:ind w:firstLine="284"/>
        <w:jc w:val="center"/>
        <w:rPr>
          <w:rFonts w:ascii="Garamond" w:hAnsi="Garamond" w:cstheme="majorBidi"/>
          <w:b/>
          <w:bCs/>
          <w:i/>
          <w:color w:val="0D0D0D" w:themeColor="text1" w:themeTint="F2"/>
          <w:sz w:val="20"/>
        </w:rPr>
      </w:pPr>
      <w:r w:rsidRPr="00050FA4">
        <w:rPr>
          <w:rFonts w:ascii="Garamond" w:hAnsi="Garamond" w:cstheme="majorBidi"/>
          <w:b/>
          <w:bCs/>
          <w:i/>
          <w:color w:val="0D0D0D" w:themeColor="text1" w:themeTint="F2"/>
          <w:sz w:val="20"/>
        </w:rPr>
        <w:t>Grafik 4.6.9 Garancitë sipas rezidencës së kreditorit</w:t>
      </w:r>
    </w:p>
    <w:p w14:paraId="3B7D82E6" w14:textId="2D272A84" w:rsidR="005714D0" w:rsidRPr="00050FA4" w:rsidRDefault="005714D0" w:rsidP="003F1DA7">
      <w:pPr>
        <w:ind w:right="-46" w:firstLine="284"/>
        <w:jc w:val="center"/>
        <w:rPr>
          <w:rFonts w:ascii="Garamond" w:hAnsi="Garamond" w:cstheme="majorBidi"/>
          <w:color w:val="0D0D0D" w:themeColor="text1" w:themeTint="F2"/>
        </w:rPr>
      </w:pPr>
      <w:r w:rsidRPr="00050FA4">
        <w:rPr>
          <w:rFonts w:ascii="Garamond" w:eastAsia="SimSun" w:hAnsi="Garamond" w:cstheme="majorBidi"/>
          <w:noProof/>
          <w:color w:val="0D0D0D" w:themeColor="text1" w:themeTint="F2"/>
          <w:lang w:val="en-US"/>
        </w:rPr>
        <w:drawing>
          <wp:inline distT="0" distB="0" distL="0" distR="0" wp14:anchorId="393F2FC6" wp14:editId="74E91713">
            <wp:extent cx="6191250" cy="17811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91250" cy="1781175"/>
                    </a:xfrm>
                    <a:prstGeom prst="rect">
                      <a:avLst/>
                    </a:prstGeom>
                    <a:noFill/>
                    <a:ln>
                      <a:noFill/>
                    </a:ln>
                  </pic:spPr>
                </pic:pic>
              </a:graphicData>
            </a:graphic>
          </wp:inline>
        </w:drawing>
      </w:r>
    </w:p>
    <w:p w14:paraId="59137717" w14:textId="77777777" w:rsidR="005714D0" w:rsidRPr="00050FA4" w:rsidRDefault="005714D0" w:rsidP="003F1DA7">
      <w:pPr>
        <w:ind w:right="-46" w:firstLine="284"/>
        <w:jc w:val="center"/>
        <w:rPr>
          <w:rFonts w:ascii="Garamond" w:eastAsia="SimSun"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5ACC84CC" w14:textId="77777777" w:rsidR="005714D0" w:rsidRPr="00050FA4" w:rsidRDefault="005714D0" w:rsidP="003F1DA7">
      <w:pPr>
        <w:ind w:firstLine="284"/>
        <w:jc w:val="center"/>
        <w:rPr>
          <w:rFonts w:ascii="Garamond" w:hAnsi="Garamond" w:cstheme="majorBidi"/>
          <w:bCs/>
          <w:color w:val="0D0D0D" w:themeColor="text1" w:themeTint="F2"/>
        </w:rPr>
      </w:pPr>
    </w:p>
    <w:p w14:paraId="6291DE7A" w14:textId="77777777" w:rsidR="00397F9D" w:rsidRPr="00050FA4" w:rsidRDefault="00397F9D" w:rsidP="003F1DA7">
      <w:pPr>
        <w:ind w:firstLine="284"/>
        <w:jc w:val="center"/>
        <w:rPr>
          <w:rFonts w:ascii="Garamond" w:hAnsi="Garamond" w:cstheme="majorBidi"/>
          <w:b/>
          <w:bCs/>
          <w:i/>
          <w:color w:val="0D0D0D" w:themeColor="text1" w:themeTint="F2"/>
          <w:sz w:val="20"/>
        </w:rPr>
      </w:pPr>
    </w:p>
    <w:p w14:paraId="1110E516" w14:textId="77777777" w:rsidR="00397F9D" w:rsidRPr="00050FA4" w:rsidRDefault="00397F9D" w:rsidP="003F1DA7">
      <w:pPr>
        <w:ind w:firstLine="284"/>
        <w:jc w:val="center"/>
        <w:rPr>
          <w:rFonts w:ascii="Garamond" w:hAnsi="Garamond" w:cstheme="majorBidi"/>
          <w:b/>
          <w:bCs/>
          <w:i/>
          <w:color w:val="0D0D0D" w:themeColor="text1" w:themeTint="F2"/>
          <w:sz w:val="20"/>
        </w:rPr>
      </w:pPr>
    </w:p>
    <w:p w14:paraId="50312CA5" w14:textId="77777777" w:rsidR="00397F9D" w:rsidRPr="00050FA4" w:rsidRDefault="00397F9D" w:rsidP="003F1DA7">
      <w:pPr>
        <w:ind w:firstLine="284"/>
        <w:jc w:val="center"/>
        <w:rPr>
          <w:rFonts w:ascii="Garamond" w:hAnsi="Garamond" w:cstheme="majorBidi"/>
          <w:b/>
          <w:bCs/>
          <w:i/>
          <w:color w:val="0D0D0D" w:themeColor="text1" w:themeTint="F2"/>
          <w:sz w:val="20"/>
        </w:rPr>
      </w:pPr>
    </w:p>
    <w:p w14:paraId="098AA3DD" w14:textId="77777777" w:rsidR="00397F9D" w:rsidRPr="00050FA4" w:rsidRDefault="00397F9D" w:rsidP="003F1DA7">
      <w:pPr>
        <w:ind w:firstLine="284"/>
        <w:jc w:val="center"/>
        <w:rPr>
          <w:rFonts w:ascii="Garamond" w:hAnsi="Garamond" w:cstheme="majorBidi"/>
          <w:b/>
          <w:bCs/>
          <w:i/>
          <w:color w:val="0D0D0D" w:themeColor="text1" w:themeTint="F2"/>
          <w:sz w:val="20"/>
        </w:rPr>
      </w:pPr>
    </w:p>
    <w:p w14:paraId="730F5EF9" w14:textId="31AA0516" w:rsidR="005714D0" w:rsidRPr="00050FA4" w:rsidRDefault="005714D0" w:rsidP="003F1DA7">
      <w:pPr>
        <w:ind w:firstLine="284"/>
        <w:jc w:val="center"/>
        <w:rPr>
          <w:rFonts w:ascii="Garamond" w:hAnsi="Garamond" w:cstheme="majorBidi"/>
          <w:b/>
          <w:i/>
          <w:color w:val="0D0D0D" w:themeColor="text1" w:themeTint="F2"/>
          <w:sz w:val="20"/>
        </w:rPr>
      </w:pPr>
      <w:r w:rsidRPr="00050FA4">
        <w:rPr>
          <w:rFonts w:ascii="Garamond" w:hAnsi="Garamond" w:cstheme="majorBidi"/>
          <w:b/>
          <w:bCs/>
          <w:i/>
          <w:color w:val="0D0D0D" w:themeColor="text1" w:themeTint="F2"/>
          <w:sz w:val="20"/>
        </w:rPr>
        <w:t>Grafik 4.6.10</w:t>
      </w:r>
      <w:r w:rsidRPr="00050FA4">
        <w:rPr>
          <w:rFonts w:ascii="Garamond" w:hAnsi="Garamond" w:cstheme="majorBidi"/>
          <w:b/>
          <w:i/>
          <w:color w:val="0D0D0D" w:themeColor="text1" w:themeTint="F2"/>
          <w:sz w:val="20"/>
        </w:rPr>
        <w:t xml:space="preserve"> Garancitë </w:t>
      </w:r>
      <w:r w:rsidR="00397F9D" w:rsidRPr="00050FA4">
        <w:rPr>
          <w:rFonts w:ascii="Garamond" w:hAnsi="Garamond" w:cstheme="majorBidi"/>
          <w:b/>
          <w:i/>
          <w:color w:val="0D0D0D" w:themeColor="text1" w:themeTint="F2"/>
          <w:sz w:val="20"/>
        </w:rPr>
        <w:t xml:space="preserve">shtetërore </w:t>
      </w:r>
      <w:r w:rsidRPr="00050FA4">
        <w:rPr>
          <w:rFonts w:ascii="Garamond" w:hAnsi="Garamond" w:cstheme="majorBidi"/>
          <w:b/>
          <w:i/>
          <w:color w:val="0D0D0D" w:themeColor="text1" w:themeTint="F2"/>
          <w:sz w:val="20"/>
        </w:rPr>
        <w:t>sipas sektorëve</w:t>
      </w:r>
    </w:p>
    <w:p w14:paraId="2FBB60A2" w14:textId="26A0EA1B" w:rsidR="005714D0" w:rsidRPr="00050FA4" w:rsidRDefault="005714D0" w:rsidP="003F1DA7">
      <w:pPr>
        <w:ind w:firstLine="284"/>
        <w:jc w:val="center"/>
        <w:rPr>
          <w:rFonts w:ascii="Garamond" w:hAnsi="Garamond" w:cstheme="majorBidi"/>
          <w:i/>
          <w:color w:val="0D0D0D" w:themeColor="text1" w:themeTint="F2"/>
          <w:lang w:eastAsia="en-GB"/>
        </w:rPr>
      </w:pPr>
      <w:r w:rsidRPr="00050FA4">
        <w:rPr>
          <w:rFonts w:ascii="Garamond" w:hAnsi="Garamond" w:cstheme="majorBidi"/>
          <w:i/>
          <w:noProof/>
          <w:color w:val="0D0D0D" w:themeColor="text1" w:themeTint="F2"/>
          <w:lang w:val="en-US"/>
        </w:rPr>
        <w:drawing>
          <wp:inline distT="0" distB="0" distL="0" distR="0" wp14:anchorId="4818909A" wp14:editId="15BD9F9C">
            <wp:extent cx="6210300" cy="2876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10300" cy="2876550"/>
                    </a:xfrm>
                    <a:prstGeom prst="rect">
                      <a:avLst/>
                    </a:prstGeom>
                    <a:noFill/>
                    <a:ln>
                      <a:noFill/>
                    </a:ln>
                  </pic:spPr>
                </pic:pic>
              </a:graphicData>
            </a:graphic>
          </wp:inline>
        </w:drawing>
      </w:r>
    </w:p>
    <w:p w14:paraId="4276E92A" w14:textId="77777777" w:rsidR="005714D0" w:rsidRPr="00050FA4" w:rsidRDefault="005714D0" w:rsidP="003F1DA7">
      <w:pPr>
        <w:ind w:firstLine="284"/>
        <w:jc w:val="center"/>
        <w:rPr>
          <w:rFonts w:ascii="Garamond" w:hAnsi="Garamond" w:cstheme="majorBidi"/>
          <w:color w:val="0D0D0D" w:themeColor="text1" w:themeTint="F2"/>
          <w:sz w:val="20"/>
        </w:rPr>
      </w:pPr>
      <w:r w:rsidRPr="00050FA4">
        <w:rPr>
          <w:rFonts w:ascii="Garamond" w:hAnsi="Garamond" w:cstheme="majorBidi"/>
          <w:color w:val="0D0D0D" w:themeColor="text1" w:themeTint="F2"/>
          <w:sz w:val="20"/>
        </w:rPr>
        <w:t>Burimi: Ministria e Financave dhe Ekonomisë (2021)</w:t>
      </w:r>
    </w:p>
    <w:p w14:paraId="66DBC094" w14:textId="77777777" w:rsidR="005714D0" w:rsidRPr="00050FA4" w:rsidRDefault="005714D0" w:rsidP="003F1DA7">
      <w:pPr>
        <w:ind w:firstLine="284"/>
        <w:rPr>
          <w:rFonts w:ascii="Garamond" w:hAnsi="Garamond" w:cstheme="majorBidi"/>
          <w:color w:val="0D0D0D" w:themeColor="text1" w:themeTint="F2"/>
          <w:sz w:val="20"/>
        </w:rPr>
      </w:pPr>
    </w:p>
    <w:p w14:paraId="1777E32E" w14:textId="280E32A4" w:rsidR="005714D0" w:rsidRPr="00050FA4" w:rsidRDefault="005714D0" w:rsidP="003F1DA7">
      <w:pPr>
        <w:pStyle w:val="AAAAAAATEXXXX"/>
        <w:rPr>
          <w:lang w:val="sq-AL"/>
        </w:rPr>
      </w:pPr>
      <w:r w:rsidRPr="00050FA4">
        <w:rPr>
          <w:lang w:val="sq-AL"/>
        </w:rPr>
        <w:t>Në periudhën afatmesme, niveli i garancive është planifikuar të qëndrojë në nivelin 5%</w:t>
      </w:r>
      <w:r w:rsidR="00F949C0" w:rsidRPr="00050FA4">
        <w:rPr>
          <w:lang w:val="sq-AL"/>
        </w:rPr>
        <w:t>–</w:t>
      </w:r>
      <w:r w:rsidRPr="00050FA4">
        <w:rPr>
          <w:lang w:val="sq-AL"/>
        </w:rPr>
        <w:t>6</w:t>
      </w:r>
      <w:r w:rsidR="00F949C0" w:rsidRPr="00050FA4">
        <w:rPr>
          <w:lang w:val="sq-AL"/>
        </w:rPr>
        <w:t xml:space="preserve"> </w:t>
      </w:r>
      <w:r w:rsidRPr="00050FA4">
        <w:rPr>
          <w:lang w:val="sq-AL"/>
        </w:rPr>
        <w:t xml:space="preserve">% ndaj PBB-së, dhe garancitë e reja do të emetohen </w:t>
      </w:r>
      <w:r w:rsidR="001C0FC0" w:rsidRPr="00050FA4">
        <w:rPr>
          <w:lang w:val="sq-AL"/>
        </w:rPr>
        <w:t>kryesisht</w:t>
      </w:r>
      <w:r w:rsidRPr="00050FA4">
        <w:rPr>
          <w:lang w:val="sq-AL"/>
        </w:rPr>
        <w:t xml:space="preserve">: </w:t>
      </w:r>
    </w:p>
    <w:p w14:paraId="2A1AEC57" w14:textId="43B982B3" w:rsidR="005714D0" w:rsidRPr="00050FA4" w:rsidRDefault="005714D0" w:rsidP="003F1DA7">
      <w:pPr>
        <w:pStyle w:val="AAAAAAATEXXXX"/>
        <w:rPr>
          <w:lang w:val="sq-AL"/>
        </w:rPr>
      </w:pPr>
      <w:r w:rsidRPr="00050FA4">
        <w:rPr>
          <w:lang w:val="sq-AL"/>
        </w:rPr>
        <w:t>-</w:t>
      </w:r>
      <w:r w:rsidR="003C51D0" w:rsidRPr="00050FA4">
        <w:rPr>
          <w:lang w:val="sq-AL"/>
        </w:rPr>
        <w:t xml:space="preserve"> </w:t>
      </w:r>
      <w:r w:rsidRPr="00050FA4">
        <w:rPr>
          <w:lang w:val="sq-AL"/>
        </w:rPr>
        <w:t>Për të mbështetur projektet zhvillimore</w:t>
      </w:r>
      <w:r w:rsidR="00F949C0" w:rsidRPr="00050FA4">
        <w:rPr>
          <w:lang w:val="sq-AL"/>
        </w:rPr>
        <w:t>,</w:t>
      </w:r>
      <w:r w:rsidRPr="00050FA4">
        <w:rPr>
          <w:lang w:val="sq-AL"/>
        </w:rPr>
        <w:t xml:space="preserve"> të cilat kontribuojnë në përmirësimin e infrastrukturës,</w:t>
      </w:r>
      <w:r w:rsidR="009B1D6B" w:rsidRPr="00050FA4">
        <w:rPr>
          <w:lang w:val="sq-AL"/>
        </w:rPr>
        <w:t xml:space="preserve"> </w:t>
      </w:r>
      <w:r w:rsidRPr="00050FA4">
        <w:rPr>
          <w:lang w:val="sq-AL"/>
        </w:rPr>
        <w:t>zhvillimin rajonal, mbrojtjen e mjedisit dhe krijimin e vendeve të reja të punës;</w:t>
      </w:r>
    </w:p>
    <w:p w14:paraId="65E98452" w14:textId="3ED7E94D" w:rsidR="005714D0" w:rsidRPr="00050FA4" w:rsidRDefault="00F44224" w:rsidP="003F1DA7">
      <w:pPr>
        <w:pStyle w:val="AAAAAAATEXXXX"/>
        <w:rPr>
          <w:lang w:val="sq-AL"/>
        </w:rPr>
      </w:pPr>
      <w:r w:rsidRPr="00050FA4">
        <w:rPr>
          <w:lang w:val="sq-AL"/>
        </w:rPr>
        <w:t xml:space="preserve">- </w:t>
      </w:r>
      <w:r w:rsidR="005714D0" w:rsidRPr="00050FA4">
        <w:rPr>
          <w:lang w:val="sq-AL"/>
        </w:rPr>
        <w:t>Për të mbështetur masat e mundshme të ndërmarra</w:t>
      </w:r>
      <w:r w:rsidR="00F949C0" w:rsidRPr="00050FA4">
        <w:rPr>
          <w:lang w:val="sq-AL"/>
        </w:rPr>
        <w:t>,</w:t>
      </w:r>
      <w:r w:rsidR="005714D0" w:rsidRPr="00050FA4">
        <w:rPr>
          <w:lang w:val="sq-AL"/>
        </w:rPr>
        <w:t xml:space="preserve"> në rast të përkeqësimit të sistemit financiar;</w:t>
      </w:r>
    </w:p>
    <w:p w14:paraId="4A8618E7" w14:textId="45D93F44" w:rsidR="005714D0" w:rsidRPr="00050FA4" w:rsidRDefault="00F44224" w:rsidP="003F1DA7">
      <w:pPr>
        <w:pStyle w:val="AAAAAAATEXXXX"/>
        <w:rPr>
          <w:lang w:val="sq-AL"/>
        </w:rPr>
      </w:pPr>
      <w:r w:rsidRPr="00050FA4">
        <w:rPr>
          <w:lang w:val="sq-AL"/>
        </w:rPr>
        <w:t xml:space="preserve">- </w:t>
      </w:r>
      <w:r w:rsidR="005714D0" w:rsidRPr="00050FA4">
        <w:rPr>
          <w:lang w:val="sq-AL"/>
        </w:rPr>
        <w:t>Për të menaxhuar risqet dhe kostot e portofolit ekzistues të detyrimeve kontingjente.</w:t>
      </w:r>
    </w:p>
    <w:p w14:paraId="715AFF6C" w14:textId="77777777" w:rsidR="005714D0" w:rsidRPr="00050FA4" w:rsidRDefault="005714D0" w:rsidP="003F1DA7">
      <w:pPr>
        <w:pStyle w:val="AAAAAAATEXXXX"/>
        <w:rPr>
          <w:b/>
          <w:lang w:val="sq-AL"/>
        </w:rPr>
      </w:pPr>
      <w:r w:rsidRPr="00050FA4">
        <w:rPr>
          <w:b/>
          <w:lang w:val="sq-AL"/>
        </w:rPr>
        <w:t>Koncesionet dhe PPP-të</w:t>
      </w:r>
    </w:p>
    <w:p w14:paraId="4B05CD31" w14:textId="61C927A7" w:rsidR="005714D0" w:rsidRPr="00050FA4" w:rsidRDefault="005714D0" w:rsidP="003F1DA7">
      <w:pPr>
        <w:pStyle w:val="AAAAAAATEXXXX"/>
        <w:rPr>
          <w:lang w:val="sq-AL"/>
        </w:rPr>
      </w:pPr>
      <w:r w:rsidRPr="00050FA4">
        <w:rPr>
          <w:lang w:val="sq-AL"/>
        </w:rPr>
        <w:t>Njësia e Monitorimit të Risqeve Buxhetore në Drej</w:t>
      </w:r>
      <w:r w:rsidR="00F949C0" w:rsidRPr="00050FA4">
        <w:rPr>
          <w:lang w:val="sq-AL"/>
        </w:rPr>
        <w:t>torinë e Menaxhimit të Buxhetit</w:t>
      </w:r>
      <w:r w:rsidRPr="00050FA4">
        <w:rPr>
          <w:lang w:val="sq-AL"/>
        </w:rPr>
        <w:t xml:space="preserve"> monitoron vetëm ecurinë e pagesave faktike dhe të planifikuara (brenda vitit buxhetor) dhe treguesit e performancës, për kontratat koncesionare/PPP me mbështetje buxhetore. Aktualisht, janë 13 kontrata koncesionare/PPP aktive me mbështetje buxhetore. </w:t>
      </w:r>
    </w:p>
    <w:p w14:paraId="389DAD7D" w14:textId="4A262A33" w:rsidR="005714D0" w:rsidRPr="00050FA4" w:rsidRDefault="005714D0" w:rsidP="003F1DA7">
      <w:pPr>
        <w:pStyle w:val="AAAAAAATEXXXX"/>
        <w:rPr>
          <w:lang w:val="sq-AL"/>
        </w:rPr>
      </w:pPr>
      <w:r w:rsidRPr="00050FA4">
        <w:rPr>
          <w:lang w:val="sq-AL"/>
        </w:rPr>
        <w:t>Për vitin 2021, plani fillestar vjetor për kontratat koncesionare/PPP me mbështetje buxhetore, rezultonte rreth 12.72 miliard</w:t>
      </w:r>
      <w:r w:rsidR="00F949C0" w:rsidRPr="00050FA4">
        <w:rPr>
          <w:lang w:val="sq-AL"/>
        </w:rPr>
        <w:t>ë</w:t>
      </w:r>
      <w:r w:rsidRPr="00050FA4">
        <w:rPr>
          <w:lang w:val="sq-AL"/>
        </w:rPr>
        <w:t xml:space="preserve"> </w:t>
      </w:r>
      <w:r w:rsidR="00F949C0" w:rsidRPr="00050FA4">
        <w:rPr>
          <w:lang w:val="sq-AL"/>
        </w:rPr>
        <w:t xml:space="preserve">lekë </w:t>
      </w:r>
      <w:r w:rsidRPr="00050FA4">
        <w:rPr>
          <w:lang w:val="sq-AL"/>
        </w:rPr>
        <w:t>(rreth 5.44 miliard</w:t>
      </w:r>
      <w:r w:rsidR="00397F9D" w:rsidRPr="00050FA4">
        <w:rPr>
          <w:lang w:val="sq-AL"/>
        </w:rPr>
        <w:t>ë</w:t>
      </w:r>
      <w:r w:rsidRPr="00050FA4">
        <w:rPr>
          <w:lang w:val="sq-AL"/>
        </w:rPr>
        <w:t xml:space="preserve"> </w:t>
      </w:r>
      <w:r w:rsidR="00397F9D" w:rsidRPr="00050FA4">
        <w:rPr>
          <w:lang w:val="sq-AL"/>
        </w:rPr>
        <w:t>lekë</w:t>
      </w:r>
      <w:r w:rsidRPr="00050FA4">
        <w:rPr>
          <w:lang w:val="sq-AL"/>
        </w:rPr>
        <w:t xml:space="preserve"> investime dhe rreth 7.27 miliard</w:t>
      </w:r>
      <w:r w:rsidR="00397F9D" w:rsidRPr="00050FA4">
        <w:rPr>
          <w:lang w:val="sq-AL"/>
        </w:rPr>
        <w:t>ë</w:t>
      </w:r>
      <w:r w:rsidRPr="00050FA4">
        <w:rPr>
          <w:lang w:val="sq-AL"/>
        </w:rPr>
        <w:t xml:space="preserve"> </w:t>
      </w:r>
      <w:r w:rsidR="00397F9D" w:rsidRPr="00050FA4">
        <w:rPr>
          <w:lang w:val="sq-AL"/>
        </w:rPr>
        <w:t>lekë</w:t>
      </w:r>
      <w:r w:rsidRPr="00050FA4">
        <w:rPr>
          <w:lang w:val="sq-AL"/>
        </w:rPr>
        <w:t xml:space="preserve"> shpenzime kor</w:t>
      </w:r>
      <w:r w:rsidR="001C0FC0" w:rsidRPr="00050FA4">
        <w:rPr>
          <w:lang w:val="sq-AL"/>
        </w:rPr>
        <w:t>r</w:t>
      </w:r>
      <w:r w:rsidRPr="00050FA4">
        <w:rPr>
          <w:lang w:val="sq-AL"/>
        </w:rPr>
        <w:t>ente).</w:t>
      </w:r>
    </w:p>
    <w:p w14:paraId="14156257" w14:textId="12FB1F5F" w:rsidR="005714D0" w:rsidRPr="00050FA4" w:rsidRDefault="005714D0" w:rsidP="003F1DA7">
      <w:pPr>
        <w:pStyle w:val="AAAAAAATEXXXX"/>
        <w:rPr>
          <w:lang w:val="sq-AL"/>
        </w:rPr>
      </w:pPr>
      <w:r w:rsidRPr="00050FA4">
        <w:rPr>
          <w:lang w:val="sq-AL"/>
        </w:rPr>
        <w:t>Fondet buxhetore të planifikuara për vitin 2021, sipas planit të ndryshuar, me destinacion mbështetjen buxhetore për kontratat kon</w:t>
      </w:r>
      <w:r w:rsidR="001C0FC0" w:rsidRPr="00050FA4">
        <w:rPr>
          <w:lang w:val="sq-AL"/>
        </w:rPr>
        <w:t>c</w:t>
      </w:r>
      <w:r w:rsidRPr="00050FA4">
        <w:rPr>
          <w:lang w:val="sq-AL"/>
        </w:rPr>
        <w:t>esionare/PPP, rezultojnë në total rreth 12.11 miliard</w:t>
      </w:r>
      <w:r w:rsidR="004A620F" w:rsidRPr="00050FA4">
        <w:rPr>
          <w:lang w:val="sq-AL"/>
        </w:rPr>
        <w:t>ë</w:t>
      </w:r>
      <w:r w:rsidRPr="00050FA4">
        <w:rPr>
          <w:lang w:val="sq-AL"/>
        </w:rPr>
        <w:t xml:space="preserve"> </w:t>
      </w:r>
      <w:r w:rsidR="00397F9D" w:rsidRPr="00050FA4">
        <w:rPr>
          <w:lang w:val="sq-AL"/>
        </w:rPr>
        <w:t>lekë</w:t>
      </w:r>
      <w:r w:rsidRPr="00050FA4">
        <w:rPr>
          <w:lang w:val="sq-AL"/>
        </w:rPr>
        <w:t>. Nga këto, rreth 5.4 miliard</w:t>
      </w:r>
      <w:r w:rsidR="00397F9D" w:rsidRPr="00050FA4">
        <w:rPr>
          <w:lang w:val="sq-AL"/>
        </w:rPr>
        <w:t>ë</w:t>
      </w:r>
      <w:r w:rsidRPr="00050FA4">
        <w:rPr>
          <w:lang w:val="sq-AL"/>
        </w:rPr>
        <w:t xml:space="preserve"> </w:t>
      </w:r>
      <w:r w:rsidR="00397F9D" w:rsidRPr="00050FA4">
        <w:rPr>
          <w:lang w:val="sq-AL"/>
        </w:rPr>
        <w:t xml:space="preserve">lekë </w:t>
      </w:r>
      <w:r w:rsidRPr="00050FA4">
        <w:rPr>
          <w:lang w:val="sq-AL"/>
        </w:rPr>
        <w:t xml:space="preserve">investime dhe rreth 6.7 miliardë </w:t>
      </w:r>
      <w:r w:rsidR="00397F9D" w:rsidRPr="00050FA4">
        <w:rPr>
          <w:lang w:val="sq-AL"/>
        </w:rPr>
        <w:t>lekë</w:t>
      </w:r>
      <w:r w:rsidRPr="00050FA4">
        <w:rPr>
          <w:lang w:val="sq-AL"/>
        </w:rPr>
        <w:t xml:space="preserve"> shpenzime kor</w:t>
      </w:r>
      <w:r w:rsidR="001C0FC0" w:rsidRPr="00050FA4">
        <w:rPr>
          <w:lang w:val="sq-AL"/>
        </w:rPr>
        <w:t>r</w:t>
      </w:r>
      <w:r w:rsidRPr="00050FA4">
        <w:rPr>
          <w:lang w:val="sq-AL"/>
        </w:rPr>
        <w:t>ente.</w:t>
      </w:r>
    </w:p>
    <w:p w14:paraId="136A537D" w14:textId="5759BA06" w:rsidR="005714D0" w:rsidRPr="00050FA4" w:rsidRDefault="005714D0" w:rsidP="003F1DA7">
      <w:pPr>
        <w:pStyle w:val="AAAAAAATEXXXX"/>
        <w:rPr>
          <w:lang w:val="sq-AL"/>
        </w:rPr>
      </w:pPr>
      <w:r w:rsidRPr="00050FA4">
        <w:rPr>
          <w:lang w:val="sq-AL"/>
        </w:rPr>
        <w:t xml:space="preserve">Krahasuar me planin </w:t>
      </w:r>
      <w:r w:rsidR="001C0FC0" w:rsidRPr="00050FA4">
        <w:rPr>
          <w:lang w:val="sq-AL"/>
        </w:rPr>
        <w:t>fillestar</w:t>
      </w:r>
      <w:r w:rsidRPr="00050FA4">
        <w:rPr>
          <w:lang w:val="sq-AL"/>
        </w:rPr>
        <w:t xml:space="preserve"> vjetor 2021, plani i ndryshuar vjetor rezulton rreth 608.05 milion</w:t>
      </w:r>
      <w:r w:rsidR="00832E7E" w:rsidRPr="00050FA4">
        <w:rPr>
          <w:lang w:val="sq-AL"/>
        </w:rPr>
        <w:t>ë</w:t>
      </w:r>
      <w:r w:rsidRPr="00050FA4">
        <w:rPr>
          <w:lang w:val="sq-AL"/>
        </w:rPr>
        <w:t xml:space="preserve"> </w:t>
      </w:r>
      <w:r w:rsidR="00397F9D" w:rsidRPr="00050FA4">
        <w:rPr>
          <w:lang w:val="sq-AL"/>
        </w:rPr>
        <w:t>lekë</w:t>
      </w:r>
      <w:r w:rsidRPr="00050FA4">
        <w:rPr>
          <w:lang w:val="sq-AL"/>
        </w:rPr>
        <w:t xml:space="preserve"> më i ulët. Ndryshimet i referohen konkretisht:</w:t>
      </w:r>
    </w:p>
    <w:p w14:paraId="71119881" w14:textId="58EDD901" w:rsidR="005714D0" w:rsidRPr="00050FA4" w:rsidRDefault="00F44224" w:rsidP="003F1DA7">
      <w:pPr>
        <w:pStyle w:val="AAAAAAATEXXXX"/>
        <w:rPr>
          <w:lang w:val="sq-AL"/>
        </w:rPr>
      </w:pPr>
      <w:r w:rsidRPr="00050FA4">
        <w:rPr>
          <w:lang w:val="sq-AL"/>
        </w:rPr>
        <w:t xml:space="preserve">- </w:t>
      </w:r>
      <w:r w:rsidR="005714D0" w:rsidRPr="00050FA4">
        <w:rPr>
          <w:lang w:val="sq-AL"/>
        </w:rPr>
        <w:t>pakësimit prej 40.45 milion</w:t>
      </w:r>
      <w:r w:rsidR="00443D5A" w:rsidRPr="00050FA4">
        <w:rPr>
          <w:lang w:val="sq-AL"/>
        </w:rPr>
        <w:t>ë</w:t>
      </w:r>
      <w:r w:rsidR="005714D0" w:rsidRPr="00050FA4">
        <w:rPr>
          <w:lang w:val="sq-AL"/>
        </w:rPr>
        <w:t xml:space="preserve"> </w:t>
      </w:r>
      <w:r w:rsidR="00397F9D" w:rsidRPr="00050FA4">
        <w:rPr>
          <w:lang w:val="sq-AL"/>
        </w:rPr>
        <w:t>lekë</w:t>
      </w:r>
      <w:r w:rsidR="00271D1A" w:rsidRPr="00050FA4">
        <w:rPr>
          <w:lang w:val="sq-AL"/>
        </w:rPr>
        <w:t>sh</w:t>
      </w:r>
      <w:r w:rsidR="005714D0" w:rsidRPr="00050FA4">
        <w:rPr>
          <w:lang w:val="sq-AL"/>
        </w:rPr>
        <w:t xml:space="preserve"> për kontratën </w:t>
      </w:r>
      <w:r w:rsidR="008A0E5B" w:rsidRPr="00050FA4">
        <w:rPr>
          <w:lang w:val="sq-AL"/>
        </w:rPr>
        <w:t>“</w:t>
      </w:r>
      <w:r w:rsidR="005714D0" w:rsidRPr="00050FA4">
        <w:rPr>
          <w:lang w:val="sq-AL"/>
        </w:rPr>
        <w:t xml:space="preserve">Ndërtimi dhe </w:t>
      </w:r>
      <w:r w:rsidR="00443D5A" w:rsidRPr="00050FA4">
        <w:rPr>
          <w:lang w:val="sq-AL"/>
        </w:rPr>
        <w:t xml:space="preserve">operimi </w:t>
      </w:r>
      <w:r w:rsidR="005714D0" w:rsidRPr="00050FA4">
        <w:rPr>
          <w:lang w:val="sq-AL"/>
        </w:rPr>
        <w:t>i Porti Jahteve Orikum-Dukat</w:t>
      </w:r>
      <w:r w:rsidR="008A0E5B" w:rsidRPr="00050FA4">
        <w:rPr>
          <w:lang w:val="sq-AL"/>
        </w:rPr>
        <w:t>”</w:t>
      </w:r>
      <w:r w:rsidR="005714D0" w:rsidRPr="00050FA4">
        <w:rPr>
          <w:lang w:val="sq-AL"/>
        </w:rPr>
        <w:t>;</w:t>
      </w:r>
    </w:p>
    <w:p w14:paraId="4B14929C" w14:textId="31CA4628" w:rsidR="005714D0" w:rsidRPr="00050FA4" w:rsidRDefault="00F44224" w:rsidP="003F1DA7">
      <w:pPr>
        <w:pStyle w:val="AAAAAAATEXXXX"/>
        <w:rPr>
          <w:lang w:val="sq-AL"/>
        </w:rPr>
      </w:pPr>
      <w:r w:rsidRPr="00050FA4">
        <w:rPr>
          <w:lang w:val="sq-AL"/>
        </w:rPr>
        <w:t xml:space="preserve">- </w:t>
      </w:r>
      <w:r w:rsidR="005714D0" w:rsidRPr="00050FA4">
        <w:rPr>
          <w:lang w:val="sq-AL"/>
        </w:rPr>
        <w:t>pakësimi prej 510 milion</w:t>
      </w:r>
      <w:r w:rsidR="00443D5A" w:rsidRPr="00050FA4">
        <w:rPr>
          <w:lang w:val="sq-AL"/>
        </w:rPr>
        <w:t>ë</w:t>
      </w:r>
      <w:r w:rsidR="005714D0" w:rsidRPr="00050FA4">
        <w:rPr>
          <w:lang w:val="sq-AL"/>
        </w:rPr>
        <w:t xml:space="preserve"> </w:t>
      </w:r>
      <w:r w:rsidR="00397F9D" w:rsidRPr="00050FA4">
        <w:rPr>
          <w:lang w:val="sq-AL"/>
        </w:rPr>
        <w:t>lekë</w:t>
      </w:r>
      <w:r w:rsidR="00271D1A" w:rsidRPr="00050FA4">
        <w:rPr>
          <w:lang w:val="sq-AL"/>
        </w:rPr>
        <w:t>sh</w:t>
      </w:r>
      <w:r w:rsidR="005714D0" w:rsidRPr="00050FA4">
        <w:rPr>
          <w:lang w:val="sq-AL"/>
        </w:rPr>
        <w:t xml:space="preserve"> për kontratën e</w:t>
      </w:r>
      <w:r w:rsidR="00443D5A" w:rsidRPr="00050FA4">
        <w:rPr>
          <w:lang w:val="sq-AL"/>
        </w:rPr>
        <w:t xml:space="preserve"> “</w:t>
      </w:r>
      <w:r w:rsidR="005714D0" w:rsidRPr="00050FA4">
        <w:rPr>
          <w:lang w:val="sq-AL"/>
        </w:rPr>
        <w:t>Kontrollit bazë të popullsisë</w:t>
      </w:r>
      <w:r w:rsidR="009B1D6B" w:rsidRPr="00050FA4">
        <w:rPr>
          <w:lang w:val="sq-AL"/>
        </w:rPr>
        <w:t xml:space="preserve"> </w:t>
      </w:r>
      <w:r w:rsidR="005714D0" w:rsidRPr="00050FA4">
        <w:rPr>
          <w:i/>
          <w:lang w:val="sq-AL"/>
        </w:rPr>
        <w:t>(check up)</w:t>
      </w:r>
      <w:r w:rsidR="008A0E5B" w:rsidRPr="00050FA4">
        <w:rPr>
          <w:lang w:val="sq-AL"/>
        </w:rPr>
        <w:t>”</w:t>
      </w:r>
      <w:r w:rsidR="005714D0" w:rsidRPr="00050FA4">
        <w:rPr>
          <w:lang w:val="sq-AL"/>
        </w:rPr>
        <w:t>;</w:t>
      </w:r>
    </w:p>
    <w:p w14:paraId="6F494D5A" w14:textId="7929860E" w:rsidR="005714D0" w:rsidRPr="00050FA4" w:rsidRDefault="00F44224" w:rsidP="003F1DA7">
      <w:pPr>
        <w:pStyle w:val="AAAAAAATEXXXX"/>
        <w:rPr>
          <w:lang w:val="sq-AL"/>
        </w:rPr>
      </w:pPr>
      <w:r w:rsidRPr="00050FA4">
        <w:rPr>
          <w:lang w:val="sq-AL"/>
        </w:rPr>
        <w:t xml:space="preserve">- </w:t>
      </w:r>
      <w:r w:rsidR="005714D0" w:rsidRPr="00050FA4">
        <w:rPr>
          <w:lang w:val="sq-AL"/>
        </w:rPr>
        <w:t>pakësimi prej 140 milion</w:t>
      </w:r>
      <w:r w:rsidR="00443D5A" w:rsidRPr="00050FA4">
        <w:rPr>
          <w:lang w:val="sq-AL"/>
        </w:rPr>
        <w:t>ë</w:t>
      </w:r>
      <w:r w:rsidR="005714D0" w:rsidRPr="00050FA4">
        <w:rPr>
          <w:lang w:val="sq-AL"/>
        </w:rPr>
        <w:t xml:space="preserve"> </w:t>
      </w:r>
      <w:r w:rsidR="00397F9D" w:rsidRPr="00050FA4">
        <w:rPr>
          <w:lang w:val="sq-AL"/>
        </w:rPr>
        <w:t>lekë</w:t>
      </w:r>
      <w:r w:rsidR="00271D1A" w:rsidRPr="00050FA4">
        <w:rPr>
          <w:lang w:val="sq-AL"/>
        </w:rPr>
        <w:t>sh</w:t>
      </w:r>
      <w:r w:rsidR="005714D0" w:rsidRPr="00050FA4">
        <w:rPr>
          <w:lang w:val="sq-AL"/>
        </w:rPr>
        <w:t xml:space="preserve"> për kontratën</w:t>
      </w:r>
      <w:r w:rsidR="001C0FC0" w:rsidRPr="00050FA4">
        <w:rPr>
          <w:lang w:val="sq-AL"/>
        </w:rPr>
        <w:t xml:space="preserve"> “</w:t>
      </w:r>
      <w:r w:rsidR="005714D0" w:rsidRPr="00050FA4">
        <w:rPr>
          <w:lang w:val="sq-AL"/>
        </w:rPr>
        <w:t xml:space="preserve">Ofrimi i setit të personalizuar të </w:t>
      </w:r>
      <w:r w:rsidR="00F949C0" w:rsidRPr="00050FA4">
        <w:rPr>
          <w:lang w:val="sq-AL"/>
        </w:rPr>
        <w:t>instrumenteve kirurgjikale</w:t>
      </w:r>
      <w:r w:rsidR="008A0E5B" w:rsidRPr="00050FA4">
        <w:rPr>
          <w:lang w:val="sq-AL"/>
        </w:rPr>
        <w:t>”</w:t>
      </w:r>
      <w:r w:rsidR="005714D0" w:rsidRPr="00050FA4">
        <w:rPr>
          <w:lang w:val="sq-AL"/>
        </w:rPr>
        <w:t>;</w:t>
      </w:r>
    </w:p>
    <w:p w14:paraId="6A295800" w14:textId="28BAD436" w:rsidR="005714D0" w:rsidRPr="00050FA4" w:rsidRDefault="00F44224" w:rsidP="003F1DA7">
      <w:pPr>
        <w:pStyle w:val="AAAAAAATEXXXX"/>
        <w:rPr>
          <w:lang w:val="sq-AL"/>
        </w:rPr>
      </w:pPr>
      <w:r w:rsidRPr="00050FA4">
        <w:rPr>
          <w:lang w:val="sq-AL"/>
        </w:rPr>
        <w:t xml:space="preserve">- </w:t>
      </w:r>
      <w:r w:rsidR="005714D0" w:rsidRPr="00050FA4">
        <w:rPr>
          <w:lang w:val="sq-AL"/>
        </w:rPr>
        <w:t>pakësimi prej 25 milion</w:t>
      </w:r>
      <w:r w:rsidR="00CE48C5" w:rsidRPr="00050FA4">
        <w:rPr>
          <w:lang w:val="sq-AL"/>
        </w:rPr>
        <w:t>ë</w:t>
      </w:r>
      <w:r w:rsidR="005714D0" w:rsidRPr="00050FA4">
        <w:rPr>
          <w:lang w:val="sq-AL"/>
        </w:rPr>
        <w:t xml:space="preserve"> </w:t>
      </w:r>
      <w:r w:rsidR="00397F9D" w:rsidRPr="00050FA4">
        <w:rPr>
          <w:lang w:val="sq-AL"/>
        </w:rPr>
        <w:t>lekë</w:t>
      </w:r>
      <w:r w:rsidR="00271D1A" w:rsidRPr="00050FA4">
        <w:rPr>
          <w:lang w:val="sq-AL"/>
        </w:rPr>
        <w:t>sh</w:t>
      </w:r>
      <w:r w:rsidR="005714D0" w:rsidRPr="00050FA4">
        <w:rPr>
          <w:lang w:val="sq-AL"/>
        </w:rPr>
        <w:t xml:space="preserve"> për kontratën e</w:t>
      </w:r>
      <w:r w:rsidR="001C0FC0" w:rsidRPr="00050FA4">
        <w:rPr>
          <w:lang w:val="sq-AL"/>
        </w:rPr>
        <w:t xml:space="preserve"> “</w:t>
      </w:r>
      <w:r w:rsidR="005714D0" w:rsidRPr="00050FA4">
        <w:rPr>
          <w:lang w:val="sq-AL"/>
        </w:rPr>
        <w:t>Ofrimit të shërbimit të dializës</w:t>
      </w:r>
      <w:r w:rsidR="008A0E5B" w:rsidRPr="00050FA4">
        <w:rPr>
          <w:lang w:val="sq-AL"/>
        </w:rPr>
        <w:t>”</w:t>
      </w:r>
      <w:r w:rsidR="005714D0" w:rsidRPr="00050FA4">
        <w:rPr>
          <w:lang w:val="sq-AL"/>
        </w:rPr>
        <w:t>;</w:t>
      </w:r>
    </w:p>
    <w:p w14:paraId="4F21DDD4" w14:textId="22D3F9C1" w:rsidR="005714D0" w:rsidRPr="00050FA4" w:rsidRDefault="00F44224" w:rsidP="003F1DA7">
      <w:pPr>
        <w:pStyle w:val="AAAAAAATEXXXX"/>
        <w:rPr>
          <w:lang w:val="sq-AL"/>
        </w:rPr>
      </w:pPr>
      <w:r w:rsidRPr="00050FA4">
        <w:rPr>
          <w:lang w:val="sq-AL"/>
        </w:rPr>
        <w:t xml:space="preserve">- </w:t>
      </w:r>
      <w:r w:rsidR="005714D0" w:rsidRPr="00050FA4">
        <w:rPr>
          <w:lang w:val="sq-AL"/>
        </w:rPr>
        <w:t>pakësimit prej 142.6 milion</w:t>
      </w:r>
      <w:r w:rsidR="00CE48C5" w:rsidRPr="00050FA4">
        <w:rPr>
          <w:lang w:val="sq-AL"/>
        </w:rPr>
        <w:t>ë</w:t>
      </w:r>
      <w:r w:rsidR="005714D0" w:rsidRPr="00050FA4">
        <w:rPr>
          <w:lang w:val="sq-AL"/>
        </w:rPr>
        <w:t xml:space="preserve"> </w:t>
      </w:r>
      <w:r w:rsidR="00397F9D" w:rsidRPr="00050FA4">
        <w:rPr>
          <w:lang w:val="sq-AL"/>
        </w:rPr>
        <w:t>lekë</w:t>
      </w:r>
      <w:r w:rsidR="00271D1A" w:rsidRPr="00050FA4">
        <w:rPr>
          <w:lang w:val="sq-AL"/>
        </w:rPr>
        <w:t>sh</w:t>
      </w:r>
      <w:r w:rsidR="005714D0" w:rsidRPr="00050FA4">
        <w:rPr>
          <w:lang w:val="sq-AL"/>
        </w:rPr>
        <w:t xml:space="preserve"> për kontratën e</w:t>
      </w:r>
      <w:r w:rsidR="001C0FC0" w:rsidRPr="00050FA4">
        <w:rPr>
          <w:lang w:val="sq-AL"/>
        </w:rPr>
        <w:t xml:space="preserve"> “</w:t>
      </w:r>
      <w:r w:rsidR="005714D0" w:rsidRPr="00050FA4">
        <w:rPr>
          <w:lang w:val="sq-AL"/>
        </w:rPr>
        <w:t>Ofrimit të shërbimeve laboratorike spitalore</w:t>
      </w:r>
      <w:r w:rsidR="008A0E5B" w:rsidRPr="00050FA4">
        <w:rPr>
          <w:lang w:val="sq-AL"/>
        </w:rPr>
        <w:t>”</w:t>
      </w:r>
      <w:r w:rsidR="005714D0" w:rsidRPr="00050FA4">
        <w:rPr>
          <w:lang w:val="sq-AL"/>
        </w:rPr>
        <w:t>;</w:t>
      </w:r>
    </w:p>
    <w:p w14:paraId="6147E215" w14:textId="37B5BAC9" w:rsidR="005714D0" w:rsidRPr="00050FA4" w:rsidRDefault="00F44224" w:rsidP="003F1DA7">
      <w:pPr>
        <w:pStyle w:val="AAAAAAATEXXXX"/>
        <w:rPr>
          <w:lang w:val="sq-AL"/>
        </w:rPr>
      </w:pPr>
      <w:r w:rsidRPr="00050FA4">
        <w:rPr>
          <w:lang w:val="sq-AL"/>
        </w:rPr>
        <w:t xml:space="preserve">- </w:t>
      </w:r>
      <w:r w:rsidR="005714D0" w:rsidRPr="00050FA4">
        <w:rPr>
          <w:lang w:val="sq-AL"/>
        </w:rPr>
        <w:t>shtesës prej 250 milion</w:t>
      </w:r>
      <w:r w:rsidR="00271D1A" w:rsidRPr="00050FA4">
        <w:rPr>
          <w:lang w:val="sq-AL"/>
        </w:rPr>
        <w:t>ë</w:t>
      </w:r>
      <w:r w:rsidR="005714D0" w:rsidRPr="00050FA4">
        <w:rPr>
          <w:lang w:val="sq-AL"/>
        </w:rPr>
        <w:t xml:space="preserve"> </w:t>
      </w:r>
      <w:r w:rsidR="00397F9D" w:rsidRPr="00050FA4">
        <w:rPr>
          <w:lang w:val="sq-AL"/>
        </w:rPr>
        <w:t>lekë</w:t>
      </w:r>
      <w:r w:rsidR="00271D1A" w:rsidRPr="00050FA4">
        <w:rPr>
          <w:lang w:val="sq-AL"/>
        </w:rPr>
        <w:t>sh</w:t>
      </w:r>
      <w:r w:rsidR="005714D0" w:rsidRPr="00050FA4">
        <w:rPr>
          <w:lang w:val="sq-AL"/>
        </w:rPr>
        <w:t xml:space="preserve">, nga fondet e Bashkisë Tiranë, për kontratën </w:t>
      </w:r>
      <w:r w:rsidR="008A0E5B" w:rsidRPr="00050FA4">
        <w:rPr>
          <w:lang w:val="sq-AL"/>
        </w:rPr>
        <w:t>“</w:t>
      </w:r>
      <w:r w:rsidR="005714D0" w:rsidRPr="00050FA4">
        <w:rPr>
          <w:lang w:val="sq-AL"/>
        </w:rPr>
        <w:t>Për ndërtimin e landfillit, inceneratorit dhe rehabilitimin e venddepozitimeve ekzistuese Tiranë dhe prodhimin e energjisë elektrike</w:t>
      </w:r>
      <w:r w:rsidR="008A0E5B" w:rsidRPr="00050FA4">
        <w:rPr>
          <w:lang w:val="sq-AL"/>
        </w:rPr>
        <w:t>”</w:t>
      </w:r>
      <w:r w:rsidR="005714D0" w:rsidRPr="00050FA4">
        <w:rPr>
          <w:lang w:val="sq-AL"/>
        </w:rPr>
        <w:t xml:space="preserve">. </w:t>
      </w:r>
    </w:p>
    <w:p w14:paraId="1DB93831" w14:textId="17901C8B" w:rsidR="005714D0" w:rsidRPr="00050FA4" w:rsidRDefault="005714D0" w:rsidP="003F1DA7">
      <w:pPr>
        <w:pStyle w:val="AAAAAAATEXXXX"/>
        <w:rPr>
          <w:lang w:val="sq-AL"/>
        </w:rPr>
      </w:pPr>
      <w:r w:rsidRPr="00050FA4">
        <w:rPr>
          <w:lang w:val="sq-AL"/>
        </w:rPr>
        <w:t>*</w:t>
      </w:r>
      <w:r w:rsidR="00CE48C5" w:rsidRPr="00050FA4">
        <w:rPr>
          <w:lang w:val="sq-AL"/>
        </w:rPr>
        <w:t xml:space="preserve"> </w:t>
      </w:r>
      <w:r w:rsidRPr="00050FA4">
        <w:rPr>
          <w:lang w:val="sq-AL"/>
        </w:rPr>
        <w:t xml:space="preserve">Kontrata e </w:t>
      </w:r>
      <w:r w:rsidR="008A0E5B" w:rsidRPr="00050FA4">
        <w:rPr>
          <w:lang w:val="sq-AL"/>
        </w:rPr>
        <w:t>“</w:t>
      </w:r>
      <w:r w:rsidRPr="00050FA4">
        <w:rPr>
          <w:lang w:val="sq-AL"/>
        </w:rPr>
        <w:t xml:space="preserve">Kontrollit bazë të popullsisë </w:t>
      </w:r>
      <w:r w:rsidRPr="00050FA4">
        <w:rPr>
          <w:i/>
          <w:lang w:val="sq-AL"/>
        </w:rPr>
        <w:t>(check up)</w:t>
      </w:r>
      <w:r w:rsidR="008A0E5B" w:rsidRPr="00050FA4">
        <w:rPr>
          <w:i/>
          <w:lang w:val="sq-AL"/>
        </w:rPr>
        <w:t>”</w:t>
      </w:r>
      <w:r w:rsidRPr="00050FA4">
        <w:rPr>
          <w:lang w:val="sq-AL"/>
        </w:rPr>
        <w:t xml:space="preserve"> u ndërpre përkohësisht (deri në muajin </w:t>
      </w:r>
      <w:r w:rsidR="00CE48C5" w:rsidRPr="00050FA4">
        <w:rPr>
          <w:lang w:val="sq-AL"/>
        </w:rPr>
        <w:t xml:space="preserve">gusht </w:t>
      </w:r>
      <w:r w:rsidRPr="00050FA4">
        <w:rPr>
          <w:lang w:val="sq-AL"/>
        </w:rPr>
        <w:t>2021)</w:t>
      </w:r>
      <w:r w:rsidR="00CE48C5" w:rsidRPr="00050FA4">
        <w:rPr>
          <w:lang w:val="sq-AL"/>
        </w:rPr>
        <w:t>,</w:t>
      </w:r>
      <w:r w:rsidR="009B1D6B" w:rsidRPr="00050FA4">
        <w:rPr>
          <w:lang w:val="sq-AL"/>
        </w:rPr>
        <w:t xml:space="preserve"> </w:t>
      </w:r>
      <w:r w:rsidRPr="00050FA4">
        <w:rPr>
          <w:lang w:val="sq-AL"/>
        </w:rPr>
        <w:t xml:space="preserve">për shkak të pandemisë COVID-19 dhe rifilloi zbatimin në muajin </w:t>
      </w:r>
      <w:r w:rsidR="00CE48C5" w:rsidRPr="00050FA4">
        <w:rPr>
          <w:lang w:val="sq-AL"/>
        </w:rPr>
        <w:t xml:space="preserve">shtator </w:t>
      </w:r>
      <w:r w:rsidRPr="00050FA4">
        <w:rPr>
          <w:lang w:val="sq-AL"/>
        </w:rPr>
        <w:t>2021.</w:t>
      </w:r>
    </w:p>
    <w:p w14:paraId="65AD6D3D" w14:textId="02FA046D" w:rsidR="005714D0" w:rsidRPr="00050FA4" w:rsidRDefault="005714D0" w:rsidP="003F1DA7">
      <w:pPr>
        <w:pStyle w:val="AAAAAAATEXXXX"/>
        <w:rPr>
          <w:lang w:val="sq-AL"/>
        </w:rPr>
      </w:pPr>
      <w:r w:rsidRPr="00050FA4">
        <w:rPr>
          <w:lang w:val="sq-AL"/>
        </w:rPr>
        <w:t>Ndërkohë, bazuar në VKM</w:t>
      </w:r>
      <w:r w:rsidR="00CE48C5" w:rsidRPr="00050FA4">
        <w:rPr>
          <w:lang w:val="sq-AL"/>
        </w:rPr>
        <w:t>-në</w:t>
      </w:r>
      <w:r w:rsidRPr="00050FA4">
        <w:rPr>
          <w:lang w:val="sq-AL"/>
        </w:rPr>
        <w:t xml:space="preserve"> nr.</w:t>
      </w:r>
      <w:r w:rsidR="001C0FC0" w:rsidRPr="00050FA4">
        <w:rPr>
          <w:lang w:val="sq-AL"/>
        </w:rPr>
        <w:t xml:space="preserve"> </w:t>
      </w:r>
      <w:r w:rsidRPr="00050FA4">
        <w:rPr>
          <w:lang w:val="sq-AL"/>
        </w:rPr>
        <w:t>702, datë 18.11.2021</w:t>
      </w:r>
      <w:r w:rsidR="001C0FC0" w:rsidRPr="00050FA4">
        <w:rPr>
          <w:lang w:val="sq-AL"/>
        </w:rPr>
        <w:t>,</w:t>
      </w:r>
      <w:r w:rsidRPr="00050FA4">
        <w:rPr>
          <w:lang w:val="sq-AL"/>
        </w:rPr>
        <w:t xml:space="preserve"> </w:t>
      </w:r>
      <w:r w:rsidR="008A0E5B" w:rsidRPr="00050FA4">
        <w:rPr>
          <w:lang w:val="sq-AL"/>
        </w:rPr>
        <w:t>“</w:t>
      </w:r>
      <w:r w:rsidRPr="00050FA4">
        <w:rPr>
          <w:lang w:val="sq-AL"/>
        </w:rPr>
        <w:t xml:space="preserve">Për një ndryshim në vendimin nr. 20, datë </w:t>
      </w:r>
      <w:r w:rsidRPr="00050FA4">
        <w:rPr>
          <w:lang w:val="sq-AL"/>
        </w:rPr>
        <w:lastRenderedPageBreak/>
        <w:t xml:space="preserve">20.1.2021, të Këshillit të Ministrave, </w:t>
      </w:r>
      <w:r w:rsidR="008A0E5B" w:rsidRPr="00050FA4">
        <w:rPr>
          <w:lang w:val="sq-AL"/>
        </w:rPr>
        <w:t>“</w:t>
      </w:r>
      <w:r w:rsidRPr="00050FA4">
        <w:rPr>
          <w:lang w:val="sq-AL"/>
        </w:rPr>
        <w:t xml:space="preserve">Për </w:t>
      </w:r>
      <w:r w:rsidR="00CE48C5" w:rsidRPr="00050FA4">
        <w:rPr>
          <w:lang w:val="sq-AL"/>
        </w:rPr>
        <w:t xml:space="preserve">financimin e shërbimeve shëndetësore spitalore </w:t>
      </w:r>
      <w:r w:rsidRPr="00050FA4">
        <w:rPr>
          <w:lang w:val="sq-AL"/>
        </w:rPr>
        <w:t>nga skema e detyrueshme e sigurimeve të kujdesit shëndetësor për vitin 2021</w:t>
      </w:r>
      <w:r w:rsidR="008A0E5B" w:rsidRPr="00050FA4">
        <w:rPr>
          <w:lang w:val="sq-AL"/>
        </w:rPr>
        <w:t>”</w:t>
      </w:r>
      <w:r w:rsidRPr="00050FA4">
        <w:rPr>
          <w:lang w:val="sq-AL"/>
        </w:rPr>
        <w:t>, të ndryshuar, plani vjetor i pagesave për kontratat</w:t>
      </w:r>
      <w:r w:rsidR="009B1D6B" w:rsidRPr="00050FA4">
        <w:rPr>
          <w:lang w:val="sq-AL"/>
        </w:rPr>
        <w:t xml:space="preserve"> </w:t>
      </w:r>
      <w:r w:rsidRPr="00050FA4">
        <w:rPr>
          <w:lang w:val="sq-AL"/>
        </w:rPr>
        <w:t xml:space="preserve">koncesionare/PPP me mbështetje buxhetore: </w:t>
      </w:r>
      <w:r w:rsidR="008A0E5B" w:rsidRPr="00050FA4">
        <w:rPr>
          <w:lang w:val="sq-AL"/>
        </w:rPr>
        <w:t>“</w:t>
      </w:r>
      <w:r w:rsidRPr="00050FA4">
        <w:rPr>
          <w:lang w:val="sq-AL"/>
        </w:rPr>
        <w:t xml:space="preserve">Ofrimi i setit të personalizuar të </w:t>
      </w:r>
      <w:r w:rsidR="00F949C0" w:rsidRPr="00050FA4">
        <w:rPr>
          <w:lang w:val="sq-AL"/>
        </w:rPr>
        <w:t>instrumenteve kirurgjikale</w:t>
      </w:r>
      <w:r w:rsidR="008A0E5B" w:rsidRPr="00050FA4">
        <w:rPr>
          <w:lang w:val="sq-AL"/>
        </w:rPr>
        <w:t>”</w:t>
      </w:r>
      <w:r w:rsidRPr="00050FA4">
        <w:rPr>
          <w:lang w:val="sq-AL"/>
        </w:rPr>
        <w:t xml:space="preserve">, </w:t>
      </w:r>
      <w:r w:rsidR="008A0E5B" w:rsidRPr="00050FA4">
        <w:rPr>
          <w:lang w:val="sq-AL"/>
        </w:rPr>
        <w:t>“</w:t>
      </w:r>
      <w:r w:rsidRPr="00050FA4">
        <w:rPr>
          <w:lang w:val="sq-AL"/>
        </w:rPr>
        <w:t>Ofrimi i shërbimit të dializës</w:t>
      </w:r>
      <w:r w:rsidR="008A0E5B" w:rsidRPr="00050FA4">
        <w:rPr>
          <w:lang w:val="sq-AL"/>
        </w:rPr>
        <w:t>”</w:t>
      </w:r>
      <w:r w:rsidRPr="00050FA4">
        <w:rPr>
          <w:lang w:val="sq-AL"/>
        </w:rPr>
        <w:t xml:space="preserve"> dhe </w:t>
      </w:r>
      <w:r w:rsidR="008A0E5B" w:rsidRPr="00050FA4">
        <w:rPr>
          <w:lang w:val="sq-AL"/>
        </w:rPr>
        <w:t>“</w:t>
      </w:r>
      <w:r w:rsidRPr="00050FA4">
        <w:rPr>
          <w:lang w:val="sq-AL"/>
        </w:rPr>
        <w:t>Ofrimi i shërbimeve laboratorike spitalore</w:t>
      </w:r>
      <w:r w:rsidR="008A0E5B" w:rsidRPr="00050FA4">
        <w:rPr>
          <w:lang w:val="sq-AL"/>
        </w:rPr>
        <w:t>”</w:t>
      </w:r>
      <w:r w:rsidRPr="00050FA4">
        <w:rPr>
          <w:lang w:val="sq-AL"/>
        </w:rPr>
        <w:t>, është pakësuar.</w:t>
      </w:r>
    </w:p>
    <w:p w14:paraId="4944BB44" w14:textId="085C35D0" w:rsidR="005714D0" w:rsidRPr="00050FA4" w:rsidRDefault="005714D0" w:rsidP="003F1DA7">
      <w:pPr>
        <w:pStyle w:val="AAAAAAATEXXXX"/>
        <w:rPr>
          <w:lang w:val="sq-AL"/>
        </w:rPr>
      </w:pPr>
      <w:r w:rsidRPr="00050FA4">
        <w:rPr>
          <w:lang w:val="sq-AL"/>
        </w:rPr>
        <w:t>Krahasuar me pagesat faktike të vitit 2020 të cilat arritën vlerën rreth 9.63 miliard</w:t>
      </w:r>
      <w:r w:rsidR="00CE48C5" w:rsidRPr="00050FA4">
        <w:rPr>
          <w:lang w:val="sq-AL"/>
        </w:rPr>
        <w:t>ë</w:t>
      </w:r>
      <w:r w:rsidRPr="00050FA4">
        <w:rPr>
          <w:lang w:val="sq-AL"/>
        </w:rPr>
        <w:t xml:space="preserve"> </w:t>
      </w:r>
      <w:r w:rsidR="00CE48C5" w:rsidRPr="00050FA4">
        <w:rPr>
          <w:lang w:val="sq-AL"/>
        </w:rPr>
        <w:t xml:space="preserve">lekë, </w:t>
      </w:r>
      <w:r w:rsidRPr="00050FA4">
        <w:rPr>
          <w:lang w:val="sq-AL"/>
        </w:rPr>
        <w:t xml:space="preserve">pagesat e planifikuara për vitin 2021, sipas planit të ndryshuar, janë 25.7% më të larta ose rreth 2.48 </w:t>
      </w:r>
      <w:r w:rsidR="00F949C0" w:rsidRPr="00050FA4">
        <w:rPr>
          <w:lang w:val="sq-AL"/>
        </w:rPr>
        <w:t>miliardë lekë</w:t>
      </w:r>
      <w:r w:rsidR="00CE48C5" w:rsidRPr="00050FA4">
        <w:rPr>
          <w:lang w:val="sq-AL"/>
        </w:rPr>
        <w:t xml:space="preserve"> </w:t>
      </w:r>
      <w:r w:rsidRPr="00050FA4">
        <w:rPr>
          <w:lang w:val="sq-AL"/>
        </w:rPr>
        <w:t>më shumë. Kjo duke konsideruar faktin se, për vitin 2021 janë planifikuar fonde për kontrata të cilat gjatë vitit 2020 patën pakësime të konsiderueshme</w:t>
      </w:r>
      <w:r w:rsidR="00F949C0" w:rsidRPr="00050FA4">
        <w:rPr>
          <w:lang w:val="sq-AL"/>
        </w:rPr>
        <w:t>,</w:t>
      </w:r>
      <w:r w:rsidRPr="00050FA4">
        <w:rPr>
          <w:lang w:val="sq-AL"/>
        </w:rPr>
        <w:t xml:space="preserve"> për shkak të situatës së </w:t>
      </w:r>
      <w:r w:rsidR="00F949C0" w:rsidRPr="00050FA4">
        <w:rPr>
          <w:lang w:val="sq-AL"/>
        </w:rPr>
        <w:t>pandemisë COVID</w:t>
      </w:r>
      <w:r w:rsidRPr="00050FA4">
        <w:rPr>
          <w:lang w:val="sq-AL"/>
        </w:rPr>
        <w:t>-19, me qëllim lehtësimin e barrës buxhetore të vitit të vështirë 2020.</w:t>
      </w:r>
    </w:p>
    <w:p w14:paraId="6CD0EE13" w14:textId="548924D5" w:rsidR="005714D0" w:rsidRPr="00050FA4" w:rsidRDefault="005714D0" w:rsidP="003F1DA7">
      <w:pPr>
        <w:pStyle w:val="AAAAAAATEXXXX"/>
        <w:rPr>
          <w:lang w:val="sq-AL"/>
        </w:rPr>
      </w:pPr>
      <w:r w:rsidRPr="00050FA4">
        <w:rPr>
          <w:lang w:val="sq-AL"/>
        </w:rPr>
        <w:t>P</w:t>
      </w:r>
      <w:r w:rsidR="00CE48C5" w:rsidRPr="00050FA4">
        <w:rPr>
          <w:lang w:val="sq-AL"/>
        </w:rPr>
        <w:t>agesat faktike për periudhën 11-</w:t>
      </w:r>
      <w:r w:rsidRPr="00050FA4">
        <w:rPr>
          <w:lang w:val="sq-AL"/>
        </w:rPr>
        <w:t>mujore 2021, për kontratat koncesionare/PPP me mbështetje buxhetore rezultojnë në masën rreth 9.24 miliard</w:t>
      </w:r>
      <w:r w:rsidR="00CE48C5" w:rsidRPr="00050FA4">
        <w:rPr>
          <w:lang w:val="sq-AL"/>
        </w:rPr>
        <w:t>ë</w:t>
      </w:r>
      <w:r w:rsidRPr="00050FA4">
        <w:rPr>
          <w:lang w:val="sq-AL"/>
        </w:rPr>
        <w:t xml:space="preserve"> </w:t>
      </w:r>
      <w:r w:rsidR="00CE48C5" w:rsidRPr="00050FA4">
        <w:rPr>
          <w:lang w:val="sq-AL"/>
        </w:rPr>
        <w:t xml:space="preserve">lekë </w:t>
      </w:r>
      <w:r w:rsidRPr="00050FA4">
        <w:rPr>
          <w:lang w:val="sq-AL"/>
        </w:rPr>
        <w:t>ose 76.3% të pagesave të planifikuara</w:t>
      </w:r>
      <w:r w:rsidR="00F949C0" w:rsidRPr="00050FA4">
        <w:rPr>
          <w:lang w:val="sq-AL"/>
        </w:rPr>
        <w:t>,</w:t>
      </w:r>
      <w:r w:rsidRPr="00050FA4">
        <w:rPr>
          <w:lang w:val="sq-AL"/>
        </w:rPr>
        <w:t xml:space="preserve"> sipas planit vjetor, të rishikuar, për vitin 2021.</w:t>
      </w:r>
    </w:p>
    <w:p w14:paraId="264A4EF5" w14:textId="139A1FFE" w:rsidR="005714D0" w:rsidRPr="00050FA4" w:rsidRDefault="005714D0" w:rsidP="003F1DA7">
      <w:pPr>
        <w:pStyle w:val="AAAAAAATEXXXX"/>
        <w:rPr>
          <w:lang w:val="sq-AL"/>
        </w:rPr>
      </w:pPr>
      <w:r w:rsidRPr="00050FA4">
        <w:rPr>
          <w:lang w:val="sq-AL"/>
        </w:rPr>
        <w:t xml:space="preserve">Referuar periudhës </w:t>
      </w:r>
      <w:r w:rsidR="00F62C99" w:rsidRPr="00050FA4">
        <w:rPr>
          <w:lang w:val="sq-AL"/>
        </w:rPr>
        <w:t>11-mujore</w:t>
      </w:r>
      <w:r w:rsidRPr="00050FA4">
        <w:rPr>
          <w:lang w:val="sq-AL"/>
        </w:rPr>
        <w:t xml:space="preserve"> 2021, niveli më i lartë i pagesave është realizuar në muajin </w:t>
      </w:r>
      <w:r w:rsidR="00CE48C5" w:rsidRPr="00050FA4">
        <w:rPr>
          <w:lang w:val="sq-AL"/>
        </w:rPr>
        <w:t xml:space="preserve">shtator </w:t>
      </w:r>
      <w:r w:rsidRPr="00050FA4">
        <w:rPr>
          <w:lang w:val="sq-AL"/>
        </w:rPr>
        <w:t>2021, me rreth 1.7 miliard</w:t>
      </w:r>
      <w:r w:rsidR="00CE48C5" w:rsidRPr="00050FA4">
        <w:rPr>
          <w:lang w:val="sq-AL"/>
        </w:rPr>
        <w:t>ë</w:t>
      </w:r>
      <w:r w:rsidRPr="00050FA4">
        <w:rPr>
          <w:lang w:val="sq-AL"/>
        </w:rPr>
        <w:t xml:space="preserve"> </w:t>
      </w:r>
      <w:r w:rsidR="00CE48C5" w:rsidRPr="00050FA4">
        <w:rPr>
          <w:lang w:val="sq-AL"/>
        </w:rPr>
        <w:t>lekë</w:t>
      </w:r>
      <w:r w:rsidRPr="00050FA4">
        <w:rPr>
          <w:lang w:val="sq-AL"/>
        </w:rPr>
        <w:t>, ku veçojmë pagesën prej 1.02 miliard</w:t>
      </w:r>
      <w:r w:rsidR="00CE48C5" w:rsidRPr="00050FA4">
        <w:rPr>
          <w:lang w:val="sq-AL"/>
        </w:rPr>
        <w:t>ë</w:t>
      </w:r>
      <w:r w:rsidRPr="00050FA4">
        <w:rPr>
          <w:lang w:val="sq-AL"/>
        </w:rPr>
        <w:t xml:space="preserve"> </w:t>
      </w:r>
      <w:r w:rsidR="00CE48C5" w:rsidRPr="00050FA4">
        <w:rPr>
          <w:lang w:val="sq-AL"/>
        </w:rPr>
        <w:t>lekë</w:t>
      </w:r>
      <w:r w:rsidR="00271D1A" w:rsidRPr="00050FA4">
        <w:rPr>
          <w:lang w:val="sq-AL"/>
        </w:rPr>
        <w:t>sh</w:t>
      </w:r>
      <w:r w:rsidR="00CE48C5" w:rsidRPr="00050FA4">
        <w:rPr>
          <w:lang w:val="sq-AL"/>
        </w:rPr>
        <w:t xml:space="preserve"> </w:t>
      </w:r>
      <w:r w:rsidRPr="00050FA4">
        <w:rPr>
          <w:lang w:val="sq-AL"/>
        </w:rPr>
        <w:t xml:space="preserve">për kontratën </w:t>
      </w:r>
      <w:r w:rsidR="008A0E5B" w:rsidRPr="00050FA4">
        <w:rPr>
          <w:lang w:val="sq-AL"/>
        </w:rPr>
        <w:t>“</w:t>
      </w:r>
      <w:r w:rsidRPr="00050FA4">
        <w:rPr>
          <w:lang w:val="sq-AL"/>
        </w:rPr>
        <w:t>Për përmirësimin, ndërtimin, operimin dhe mirëmbajtjen e Rrugës së Arbrit</w:t>
      </w:r>
      <w:r w:rsidR="008A0E5B" w:rsidRPr="00050FA4">
        <w:rPr>
          <w:lang w:val="sq-AL"/>
        </w:rPr>
        <w:t>”</w:t>
      </w:r>
      <w:r w:rsidRPr="00050FA4">
        <w:rPr>
          <w:lang w:val="sq-AL"/>
        </w:rPr>
        <w:t>.</w:t>
      </w:r>
    </w:p>
    <w:p w14:paraId="0BC3D0D1" w14:textId="6EA1547A" w:rsidR="005714D0" w:rsidRPr="00050FA4" w:rsidRDefault="005714D0" w:rsidP="003F1DA7">
      <w:pPr>
        <w:pStyle w:val="AAAAAAATEXXXX"/>
        <w:rPr>
          <w:lang w:val="sq-AL"/>
        </w:rPr>
      </w:pPr>
      <w:r w:rsidRPr="00050FA4">
        <w:rPr>
          <w:lang w:val="sq-AL"/>
        </w:rPr>
        <w:t>Krahasuar me të njëjtën periudhë të një viti</w:t>
      </w:r>
      <w:r w:rsidR="00C86C06" w:rsidRPr="00050FA4">
        <w:rPr>
          <w:lang w:val="sq-AL"/>
        </w:rPr>
        <w:t xml:space="preserve"> më parë, ku pagesat faktike 11-</w:t>
      </w:r>
      <w:r w:rsidRPr="00050FA4">
        <w:rPr>
          <w:lang w:val="sq-AL"/>
        </w:rPr>
        <w:t xml:space="preserve">mujore të vitit 2020 arritën në nivelin rreth 7.95 </w:t>
      </w:r>
      <w:r w:rsidR="00F949C0" w:rsidRPr="00050FA4">
        <w:rPr>
          <w:lang w:val="sq-AL"/>
        </w:rPr>
        <w:t>miliardë</w:t>
      </w:r>
      <w:r w:rsidRPr="00050FA4">
        <w:rPr>
          <w:lang w:val="sq-AL"/>
        </w:rPr>
        <w:t xml:space="preserve"> </w:t>
      </w:r>
      <w:r w:rsidR="00CE48C5" w:rsidRPr="00050FA4">
        <w:rPr>
          <w:lang w:val="sq-AL"/>
        </w:rPr>
        <w:t>lekë</w:t>
      </w:r>
      <w:r w:rsidRPr="00050FA4">
        <w:rPr>
          <w:lang w:val="sq-AL"/>
        </w:rPr>
        <w:t xml:space="preserve">, pagesat faktike </w:t>
      </w:r>
      <w:r w:rsidR="00F62C99" w:rsidRPr="00050FA4">
        <w:rPr>
          <w:lang w:val="sq-AL"/>
        </w:rPr>
        <w:t>11-mujore</w:t>
      </w:r>
      <w:r w:rsidRPr="00050FA4">
        <w:rPr>
          <w:lang w:val="sq-AL"/>
        </w:rPr>
        <w:t xml:space="preserve"> të vitit 2021 rezultojnë rreth 1.3 miliard</w:t>
      </w:r>
      <w:r w:rsidR="00C86C06" w:rsidRPr="00050FA4">
        <w:rPr>
          <w:lang w:val="sq-AL"/>
        </w:rPr>
        <w:t>ë</w:t>
      </w:r>
      <w:r w:rsidRPr="00050FA4">
        <w:rPr>
          <w:lang w:val="sq-AL"/>
        </w:rPr>
        <w:t xml:space="preserve"> </w:t>
      </w:r>
      <w:r w:rsidR="00C86C06" w:rsidRPr="00050FA4">
        <w:rPr>
          <w:lang w:val="sq-AL"/>
        </w:rPr>
        <w:t xml:space="preserve">lekë </w:t>
      </w:r>
      <w:r w:rsidRPr="00050FA4">
        <w:rPr>
          <w:lang w:val="sq-AL"/>
        </w:rPr>
        <w:t>më të larta. Kjo rritje ka ardhur kryesisht si pasojë e pagesave më të larta të realizuara specifikisht për kontratat:</w:t>
      </w:r>
    </w:p>
    <w:p w14:paraId="025CA89E" w14:textId="1890A18F" w:rsidR="005714D0" w:rsidRPr="00050FA4" w:rsidRDefault="00F44224" w:rsidP="003F1DA7">
      <w:pPr>
        <w:pStyle w:val="AAAAAAATEXXXX"/>
        <w:rPr>
          <w:lang w:val="sq-AL"/>
        </w:rPr>
      </w:pPr>
      <w:r w:rsidRPr="00050FA4">
        <w:rPr>
          <w:lang w:val="sq-AL"/>
        </w:rPr>
        <w:t xml:space="preserve">- </w:t>
      </w:r>
      <w:r w:rsidR="008A0E5B" w:rsidRPr="00050FA4">
        <w:rPr>
          <w:lang w:val="sq-AL"/>
        </w:rPr>
        <w:t>“</w:t>
      </w:r>
      <w:r w:rsidR="005714D0" w:rsidRPr="00050FA4">
        <w:rPr>
          <w:lang w:val="sq-AL"/>
        </w:rPr>
        <w:t>Për përmirësimin, ndërtimin, operimin dhe mirëmbajtjen e Rrugës së Arbrit</w:t>
      </w:r>
      <w:r w:rsidR="008A0E5B" w:rsidRPr="00050FA4">
        <w:rPr>
          <w:lang w:val="sq-AL"/>
        </w:rPr>
        <w:t>”</w:t>
      </w:r>
      <w:r w:rsidR="005714D0" w:rsidRPr="00050FA4">
        <w:rPr>
          <w:lang w:val="sq-AL"/>
        </w:rPr>
        <w:t xml:space="preserve"> ku pagesat faktike </w:t>
      </w:r>
      <w:r w:rsidR="00F62C99" w:rsidRPr="00050FA4">
        <w:rPr>
          <w:lang w:val="sq-AL"/>
        </w:rPr>
        <w:t>11-mujore</w:t>
      </w:r>
      <w:r w:rsidR="005714D0" w:rsidRPr="00050FA4">
        <w:rPr>
          <w:lang w:val="sq-AL"/>
        </w:rPr>
        <w:t xml:space="preserve"> 2021 rezultojnë rreth 433.6 milion</w:t>
      </w:r>
      <w:r w:rsidR="00CE48C5" w:rsidRPr="00050FA4">
        <w:rPr>
          <w:lang w:val="sq-AL"/>
        </w:rPr>
        <w:t>ë</w:t>
      </w:r>
      <w:r w:rsidR="005714D0" w:rsidRPr="00050FA4">
        <w:rPr>
          <w:lang w:val="sq-AL"/>
        </w:rPr>
        <w:t xml:space="preserve"> </w:t>
      </w:r>
      <w:r w:rsidR="00CE48C5" w:rsidRPr="00050FA4">
        <w:rPr>
          <w:lang w:val="sq-AL"/>
        </w:rPr>
        <w:t xml:space="preserve">lekë </w:t>
      </w:r>
      <w:r w:rsidR="005714D0" w:rsidRPr="00050FA4">
        <w:rPr>
          <w:lang w:val="sq-AL"/>
        </w:rPr>
        <w:t xml:space="preserve">më të larta se e njëjta periudhë e një viti më parë. Lidhur me këtë rritje të pagesave për vitin 2021, në raportimin e muajit </w:t>
      </w:r>
      <w:r w:rsidR="00CE48C5" w:rsidRPr="00050FA4">
        <w:rPr>
          <w:lang w:val="sq-AL"/>
        </w:rPr>
        <w:t xml:space="preserve">shtator </w:t>
      </w:r>
      <w:r w:rsidR="005714D0" w:rsidRPr="00050FA4">
        <w:rPr>
          <w:lang w:val="sq-AL"/>
        </w:rPr>
        <w:t xml:space="preserve">2021, nga ana e </w:t>
      </w:r>
      <w:r w:rsidR="00F949C0" w:rsidRPr="00050FA4">
        <w:rPr>
          <w:lang w:val="sq-AL"/>
        </w:rPr>
        <w:t xml:space="preserve">autoritetit kontraktor u </w:t>
      </w:r>
      <w:r w:rsidR="005714D0" w:rsidRPr="00050FA4">
        <w:rPr>
          <w:lang w:val="sq-AL"/>
        </w:rPr>
        <w:t>ra</w:t>
      </w:r>
      <w:r w:rsidR="00CE48C5" w:rsidRPr="00050FA4">
        <w:rPr>
          <w:lang w:val="sq-AL"/>
        </w:rPr>
        <w:t>portuar se projekti arriti në 9-</w:t>
      </w:r>
      <w:r w:rsidR="005714D0" w:rsidRPr="00050FA4">
        <w:rPr>
          <w:lang w:val="sq-AL"/>
        </w:rPr>
        <w:t>mujorin e fundit të punimeve (sipas kontratës) dhe investimi në ndërtim në masën 70 për</w:t>
      </w:r>
      <w:r w:rsidR="001C0FC0" w:rsidRPr="00050FA4">
        <w:rPr>
          <w:lang w:val="sq-AL"/>
        </w:rPr>
        <w:t xml:space="preserve"> </w:t>
      </w:r>
      <w:r w:rsidR="005714D0" w:rsidRPr="00050FA4">
        <w:rPr>
          <w:lang w:val="sq-AL"/>
        </w:rPr>
        <w:t xml:space="preserve">qind. Për këtë arsye, bazuar në grafikun e punimeve dhe modelin financiar të kontratës, këstet pas muajit </w:t>
      </w:r>
      <w:r w:rsidR="00CE48C5" w:rsidRPr="00050FA4">
        <w:rPr>
          <w:lang w:val="sq-AL"/>
        </w:rPr>
        <w:t xml:space="preserve">qershor </w:t>
      </w:r>
      <w:r w:rsidR="005714D0" w:rsidRPr="00050FA4">
        <w:rPr>
          <w:lang w:val="sq-AL"/>
        </w:rPr>
        <w:t>2021 janë më të larta.</w:t>
      </w:r>
    </w:p>
    <w:p w14:paraId="37BD6248" w14:textId="4C17D6CE" w:rsidR="005714D0" w:rsidRPr="00050FA4" w:rsidRDefault="00F44224" w:rsidP="003F1DA7">
      <w:pPr>
        <w:pStyle w:val="AAAAAAATEXXXX"/>
        <w:rPr>
          <w:lang w:val="sq-AL"/>
        </w:rPr>
      </w:pPr>
      <w:r w:rsidRPr="00050FA4">
        <w:rPr>
          <w:lang w:val="sq-AL"/>
        </w:rPr>
        <w:t xml:space="preserve">- </w:t>
      </w:r>
      <w:r w:rsidR="008A0E5B" w:rsidRPr="00050FA4">
        <w:rPr>
          <w:lang w:val="sq-AL"/>
        </w:rPr>
        <w:t>“</w:t>
      </w:r>
      <w:r w:rsidR="005714D0" w:rsidRPr="00050FA4">
        <w:rPr>
          <w:lang w:val="sq-AL"/>
        </w:rPr>
        <w:t>Ofrimi i shërbimeve laboratorike spitalore</w:t>
      </w:r>
      <w:r w:rsidR="008A0E5B" w:rsidRPr="00050FA4">
        <w:rPr>
          <w:lang w:val="sq-AL"/>
        </w:rPr>
        <w:t>”</w:t>
      </w:r>
      <w:r w:rsidR="00CE48C5" w:rsidRPr="00050FA4">
        <w:rPr>
          <w:lang w:val="sq-AL"/>
        </w:rPr>
        <w:t xml:space="preserve"> ku pagesat faktike 11-</w:t>
      </w:r>
      <w:r w:rsidR="005714D0" w:rsidRPr="00050FA4">
        <w:rPr>
          <w:lang w:val="sq-AL"/>
        </w:rPr>
        <w:t>mujore 2021 rezultojnë rreth 712.8 milion</w:t>
      </w:r>
      <w:r w:rsidR="00F949C0" w:rsidRPr="00050FA4">
        <w:rPr>
          <w:lang w:val="sq-AL"/>
        </w:rPr>
        <w:t>ë</w:t>
      </w:r>
      <w:r w:rsidR="005714D0" w:rsidRPr="00050FA4">
        <w:rPr>
          <w:lang w:val="sq-AL"/>
        </w:rPr>
        <w:t xml:space="preserve"> </w:t>
      </w:r>
      <w:r w:rsidR="00CE48C5" w:rsidRPr="00050FA4">
        <w:rPr>
          <w:lang w:val="sq-AL"/>
        </w:rPr>
        <w:t xml:space="preserve">lekë </w:t>
      </w:r>
      <w:r w:rsidR="005714D0" w:rsidRPr="00050FA4">
        <w:rPr>
          <w:lang w:val="sq-AL"/>
        </w:rPr>
        <w:t xml:space="preserve">ndërkohë që, për të </w:t>
      </w:r>
      <w:r w:rsidR="001C0FC0" w:rsidRPr="00050FA4">
        <w:rPr>
          <w:lang w:val="sq-AL"/>
        </w:rPr>
        <w:t>njëjtën</w:t>
      </w:r>
      <w:r w:rsidR="005714D0" w:rsidRPr="00050FA4">
        <w:rPr>
          <w:lang w:val="sq-AL"/>
        </w:rPr>
        <w:t xml:space="preserve"> periudhë të një viti më parë, nuk rezultonin pagesa të realizuara për këtë kontratë. Kjo duke konsideruar faktin se, për vitin 2020, për shkak të situatës së pandemisë, u shty fillimi i funksionimit të kësaj kontrate deri në muajin </w:t>
      </w:r>
      <w:r w:rsidR="00CE48C5" w:rsidRPr="00050FA4">
        <w:rPr>
          <w:lang w:val="sq-AL"/>
        </w:rPr>
        <w:t xml:space="preserve">nëntor </w:t>
      </w:r>
      <w:r w:rsidR="005714D0" w:rsidRPr="00050FA4">
        <w:rPr>
          <w:lang w:val="sq-AL"/>
        </w:rPr>
        <w:t>2020 dhe si rrjedhojë, fondet e planifikuara për vitin 2020 u pakësuan me 720 milion</w:t>
      </w:r>
      <w:r w:rsidR="00CE48C5" w:rsidRPr="00050FA4">
        <w:rPr>
          <w:lang w:val="sq-AL"/>
        </w:rPr>
        <w:t>ë</w:t>
      </w:r>
      <w:r w:rsidR="005714D0" w:rsidRPr="00050FA4">
        <w:rPr>
          <w:lang w:val="sq-AL"/>
        </w:rPr>
        <w:t xml:space="preserve"> </w:t>
      </w:r>
      <w:r w:rsidR="00CE48C5" w:rsidRPr="00050FA4">
        <w:rPr>
          <w:lang w:val="sq-AL"/>
        </w:rPr>
        <w:t xml:space="preserve">lekë </w:t>
      </w:r>
      <w:r w:rsidR="005714D0" w:rsidRPr="00050FA4">
        <w:rPr>
          <w:lang w:val="sq-AL"/>
        </w:rPr>
        <w:t xml:space="preserve">nga plani fillestar vjetor. </w:t>
      </w:r>
    </w:p>
    <w:p w14:paraId="26E4F560" w14:textId="1E1B1A94" w:rsidR="005714D0" w:rsidRPr="00050FA4" w:rsidRDefault="00F44224" w:rsidP="003F1DA7">
      <w:pPr>
        <w:pStyle w:val="AAAAAAATEXXXX"/>
        <w:rPr>
          <w:lang w:val="sq-AL"/>
        </w:rPr>
      </w:pPr>
      <w:r w:rsidRPr="00050FA4">
        <w:rPr>
          <w:lang w:val="sq-AL"/>
        </w:rPr>
        <w:t>-</w:t>
      </w:r>
      <w:r w:rsidR="005714D0" w:rsidRPr="00050FA4">
        <w:rPr>
          <w:lang w:val="sq-AL"/>
        </w:rPr>
        <w:t xml:space="preserve"> </w:t>
      </w:r>
      <w:r w:rsidR="008A0E5B" w:rsidRPr="00050FA4">
        <w:rPr>
          <w:lang w:val="sq-AL"/>
        </w:rPr>
        <w:t>“</w:t>
      </w:r>
      <w:r w:rsidR="005714D0" w:rsidRPr="00050FA4">
        <w:rPr>
          <w:lang w:val="sq-AL"/>
        </w:rPr>
        <w:t xml:space="preserve">Shërbimi i skanimit në </w:t>
      </w:r>
      <w:r w:rsidR="00F949C0" w:rsidRPr="00050FA4">
        <w:rPr>
          <w:lang w:val="sq-AL"/>
        </w:rPr>
        <w:t>dogana</w:t>
      </w:r>
      <w:r w:rsidR="008A0E5B" w:rsidRPr="00050FA4">
        <w:rPr>
          <w:lang w:val="sq-AL"/>
        </w:rPr>
        <w:t>”</w:t>
      </w:r>
      <w:r w:rsidR="00CE48C5" w:rsidRPr="00050FA4">
        <w:rPr>
          <w:lang w:val="sq-AL"/>
        </w:rPr>
        <w:t>, ku pagesat faktike 11-</w:t>
      </w:r>
      <w:r w:rsidR="005714D0" w:rsidRPr="00050FA4">
        <w:rPr>
          <w:lang w:val="sq-AL"/>
        </w:rPr>
        <w:t>mujore 2021 rezultojnë rreth 315.6 milion</w:t>
      </w:r>
      <w:r w:rsidR="00F949C0" w:rsidRPr="00050FA4">
        <w:rPr>
          <w:lang w:val="sq-AL"/>
        </w:rPr>
        <w:t>ë</w:t>
      </w:r>
      <w:r w:rsidR="005714D0" w:rsidRPr="00050FA4">
        <w:rPr>
          <w:lang w:val="sq-AL"/>
        </w:rPr>
        <w:t xml:space="preserve"> </w:t>
      </w:r>
      <w:r w:rsidR="00F949C0" w:rsidRPr="00050FA4">
        <w:rPr>
          <w:lang w:val="sq-AL"/>
        </w:rPr>
        <w:t xml:space="preserve">lekë </w:t>
      </w:r>
      <w:r w:rsidR="005714D0" w:rsidRPr="00050FA4">
        <w:rPr>
          <w:lang w:val="sq-AL"/>
        </w:rPr>
        <w:t xml:space="preserve">më shumë se e njëjta periudhë e një viti më parë. Gjatë vitit 2020, kjo kontratë vazhdoi funksionimin normal, edhe pse pagesat nga muaji </w:t>
      </w:r>
      <w:r w:rsidR="00CE48C5" w:rsidRPr="00050FA4">
        <w:rPr>
          <w:lang w:val="sq-AL"/>
        </w:rPr>
        <w:t xml:space="preserve">gusht </w:t>
      </w:r>
      <w:r w:rsidR="005714D0" w:rsidRPr="00050FA4">
        <w:rPr>
          <w:lang w:val="sq-AL"/>
        </w:rPr>
        <w:t xml:space="preserve">(pjesërisht) deri në </w:t>
      </w:r>
      <w:r w:rsidR="00CE48C5" w:rsidRPr="00050FA4">
        <w:rPr>
          <w:lang w:val="sq-AL"/>
        </w:rPr>
        <w:t xml:space="preserve">nëntor </w:t>
      </w:r>
      <w:r w:rsidR="005714D0" w:rsidRPr="00050FA4">
        <w:rPr>
          <w:lang w:val="sq-AL"/>
        </w:rPr>
        <w:t>2020, u shtynë (me marrëveshje negocimi ) për t</w:t>
      </w:r>
      <w:r w:rsidR="00F56E92" w:rsidRPr="00050FA4">
        <w:rPr>
          <w:lang w:val="sq-AL"/>
        </w:rPr>
        <w:t>’</w:t>
      </w:r>
      <w:r w:rsidR="005714D0" w:rsidRPr="00050FA4">
        <w:rPr>
          <w:lang w:val="sq-AL"/>
        </w:rPr>
        <w:t xml:space="preserve">u paguar me këste gjatë vitit 2022, pa aplikuar penalitete. </w:t>
      </w:r>
    </w:p>
    <w:p w14:paraId="23D0B502" w14:textId="77777777" w:rsidR="00F44224" w:rsidRPr="00050FA4" w:rsidRDefault="00F44224" w:rsidP="003F1DA7">
      <w:pPr>
        <w:pStyle w:val="AAAAAAATEXXXX"/>
        <w:rPr>
          <w:lang w:val="sq-AL"/>
        </w:rPr>
      </w:pPr>
    </w:p>
    <w:p w14:paraId="10D7556B" w14:textId="77777777" w:rsidR="00F949C0" w:rsidRPr="00050FA4" w:rsidRDefault="00F949C0" w:rsidP="003F1DA7">
      <w:pPr>
        <w:pStyle w:val="AAAAAAATEXXXX"/>
        <w:rPr>
          <w:lang w:val="sq-AL"/>
        </w:rPr>
      </w:pPr>
    </w:p>
    <w:p w14:paraId="2FF49F72" w14:textId="77777777" w:rsidR="00F949C0" w:rsidRPr="00050FA4" w:rsidRDefault="00F949C0" w:rsidP="003F1DA7">
      <w:pPr>
        <w:pStyle w:val="AAAAAAATEXXXX"/>
        <w:rPr>
          <w:lang w:val="sq-AL"/>
        </w:rPr>
      </w:pPr>
    </w:p>
    <w:p w14:paraId="5695AD62" w14:textId="77777777" w:rsidR="00F949C0" w:rsidRPr="00050FA4" w:rsidRDefault="00F949C0" w:rsidP="003F1DA7">
      <w:pPr>
        <w:pStyle w:val="AAAAAAATEXXXX"/>
        <w:rPr>
          <w:lang w:val="sq-AL"/>
        </w:rPr>
      </w:pPr>
    </w:p>
    <w:p w14:paraId="472961B1" w14:textId="77777777" w:rsidR="00F949C0" w:rsidRPr="00050FA4" w:rsidRDefault="00F949C0" w:rsidP="003F1DA7">
      <w:pPr>
        <w:pStyle w:val="AAAAAAATEXXXX"/>
        <w:rPr>
          <w:lang w:val="sq-AL"/>
        </w:rPr>
      </w:pPr>
    </w:p>
    <w:p w14:paraId="19959C05" w14:textId="77777777" w:rsidR="00F949C0" w:rsidRPr="00050FA4" w:rsidRDefault="00F949C0" w:rsidP="003F1DA7">
      <w:pPr>
        <w:pStyle w:val="AAAAAAATEXXXX"/>
        <w:rPr>
          <w:lang w:val="sq-AL"/>
        </w:rPr>
      </w:pPr>
    </w:p>
    <w:p w14:paraId="1B8F21B1" w14:textId="77777777" w:rsidR="00F949C0" w:rsidRPr="00050FA4" w:rsidRDefault="00F949C0" w:rsidP="003F1DA7">
      <w:pPr>
        <w:pStyle w:val="AAAAAAATEXXXX"/>
        <w:rPr>
          <w:lang w:val="sq-AL"/>
        </w:rPr>
      </w:pPr>
    </w:p>
    <w:p w14:paraId="5D0C4DC7" w14:textId="77777777" w:rsidR="00F949C0" w:rsidRPr="00050FA4" w:rsidRDefault="00F949C0" w:rsidP="003F1DA7">
      <w:pPr>
        <w:pStyle w:val="AAAAAAATEXXXX"/>
        <w:rPr>
          <w:lang w:val="sq-AL"/>
        </w:rPr>
      </w:pPr>
    </w:p>
    <w:p w14:paraId="3C10BA43" w14:textId="77777777" w:rsidR="00F949C0" w:rsidRPr="00050FA4" w:rsidRDefault="00F949C0" w:rsidP="003F1DA7">
      <w:pPr>
        <w:pStyle w:val="AAAAAAATEXXXX"/>
        <w:rPr>
          <w:lang w:val="sq-AL"/>
        </w:rPr>
      </w:pPr>
    </w:p>
    <w:p w14:paraId="68C6768D" w14:textId="77777777" w:rsidR="00F949C0" w:rsidRPr="00050FA4" w:rsidRDefault="00F949C0" w:rsidP="003F1DA7">
      <w:pPr>
        <w:pStyle w:val="AAAAAAATEXXXX"/>
        <w:rPr>
          <w:lang w:val="sq-AL"/>
        </w:rPr>
      </w:pPr>
    </w:p>
    <w:p w14:paraId="20BEF3BD" w14:textId="77777777" w:rsidR="00F949C0" w:rsidRPr="00050FA4" w:rsidRDefault="00F949C0" w:rsidP="003F1DA7">
      <w:pPr>
        <w:pStyle w:val="AAAAAAATEXXXX"/>
        <w:rPr>
          <w:lang w:val="sq-AL"/>
        </w:rPr>
      </w:pPr>
    </w:p>
    <w:p w14:paraId="58995E71" w14:textId="77777777" w:rsidR="00F949C0" w:rsidRPr="00050FA4" w:rsidRDefault="00F949C0" w:rsidP="003F1DA7">
      <w:pPr>
        <w:pStyle w:val="AAAAAAATEXXXX"/>
        <w:rPr>
          <w:lang w:val="sq-AL"/>
        </w:rPr>
      </w:pPr>
    </w:p>
    <w:p w14:paraId="0EC90B84" w14:textId="77777777" w:rsidR="00F949C0" w:rsidRPr="00050FA4" w:rsidRDefault="00F949C0" w:rsidP="003F1DA7">
      <w:pPr>
        <w:pStyle w:val="AAAAAAATEXXXX"/>
        <w:rPr>
          <w:lang w:val="sq-AL"/>
        </w:rPr>
      </w:pPr>
    </w:p>
    <w:p w14:paraId="51CB8119" w14:textId="77777777" w:rsidR="00F949C0" w:rsidRPr="00050FA4" w:rsidRDefault="00F949C0" w:rsidP="003F1DA7">
      <w:pPr>
        <w:pStyle w:val="AAAAAAATEXXXX"/>
        <w:rPr>
          <w:lang w:val="sq-AL"/>
        </w:rPr>
      </w:pPr>
    </w:p>
    <w:p w14:paraId="07247420" w14:textId="77777777" w:rsidR="00F949C0" w:rsidRPr="00050FA4" w:rsidRDefault="00F949C0" w:rsidP="003F1DA7">
      <w:pPr>
        <w:pStyle w:val="AAAAAAATEXXXX"/>
        <w:rPr>
          <w:lang w:val="sq-AL"/>
        </w:rPr>
      </w:pPr>
    </w:p>
    <w:p w14:paraId="1C87B383" w14:textId="77777777" w:rsidR="00F949C0" w:rsidRPr="00050FA4" w:rsidRDefault="00F949C0" w:rsidP="003F1DA7">
      <w:pPr>
        <w:pStyle w:val="AAAAAAATEXXXX"/>
        <w:rPr>
          <w:lang w:val="sq-AL"/>
        </w:rPr>
      </w:pPr>
    </w:p>
    <w:p w14:paraId="1CFE71CC" w14:textId="77777777" w:rsidR="00F949C0" w:rsidRPr="00050FA4" w:rsidRDefault="00F949C0" w:rsidP="003F1DA7">
      <w:pPr>
        <w:pStyle w:val="AAAAAAATEXXXX"/>
        <w:rPr>
          <w:lang w:val="sq-AL"/>
        </w:rPr>
      </w:pPr>
    </w:p>
    <w:p w14:paraId="68606457" w14:textId="77777777" w:rsidR="00F949C0" w:rsidRPr="00050FA4" w:rsidRDefault="00F949C0" w:rsidP="003F1DA7">
      <w:pPr>
        <w:pStyle w:val="AAAAAAATEXXXX"/>
        <w:rPr>
          <w:lang w:val="sq-AL"/>
        </w:rPr>
      </w:pPr>
    </w:p>
    <w:p w14:paraId="54F65783" w14:textId="77777777" w:rsidR="00F949C0" w:rsidRPr="00050FA4" w:rsidRDefault="00F949C0" w:rsidP="003F1DA7">
      <w:pPr>
        <w:pStyle w:val="AAAAAAATEXXXX"/>
        <w:rPr>
          <w:lang w:val="sq-AL"/>
        </w:rPr>
      </w:pPr>
    </w:p>
    <w:p w14:paraId="38A62E6E" w14:textId="294FA357" w:rsidR="005714D0" w:rsidRPr="00050FA4" w:rsidRDefault="005714D0" w:rsidP="003F1DA7">
      <w:pPr>
        <w:widowControl w:val="0"/>
        <w:ind w:firstLine="284"/>
        <w:jc w:val="center"/>
        <w:rPr>
          <w:rFonts w:ascii="Garamond" w:eastAsia="SimSun" w:hAnsi="Garamond" w:cstheme="majorBidi"/>
          <w:b/>
          <w:i/>
          <w:color w:val="0D0D0D" w:themeColor="text1" w:themeTint="F2"/>
          <w:sz w:val="20"/>
          <w:lang w:eastAsia="en-GB"/>
        </w:rPr>
      </w:pPr>
      <w:r w:rsidRPr="00050FA4">
        <w:rPr>
          <w:rFonts w:ascii="Garamond" w:eastAsia="SimSun" w:hAnsi="Garamond" w:cstheme="majorBidi"/>
          <w:b/>
          <w:i/>
          <w:color w:val="0D0D0D" w:themeColor="text1" w:themeTint="F2"/>
          <w:sz w:val="20"/>
          <w:lang w:eastAsia="en-GB"/>
        </w:rPr>
        <w:lastRenderedPageBreak/>
        <w:t>Tabelë 4.6.5 Pagesat faktike/të planifikuara për kontratat koncesionare/PPP me mbështetje buxhetore, për 11M 2020 dhe 2021</w:t>
      </w:r>
    </w:p>
    <w:p w14:paraId="77B7D27D" w14:textId="4CFD61FF" w:rsidR="00017C27" w:rsidRPr="00050FA4" w:rsidRDefault="00017C27" w:rsidP="003F1DA7">
      <w:pPr>
        <w:widowControl w:val="0"/>
        <w:ind w:firstLine="284"/>
        <w:jc w:val="center"/>
        <w:rPr>
          <w:rFonts w:ascii="Garamond" w:eastAsia="SimSun" w:hAnsi="Garamond" w:cstheme="majorBidi"/>
          <w:color w:val="0D0D0D" w:themeColor="text1" w:themeTint="F2"/>
          <w:lang w:eastAsia="en-GB"/>
        </w:rPr>
      </w:pPr>
      <w:r w:rsidRPr="00050FA4">
        <w:rPr>
          <w:rFonts w:ascii="Garamond" w:hAnsi="Garamond"/>
          <w:noProof/>
          <w:lang w:val="en-US"/>
        </w:rPr>
        <w:drawing>
          <wp:inline distT="0" distB="0" distL="0" distR="0" wp14:anchorId="2FA543E3" wp14:editId="722A238B">
            <wp:extent cx="5943600" cy="4338955"/>
            <wp:effectExtent l="19050" t="19050" r="19050" b="23495"/>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4338955"/>
                    </a:xfrm>
                    <a:prstGeom prst="rect">
                      <a:avLst/>
                    </a:prstGeom>
                    <a:noFill/>
                    <a:ln w="9525">
                      <a:solidFill>
                        <a:srgbClr val="595959"/>
                      </a:solidFill>
                      <a:miter lim="800000"/>
                      <a:headEnd/>
                      <a:tailEnd/>
                    </a:ln>
                  </pic:spPr>
                </pic:pic>
              </a:graphicData>
            </a:graphic>
          </wp:inline>
        </w:drawing>
      </w:r>
    </w:p>
    <w:p w14:paraId="5A500189" w14:textId="5654F51A" w:rsidR="005714D0" w:rsidRPr="00050FA4" w:rsidRDefault="005714D0" w:rsidP="003F1DA7">
      <w:pPr>
        <w:ind w:firstLine="284"/>
        <w:jc w:val="center"/>
        <w:rPr>
          <w:rFonts w:ascii="Garamond" w:hAnsi="Garamond" w:cstheme="majorBidi"/>
          <w:color w:val="0D0D0D" w:themeColor="text1" w:themeTint="F2"/>
          <w:sz w:val="20"/>
          <w:lang w:eastAsia="sq-AL" w:bidi="he-IL"/>
        </w:rPr>
      </w:pPr>
      <w:r w:rsidRPr="00050FA4">
        <w:rPr>
          <w:rFonts w:ascii="Garamond" w:hAnsi="Garamond" w:cstheme="majorBidi"/>
          <w:color w:val="0D0D0D" w:themeColor="text1" w:themeTint="F2"/>
          <w:sz w:val="20"/>
        </w:rPr>
        <w:t>Burimi: Ministria e Financave dhe Ekonomisë (2021)</w:t>
      </w:r>
    </w:p>
    <w:p w14:paraId="3C2AE5EC" w14:textId="77777777" w:rsidR="00C505A7" w:rsidRPr="00050FA4" w:rsidRDefault="00C505A7" w:rsidP="003F1DA7">
      <w:pPr>
        <w:snapToGrid w:val="0"/>
        <w:ind w:firstLine="284"/>
        <w:jc w:val="center"/>
        <w:rPr>
          <w:rFonts w:ascii="Garamond" w:hAnsi="Garamond" w:cstheme="majorBidi"/>
          <w:color w:val="0D0D0D" w:themeColor="text1" w:themeTint="F2"/>
        </w:rPr>
      </w:pPr>
    </w:p>
    <w:p w14:paraId="36CDADAE" w14:textId="55A281A8" w:rsidR="00DF1828" w:rsidRPr="00050FA4" w:rsidRDefault="00326B4B" w:rsidP="003F1DA7">
      <w:pPr>
        <w:pStyle w:val="AAAAAAATEXXXX"/>
        <w:rPr>
          <w:b/>
          <w:lang w:val="sq-AL"/>
        </w:rPr>
      </w:pPr>
      <w:bookmarkStart w:id="35" w:name="_Toc30416398"/>
      <w:bookmarkStart w:id="36" w:name="_Toc61854159"/>
      <w:bookmarkStart w:id="37" w:name="_Toc93325759"/>
      <w:bookmarkEnd w:id="34"/>
      <w:r w:rsidRPr="00050FA4">
        <w:rPr>
          <w:b/>
          <w:lang w:val="sq-AL"/>
        </w:rPr>
        <w:t xml:space="preserve">4.7 </w:t>
      </w:r>
      <w:r w:rsidR="000A27DD" w:rsidRPr="00050FA4">
        <w:rPr>
          <w:b/>
          <w:lang w:val="sq-AL"/>
        </w:rPr>
        <w:t>Analiza e ndjeshmërisë dhe krahasimi me programin e mëparshëm</w:t>
      </w:r>
      <w:bookmarkEnd w:id="35"/>
      <w:bookmarkEnd w:id="36"/>
      <w:bookmarkEnd w:id="37"/>
    </w:p>
    <w:p w14:paraId="4618F65D" w14:textId="61B46DF2" w:rsidR="00094A26" w:rsidRPr="00050FA4" w:rsidRDefault="00094A26" w:rsidP="003F1DA7">
      <w:pPr>
        <w:pStyle w:val="AAAAAAATEXXXX"/>
        <w:rPr>
          <w:lang w:val="sq-AL"/>
        </w:rPr>
      </w:pPr>
      <w:r w:rsidRPr="00050FA4">
        <w:rPr>
          <w:lang w:val="sq-AL"/>
        </w:rPr>
        <w:t>Ky seksion paraqet ndikimet e pritshme në kuadrin fiskal, si dhe rregullimet e mundshme të politikave fiskale dhe ato buxhetore sipas secilit skenar. Kjo është në përputhje me të dy skenarët alternativë makroekonomik</w:t>
      </w:r>
      <w:r w:rsidR="00F778E2" w:rsidRPr="00050FA4">
        <w:rPr>
          <w:lang w:val="sq-AL"/>
        </w:rPr>
        <w:t>ë të paraqitur</w:t>
      </w:r>
      <w:r w:rsidRPr="00050FA4">
        <w:rPr>
          <w:lang w:val="sq-AL"/>
        </w:rPr>
        <w:t xml:space="preserve"> në seksionin 3.3.</w:t>
      </w:r>
    </w:p>
    <w:p w14:paraId="6F7F9033" w14:textId="492FEA07" w:rsidR="00094A26" w:rsidRPr="00050FA4" w:rsidRDefault="00094A26" w:rsidP="003F1DA7">
      <w:pPr>
        <w:pStyle w:val="AAAAAAATEXXXX"/>
        <w:rPr>
          <w:lang w:val="sq-AL"/>
        </w:rPr>
      </w:pPr>
      <w:r w:rsidRPr="00050FA4">
        <w:rPr>
          <w:lang w:val="sq-AL"/>
        </w:rPr>
        <w:t xml:space="preserve">Në rastin e skenarit makroekonomik </w:t>
      </w:r>
      <w:r w:rsidR="008A0E5B" w:rsidRPr="00050FA4">
        <w:rPr>
          <w:lang w:val="sq-AL"/>
        </w:rPr>
        <w:t>“</w:t>
      </w:r>
      <w:r w:rsidRPr="00050FA4">
        <w:rPr>
          <w:lang w:val="sq-AL"/>
        </w:rPr>
        <w:t>pesimist</w:t>
      </w:r>
      <w:r w:rsidR="008A0E5B" w:rsidRPr="00050FA4">
        <w:rPr>
          <w:lang w:val="sq-AL"/>
        </w:rPr>
        <w:t>”</w:t>
      </w:r>
      <w:r w:rsidRPr="00050FA4">
        <w:rPr>
          <w:lang w:val="sq-AL"/>
        </w:rPr>
        <w:t xml:space="preserve">, i cili supozon një rritje ekonomike dukshëm më të ulët për çdo vit krahasuar me skenarin </w:t>
      </w:r>
      <w:r w:rsidR="008A0E5B" w:rsidRPr="00050FA4">
        <w:rPr>
          <w:lang w:val="sq-AL"/>
        </w:rPr>
        <w:t>“</w:t>
      </w:r>
      <w:r w:rsidRPr="00050FA4">
        <w:rPr>
          <w:lang w:val="sq-AL"/>
        </w:rPr>
        <w:t>bazë</w:t>
      </w:r>
      <w:r w:rsidR="008A0E5B" w:rsidRPr="00050FA4">
        <w:rPr>
          <w:lang w:val="sq-AL"/>
        </w:rPr>
        <w:t>”</w:t>
      </w:r>
      <w:r w:rsidRPr="00050FA4">
        <w:rPr>
          <w:lang w:val="sq-AL"/>
        </w:rPr>
        <w:t xml:space="preserve">, do të ishte e arsyeshme dhe e përshtatshme për të supozuar efikasitet më të ulët të mbledhjes së taksave për një numër të komponentëve kryesorë të taksave. Ndërsa, efektiviteti më i lartë i mbledhjes së taksave mund të pritet nëse do të ndodhë skenari makroekonomik </w:t>
      </w:r>
      <w:r w:rsidR="008A0E5B" w:rsidRPr="00050FA4">
        <w:rPr>
          <w:lang w:val="sq-AL"/>
        </w:rPr>
        <w:t>“</w:t>
      </w:r>
      <w:r w:rsidRPr="00050FA4">
        <w:rPr>
          <w:lang w:val="sq-AL"/>
        </w:rPr>
        <w:t>optimist</w:t>
      </w:r>
      <w:r w:rsidR="008A0E5B" w:rsidRPr="00050FA4">
        <w:rPr>
          <w:lang w:val="sq-AL"/>
        </w:rPr>
        <w:t>”</w:t>
      </w:r>
      <w:r w:rsidRPr="00050FA4">
        <w:rPr>
          <w:lang w:val="sq-AL"/>
        </w:rPr>
        <w:t xml:space="preserve">. Prandaj, për të llogaritur ndryshimet e mundshme në performancën e mbledhjes së të ardhurave nën secilin skenar alternativ, si dhe për të llogaritur </w:t>
      </w:r>
      <w:r w:rsidR="008A0E5B" w:rsidRPr="00050FA4">
        <w:rPr>
          <w:lang w:val="sq-AL"/>
        </w:rPr>
        <w:t>“</w:t>
      </w:r>
      <w:r w:rsidRPr="00050FA4">
        <w:rPr>
          <w:lang w:val="sq-AL"/>
        </w:rPr>
        <w:t>një efekt të përgjithshëm neto</w:t>
      </w:r>
      <w:r w:rsidR="008A0E5B" w:rsidRPr="00050FA4">
        <w:rPr>
          <w:lang w:val="sq-AL"/>
        </w:rPr>
        <w:t>”</w:t>
      </w:r>
      <w:r w:rsidRPr="00050FA4">
        <w:rPr>
          <w:lang w:val="sq-AL"/>
        </w:rPr>
        <w:t xml:space="preserve"> të stabilizuesve automatikë, në rastin e skenarit pesimist ne afektojmë </w:t>
      </w:r>
      <w:r w:rsidR="008A0E5B" w:rsidRPr="00050FA4">
        <w:rPr>
          <w:lang w:val="sq-AL"/>
        </w:rPr>
        <w:t>“</w:t>
      </w:r>
      <w:r w:rsidRPr="00050FA4">
        <w:rPr>
          <w:lang w:val="sq-AL"/>
        </w:rPr>
        <w:t xml:space="preserve">raportin e të ardhurave totale ndaj PBB-së </w:t>
      </w:r>
      <w:r w:rsidR="008A0E5B" w:rsidRPr="00050FA4">
        <w:rPr>
          <w:lang w:val="sq-AL"/>
        </w:rPr>
        <w:t>“</w:t>
      </w:r>
      <w:r w:rsidRPr="00050FA4">
        <w:rPr>
          <w:lang w:val="sq-AL"/>
        </w:rPr>
        <w:t>me një të tretën e goditjeve përkatëse (në p.p) të prezantuara në</w:t>
      </w:r>
      <w:r w:rsidR="00F778E2" w:rsidRPr="00050FA4">
        <w:rPr>
          <w:lang w:val="sq-AL"/>
        </w:rPr>
        <w:t xml:space="preserve"> “</w:t>
      </w:r>
      <w:r w:rsidRPr="00050FA4">
        <w:rPr>
          <w:lang w:val="sq-AL"/>
        </w:rPr>
        <w:t>rritjen reale</w:t>
      </w:r>
      <w:r w:rsidR="00F778E2" w:rsidRPr="00050FA4">
        <w:rPr>
          <w:lang w:val="sq-AL"/>
        </w:rPr>
        <w:t>”</w:t>
      </w:r>
      <w:r w:rsidRPr="00050FA4">
        <w:rPr>
          <w:lang w:val="sq-AL"/>
        </w:rPr>
        <w:t xml:space="preserve"> për çdo vit dhe në mënyrë asimetrike e afektojmë këtë variabël me një të dhjetën në rastin e skenarit </w:t>
      </w:r>
      <w:r w:rsidR="008A0E5B" w:rsidRPr="00050FA4">
        <w:rPr>
          <w:lang w:val="sq-AL"/>
        </w:rPr>
        <w:t>“</w:t>
      </w:r>
      <w:r w:rsidRPr="00050FA4">
        <w:rPr>
          <w:lang w:val="sq-AL"/>
        </w:rPr>
        <w:t>optimist</w:t>
      </w:r>
      <w:r w:rsidR="008A0E5B" w:rsidRPr="00050FA4">
        <w:rPr>
          <w:lang w:val="sq-AL"/>
        </w:rPr>
        <w:t>”</w:t>
      </w:r>
      <w:r w:rsidRPr="00050FA4">
        <w:rPr>
          <w:lang w:val="sq-AL"/>
        </w:rPr>
        <w:t>.</w:t>
      </w:r>
    </w:p>
    <w:p w14:paraId="27A6FC11" w14:textId="16CBE171" w:rsidR="00094A26" w:rsidRPr="00050FA4" w:rsidRDefault="00094A26" w:rsidP="003F1DA7">
      <w:pPr>
        <w:pStyle w:val="AAAAAAATEXXXX"/>
        <w:rPr>
          <w:lang w:val="sq-AL"/>
        </w:rPr>
      </w:pPr>
      <w:r w:rsidRPr="00050FA4">
        <w:rPr>
          <w:lang w:val="sq-AL"/>
        </w:rPr>
        <w:t xml:space="preserve">Ndërsa në secilin skenar alternativ mbajmë të njëjtin supozim të normave efektive të interesit si në skenarin bazë (të përcaktuara si shpenzime interesi në vitin </w:t>
      </w:r>
      <w:r w:rsidR="008A0E5B" w:rsidRPr="00050FA4">
        <w:rPr>
          <w:lang w:val="sq-AL"/>
        </w:rPr>
        <w:t>“</w:t>
      </w:r>
      <w:r w:rsidRPr="00050FA4">
        <w:rPr>
          <w:lang w:val="sq-AL"/>
        </w:rPr>
        <w:t>t</w:t>
      </w:r>
      <w:r w:rsidR="008A0E5B" w:rsidRPr="00050FA4">
        <w:rPr>
          <w:lang w:val="sq-AL"/>
        </w:rPr>
        <w:t>”</w:t>
      </w:r>
      <w:r w:rsidRPr="00050FA4">
        <w:rPr>
          <w:lang w:val="sq-AL"/>
        </w:rPr>
        <w:t xml:space="preserve">, të pjesëtuar me stokun e borxhit në vitin </w:t>
      </w:r>
      <w:r w:rsidR="008A0E5B" w:rsidRPr="00050FA4">
        <w:rPr>
          <w:lang w:val="sq-AL"/>
        </w:rPr>
        <w:t>“</w:t>
      </w:r>
      <w:r w:rsidRPr="00050FA4">
        <w:rPr>
          <w:lang w:val="sq-AL"/>
        </w:rPr>
        <w:t>t-1</w:t>
      </w:r>
      <w:r w:rsidR="008A0E5B" w:rsidRPr="00050FA4">
        <w:rPr>
          <w:lang w:val="sq-AL"/>
        </w:rPr>
        <w:t>”</w:t>
      </w:r>
      <w:r w:rsidRPr="00050FA4">
        <w:rPr>
          <w:lang w:val="sq-AL"/>
        </w:rPr>
        <w:t>), ne llogari</w:t>
      </w:r>
      <w:r w:rsidR="00460ADB" w:rsidRPr="00050FA4">
        <w:rPr>
          <w:lang w:val="sq-AL"/>
        </w:rPr>
        <w:t>t</w:t>
      </w:r>
      <w:r w:rsidRPr="00050FA4">
        <w:rPr>
          <w:lang w:val="sq-AL"/>
        </w:rPr>
        <w:t>im ndryshimet në nivelet e shpenzimeve të interesit</w:t>
      </w:r>
      <w:r w:rsidR="00F778E2" w:rsidRPr="00050FA4">
        <w:rPr>
          <w:lang w:val="sq-AL"/>
        </w:rPr>
        <w:t>,</w:t>
      </w:r>
      <w:r w:rsidRPr="00050FA4">
        <w:rPr>
          <w:lang w:val="sq-AL"/>
        </w:rPr>
        <w:t xml:space="preserve"> për shkak të huamarrjes më të lartë ose më të ulët sipas secilit skenar. Kursi i supozuar nominal i këmbimit mbetet</w:t>
      </w:r>
      <w:r w:rsidR="00F778E2" w:rsidRPr="00050FA4">
        <w:rPr>
          <w:lang w:val="sq-AL"/>
        </w:rPr>
        <w:t>,</w:t>
      </w:r>
      <w:r w:rsidRPr="00050FA4">
        <w:rPr>
          <w:lang w:val="sq-AL"/>
        </w:rPr>
        <w:t xml:space="preserve"> gjithashtu</w:t>
      </w:r>
      <w:r w:rsidR="00F778E2" w:rsidRPr="00050FA4">
        <w:rPr>
          <w:lang w:val="sq-AL"/>
        </w:rPr>
        <w:t>,</w:t>
      </w:r>
      <w:r w:rsidRPr="00050FA4">
        <w:rPr>
          <w:lang w:val="sq-AL"/>
        </w:rPr>
        <w:t xml:space="preserve"> identik në të gjithë skenarët. Duhet të theksohet se materializuar në buxhetin e çdo viti ekziston</w:t>
      </w:r>
      <w:r w:rsidR="00F778E2" w:rsidRPr="00050FA4">
        <w:rPr>
          <w:lang w:val="sq-AL"/>
        </w:rPr>
        <w:t>,</w:t>
      </w:r>
      <w:r w:rsidRPr="00050FA4">
        <w:rPr>
          <w:lang w:val="sq-AL"/>
        </w:rPr>
        <w:t xml:space="preserve"> gjithashtu</w:t>
      </w:r>
      <w:r w:rsidR="00F778E2" w:rsidRPr="00050FA4">
        <w:rPr>
          <w:lang w:val="sq-AL"/>
        </w:rPr>
        <w:t>,</w:t>
      </w:r>
      <w:r w:rsidRPr="00050FA4">
        <w:rPr>
          <w:lang w:val="sq-AL"/>
        </w:rPr>
        <w:t xml:space="preserve"> një kontigjencë (ligjërisht i detyrueshëm sipas përcaktimeve në LOB) me rreth 0.3 për</w:t>
      </w:r>
      <w:r w:rsidR="00CE48C5" w:rsidRPr="00050FA4">
        <w:rPr>
          <w:lang w:val="sq-AL"/>
        </w:rPr>
        <w:t xml:space="preserve"> </w:t>
      </w:r>
      <w:r w:rsidRPr="00050FA4">
        <w:rPr>
          <w:lang w:val="sq-AL"/>
        </w:rPr>
        <w:t>qind të PBB-së që do të mbulonte çdo shpenzim më të lartë interesi</w:t>
      </w:r>
      <w:r w:rsidR="00F778E2" w:rsidRPr="00050FA4">
        <w:rPr>
          <w:lang w:val="sq-AL"/>
        </w:rPr>
        <w:t>,</w:t>
      </w:r>
      <w:r w:rsidRPr="00050FA4">
        <w:rPr>
          <w:lang w:val="sq-AL"/>
        </w:rPr>
        <w:t xml:space="preserve"> për shkak të ndonjë rritje</w:t>
      </w:r>
      <w:r w:rsidR="0088601E" w:rsidRPr="00050FA4">
        <w:rPr>
          <w:lang w:val="sq-AL"/>
        </w:rPr>
        <w:t>je</w:t>
      </w:r>
      <w:r w:rsidRPr="00050FA4">
        <w:rPr>
          <w:lang w:val="sq-AL"/>
        </w:rPr>
        <w:t xml:space="preserve"> në normat e interesit ose zhvlerësimit të kursit të këmbimit.</w:t>
      </w:r>
    </w:p>
    <w:p w14:paraId="26A9785C" w14:textId="28CAA58E" w:rsidR="00094A26" w:rsidRPr="00050FA4" w:rsidRDefault="00094A26" w:rsidP="003F1DA7">
      <w:pPr>
        <w:pStyle w:val="AAAAAAATEXXXX"/>
        <w:rPr>
          <w:lang w:val="sq-AL"/>
        </w:rPr>
      </w:pPr>
      <w:r w:rsidRPr="00050FA4">
        <w:rPr>
          <w:lang w:val="sq-AL"/>
        </w:rPr>
        <w:t>Pajtueshmëria me rregullat fiskale në LOB dhe</w:t>
      </w:r>
      <w:r w:rsidR="0088601E" w:rsidRPr="00050FA4">
        <w:rPr>
          <w:lang w:val="sq-AL"/>
        </w:rPr>
        <w:t>,</w:t>
      </w:r>
      <w:r w:rsidRPr="00050FA4">
        <w:rPr>
          <w:lang w:val="sq-AL"/>
        </w:rPr>
        <w:t xml:space="preserve"> rrjedhimisht</w:t>
      </w:r>
      <w:r w:rsidR="0088601E" w:rsidRPr="00050FA4">
        <w:rPr>
          <w:lang w:val="sq-AL"/>
        </w:rPr>
        <w:t>,</w:t>
      </w:r>
      <w:r w:rsidRPr="00050FA4">
        <w:rPr>
          <w:lang w:val="sq-AL"/>
        </w:rPr>
        <w:t xml:space="preserve"> politika fiskale e përgjithshme konsoliduese ruhet në çdo skenar makroekonomik. Sidoqoftë, objektivi sasior i deficitit fiskal vjetor ndryshon në secilin skenar, duke reflektuar kryesisht një përgjigje kundërciklike ndaj dinamikave të ndryshme të supozuara të ciklit ekonomik, sa herë që është e mundur në përputhje me rregullat fiskale. Më </w:t>
      </w:r>
      <w:r w:rsidRPr="00050FA4">
        <w:rPr>
          <w:lang w:val="sq-AL"/>
        </w:rPr>
        <w:lastRenderedPageBreak/>
        <w:t xml:space="preserve">konkretisht, parashikohet një zbutje e objektivit të deficitit fiskal në rastin e skenarit </w:t>
      </w:r>
      <w:r w:rsidR="008A0E5B" w:rsidRPr="00050FA4">
        <w:rPr>
          <w:lang w:val="sq-AL"/>
        </w:rPr>
        <w:t>“</w:t>
      </w:r>
      <w:r w:rsidRPr="00050FA4">
        <w:rPr>
          <w:lang w:val="sq-AL"/>
        </w:rPr>
        <w:t>pesimist</w:t>
      </w:r>
      <w:r w:rsidR="008A0E5B" w:rsidRPr="00050FA4">
        <w:rPr>
          <w:lang w:val="sq-AL"/>
        </w:rPr>
        <w:t>”</w:t>
      </w:r>
      <w:r w:rsidRPr="00050FA4">
        <w:rPr>
          <w:lang w:val="sq-AL"/>
        </w:rPr>
        <w:t xml:space="preserve"> dhe një konsolidim fiskal më i fortë në rastin e skenarit </w:t>
      </w:r>
      <w:r w:rsidR="008A0E5B" w:rsidRPr="00050FA4">
        <w:rPr>
          <w:lang w:val="sq-AL"/>
        </w:rPr>
        <w:t>“</w:t>
      </w:r>
      <w:r w:rsidRPr="00050FA4">
        <w:rPr>
          <w:lang w:val="sq-AL"/>
        </w:rPr>
        <w:t>optimist</w:t>
      </w:r>
      <w:r w:rsidR="008A0E5B" w:rsidRPr="00050FA4">
        <w:rPr>
          <w:lang w:val="sq-AL"/>
        </w:rPr>
        <w:t>”</w:t>
      </w:r>
      <w:r w:rsidRPr="00050FA4">
        <w:rPr>
          <w:lang w:val="sq-AL"/>
        </w:rPr>
        <w:t>.</w:t>
      </w:r>
    </w:p>
    <w:p w14:paraId="66BD409B" w14:textId="07EFDA54" w:rsidR="00094A26" w:rsidRPr="00050FA4" w:rsidRDefault="00094A26" w:rsidP="003F1DA7">
      <w:pPr>
        <w:pStyle w:val="AAAAAAATEXXXX"/>
        <w:rPr>
          <w:color w:val="0D0D0D" w:themeColor="text1" w:themeTint="F2"/>
          <w:lang w:val="sq-AL"/>
        </w:rPr>
      </w:pPr>
      <w:r w:rsidRPr="00050FA4">
        <w:rPr>
          <w:lang w:val="sq-AL"/>
        </w:rPr>
        <w:t xml:space="preserve">Në skenarin </w:t>
      </w:r>
      <w:r w:rsidR="008A0E5B" w:rsidRPr="00050FA4">
        <w:rPr>
          <w:lang w:val="sq-AL"/>
        </w:rPr>
        <w:t>“</w:t>
      </w:r>
      <w:r w:rsidRPr="00050FA4">
        <w:rPr>
          <w:lang w:val="sq-AL"/>
        </w:rPr>
        <w:t>pesimist</w:t>
      </w:r>
      <w:r w:rsidR="008A0E5B" w:rsidRPr="00050FA4">
        <w:rPr>
          <w:lang w:val="sq-AL"/>
        </w:rPr>
        <w:t>”</w:t>
      </w:r>
      <w:r w:rsidRPr="00050FA4">
        <w:rPr>
          <w:lang w:val="sq-AL"/>
        </w:rPr>
        <w:t xml:space="preserve">, zbutja e politikës fiskale, krahasuar me skenarin </w:t>
      </w:r>
      <w:r w:rsidR="008A0E5B" w:rsidRPr="00050FA4">
        <w:rPr>
          <w:lang w:val="sq-AL"/>
        </w:rPr>
        <w:t>“</w:t>
      </w:r>
      <w:r w:rsidRPr="00050FA4">
        <w:rPr>
          <w:lang w:val="sq-AL"/>
        </w:rPr>
        <w:t>bazë</w:t>
      </w:r>
      <w:r w:rsidR="008A0E5B" w:rsidRPr="00050FA4">
        <w:rPr>
          <w:lang w:val="sq-AL"/>
        </w:rPr>
        <w:t>”</w:t>
      </w:r>
      <w:r w:rsidRPr="00050FA4">
        <w:rPr>
          <w:lang w:val="sq-AL"/>
        </w:rPr>
        <w:t>, do të materializohej deri në masën që të gjithë parametrat kryesorë të financave publike (p.sh. raporti i borxhit ndaj PBB-së, bilanci primar</w:t>
      </w:r>
      <w:r w:rsidRPr="00050FA4">
        <w:rPr>
          <w:color w:val="0D0D0D" w:themeColor="text1" w:themeTint="F2"/>
          <w:lang w:val="sq-AL"/>
        </w:rPr>
        <w:t xml:space="preserve"> dhe bilanci aktual) do të mbeten në të njëjtën kohë</w:t>
      </w:r>
      <w:r w:rsidR="00CB0C60" w:rsidRPr="00050FA4">
        <w:rPr>
          <w:color w:val="0D0D0D" w:themeColor="text1" w:themeTint="F2"/>
          <w:lang w:val="sq-AL"/>
        </w:rPr>
        <w:t>,</w:t>
      </w:r>
      <w:r w:rsidRPr="00050FA4">
        <w:rPr>
          <w:color w:val="0D0D0D" w:themeColor="text1" w:themeTint="F2"/>
          <w:lang w:val="sq-AL"/>
        </w:rPr>
        <w:t xml:space="preserve"> në përputhje me të gjitha rregullat përkatëse fiskale të përcaktuara në </w:t>
      </w:r>
      <w:r w:rsidR="00CE48C5" w:rsidRPr="00050FA4">
        <w:rPr>
          <w:color w:val="0D0D0D" w:themeColor="text1" w:themeTint="F2"/>
          <w:lang w:val="sq-AL"/>
        </w:rPr>
        <w:t>ligjin organik të buxhetit</w:t>
      </w:r>
      <w:r w:rsidRPr="00050FA4">
        <w:rPr>
          <w:color w:val="0D0D0D" w:themeColor="text1" w:themeTint="F2"/>
          <w:lang w:val="sq-AL"/>
        </w:rPr>
        <w:t xml:space="preserve">. Rregullimet (masat) e nevojshme të shpenzimeve për të siguruar pajtueshmërinë me rregullat fiskale sipas skenarit </w:t>
      </w:r>
      <w:r w:rsidR="008A0E5B" w:rsidRPr="00050FA4">
        <w:rPr>
          <w:color w:val="0D0D0D" w:themeColor="text1" w:themeTint="F2"/>
          <w:lang w:val="sq-AL"/>
        </w:rPr>
        <w:t>“</w:t>
      </w:r>
      <w:r w:rsidRPr="00050FA4">
        <w:rPr>
          <w:color w:val="0D0D0D" w:themeColor="text1" w:themeTint="F2"/>
          <w:lang w:val="sq-AL"/>
        </w:rPr>
        <w:t>pesimist</w:t>
      </w:r>
      <w:r w:rsidR="008A0E5B" w:rsidRPr="00050FA4">
        <w:rPr>
          <w:color w:val="0D0D0D" w:themeColor="text1" w:themeTint="F2"/>
          <w:lang w:val="sq-AL"/>
        </w:rPr>
        <w:t>”</w:t>
      </w:r>
      <w:r w:rsidRPr="00050FA4">
        <w:rPr>
          <w:color w:val="0D0D0D" w:themeColor="text1" w:themeTint="F2"/>
          <w:lang w:val="sq-AL"/>
        </w:rPr>
        <w:t xml:space="preserve"> kryhet në </w:t>
      </w:r>
      <w:r w:rsidR="008A0E5B" w:rsidRPr="00050FA4">
        <w:rPr>
          <w:color w:val="0D0D0D" w:themeColor="text1" w:themeTint="F2"/>
          <w:lang w:val="sq-AL"/>
        </w:rPr>
        <w:t>“</w:t>
      </w:r>
      <w:r w:rsidRPr="00050FA4">
        <w:rPr>
          <w:color w:val="0D0D0D" w:themeColor="text1" w:themeTint="F2"/>
          <w:lang w:val="sq-AL"/>
        </w:rPr>
        <w:t>shpenzimet e kapitalit me financim të brendshëm</w:t>
      </w:r>
      <w:r w:rsidR="008A0E5B" w:rsidRPr="00050FA4">
        <w:rPr>
          <w:color w:val="0D0D0D" w:themeColor="text1" w:themeTint="F2"/>
          <w:lang w:val="sq-AL"/>
        </w:rPr>
        <w:t>”</w:t>
      </w:r>
      <w:r w:rsidR="00CB0C60" w:rsidRPr="00050FA4">
        <w:rPr>
          <w:color w:val="0D0D0D" w:themeColor="text1" w:themeTint="F2"/>
          <w:lang w:val="sq-AL"/>
        </w:rPr>
        <w:t>,</w:t>
      </w:r>
      <w:r w:rsidRPr="00050FA4">
        <w:rPr>
          <w:color w:val="0D0D0D" w:themeColor="text1" w:themeTint="F2"/>
          <w:lang w:val="sq-AL"/>
        </w:rPr>
        <w:t xml:space="preserve"> si dhe në </w:t>
      </w:r>
      <w:r w:rsidR="008A0E5B" w:rsidRPr="00050FA4">
        <w:rPr>
          <w:color w:val="0D0D0D" w:themeColor="text1" w:themeTint="F2"/>
          <w:lang w:val="sq-AL"/>
        </w:rPr>
        <w:t>“</w:t>
      </w:r>
      <w:r w:rsidRPr="00050FA4">
        <w:rPr>
          <w:color w:val="0D0D0D" w:themeColor="text1" w:themeTint="F2"/>
          <w:lang w:val="sq-AL"/>
        </w:rPr>
        <w:t>shpenzimet operacionale dhe të mirëmbajtjes</w:t>
      </w:r>
      <w:r w:rsidR="008A0E5B" w:rsidRPr="00050FA4">
        <w:rPr>
          <w:color w:val="0D0D0D" w:themeColor="text1" w:themeTint="F2"/>
          <w:lang w:val="sq-AL"/>
        </w:rPr>
        <w:t>”</w:t>
      </w:r>
      <w:r w:rsidRPr="00050FA4">
        <w:rPr>
          <w:color w:val="0D0D0D" w:themeColor="text1" w:themeTint="F2"/>
          <w:lang w:val="sq-AL"/>
        </w:rPr>
        <w:t>. Më konkretisht, ulja mesatare vjetore e shpenzimeve kapitale gjatë viteve 2022</w:t>
      </w:r>
      <w:r w:rsidR="00CB0C60" w:rsidRPr="00050FA4">
        <w:rPr>
          <w:color w:val="0D0D0D" w:themeColor="text1" w:themeTint="F2"/>
          <w:lang w:val="sq-AL"/>
        </w:rPr>
        <w:t>–</w:t>
      </w:r>
      <w:r w:rsidRPr="00050FA4">
        <w:rPr>
          <w:color w:val="0D0D0D" w:themeColor="text1" w:themeTint="F2"/>
          <w:lang w:val="sq-AL"/>
        </w:rPr>
        <w:t>2026</w:t>
      </w:r>
      <w:r w:rsidR="00CB0C60" w:rsidRPr="00050FA4">
        <w:rPr>
          <w:color w:val="0D0D0D" w:themeColor="text1" w:themeTint="F2"/>
          <w:lang w:val="sq-AL"/>
        </w:rPr>
        <w:t>,</w:t>
      </w:r>
      <w:r w:rsidRPr="00050FA4">
        <w:rPr>
          <w:color w:val="0D0D0D" w:themeColor="text1" w:themeTint="F2"/>
          <w:lang w:val="sq-AL"/>
        </w:rPr>
        <w:t xml:space="preserve"> sipas skenarit </w:t>
      </w:r>
      <w:r w:rsidR="008A0E5B" w:rsidRPr="00050FA4">
        <w:rPr>
          <w:color w:val="0D0D0D" w:themeColor="text1" w:themeTint="F2"/>
          <w:lang w:val="sq-AL"/>
        </w:rPr>
        <w:t>“</w:t>
      </w:r>
      <w:r w:rsidRPr="00050FA4">
        <w:rPr>
          <w:color w:val="0D0D0D" w:themeColor="text1" w:themeTint="F2"/>
          <w:lang w:val="sq-AL"/>
        </w:rPr>
        <w:t>pesimist</w:t>
      </w:r>
      <w:r w:rsidR="008A0E5B" w:rsidRPr="00050FA4">
        <w:rPr>
          <w:color w:val="0D0D0D" w:themeColor="text1" w:themeTint="F2"/>
          <w:lang w:val="sq-AL"/>
        </w:rPr>
        <w:t>”</w:t>
      </w:r>
      <w:r w:rsidRPr="00050FA4">
        <w:rPr>
          <w:color w:val="0D0D0D" w:themeColor="text1" w:themeTint="F2"/>
          <w:lang w:val="sq-AL"/>
        </w:rPr>
        <w:t xml:space="preserve"> kundrejt </w:t>
      </w:r>
      <w:r w:rsidR="008A0E5B" w:rsidRPr="00050FA4">
        <w:rPr>
          <w:color w:val="0D0D0D" w:themeColor="text1" w:themeTint="F2"/>
          <w:lang w:val="sq-AL"/>
        </w:rPr>
        <w:t>“</w:t>
      </w:r>
      <w:r w:rsidRPr="00050FA4">
        <w:rPr>
          <w:color w:val="0D0D0D" w:themeColor="text1" w:themeTint="F2"/>
          <w:lang w:val="sq-AL"/>
        </w:rPr>
        <w:t>bazës</w:t>
      </w:r>
      <w:r w:rsidR="008A0E5B" w:rsidRPr="00050FA4">
        <w:rPr>
          <w:color w:val="0D0D0D" w:themeColor="text1" w:themeTint="F2"/>
          <w:lang w:val="sq-AL"/>
        </w:rPr>
        <w:t>”</w:t>
      </w:r>
      <w:r w:rsidRPr="00050FA4">
        <w:rPr>
          <w:color w:val="0D0D0D" w:themeColor="text1" w:themeTint="F2"/>
          <w:lang w:val="sq-AL"/>
        </w:rPr>
        <w:t xml:space="preserve"> është 26.3 miliardë lekë ose 1 për</w:t>
      </w:r>
      <w:r w:rsidR="001C0FC0" w:rsidRPr="00050FA4">
        <w:rPr>
          <w:color w:val="0D0D0D" w:themeColor="text1" w:themeTint="F2"/>
          <w:lang w:val="sq-AL"/>
        </w:rPr>
        <w:t xml:space="preserve"> </w:t>
      </w:r>
      <w:r w:rsidRPr="00050FA4">
        <w:rPr>
          <w:color w:val="0D0D0D" w:themeColor="text1" w:themeTint="F2"/>
          <w:lang w:val="sq-AL"/>
        </w:rPr>
        <w:t xml:space="preserve">qind e PBB-së mesatarisht për çdo vit. Nën skenarin </w:t>
      </w:r>
      <w:r w:rsidR="008A0E5B" w:rsidRPr="00050FA4">
        <w:rPr>
          <w:color w:val="0D0D0D" w:themeColor="text1" w:themeTint="F2"/>
          <w:lang w:val="sq-AL"/>
        </w:rPr>
        <w:t>“</w:t>
      </w:r>
      <w:r w:rsidRPr="00050FA4">
        <w:rPr>
          <w:color w:val="0D0D0D" w:themeColor="text1" w:themeTint="F2"/>
          <w:lang w:val="sq-AL"/>
        </w:rPr>
        <w:t>pesimist</w:t>
      </w:r>
      <w:r w:rsidR="008A0E5B" w:rsidRPr="00050FA4">
        <w:rPr>
          <w:color w:val="0D0D0D" w:themeColor="text1" w:themeTint="F2"/>
          <w:lang w:val="sq-AL"/>
        </w:rPr>
        <w:t>”</w:t>
      </w:r>
      <w:r w:rsidRPr="00050FA4">
        <w:rPr>
          <w:color w:val="0D0D0D" w:themeColor="text1" w:themeTint="F2"/>
          <w:lang w:val="sq-AL"/>
        </w:rPr>
        <w:t>, niveli mesatar vjetor i totalit të shpenzimeve kapitale gjatë 2022</w:t>
      </w:r>
      <w:r w:rsidR="00CB0C60" w:rsidRPr="00050FA4">
        <w:rPr>
          <w:color w:val="0D0D0D" w:themeColor="text1" w:themeTint="F2"/>
          <w:lang w:val="sq-AL"/>
        </w:rPr>
        <w:t>–</w:t>
      </w:r>
      <w:r w:rsidRPr="00050FA4">
        <w:rPr>
          <w:color w:val="0D0D0D" w:themeColor="text1" w:themeTint="F2"/>
          <w:lang w:val="sq-AL"/>
        </w:rPr>
        <w:t>2026 bie në 4.5 për</w:t>
      </w:r>
      <w:r w:rsidR="001C0FC0" w:rsidRPr="00050FA4">
        <w:rPr>
          <w:color w:val="0D0D0D" w:themeColor="text1" w:themeTint="F2"/>
          <w:lang w:val="sq-AL"/>
        </w:rPr>
        <w:t xml:space="preserve"> </w:t>
      </w:r>
      <w:r w:rsidRPr="00050FA4">
        <w:rPr>
          <w:color w:val="0D0D0D" w:themeColor="text1" w:themeTint="F2"/>
          <w:lang w:val="sq-AL"/>
        </w:rPr>
        <w:t>qind të PBB-së nga 5.5 për</w:t>
      </w:r>
      <w:r w:rsidR="001C0FC0" w:rsidRPr="00050FA4">
        <w:rPr>
          <w:color w:val="0D0D0D" w:themeColor="text1" w:themeTint="F2"/>
          <w:lang w:val="sq-AL"/>
        </w:rPr>
        <w:t xml:space="preserve"> </w:t>
      </w:r>
      <w:r w:rsidRPr="00050FA4">
        <w:rPr>
          <w:color w:val="0D0D0D" w:themeColor="text1" w:themeTint="F2"/>
          <w:lang w:val="sq-AL"/>
        </w:rPr>
        <w:t xml:space="preserve">qind e PBB-së së planifikuar në skenarin </w:t>
      </w:r>
      <w:r w:rsidR="008A0E5B" w:rsidRPr="00050FA4">
        <w:rPr>
          <w:color w:val="0D0D0D" w:themeColor="text1" w:themeTint="F2"/>
          <w:lang w:val="sq-AL"/>
        </w:rPr>
        <w:t>“</w:t>
      </w:r>
      <w:r w:rsidRPr="00050FA4">
        <w:rPr>
          <w:color w:val="0D0D0D" w:themeColor="text1" w:themeTint="F2"/>
          <w:lang w:val="sq-AL"/>
        </w:rPr>
        <w:t>bazë</w:t>
      </w:r>
      <w:r w:rsidR="008A0E5B" w:rsidRPr="00050FA4">
        <w:rPr>
          <w:color w:val="0D0D0D" w:themeColor="text1" w:themeTint="F2"/>
          <w:lang w:val="sq-AL"/>
        </w:rPr>
        <w:t>”</w:t>
      </w:r>
      <w:r w:rsidRPr="00050FA4">
        <w:rPr>
          <w:color w:val="0D0D0D" w:themeColor="text1" w:themeTint="F2"/>
          <w:lang w:val="sq-AL"/>
        </w:rPr>
        <w:t>. Shpenzimet operacionale dhe të mirëmbajtjes gjatë viteve 2022</w:t>
      </w:r>
      <w:r w:rsidR="00CB0C60" w:rsidRPr="00050FA4">
        <w:rPr>
          <w:color w:val="0D0D0D" w:themeColor="text1" w:themeTint="F2"/>
          <w:lang w:val="sq-AL"/>
        </w:rPr>
        <w:t>–‘</w:t>
      </w:r>
      <w:r w:rsidRPr="00050FA4">
        <w:rPr>
          <w:color w:val="0D0D0D" w:themeColor="text1" w:themeTint="F2"/>
          <w:lang w:val="sq-AL"/>
        </w:rPr>
        <w:t>26 zvogëlohen me një mesatare prej 12.2 miliardë lekësh në vit krahasuar me skenarin bazë, ose mesatarisht me 0.5 për</w:t>
      </w:r>
      <w:r w:rsidR="001C0FC0" w:rsidRPr="00050FA4">
        <w:rPr>
          <w:color w:val="0D0D0D" w:themeColor="text1" w:themeTint="F2"/>
          <w:lang w:val="sq-AL"/>
        </w:rPr>
        <w:t xml:space="preserve"> </w:t>
      </w:r>
      <w:r w:rsidRPr="00050FA4">
        <w:rPr>
          <w:color w:val="0D0D0D" w:themeColor="text1" w:themeTint="F2"/>
          <w:lang w:val="sq-AL"/>
        </w:rPr>
        <w:t>qind të PBB-së në vit.</w:t>
      </w:r>
    </w:p>
    <w:p w14:paraId="7A526A0B" w14:textId="06D8FAD5" w:rsidR="00094A26" w:rsidRPr="00050FA4" w:rsidRDefault="00094A26" w:rsidP="003F1DA7">
      <w:pPr>
        <w:pStyle w:val="AAAAAAATEXXXX"/>
        <w:rPr>
          <w:color w:val="0D0D0D" w:themeColor="text1" w:themeTint="F2"/>
          <w:lang w:val="sq-AL"/>
        </w:rPr>
      </w:pPr>
      <w:r w:rsidRPr="00050FA4">
        <w:rPr>
          <w:color w:val="0D0D0D" w:themeColor="text1" w:themeTint="F2"/>
          <w:lang w:val="sq-AL"/>
        </w:rPr>
        <w:t xml:space="preserve">Në skenarin </w:t>
      </w:r>
      <w:r w:rsidR="008A0E5B" w:rsidRPr="00050FA4">
        <w:rPr>
          <w:color w:val="0D0D0D" w:themeColor="text1" w:themeTint="F2"/>
          <w:lang w:val="sq-AL"/>
        </w:rPr>
        <w:t>“</w:t>
      </w:r>
      <w:r w:rsidRPr="00050FA4">
        <w:rPr>
          <w:color w:val="0D0D0D" w:themeColor="text1" w:themeTint="F2"/>
          <w:lang w:val="sq-AL"/>
        </w:rPr>
        <w:t>optimist</w:t>
      </w:r>
      <w:r w:rsidR="008A0E5B" w:rsidRPr="00050FA4">
        <w:rPr>
          <w:color w:val="0D0D0D" w:themeColor="text1" w:themeTint="F2"/>
          <w:lang w:val="sq-AL"/>
        </w:rPr>
        <w:t>”</w:t>
      </w:r>
      <w:r w:rsidRPr="00050FA4">
        <w:rPr>
          <w:color w:val="0D0D0D" w:themeColor="text1" w:themeTint="F2"/>
          <w:lang w:val="sq-AL"/>
        </w:rPr>
        <w:t xml:space="preserve"> të gjithë zërat diskrecional</w:t>
      </w:r>
      <w:r w:rsidR="00A7354F" w:rsidRPr="00050FA4">
        <w:rPr>
          <w:color w:val="0D0D0D" w:themeColor="text1" w:themeTint="F2"/>
          <w:lang w:val="sq-AL"/>
        </w:rPr>
        <w:t>ë</w:t>
      </w:r>
      <w:r w:rsidRPr="00050FA4">
        <w:rPr>
          <w:color w:val="0D0D0D" w:themeColor="text1" w:themeTint="F2"/>
          <w:lang w:val="sq-AL"/>
        </w:rPr>
        <w:t xml:space="preserve"> të shpenzimeve në terma nominalë supozohen identikë si në skenarin </w:t>
      </w:r>
      <w:r w:rsidR="008A0E5B" w:rsidRPr="00050FA4">
        <w:rPr>
          <w:color w:val="0D0D0D" w:themeColor="text1" w:themeTint="F2"/>
          <w:lang w:val="sq-AL"/>
        </w:rPr>
        <w:t>“</w:t>
      </w:r>
      <w:r w:rsidRPr="00050FA4">
        <w:rPr>
          <w:color w:val="0D0D0D" w:themeColor="text1" w:themeTint="F2"/>
          <w:lang w:val="sq-AL"/>
        </w:rPr>
        <w:t>bazë</w:t>
      </w:r>
      <w:r w:rsidR="008A0E5B" w:rsidRPr="00050FA4">
        <w:rPr>
          <w:color w:val="0D0D0D" w:themeColor="text1" w:themeTint="F2"/>
          <w:lang w:val="sq-AL"/>
        </w:rPr>
        <w:t>”</w:t>
      </w:r>
      <w:r w:rsidRPr="00050FA4">
        <w:rPr>
          <w:color w:val="0D0D0D" w:themeColor="text1" w:themeTint="F2"/>
          <w:lang w:val="sq-AL"/>
        </w:rPr>
        <w:t xml:space="preserve"> dhe të gjitha të ardhurat e papritura reflektohen si një bilanc i përgjithshëm fiskal më i lartë (d.m.th. deficit më i ulët) për çdo vit, krahasuar me skenarin </w:t>
      </w:r>
      <w:r w:rsidR="008A0E5B" w:rsidRPr="00050FA4">
        <w:rPr>
          <w:color w:val="0D0D0D" w:themeColor="text1" w:themeTint="F2"/>
          <w:lang w:val="sq-AL"/>
        </w:rPr>
        <w:t>“</w:t>
      </w:r>
      <w:r w:rsidRPr="00050FA4">
        <w:rPr>
          <w:color w:val="0D0D0D" w:themeColor="text1" w:themeTint="F2"/>
          <w:lang w:val="sq-AL"/>
        </w:rPr>
        <w:t>bazë</w:t>
      </w:r>
      <w:r w:rsidR="008A0E5B" w:rsidRPr="00050FA4">
        <w:rPr>
          <w:color w:val="0D0D0D" w:themeColor="text1" w:themeTint="F2"/>
          <w:lang w:val="sq-AL"/>
        </w:rPr>
        <w:t>”</w:t>
      </w:r>
      <w:r w:rsidRPr="00050FA4">
        <w:rPr>
          <w:color w:val="0D0D0D" w:themeColor="text1" w:themeTint="F2"/>
          <w:lang w:val="sq-AL"/>
        </w:rPr>
        <w:t>.</w:t>
      </w:r>
    </w:p>
    <w:p w14:paraId="14CB60A9" w14:textId="17977A0C" w:rsidR="00094A26" w:rsidRPr="00050FA4" w:rsidRDefault="00094A26" w:rsidP="003F1DA7">
      <w:pPr>
        <w:pStyle w:val="AAAAAAATEXXXX"/>
        <w:rPr>
          <w:color w:val="0D0D0D" w:themeColor="text1" w:themeTint="F2"/>
          <w:lang w:val="sq-AL"/>
        </w:rPr>
      </w:pPr>
      <w:r w:rsidRPr="00050FA4">
        <w:rPr>
          <w:color w:val="0D0D0D" w:themeColor="text1" w:themeTint="F2"/>
          <w:lang w:val="sq-AL"/>
        </w:rPr>
        <w:t>Në mënyrë që të shërbejë në mënyrë adekuate të gjitha nevojat e shërbimit të buxhetit dhe borxhit (d</w:t>
      </w:r>
      <w:r w:rsidR="001C0FC0" w:rsidRPr="00050FA4">
        <w:rPr>
          <w:color w:val="0D0D0D" w:themeColor="text1" w:themeTint="F2"/>
          <w:lang w:val="sq-AL"/>
        </w:rPr>
        <w:t>.</w:t>
      </w:r>
      <w:r w:rsidRPr="00050FA4">
        <w:rPr>
          <w:color w:val="0D0D0D" w:themeColor="text1" w:themeTint="F2"/>
          <w:lang w:val="sq-AL"/>
        </w:rPr>
        <w:t>m</w:t>
      </w:r>
      <w:r w:rsidR="001C0FC0" w:rsidRPr="00050FA4">
        <w:rPr>
          <w:color w:val="0D0D0D" w:themeColor="text1" w:themeTint="F2"/>
          <w:lang w:val="sq-AL"/>
        </w:rPr>
        <w:t>.</w:t>
      </w:r>
      <w:r w:rsidRPr="00050FA4">
        <w:rPr>
          <w:color w:val="0D0D0D" w:themeColor="text1" w:themeTint="F2"/>
          <w:lang w:val="sq-AL"/>
        </w:rPr>
        <w:t>th. nevojat e financimit) gjatë horizontit kohor prej pesë vjetësh (përfshirë 2026), tr</w:t>
      </w:r>
      <w:r w:rsidR="00A7354F" w:rsidRPr="00050FA4">
        <w:rPr>
          <w:color w:val="0D0D0D" w:themeColor="text1" w:themeTint="F2"/>
          <w:lang w:val="sq-AL"/>
        </w:rPr>
        <w:t>i</w:t>
      </w:r>
      <w:r w:rsidRPr="00050FA4">
        <w:rPr>
          <w:color w:val="0D0D0D" w:themeColor="text1" w:themeTint="F2"/>
          <w:lang w:val="sq-AL"/>
        </w:rPr>
        <w:t xml:space="preserve"> zëra financimi, përkatësisht </w:t>
      </w:r>
      <w:r w:rsidR="008A0E5B" w:rsidRPr="00050FA4">
        <w:rPr>
          <w:color w:val="0D0D0D" w:themeColor="text1" w:themeTint="F2"/>
          <w:lang w:val="sq-AL"/>
        </w:rPr>
        <w:t>“</w:t>
      </w:r>
      <w:r w:rsidRPr="00050FA4">
        <w:rPr>
          <w:color w:val="0D0D0D" w:themeColor="text1" w:themeTint="F2"/>
          <w:lang w:val="sq-AL"/>
        </w:rPr>
        <w:t>huamarrja e brendshme neto</w:t>
      </w:r>
      <w:r w:rsidR="008A0E5B" w:rsidRPr="00050FA4">
        <w:rPr>
          <w:color w:val="0D0D0D" w:themeColor="text1" w:themeTint="F2"/>
          <w:lang w:val="sq-AL"/>
        </w:rPr>
        <w:t>”</w:t>
      </w:r>
      <w:r w:rsidRPr="00050FA4">
        <w:rPr>
          <w:color w:val="0D0D0D" w:themeColor="text1" w:themeTint="F2"/>
          <w:lang w:val="sq-AL"/>
        </w:rPr>
        <w:t xml:space="preserve">, </w:t>
      </w:r>
      <w:r w:rsidR="008A0E5B" w:rsidRPr="00050FA4">
        <w:rPr>
          <w:color w:val="0D0D0D" w:themeColor="text1" w:themeTint="F2"/>
          <w:lang w:val="sq-AL"/>
        </w:rPr>
        <w:t>“</w:t>
      </w:r>
      <w:r w:rsidRPr="00050FA4">
        <w:rPr>
          <w:color w:val="0D0D0D" w:themeColor="text1" w:themeTint="F2"/>
          <w:lang w:val="sq-AL"/>
        </w:rPr>
        <w:t>ndryshimi i stokut të likuiditetit në TSA</w:t>
      </w:r>
      <w:r w:rsidR="008A0E5B" w:rsidRPr="00050FA4">
        <w:rPr>
          <w:color w:val="0D0D0D" w:themeColor="text1" w:themeTint="F2"/>
          <w:lang w:val="sq-AL"/>
        </w:rPr>
        <w:t>”</w:t>
      </w:r>
      <w:r w:rsidRPr="00050FA4">
        <w:rPr>
          <w:color w:val="0D0D0D" w:themeColor="text1" w:themeTint="F2"/>
          <w:lang w:val="sq-AL"/>
        </w:rPr>
        <w:t xml:space="preserve"> dhe </w:t>
      </w:r>
      <w:r w:rsidR="008A0E5B" w:rsidRPr="00050FA4">
        <w:rPr>
          <w:color w:val="0D0D0D" w:themeColor="text1" w:themeTint="F2"/>
          <w:lang w:val="sq-AL"/>
        </w:rPr>
        <w:t>“</w:t>
      </w:r>
      <w:r w:rsidRPr="00050FA4">
        <w:rPr>
          <w:color w:val="0D0D0D" w:themeColor="text1" w:themeTint="F2"/>
          <w:lang w:val="sq-AL"/>
        </w:rPr>
        <w:t>stoku i likuiditetit në TSA</w:t>
      </w:r>
      <w:r w:rsidR="008A0E5B" w:rsidRPr="00050FA4">
        <w:rPr>
          <w:color w:val="0D0D0D" w:themeColor="text1" w:themeTint="F2"/>
          <w:lang w:val="sq-AL"/>
        </w:rPr>
        <w:t>”</w:t>
      </w:r>
      <w:r w:rsidRPr="00050FA4">
        <w:rPr>
          <w:color w:val="0D0D0D" w:themeColor="text1" w:themeTint="F2"/>
          <w:lang w:val="sq-AL"/>
        </w:rPr>
        <w:t xml:space="preserve"> janë optimizuar njëkohësisht në secilin skenar alternativ, më e rëndësishmja në atë </w:t>
      </w:r>
      <w:r w:rsidR="008A0E5B" w:rsidRPr="00050FA4">
        <w:rPr>
          <w:color w:val="0D0D0D" w:themeColor="text1" w:themeTint="F2"/>
          <w:lang w:val="sq-AL"/>
        </w:rPr>
        <w:t>“</w:t>
      </w:r>
      <w:r w:rsidRPr="00050FA4">
        <w:rPr>
          <w:color w:val="0D0D0D" w:themeColor="text1" w:themeTint="F2"/>
          <w:lang w:val="sq-AL"/>
        </w:rPr>
        <w:t>pesimist</w:t>
      </w:r>
      <w:r w:rsidR="008A0E5B" w:rsidRPr="00050FA4">
        <w:rPr>
          <w:color w:val="0D0D0D" w:themeColor="text1" w:themeTint="F2"/>
          <w:lang w:val="sq-AL"/>
        </w:rPr>
        <w:t>”</w:t>
      </w:r>
      <w:r w:rsidRPr="00050FA4">
        <w:rPr>
          <w:color w:val="0D0D0D" w:themeColor="text1" w:themeTint="F2"/>
          <w:lang w:val="sq-AL"/>
        </w:rPr>
        <w:t>. Ndërsa, huamarrja e huaj neto, si në huamarrjen tregtare</w:t>
      </w:r>
      <w:r w:rsidR="00CB0C60" w:rsidRPr="00050FA4">
        <w:rPr>
          <w:color w:val="0D0D0D" w:themeColor="text1" w:themeTint="F2"/>
          <w:lang w:val="sq-AL"/>
        </w:rPr>
        <w:t>,</w:t>
      </w:r>
      <w:r w:rsidRPr="00050FA4">
        <w:rPr>
          <w:color w:val="0D0D0D" w:themeColor="text1" w:themeTint="F2"/>
          <w:lang w:val="sq-AL"/>
        </w:rPr>
        <w:t xml:space="preserve"> ashtu edhe në atë koncesionale, në të dy skenarët alternativë mbeten saktësisht të njëjtë si në skenarin </w:t>
      </w:r>
      <w:r w:rsidR="008A0E5B" w:rsidRPr="00050FA4">
        <w:rPr>
          <w:color w:val="0D0D0D" w:themeColor="text1" w:themeTint="F2"/>
          <w:lang w:val="sq-AL"/>
        </w:rPr>
        <w:t>“</w:t>
      </w:r>
      <w:r w:rsidRPr="00050FA4">
        <w:rPr>
          <w:color w:val="0D0D0D" w:themeColor="text1" w:themeTint="F2"/>
          <w:lang w:val="sq-AL"/>
        </w:rPr>
        <w:t>bazë</w:t>
      </w:r>
      <w:r w:rsidR="008A0E5B" w:rsidRPr="00050FA4">
        <w:rPr>
          <w:color w:val="0D0D0D" w:themeColor="text1" w:themeTint="F2"/>
          <w:lang w:val="sq-AL"/>
        </w:rPr>
        <w:t>”</w:t>
      </w:r>
      <w:r w:rsidRPr="00050FA4">
        <w:rPr>
          <w:color w:val="0D0D0D" w:themeColor="text1" w:themeTint="F2"/>
          <w:lang w:val="sq-AL"/>
        </w:rPr>
        <w:t>.</w:t>
      </w:r>
    </w:p>
    <w:p w14:paraId="369BE8BF" w14:textId="77AAAC25" w:rsidR="00094A26" w:rsidRPr="00050FA4" w:rsidRDefault="00094A26" w:rsidP="003F1DA7">
      <w:pPr>
        <w:pStyle w:val="AAAAAAATEXXXX"/>
        <w:rPr>
          <w:color w:val="0D0D0D" w:themeColor="text1" w:themeTint="F2"/>
          <w:lang w:val="sq-AL"/>
        </w:rPr>
      </w:pPr>
      <w:r w:rsidRPr="00050FA4">
        <w:rPr>
          <w:color w:val="0D0D0D" w:themeColor="text1" w:themeTint="F2"/>
          <w:lang w:val="sq-AL"/>
        </w:rPr>
        <w:t xml:space="preserve">Një supozim i nënkuptuar në rastin e skenarit </w:t>
      </w:r>
      <w:r w:rsidR="008A0E5B" w:rsidRPr="00050FA4">
        <w:rPr>
          <w:color w:val="0D0D0D" w:themeColor="text1" w:themeTint="F2"/>
          <w:lang w:val="sq-AL"/>
        </w:rPr>
        <w:t>“</w:t>
      </w:r>
      <w:r w:rsidRPr="00050FA4">
        <w:rPr>
          <w:color w:val="0D0D0D" w:themeColor="text1" w:themeTint="F2"/>
          <w:lang w:val="sq-AL"/>
        </w:rPr>
        <w:t>pesimist</w:t>
      </w:r>
      <w:r w:rsidR="008A0E5B" w:rsidRPr="00050FA4">
        <w:rPr>
          <w:color w:val="0D0D0D" w:themeColor="text1" w:themeTint="F2"/>
          <w:lang w:val="sq-AL"/>
        </w:rPr>
        <w:t>”</w:t>
      </w:r>
      <w:r w:rsidRPr="00050FA4">
        <w:rPr>
          <w:color w:val="0D0D0D" w:themeColor="text1" w:themeTint="F2"/>
          <w:lang w:val="sq-AL"/>
        </w:rPr>
        <w:t xml:space="preserve"> të paraqitur këtu është se, së pari, inflacioni do të mbetet në përputhje me objektivin e politikës monetare dhe inflacioni i pritur do të mbetet i mirë ankoruar dhe së dyti, qëndrimi i politikës monetare do të mbetet përgjithësisht lehtësues, por gjithsesi plotësisht brenda në kornizë konvencionaleve, pa ndonjë përdorim të paketës </w:t>
      </w:r>
      <w:r w:rsidR="008A0E5B" w:rsidRPr="00050FA4">
        <w:rPr>
          <w:color w:val="0D0D0D" w:themeColor="text1" w:themeTint="F2"/>
          <w:lang w:val="sq-AL"/>
        </w:rPr>
        <w:t>“</w:t>
      </w:r>
      <w:r w:rsidRPr="00050FA4">
        <w:rPr>
          <w:color w:val="0D0D0D" w:themeColor="text1" w:themeTint="F2"/>
          <w:lang w:val="sq-AL"/>
        </w:rPr>
        <w:t>jokonvencionale</w:t>
      </w:r>
      <w:r w:rsidR="008A0E5B" w:rsidRPr="00050FA4">
        <w:rPr>
          <w:color w:val="0D0D0D" w:themeColor="text1" w:themeTint="F2"/>
          <w:lang w:val="sq-AL"/>
        </w:rPr>
        <w:t>”</w:t>
      </w:r>
      <w:r w:rsidRPr="00050FA4">
        <w:rPr>
          <w:color w:val="0D0D0D" w:themeColor="text1" w:themeTint="F2"/>
          <w:lang w:val="sq-AL"/>
        </w:rPr>
        <w:t xml:space="preserve">. Ndërsa, vetëm në një skenar tjetër </w:t>
      </w:r>
      <w:r w:rsidR="008A0E5B" w:rsidRPr="00050FA4">
        <w:rPr>
          <w:color w:val="0D0D0D" w:themeColor="text1" w:themeTint="F2"/>
          <w:lang w:val="sq-AL"/>
        </w:rPr>
        <w:t>“</w:t>
      </w:r>
      <w:r w:rsidRPr="00050FA4">
        <w:rPr>
          <w:color w:val="0D0D0D" w:themeColor="text1" w:themeTint="F2"/>
          <w:lang w:val="sq-AL"/>
        </w:rPr>
        <w:t>shumë ekstrem pesimist</w:t>
      </w:r>
      <w:r w:rsidR="008A0E5B" w:rsidRPr="00050FA4">
        <w:rPr>
          <w:color w:val="0D0D0D" w:themeColor="text1" w:themeTint="F2"/>
          <w:lang w:val="sq-AL"/>
        </w:rPr>
        <w:t>”</w:t>
      </w:r>
      <w:r w:rsidRPr="00050FA4">
        <w:rPr>
          <w:color w:val="0D0D0D" w:themeColor="text1" w:themeTint="F2"/>
          <w:lang w:val="sq-AL"/>
        </w:rPr>
        <w:t>, që do të thotë vetëm në rast të një krize të rëndë ekonomike</w:t>
      </w:r>
      <w:r w:rsidR="00CB0C60" w:rsidRPr="00050FA4">
        <w:rPr>
          <w:color w:val="0D0D0D" w:themeColor="text1" w:themeTint="F2"/>
          <w:lang w:val="sq-AL"/>
        </w:rPr>
        <w:t>,</w:t>
      </w:r>
      <w:r w:rsidRPr="00050FA4">
        <w:rPr>
          <w:color w:val="0D0D0D" w:themeColor="text1" w:themeTint="F2"/>
          <w:lang w:val="sq-AL"/>
        </w:rPr>
        <w:t xml:space="preserve"> e cila seriozisht do të rrezikonte stabilitetin makroekonomik dhe perspektivën afatgjatë, mund të supozohet se mund të përdoret çdo mundësi e disponueshme dhe e përshtatshme e instrumentit të veçantë </w:t>
      </w:r>
      <w:r w:rsidR="008A0E5B" w:rsidRPr="00050FA4">
        <w:rPr>
          <w:color w:val="0D0D0D" w:themeColor="text1" w:themeTint="F2"/>
          <w:lang w:val="sq-AL"/>
        </w:rPr>
        <w:t>“</w:t>
      </w:r>
      <w:r w:rsidRPr="00050FA4">
        <w:rPr>
          <w:color w:val="0D0D0D" w:themeColor="text1" w:themeTint="F2"/>
          <w:lang w:val="sq-AL"/>
        </w:rPr>
        <w:t>jokonvencional</w:t>
      </w:r>
      <w:r w:rsidR="008A0E5B" w:rsidRPr="00050FA4">
        <w:rPr>
          <w:color w:val="0D0D0D" w:themeColor="text1" w:themeTint="F2"/>
          <w:lang w:val="sq-AL"/>
        </w:rPr>
        <w:t>”</w:t>
      </w:r>
      <w:r w:rsidRPr="00050FA4">
        <w:rPr>
          <w:color w:val="0D0D0D" w:themeColor="text1" w:themeTint="F2"/>
          <w:lang w:val="sq-AL"/>
        </w:rPr>
        <w:t xml:space="preserve"> i politikës monetare</w:t>
      </w:r>
      <w:r w:rsidR="00CB0C60" w:rsidRPr="00050FA4">
        <w:rPr>
          <w:color w:val="0D0D0D" w:themeColor="text1" w:themeTint="F2"/>
          <w:lang w:val="sq-AL"/>
        </w:rPr>
        <w:t>,</w:t>
      </w:r>
      <w:r w:rsidRPr="00050FA4">
        <w:rPr>
          <w:color w:val="0D0D0D" w:themeColor="text1" w:themeTint="F2"/>
          <w:lang w:val="sq-AL"/>
        </w:rPr>
        <w:t xml:space="preserve"> vetëm si një mundësi e fundit dhe në një rast të tillë, me sa duket nën një koordinim dhe mbikëqyrje shumë të ngushtë të institucioneve ndërkombëtare partnere. Në të njëjtën kohë, do të ishte mjaft e arsyeshme të supozohet se në një skenar të tillë </w:t>
      </w:r>
      <w:r w:rsidR="008A0E5B" w:rsidRPr="00050FA4">
        <w:rPr>
          <w:color w:val="0D0D0D" w:themeColor="text1" w:themeTint="F2"/>
          <w:lang w:val="sq-AL"/>
        </w:rPr>
        <w:t>“</w:t>
      </w:r>
      <w:r w:rsidRPr="00050FA4">
        <w:rPr>
          <w:color w:val="0D0D0D" w:themeColor="text1" w:themeTint="F2"/>
          <w:lang w:val="sq-AL"/>
        </w:rPr>
        <w:t>shumë ekstrem pesimist</w:t>
      </w:r>
      <w:r w:rsidR="008A0E5B" w:rsidRPr="00050FA4">
        <w:rPr>
          <w:color w:val="0D0D0D" w:themeColor="text1" w:themeTint="F2"/>
          <w:lang w:val="sq-AL"/>
        </w:rPr>
        <w:t>”</w:t>
      </w:r>
      <w:r w:rsidRPr="00050FA4">
        <w:rPr>
          <w:color w:val="0D0D0D" w:themeColor="text1" w:themeTint="F2"/>
          <w:lang w:val="sq-AL"/>
        </w:rPr>
        <w:t>, një gamë më e gjerë dhe më e thellë e rregullave</w:t>
      </w:r>
      <w:r w:rsidR="00535FB4" w:rsidRPr="00050FA4">
        <w:rPr>
          <w:color w:val="0D0D0D" w:themeColor="text1" w:themeTint="F2"/>
          <w:lang w:val="sq-AL"/>
        </w:rPr>
        <w:t>/</w:t>
      </w:r>
      <w:r w:rsidRPr="00050FA4">
        <w:rPr>
          <w:color w:val="0D0D0D" w:themeColor="text1" w:themeTint="F2"/>
          <w:lang w:val="sq-AL"/>
        </w:rPr>
        <w:t>masave</w:t>
      </w:r>
      <w:r w:rsidR="00535FB4" w:rsidRPr="00050FA4">
        <w:rPr>
          <w:color w:val="0D0D0D" w:themeColor="text1" w:themeTint="F2"/>
          <w:lang w:val="sq-AL"/>
        </w:rPr>
        <w:t>/</w:t>
      </w:r>
      <w:r w:rsidRPr="00050FA4">
        <w:rPr>
          <w:color w:val="0D0D0D" w:themeColor="text1" w:themeTint="F2"/>
          <w:lang w:val="sq-AL"/>
        </w:rPr>
        <w:t>reformave të financave publike mund dhe duhet të ndërmerren, dhe ndoshta të shtrihet në të gjithë sektorin publik dhe në mallrat</w:t>
      </w:r>
      <w:r w:rsidR="00535FB4" w:rsidRPr="00050FA4">
        <w:rPr>
          <w:color w:val="0D0D0D" w:themeColor="text1" w:themeTint="F2"/>
          <w:lang w:val="sq-AL"/>
        </w:rPr>
        <w:t>/</w:t>
      </w:r>
      <w:r w:rsidRPr="00050FA4">
        <w:rPr>
          <w:color w:val="0D0D0D" w:themeColor="text1" w:themeTint="F2"/>
          <w:lang w:val="sq-AL"/>
        </w:rPr>
        <w:t>shërbimet publike.</w:t>
      </w:r>
    </w:p>
    <w:p w14:paraId="3038A900" w14:textId="77777777" w:rsidR="00094A26" w:rsidRPr="00050FA4" w:rsidRDefault="00094A26" w:rsidP="003F1DA7">
      <w:pPr>
        <w:pStyle w:val="AAAAAAATEXXXX"/>
        <w:rPr>
          <w:color w:val="0D0D0D" w:themeColor="text1" w:themeTint="F2"/>
          <w:lang w:val="sq-AL"/>
        </w:rPr>
      </w:pPr>
      <w:r w:rsidRPr="00050FA4">
        <w:rPr>
          <w:color w:val="0D0D0D" w:themeColor="text1" w:themeTint="F2"/>
          <w:lang w:val="sq-AL"/>
        </w:rPr>
        <w:t>Grafikët dhe tabelat vijuese paraqesin implikimet kryesore fiskale të skenarëve alternative.</w:t>
      </w:r>
    </w:p>
    <w:p w14:paraId="09EAC2F1" w14:textId="77777777" w:rsidR="00094A26" w:rsidRPr="00050FA4" w:rsidRDefault="00094A26" w:rsidP="003F1DA7">
      <w:pPr>
        <w:ind w:firstLine="284"/>
        <w:jc w:val="both"/>
        <w:rPr>
          <w:rFonts w:ascii="Garamond" w:hAnsi="Garamond"/>
          <w:color w:val="0D0D0D" w:themeColor="text1" w:themeTint="F2"/>
        </w:rPr>
      </w:pPr>
    </w:p>
    <w:p w14:paraId="759C7522" w14:textId="77777777" w:rsidR="00DA35AA" w:rsidRPr="00050FA4" w:rsidRDefault="00DA35AA" w:rsidP="003F1DA7">
      <w:pPr>
        <w:ind w:firstLine="284"/>
        <w:jc w:val="center"/>
        <w:rPr>
          <w:rFonts w:ascii="Garamond" w:hAnsi="Garamond"/>
          <w:b/>
          <w:i/>
          <w:color w:val="0D0D0D" w:themeColor="text1" w:themeTint="F2"/>
          <w:sz w:val="20"/>
        </w:rPr>
      </w:pPr>
    </w:p>
    <w:p w14:paraId="0E467ECF" w14:textId="77777777" w:rsidR="00DA35AA" w:rsidRPr="00050FA4" w:rsidRDefault="00DA35AA" w:rsidP="003F1DA7">
      <w:pPr>
        <w:ind w:firstLine="284"/>
        <w:jc w:val="center"/>
        <w:rPr>
          <w:rFonts w:ascii="Garamond" w:hAnsi="Garamond"/>
          <w:b/>
          <w:i/>
          <w:color w:val="0D0D0D" w:themeColor="text1" w:themeTint="F2"/>
          <w:sz w:val="20"/>
        </w:rPr>
      </w:pPr>
    </w:p>
    <w:p w14:paraId="417B7C94" w14:textId="77777777" w:rsidR="00DA35AA" w:rsidRPr="00050FA4" w:rsidRDefault="00DA35AA" w:rsidP="003F1DA7">
      <w:pPr>
        <w:ind w:firstLine="284"/>
        <w:jc w:val="center"/>
        <w:rPr>
          <w:rFonts w:ascii="Garamond" w:hAnsi="Garamond"/>
          <w:b/>
          <w:i/>
          <w:color w:val="0D0D0D" w:themeColor="text1" w:themeTint="F2"/>
          <w:sz w:val="20"/>
        </w:rPr>
      </w:pPr>
    </w:p>
    <w:p w14:paraId="39670824" w14:textId="77777777" w:rsidR="00DA35AA" w:rsidRPr="00050FA4" w:rsidRDefault="00DA35AA" w:rsidP="003F1DA7">
      <w:pPr>
        <w:ind w:firstLine="284"/>
        <w:jc w:val="center"/>
        <w:rPr>
          <w:rFonts w:ascii="Garamond" w:hAnsi="Garamond"/>
          <w:b/>
          <w:i/>
          <w:color w:val="0D0D0D" w:themeColor="text1" w:themeTint="F2"/>
          <w:sz w:val="20"/>
        </w:rPr>
      </w:pPr>
    </w:p>
    <w:p w14:paraId="40B026C4" w14:textId="77777777" w:rsidR="00DA35AA" w:rsidRPr="00050FA4" w:rsidRDefault="00DA35AA" w:rsidP="003F1DA7">
      <w:pPr>
        <w:ind w:firstLine="284"/>
        <w:jc w:val="center"/>
        <w:rPr>
          <w:rFonts w:ascii="Garamond" w:hAnsi="Garamond"/>
          <w:b/>
          <w:i/>
          <w:color w:val="0D0D0D" w:themeColor="text1" w:themeTint="F2"/>
          <w:sz w:val="20"/>
        </w:rPr>
      </w:pPr>
    </w:p>
    <w:p w14:paraId="40CC174D" w14:textId="77777777" w:rsidR="00DA35AA" w:rsidRPr="00050FA4" w:rsidRDefault="00DA35AA" w:rsidP="003F1DA7">
      <w:pPr>
        <w:ind w:firstLine="284"/>
        <w:jc w:val="center"/>
        <w:rPr>
          <w:rFonts w:ascii="Garamond" w:hAnsi="Garamond"/>
          <w:b/>
          <w:i/>
          <w:color w:val="0D0D0D" w:themeColor="text1" w:themeTint="F2"/>
          <w:sz w:val="20"/>
        </w:rPr>
      </w:pPr>
    </w:p>
    <w:p w14:paraId="70A6C69A" w14:textId="77777777" w:rsidR="00DA35AA" w:rsidRPr="00050FA4" w:rsidRDefault="00DA35AA" w:rsidP="003F1DA7">
      <w:pPr>
        <w:ind w:firstLine="284"/>
        <w:jc w:val="center"/>
        <w:rPr>
          <w:rFonts w:ascii="Garamond" w:hAnsi="Garamond"/>
          <w:b/>
          <w:i/>
          <w:color w:val="0D0D0D" w:themeColor="text1" w:themeTint="F2"/>
          <w:sz w:val="20"/>
        </w:rPr>
      </w:pPr>
    </w:p>
    <w:p w14:paraId="491DF5C9" w14:textId="77777777" w:rsidR="00DA35AA" w:rsidRPr="00050FA4" w:rsidRDefault="00DA35AA" w:rsidP="003F1DA7">
      <w:pPr>
        <w:ind w:firstLine="284"/>
        <w:jc w:val="center"/>
        <w:rPr>
          <w:rFonts w:ascii="Garamond" w:hAnsi="Garamond"/>
          <w:b/>
          <w:i/>
          <w:color w:val="0D0D0D" w:themeColor="text1" w:themeTint="F2"/>
          <w:sz w:val="20"/>
        </w:rPr>
      </w:pPr>
    </w:p>
    <w:p w14:paraId="1D6AF2F8" w14:textId="77777777" w:rsidR="00DA35AA" w:rsidRPr="00050FA4" w:rsidRDefault="00DA35AA" w:rsidP="003F1DA7">
      <w:pPr>
        <w:ind w:firstLine="284"/>
        <w:jc w:val="center"/>
        <w:rPr>
          <w:rFonts w:ascii="Garamond" w:hAnsi="Garamond"/>
          <w:b/>
          <w:i/>
          <w:color w:val="0D0D0D" w:themeColor="text1" w:themeTint="F2"/>
          <w:sz w:val="20"/>
        </w:rPr>
      </w:pPr>
    </w:p>
    <w:p w14:paraId="2AF7CA7E" w14:textId="77777777" w:rsidR="00DA35AA" w:rsidRPr="00050FA4" w:rsidRDefault="00DA35AA" w:rsidP="003F1DA7">
      <w:pPr>
        <w:ind w:firstLine="284"/>
        <w:jc w:val="center"/>
        <w:rPr>
          <w:rFonts w:ascii="Garamond" w:hAnsi="Garamond"/>
          <w:b/>
          <w:i/>
          <w:color w:val="0D0D0D" w:themeColor="text1" w:themeTint="F2"/>
          <w:sz w:val="20"/>
        </w:rPr>
      </w:pPr>
    </w:p>
    <w:p w14:paraId="7F2018AA" w14:textId="77777777" w:rsidR="00DA35AA" w:rsidRPr="00050FA4" w:rsidRDefault="00DA35AA" w:rsidP="003F1DA7">
      <w:pPr>
        <w:ind w:firstLine="284"/>
        <w:jc w:val="center"/>
        <w:rPr>
          <w:rFonts w:ascii="Garamond" w:hAnsi="Garamond"/>
          <w:b/>
          <w:i/>
          <w:color w:val="0D0D0D" w:themeColor="text1" w:themeTint="F2"/>
          <w:sz w:val="20"/>
        </w:rPr>
      </w:pPr>
    </w:p>
    <w:p w14:paraId="0D5F2A3F" w14:textId="77777777" w:rsidR="00DA35AA" w:rsidRPr="00050FA4" w:rsidRDefault="00DA35AA" w:rsidP="003F1DA7">
      <w:pPr>
        <w:ind w:firstLine="284"/>
        <w:jc w:val="center"/>
        <w:rPr>
          <w:rFonts w:ascii="Garamond" w:hAnsi="Garamond"/>
          <w:b/>
          <w:i/>
          <w:color w:val="0D0D0D" w:themeColor="text1" w:themeTint="F2"/>
          <w:sz w:val="20"/>
        </w:rPr>
      </w:pPr>
    </w:p>
    <w:p w14:paraId="16E4695D" w14:textId="77777777" w:rsidR="00DA35AA" w:rsidRPr="00050FA4" w:rsidRDefault="00DA35AA" w:rsidP="003F1DA7">
      <w:pPr>
        <w:ind w:firstLine="284"/>
        <w:jc w:val="center"/>
        <w:rPr>
          <w:rFonts w:ascii="Garamond" w:hAnsi="Garamond"/>
          <w:b/>
          <w:i/>
          <w:color w:val="0D0D0D" w:themeColor="text1" w:themeTint="F2"/>
          <w:sz w:val="20"/>
        </w:rPr>
      </w:pPr>
    </w:p>
    <w:p w14:paraId="53AACA48" w14:textId="77777777" w:rsidR="00DA35AA" w:rsidRPr="00050FA4" w:rsidRDefault="00DA35AA" w:rsidP="003F1DA7">
      <w:pPr>
        <w:ind w:firstLine="284"/>
        <w:jc w:val="center"/>
        <w:rPr>
          <w:rFonts w:ascii="Garamond" w:hAnsi="Garamond"/>
          <w:b/>
          <w:i/>
          <w:color w:val="0D0D0D" w:themeColor="text1" w:themeTint="F2"/>
          <w:sz w:val="20"/>
        </w:rPr>
      </w:pPr>
    </w:p>
    <w:p w14:paraId="5A1F2085" w14:textId="77777777" w:rsidR="00DA35AA" w:rsidRPr="00050FA4" w:rsidRDefault="00DA35AA" w:rsidP="003F1DA7">
      <w:pPr>
        <w:ind w:firstLine="284"/>
        <w:jc w:val="center"/>
        <w:rPr>
          <w:rFonts w:ascii="Garamond" w:hAnsi="Garamond"/>
          <w:b/>
          <w:i/>
          <w:color w:val="0D0D0D" w:themeColor="text1" w:themeTint="F2"/>
          <w:sz w:val="20"/>
        </w:rPr>
      </w:pPr>
    </w:p>
    <w:p w14:paraId="772F6B86" w14:textId="77777777" w:rsidR="00DA35AA" w:rsidRPr="00050FA4" w:rsidRDefault="00DA35AA" w:rsidP="003F1DA7">
      <w:pPr>
        <w:ind w:firstLine="284"/>
        <w:jc w:val="center"/>
        <w:rPr>
          <w:rFonts w:ascii="Garamond" w:hAnsi="Garamond"/>
          <w:b/>
          <w:i/>
          <w:color w:val="0D0D0D" w:themeColor="text1" w:themeTint="F2"/>
          <w:sz w:val="20"/>
        </w:rPr>
      </w:pPr>
    </w:p>
    <w:p w14:paraId="713CF261" w14:textId="77777777" w:rsidR="00DA35AA" w:rsidRPr="00050FA4" w:rsidRDefault="00DA35AA" w:rsidP="003F1DA7">
      <w:pPr>
        <w:ind w:firstLine="284"/>
        <w:jc w:val="center"/>
        <w:rPr>
          <w:rFonts w:ascii="Garamond" w:hAnsi="Garamond"/>
          <w:b/>
          <w:i/>
          <w:color w:val="0D0D0D" w:themeColor="text1" w:themeTint="F2"/>
          <w:sz w:val="20"/>
        </w:rPr>
      </w:pPr>
    </w:p>
    <w:p w14:paraId="4A2B796F" w14:textId="77777777" w:rsidR="00DA35AA" w:rsidRPr="00050FA4" w:rsidRDefault="00DA35AA" w:rsidP="003F1DA7">
      <w:pPr>
        <w:ind w:firstLine="284"/>
        <w:jc w:val="center"/>
        <w:rPr>
          <w:rFonts w:ascii="Garamond" w:hAnsi="Garamond"/>
          <w:b/>
          <w:i/>
          <w:color w:val="0D0D0D" w:themeColor="text1" w:themeTint="F2"/>
          <w:sz w:val="20"/>
        </w:rPr>
      </w:pPr>
    </w:p>
    <w:p w14:paraId="00DE7D75" w14:textId="77777777" w:rsidR="00DA35AA" w:rsidRPr="00050FA4" w:rsidRDefault="00DA35AA" w:rsidP="003F1DA7">
      <w:pPr>
        <w:ind w:firstLine="284"/>
        <w:jc w:val="center"/>
        <w:rPr>
          <w:rFonts w:ascii="Garamond" w:hAnsi="Garamond"/>
          <w:b/>
          <w:i/>
          <w:color w:val="0D0D0D" w:themeColor="text1" w:themeTint="F2"/>
          <w:sz w:val="20"/>
        </w:rPr>
      </w:pPr>
    </w:p>
    <w:p w14:paraId="727F94B8" w14:textId="77777777" w:rsidR="00DA35AA" w:rsidRPr="00050FA4" w:rsidRDefault="00DA35AA" w:rsidP="003F1DA7">
      <w:pPr>
        <w:ind w:firstLine="284"/>
        <w:jc w:val="center"/>
        <w:rPr>
          <w:rFonts w:ascii="Garamond" w:hAnsi="Garamond"/>
          <w:b/>
          <w:i/>
          <w:color w:val="0D0D0D" w:themeColor="text1" w:themeTint="F2"/>
          <w:sz w:val="20"/>
        </w:rPr>
      </w:pPr>
    </w:p>
    <w:p w14:paraId="23793EEC" w14:textId="77777777" w:rsidR="00DA35AA" w:rsidRPr="00050FA4" w:rsidRDefault="00DA35AA" w:rsidP="003F1DA7">
      <w:pPr>
        <w:ind w:firstLine="284"/>
        <w:jc w:val="center"/>
        <w:rPr>
          <w:rFonts w:ascii="Garamond" w:hAnsi="Garamond"/>
          <w:b/>
          <w:i/>
          <w:color w:val="0D0D0D" w:themeColor="text1" w:themeTint="F2"/>
          <w:sz w:val="20"/>
        </w:rPr>
      </w:pPr>
    </w:p>
    <w:p w14:paraId="7D6FAE49" w14:textId="77777777" w:rsidR="00DA35AA" w:rsidRPr="00050FA4" w:rsidRDefault="00DA35AA" w:rsidP="003F1DA7">
      <w:pPr>
        <w:ind w:firstLine="284"/>
        <w:jc w:val="center"/>
        <w:rPr>
          <w:rFonts w:ascii="Garamond" w:hAnsi="Garamond"/>
          <w:b/>
          <w:i/>
          <w:color w:val="0D0D0D" w:themeColor="text1" w:themeTint="F2"/>
          <w:sz w:val="20"/>
        </w:rPr>
      </w:pPr>
    </w:p>
    <w:p w14:paraId="1B08610E" w14:textId="70323426" w:rsidR="00094A26" w:rsidRPr="00050FA4" w:rsidRDefault="00094A26" w:rsidP="003F1DA7">
      <w:pPr>
        <w:ind w:firstLine="284"/>
        <w:jc w:val="center"/>
        <w:rPr>
          <w:rFonts w:ascii="Garamond" w:hAnsi="Garamond"/>
          <w:b/>
          <w:i/>
          <w:color w:val="0D0D0D" w:themeColor="text1" w:themeTint="F2"/>
          <w:sz w:val="20"/>
        </w:rPr>
      </w:pPr>
      <w:r w:rsidRPr="00050FA4">
        <w:rPr>
          <w:rFonts w:ascii="Garamond" w:hAnsi="Garamond"/>
          <w:b/>
          <w:i/>
          <w:color w:val="0D0D0D" w:themeColor="text1" w:themeTint="F2"/>
          <w:sz w:val="20"/>
        </w:rPr>
        <w:t>Grafik 4.7.1 Dinamika e treguesve kryesorë në skenarë të ndryshëm</w:t>
      </w:r>
    </w:p>
    <w:p w14:paraId="2B800657" w14:textId="0BEF9FC2" w:rsidR="00094A26" w:rsidRPr="00050FA4" w:rsidRDefault="00094A26" w:rsidP="003F1DA7">
      <w:pPr>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79DB9553" wp14:editId="29AA78F9">
            <wp:extent cx="6086475" cy="6915150"/>
            <wp:effectExtent l="19050" t="19050" r="28575" b="190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86475" cy="6915150"/>
                    </a:xfrm>
                    <a:prstGeom prst="rect">
                      <a:avLst/>
                    </a:prstGeom>
                    <a:noFill/>
                    <a:ln w="9525" cmpd="sng">
                      <a:solidFill>
                        <a:srgbClr val="7F7F7F"/>
                      </a:solidFill>
                      <a:miter lim="800000"/>
                      <a:headEnd/>
                      <a:tailEnd/>
                    </a:ln>
                    <a:effectLst/>
                  </pic:spPr>
                </pic:pic>
              </a:graphicData>
            </a:graphic>
          </wp:inline>
        </w:drawing>
      </w:r>
    </w:p>
    <w:p w14:paraId="6980108B" w14:textId="6BC6F08F" w:rsidR="00094A26" w:rsidRPr="00050FA4" w:rsidRDefault="00094A26" w:rsidP="003F1DA7">
      <w:pPr>
        <w:ind w:firstLine="284"/>
        <w:jc w:val="center"/>
        <w:rPr>
          <w:rFonts w:ascii="Garamond" w:hAnsi="Garamond"/>
          <w:color w:val="0D0D0D" w:themeColor="text1" w:themeTint="F2"/>
          <w:sz w:val="20"/>
        </w:rPr>
      </w:pPr>
      <w:r w:rsidRPr="00050FA4">
        <w:rPr>
          <w:rFonts w:ascii="Garamond" w:hAnsi="Garamond"/>
          <w:color w:val="0D0D0D" w:themeColor="text1" w:themeTint="F2"/>
          <w:sz w:val="20"/>
        </w:rPr>
        <w:t xml:space="preserve">Burimi: Ministria e Financave dhe </w:t>
      </w:r>
      <w:r w:rsidR="00DA35AA" w:rsidRPr="00050FA4">
        <w:rPr>
          <w:rFonts w:ascii="Garamond" w:hAnsi="Garamond"/>
          <w:color w:val="0D0D0D" w:themeColor="text1" w:themeTint="F2"/>
          <w:sz w:val="20"/>
        </w:rPr>
        <w:t>Ekonomisë</w:t>
      </w:r>
      <w:r w:rsidRPr="00050FA4">
        <w:rPr>
          <w:rFonts w:ascii="Garamond" w:hAnsi="Garamond"/>
          <w:color w:val="0D0D0D" w:themeColor="text1" w:themeTint="F2"/>
          <w:sz w:val="20"/>
        </w:rPr>
        <w:t xml:space="preserve"> (2021)</w:t>
      </w:r>
    </w:p>
    <w:p w14:paraId="156D86F4" w14:textId="77777777" w:rsidR="00094A26" w:rsidRPr="00050FA4" w:rsidRDefault="00094A26" w:rsidP="003F1DA7">
      <w:pPr>
        <w:ind w:firstLine="284"/>
        <w:rPr>
          <w:rFonts w:ascii="Garamond" w:hAnsi="Garamond"/>
          <w:color w:val="0D0D0D" w:themeColor="text1" w:themeTint="F2"/>
        </w:rPr>
      </w:pPr>
    </w:p>
    <w:p w14:paraId="407E1C75" w14:textId="77777777" w:rsidR="00DA35AA" w:rsidRPr="00050FA4" w:rsidRDefault="00DA35AA" w:rsidP="003F1DA7">
      <w:pPr>
        <w:ind w:firstLine="284"/>
        <w:jc w:val="center"/>
        <w:rPr>
          <w:rFonts w:ascii="Garamond" w:hAnsi="Garamond"/>
          <w:b/>
          <w:i/>
          <w:color w:val="0D0D0D" w:themeColor="text1" w:themeTint="F2"/>
          <w:sz w:val="20"/>
        </w:rPr>
      </w:pPr>
    </w:p>
    <w:p w14:paraId="41168ABF" w14:textId="77777777" w:rsidR="00DA35AA" w:rsidRPr="00050FA4" w:rsidRDefault="00DA35AA" w:rsidP="003F1DA7">
      <w:pPr>
        <w:ind w:firstLine="284"/>
        <w:jc w:val="center"/>
        <w:rPr>
          <w:rFonts w:ascii="Garamond" w:hAnsi="Garamond"/>
          <w:b/>
          <w:i/>
          <w:color w:val="0D0D0D" w:themeColor="text1" w:themeTint="F2"/>
          <w:sz w:val="20"/>
        </w:rPr>
      </w:pPr>
    </w:p>
    <w:p w14:paraId="18D59DDA" w14:textId="77777777" w:rsidR="00DA35AA" w:rsidRPr="00050FA4" w:rsidRDefault="00DA35AA" w:rsidP="003F1DA7">
      <w:pPr>
        <w:ind w:firstLine="284"/>
        <w:jc w:val="center"/>
        <w:rPr>
          <w:rFonts w:ascii="Garamond" w:hAnsi="Garamond"/>
          <w:b/>
          <w:i/>
          <w:color w:val="0D0D0D" w:themeColor="text1" w:themeTint="F2"/>
          <w:sz w:val="20"/>
        </w:rPr>
      </w:pPr>
    </w:p>
    <w:p w14:paraId="56156D37" w14:textId="77777777" w:rsidR="00DA35AA" w:rsidRPr="00050FA4" w:rsidRDefault="00DA35AA" w:rsidP="003F1DA7">
      <w:pPr>
        <w:ind w:firstLine="284"/>
        <w:jc w:val="center"/>
        <w:rPr>
          <w:rFonts w:ascii="Garamond" w:hAnsi="Garamond"/>
          <w:b/>
          <w:i/>
          <w:color w:val="0D0D0D" w:themeColor="text1" w:themeTint="F2"/>
          <w:sz w:val="20"/>
        </w:rPr>
      </w:pPr>
    </w:p>
    <w:p w14:paraId="0F0BB997" w14:textId="77777777" w:rsidR="00DA35AA" w:rsidRPr="00050FA4" w:rsidRDefault="00DA35AA" w:rsidP="003F1DA7">
      <w:pPr>
        <w:ind w:firstLine="284"/>
        <w:jc w:val="center"/>
        <w:rPr>
          <w:rFonts w:ascii="Garamond" w:hAnsi="Garamond"/>
          <w:b/>
          <w:i/>
          <w:color w:val="0D0D0D" w:themeColor="text1" w:themeTint="F2"/>
          <w:sz w:val="20"/>
        </w:rPr>
      </w:pPr>
    </w:p>
    <w:p w14:paraId="4FDB8AD4" w14:textId="77777777" w:rsidR="00DA35AA" w:rsidRPr="00050FA4" w:rsidRDefault="00DA35AA" w:rsidP="003F1DA7">
      <w:pPr>
        <w:ind w:firstLine="284"/>
        <w:jc w:val="center"/>
        <w:rPr>
          <w:rFonts w:ascii="Garamond" w:hAnsi="Garamond"/>
          <w:b/>
          <w:i/>
          <w:color w:val="0D0D0D" w:themeColor="text1" w:themeTint="F2"/>
          <w:sz w:val="20"/>
        </w:rPr>
      </w:pPr>
    </w:p>
    <w:p w14:paraId="3469D0F7" w14:textId="77777777" w:rsidR="00DA35AA" w:rsidRPr="00050FA4" w:rsidRDefault="00DA35AA" w:rsidP="003F1DA7">
      <w:pPr>
        <w:ind w:firstLine="284"/>
        <w:jc w:val="center"/>
        <w:rPr>
          <w:rFonts w:ascii="Garamond" w:hAnsi="Garamond"/>
          <w:b/>
          <w:i/>
          <w:color w:val="0D0D0D" w:themeColor="text1" w:themeTint="F2"/>
          <w:sz w:val="20"/>
        </w:rPr>
      </w:pPr>
    </w:p>
    <w:p w14:paraId="5A82676D" w14:textId="77777777" w:rsidR="00DA35AA" w:rsidRPr="00050FA4" w:rsidRDefault="00DA35AA" w:rsidP="003F1DA7">
      <w:pPr>
        <w:ind w:firstLine="284"/>
        <w:jc w:val="center"/>
        <w:rPr>
          <w:rFonts w:ascii="Garamond" w:hAnsi="Garamond"/>
          <w:b/>
          <w:i/>
          <w:color w:val="0D0D0D" w:themeColor="text1" w:themeTint="F2"/>
          <w:sz w:val="20"/>
        </w:rPr>
      </w:pPr>
    </w:p>
    <w:p w14:paraId="57C69651" w14:textId="77777777" w:rsidR="00DA35AA" w:rsidRPr="00050FA4" w:rsidRDefault="00DA35AA" w:rsidP="003F1DA7">
      <w:pPr>
        <w:ind w:firstLine="284"/>
        <w:jc w:val="center"/>
        <w:rPr>
          <w:rFonts w:ascii="Garamond" w:hAnsi="Garamond"/>
          <w:b/>
          <w:i/>
          <w:color w:val="0D0D0D" w:themeColor="text1" w:themeTint="F2"/>
          <w:sz w:val="20"/>
        </w:rPr>
      </w:pPr>
    </w:p>
    <w:p w14:paraId="78817378" w14:textId="77777777" w:rsidR="00DA35AA" w:rsidRPr="00050FA4" w:rsidRDefault="00DA35AA" w:rsidP="003F1DA7">
      <w:pPr>
        <w:ind w:firstLine="284"/>
        <w:jc w:val="center"/>
        <w:rPr>
          <w:rFonts w:ascii="Garamond" w:hAnsi="Garamond"/>
          <w:b/>
          <w:i/>
          <w:color w:val="0D0D0D" w:themeColor="text1" w:themeTint="F2"/>
          <w:sz w:val="20"/>
        </w:rPr>
      </w:pPr>
    </w:p>
    <w:p w14:paraId="1937BED4" w14:textId="77777777" w:rsidR="00DA35AA" w:rsidRPr="00050FA4" w:rsidRDefault="00DA35AA" w:rsidP="003F1DA7">
      <w:pPr>
        <w:ind w:firstLine="284"/>
        <w:jc w:val="center"/>
        <w:rPr>
          <w:rFonts w:ascii="Garamond" w:hAnsi="Garamond"/>
          <w:b/>
          <w:i/>
          <w:color w:val="0D0D0D" w:themeColor="text1" w:themeTint="F2"/>
          <w:sz w:val="20"/>
        </w:rPr>
      </w:pPr>
    </w:p>
    <w:p w14:paraId="0AA084CA" w14:textId="77777777" w:rsidR="00DA35AA" w:rsidRPr="00050FA4" w:rsidRDefault="00DA35AA" w:rsidP="003F1DA7">
      <w:pPr>
        <w:ind w:firstLine="284"/>
        <w:jc w:val="center"/>
        <w:rPr>
          <w:rFonts w:ascii="Garamond" w:hAnsi="Garamond"/>
          <w:b/>
          <w:i/>
          <w:color w:val="0D0D0D" w:themeColor="text1" w:themeTint="F2"/>
          <w:sz w:val="20"/>
        </w:rPr>
      </w:pPr>
    </w:p>
    <w:p w14:paraId="4B12EE95" w14:textId="77777777" w:rsidR="00DA35AA" w:rsidRPr="00050FA4" w:rsidRDefault="00DA35AA" w:rsidP="003F1DA7">
      <w:pPr>
        <w:ind w:firstLine="284"/>
        <w:jc w:val="center"/>
        <w:rPr>
          <w:rFonts w:ascii="Garamond" w:hAnsi="Garamond"/>
          <w:b/>
          <w:i/>
          <w:color w:val="0D0D0D" w:themeColor="text1" w:themeTint="F2"/>
          <w:sz w:val="20"/>
        </w:rPr>
      </w:pPr>
    </w:p>
    <w:p w14:paraId="710795A3" w14:textId="2B82B782" w:rsidR="00094A26" w:rsidRPr="00050FA4" w:rsidRDefault="00CE48C5" w:rsidP="003F1DA7">
      <w:pPr>
        <w:ind w:firstLine="284"/>
        <w:jc w:val="center"/>
        <w:rPr>
          <w:rFonts w:ascii="Garamond" w:hAnsi="Garamond"/>
          <w:b/>
          <w:i/>
          <w:color w:val="0D0D0D" w:themeColor="text1" w:themeTint="F2"/>
          <w:sz w:val="20"/>
        </w:rPr>
      </w:pPr>
      <w:r w:rsidRPr="00050FA4">
        <w:rPr>
          <w:rFonts w:ascii="Garamond" w:hAnsi="Garamond"/>
          <w:b/>
          <w:i/>
          <w:color w:val="0D0D0D" w:themeColor="text1" w:themeTint="F2"/>
          <w:sz w:val="20"/>
        </w:rPr>
        <w:t>Tabelë 4.7.1A</w:t>
      </w:r>
      <w:r w:rsidR="00094A26" w:rsidRPr="00050FA4">
        <w:rPr>
          <w:rFonts w:ascii="Garamond" w:hAnsi="Garamond"/>
          <w:b/>
          <w:i/>
          <w:color w:val="0D0D0D" w:themeColor="text1" w:themeTint="F2"/>
          <w:sz w:val="20"/>
        </w:rPr>
        <w:t xml:space="preserve"> Të ardhurat dhe shpenzimet kryesore për secilin skenar (miliardë lekë)</w:t>
      </w:r>
    </w:p>
    <w:p w14:paraId="4B0472B1" w14:textId="572473A1" w:rsidR="00094A26" w:rsidRPr="00050FA4" w:rsidRDefault="00094A26" w:rsidP="003F1DA7">
      <w:pPr>
        <w:ind w:firstLine="284"/>
        <w:jc w:val="center"/>
        <w:rPr>
          <w:rFonts w:ascii="Garamond" w:hAnsi="Garamond"/>
          <w:color w:val="0D0D0D" w:themeColor="text1" w:themeTint="F2"/>
        </w:rPr>
      </w:pPr>
      <w:r w:rsidRPr="00050FA4">
        <w:rPr>
          <w:rFonts w:ascii="Garamond" w:hAnsi="Garamond"/>
          <w:noProof/>
          <w:color w:val="0D0D0D" w:themeColor="text1" w:themeTint="F2"/>
          <w:lang w:val="en-US"/>
        </w:rPr>
        <w:drawing>
          <wp:inline distT="0" distB="0" distL="0" distR="0" wp14:anchorId="77FC7807" wp14:editId="53DAA2C5">
            <wp:extent cx="5834049" cy="7120577"/>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36864" cy="7124013"/>
                    </a:xfrm>
                    <a:prstGeom prst="rect">
                      <a:avLst/>
                    </a:prstGeom>
                    <a:noFill/>
                    <a:ln>
                      <a:noFill/>
                    </a:ln>
                  </pic:spPr>
                </pic:pic>
              </a:graphicData>
            </a:graphic>
          </wp:inline>
        </w:drawing>
      </w:r>
    </w:p>
    <w:p w14:paraId="11DF3217" w14:textId="77777777" w:rsidR="00094A26" w:rsidRPr="00050FA4" w:rsidRDefault="00094A26" w:rsidP="003F1DA7">
      <w:pPr>
        <w:ind w:firstLine="284"/>
        <w:jc w:val="both"/>
        <w:rPr>
          <w:rFonts w:ascii="Garamond" w:hAnsi="Garamond"/>
          <w:color w:val="0D0D0D" w:themeColor="text1" w:themeTint="F2"/>
        </w:rPr>
      </w:pPr>
    </w:p>
    <w:p w14:paraId="4A078BCB" w14:textId="77777777" w:rsidR="00DA35AA" w:rsidRPr="00050FA4" w:rsidRDefault="00DA35AA" w:rsidP="003F1DA7">
      <w:pPr>
        <w:ind w:firstLine="284"/>
        <w:jc w:val="center"/>
        <w:rPr>
          <w:rFonts w:ascii="Garamond" w:hAnsi="Garamond"/>
          <w:b/>
          <w:i/>
          <w:color w:val="0D0D0D" w:themeColor="text1" w:themeTint="F2"/>
          <w:sz w:val="20"/>
          <w:szCs w:val="20"/>
        </w:rPr>
      </w:pPr>
    </w:p>
    <w:p w14:paraId="1E8ACFAD" w14:textId="77777777" w:rsidR="00DA35AA" w:rsidRPr="00050FA4" w:rsidRDefault="00DA35AA" w:rsidP="003F1DA7">
      <w:pPr>
        <w:ind w:firstLine="284"/>
        <w:jc w:val="center"/>
        <w:rPr>
          <w:rFonts w:ascii="Garamond" w:hAnsi="Garamond"/>
          <w:b/>
          <w:i/>
          <w:color w:val="0D0D0D" w:themeColor="text1" w:themeTint="F2"/>
          <w:sz w:val="20"/>
          <w:szCs w:val="20"/>
        </w:rPr>
      </w:pPr>
    </w:p>
    <w:p w14:paraId="4E4DED06" w14:textId="77777777" w:rsidR="00DA35AA" w:rsidRPr="00050FA4" w:rsidRDefault="00DA35AA" w:rsidP="003F1DA7">
      <w:pPr>
        <w:ind w:firstLine="284"/>
        <w:jc w:val="center"/>
        <w:rPr>
          <w:rFonts w:ascii="Garamond" w:hAnsi="Garamond"/>
          <w:b/>
          <w:i/>
          <w:color w:val="0D0D0D" w:themeColor="text1" w:themeTint="F2"/>
          <w:sz w:val="20"/>
          <w:szCs w:val="20"/>
        </w:rPr>
      </w:pPr>
    </w:p>
    <w:p w14:paraId="1E8ADC78" w14:textId="77777777" w:rsidR="00DA35AA" w:rsidRPr="00050FA4" w:rsidRDefault="00DA35AA" w:rsidP="003F1DA7">
      <w:pPr>
        <w:ind w:firstLine="284"/>
        <w:jc w:val="center"/>
        <w:rPr>
          <w:rFonts w:ascii="Garamond" w:hAnsi="Garamond"/>
          <w:b/>
          <w:i/>
          <w:color w:val="0D0D0D" w:themeColor="text1" w:themeTint="F2"/>
          <w:sz w:val="20"/>
          <w:szCs w:val="20"/>
        </w:rPr>
      </w:pPr>
    </w:p>
    <w:p w14:paraId="5038A08A" w14:textId="77777777" w:rsidR="00DA35AA" w:rsidRPr="00050FA4" w:rsidRDefault="00DA35AA" w:rsidP="003F1DA7">
      <w:pPr>
        <w:ind w:firstLine="284"/>
        <w:jc w:val="center"/>
        <w:rPr>
          <w:rFonts w:ascii="Garamond" w:hAnsi="Garamond"/>
          <w:b/>
          <w:i/>
          <w:color w:val="0D0D0D" w:themeColor="text1" w:themeTint="F2"/>
          <w:sz w:val="20"/>
          <w:szCs w:val="20"/>
        </w:rPr>
      </w:pPr>
    </w:p>
    <w:p w14:paraId="2773A9C6" w14:textId="77777777" w:rsidR="00DA35AA" w:rsidRPr="00050FA4" w:rsidRDefault="00DA35AA" w:rsidP="003F1DA7">
      <w:pPr>
        <w:ind w:firstLine="284"/>
        <w:jc w:val="center"/>
        <w:rPr>
          <w:rFonts w:ascii="Garamond" w:hAnsi="Garamond"/>
          <w:b/>
          <w:i/>
          <w:color w:val="0D0D0D" w:themeColor="text1" w:themeTint="F2"/>
          <w:sz w:val="20"/>
          <w:szCs w:val="20"/>
        </w:rPr>
      </w:pPr>
    </w:p>
    <w:p w14:paraId="1B44CA07" w14:textId="77777777" w:rsidR="00DA35AA" w:rsidRPr="00050FA4" w:rsidRDefault="00DA35AA" w:rsidP="003F1DA7">
      <w:pPr>
        <w:ind w:firstLine="284"/>
        <w:jc w:val="center"/>
        <w:rPr>
          <w:rFonts w:ascii="Garamond" w:hAnsi="Garamond"/>
          <w:b/>
          <w:i/>
          <w:color w:val="0D0D0D" w:themeColor="text1" w:themeTint="F2"/>
          <w:sz w:val="20"/>
          <w:szCs w:val="20"/>
        </w:rPr>
      </w:pPr>
    </w:p>
    <w:p w14:paraId="390731C1" w14:textId="77777777" w:rsidR="00DA35AA" w:rsidRPr="00050FA4" w:rsidRDefault="00DA35AA" w:rsidP="003F1DA7">
      <w:pPr>
        <w:ind w:firstLine="284"/>
        <w:jc w:val="center"/>
        <w:rPr>
          <w:rFonts w:ascii="Garamond" w:hAnsi="Garamond"/>
          <w:b/>
          <w:i/>
          <w:color w:val="0D0D0D" w:themeColor="text1" w:themeTint="F2"/>
          <w:sz w:val="20"/>
          <w:szCs w:val="20"/>
        </w:rPr>
      </w:pPr>
    </w:p>
    <w:p w14:paraId="640C9054" w14:textId="77777777" w:rsidR="00DA35AA" w:rsidRPr="00050FA4" w:rsidRDefault="00DA35AA" w:rsidP="003F1DA7">
      <w:pPr>
        <w:ind w:firstLine="284"/>
        <w:jc w:val="center"/>
        <w:rPr>
          <w:rFonts w:ascii="Garamond" w:hAnsi="Garamond"/>
          <w:b/>
          <w:i/>
          <w:color w:val="0D0D0D" w:themeColor="text1" w:themeTint="F2"/>
          <w:sz w:val="20"/>
          <w:szCs w:val="20"/>
        </w:rPr>
      </w:pPr>
    </w:p>
    <w:p w14:paraId="5109D0D7" w14:textId="77777777" w:rsidR="00DA35AA" w:rsidRPr="00050FA4" w:rsidRDefault="00DA35AA" w:rsidP="003F1DA7">
      <w:pPr>
        <w:ind w:firstLine="284"/>
        <w:jc w:val="center"/>
        <w:rPr>
          <w:rFonts w:ascii="Garamond" w:hAnsi="Garamond"/>
          <w:b/>
          <w:i/>
          <w:color w:val="0D0D0D" w:themeColor="text1" w:themeTint="F2"/>
          <w:sz w:val="20"/>
          <w:szCs w:val="20"/>
        </w:rPr>
      </w:pPr>
    </w:p>
    <w:p w14:paraId="009D9848" w14:textId="77777777" w:rsidR="00DA35AA" w:rsidRPr="00050FA4" w:rsidRDefault="00DA35AA" w:rsidP="003F1DA7">
      <w:pPr>
        <w:ind w:firstLine="284"/>
        <w:jc w:val="center"/>
        <w:rPr>
          <w:rFonts w:ascii="Garamond" w:hAnsi="Garamond"/>
          <w:b/>
          <w:i/>
          <w:color w:val="0D0D0D" w:themeColor="text1" w:themeTint="F2"/>
          <w:sz w:val="20"/>
          <w:szCs w:val="20"/>
        </w:rPr>
      </w:pPr>
    </w:p>
    <w:p w14:paraId="38E7C345" w14:textId="77777777" w:rsidR="00DA35AA" w:rsidRPr="00050FA4" w:rsidRDefault="00DA35AA" w:rsidP="003F1DA7">
      <w:pPr>
        <w:ind w:firstLine="284"/>
        <w:jc w:val="center"/>
        <w:rPr>
          <w:rFonts w:ascii="Garamond" w:hAnsi="Garamond"/>
          <w:b/>
          <w:i/>
          <w:color w:val="0D0D0D" w:themeColor="text1" w:themeTint="F2"/>
          <w:sz w:val="20"/>
          <w:szCs w:val="20"/>
        </w:rPr>
      </w:pPr>
    </w:p>
    <w:p w14:paraId="2E3B01FD" w14:textId="77777777" w:rsidR="00DA35AA" w:rsidRPr="00050FA4" w:rsidRDefault="00DA35AA" w:rsidP="003F1DA7">
      <w:pPr>
        <w:ind w:firstLine="284"/>
        <w:jc w:val="center"/>
        <w:rPr>
          <w:rFonts w:ascii="Garamond" w:hAnsi="Garamond"/>
          <w:b/>
          <w:i/>
          <w:color w:val="0D0D0D" w:themeColor="text1" w:themeTint="F2"/>
          <w:sz w:val="20"/>
          <w:szCs w:val="20"/>
        </w:rPr>
      </w:pPr>
    </w:p>
    <w:p w14:paraId="17B1738F" w14:textId="62D83133" w:rsidR="00094A26" w:rsidRPr="00050FA4" w:rsidRDefault="005E293C" w:rsidP="003F1DA7">
      <w:pPr>
        <w:ind w:firstLine="284"/>
        <w:jc w:val="center"/>
        <w:rPr>
          <w:rFonts w:ascii="Garamond" w:hAnsi="Garamond"/>
          <w:b/>
          <w:i/>
          <w:color w:val="0D0D0D" w:themeColor="text1" w:themeTint="F2"/>
          <w:sz w:val="20"/>
          <w:szCs w:val="20"/>
        </w:rPr>
      </w:pPr>
      <w:r w:rsidRPr="00050FA4">
        <w:rPr>
          <w:rFonts w:ascii="Garamond" w:hAnsi="Garamond"/>
          <w:b/>
          <w:i/>
          <w:color w:val="0D0D0D" w:themeColor="text1" w:themeTint="F2"/>
          <w:sz w:val="20"/>
          <w:szCs w:val="20"/>
        </w:rPr>
        <w:t>Tabelë 4.7.2A</w:t>
      </w:r>
      <w:r w:rsidR="00094A26" w:rsidRPr="00050FA4">
        <w:rPr>
          <w:rFonts w:ascii="Garamond" w:hAnsi="Garamond"/>
          <w:b/>
          <w:i/>
          <w:color w:val="0D0D0D" w:themeColor="text1" w:themeTint="F2"/>
          <w:sz w:val="20"/>
          <w:szCs w:val="20"/>
        </w:rPr>
        <w:t xml:space="preserve"> Parametrat kryesorë fiskalë dhe zërat e financimit për secilin skenar (miliardë lekë)</w:t>
      </w:r>
    </w:p>
    <w:p w14:paraId="0DAAF3BE" w14:textId="2F6FD255" w:rsidR="00094A26" w:rsidRPr="00050FA4" w:rsidRDefault="00094A26" w:rsidP="003F1DA7">
      <w:pPr>
        <w:ind w:firstLine="284"/>
        <w:jc w:val="center"/>
        <w:rPr>
          <w:rFonts w:ascii="Garamond" w:hAnsi="Garamond"/>
          <w:color w:val="0D0D0D" w:themeColor="text1" w:themeTint="F2"/>
          <w:sz w:val="22"/>
          <w:szCs w:val="22"/>
        </w:rPr>
      </w:pPr>
      <w:r w:rsidRPr="00050FA4">
        <w:rPr>
          <w:rFonts w:ascii="Garamond" w:hAnsi="Garamond"/>
          <w:noProof/>
          <w:color w:val="0D0D0D" w:themeColor="text1" w:themeTint="F2"/>
          <w:lang w:val="en-US"/>
        </w:rPr>
        <w:drawing>
          <wp:inline distT="0" distB="0" distL="0" distR="0" wp14:anchorId="2B958D85" wp14:editId="6C11F7F8">
            <wp:extent cx="6092595" cy="8305516"/>
            <wp:effectExtent l="0" t="0" r="381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3974" cy="8307396"/>
                    </a:xfrm>
                    <a:prstGeom prst="rect">
                      <a:avLst/>
                    </a:prstGeom>
                    <a:noFill/>
                    <a:ln>
                      <a:noFill/>
                    </a:ln>
                  </pic:spPr>
                </pic:pic>
              </a:graphicData>
            </a:graphic>
          </wp:inline>
        </w:drawing>
      </w:r>
    </w:p>
    <w:p w14:paraId="72557BBD" w14:textId="77777777" w:rsidR="00094A26" w:rsidRPr="00050FA4" w:rsidRDefault="00094A26" w:rsidP="003F1DA7">
      <w:pPr>
        <w:ind w:firstLine="284"/>
        <w:jc w:val="center"/>
        <w:rPr>
          <w:rFonts w:ascii="Garamond" w:hAnsi="Garamond"/>
          <w:color w:val="0D0D0D" w:themeColor="text1" w:themeTint="F2"/>
          <w:sz w:val="22"/>
          <w:szCs w:val="22"/>
        </w:rPr>
      </w:pPr>
    </w:p>
    <w:p w14:paraId="75C14CF0" w14:textId="77777777" w:rsidR="00567286" w:rsidRPr="00050FA4" w:rsidRDefault="00567286" w:rsidP="003F1DA7">
      <w:pPr>
        <w:ind w:firstLine="284"/>
        <w:jc w:val="center"/>
        <w:rPr>
          <w:rFonts w:ascii="Garamond" w:hAnsi="Garamond"/>
          <w:b/>
          <w:i/>
          <w:color w:val="0D0D0D" w:themeColor="text1" w:themeTint="F2"/>
          <w:sz w:val="20"/>
          <w:szCs w:val="20"/>
        </w:rPr>
      </w:pPr>
    </w:p>
    <w:p w14:paraId="13B1921E" w14:textId="77777777" w:rsidR="00567286" w:rsidRPr="00050FA4" w:rsidRDefault="00567286" w:rsidP="003F1DA7">
      <w:pPr>
        <w:ind w:firstLine="284"/>
        <w:jc w:val="center"/>
        <w:rPr>
          <w:rFonts w:ascii="Garamond" w:hAnsi="Garamond"/>
          <w:b/>
          <w:i/>
          <w:color w:val="0D0D0D" w:themeColor="text1" w:themeTint="F2"/>
          <w:sz w:val="20"/>
          <w:szCs w:val="20"/>
        </w:rPr>
      </w:pPr>
    </w:p>
    <w:p w14:paraId="1E3F575A" w14:textId="77777777" w:rsidR="00567286" w:rsidRPr="00050FA4" w:rsidRDefault="00567286" w:rsidP="003F1DA7">
      <w:pPr>
        <w:ind w:firstLine="284"/>
        <w:jc w:val="center"/>
        <w:rPr>
          <w:rFonts w:ascii="Garamond" w:hAnsi="Garamond"/>
          <w:b/>
          <w:i/>
          <w:color w:val="0D0D0D" w:themeColor="text1" w:themeTint="F2"/>
          <w:sz w:val="20"/>
          <w:szCs w:val="20"/>
        </w:rPr>
      </w:pPr>
    </w:p>
    <w:p w14:paraId="7F06D1FC" w14:textId="77777777" w:rsidR="00567286" w:rsidRPr="00050FA4" w:rsidRDefault="00567286" w:rsidP="003F1DA7">
      <w:pPr>
        <w:ind w:firstLine="284"/>
        <w:jc w:val="center"/>
        <w:rPr>
          <w:rFonts w:ascii="Garamond" w:hAnsi="Garamond"/>
          <w:b/>
          <w:i/>
          <w:color w:val="0D0D0D" w:themeColor="text1" w:themeTint="F2"/>
          <w:sz w:val="20"/>
          <w:szCs w:val="20"/>
        </w:rPr>
      </w:pPr>
    </w:p>
    <w:p w14:paraId="43B2BCE3" w14:textId="77777777" w:rsidR="00567286" w:rsidRPr="00050FA4" w:rsidRDefault="00567286" w:rsidP="003F1DA7">
      <w:pPr>
        <w:ind w:firstLine="284"/>
        <w:jc w:val="center"/>
        <w:rPr>
          <w:rFonts w:ascii="Garamond" w:hAnsi="Garamond"/>
          <w:b/>
          <w:i/>
          <w:color w:val="0D0D0D" w:themeColor="text1" w:themeTint="F2"/>
          <w:sz w:val="20"/>
          <w:szCs w:val="20"/>
        </w:rPr>
      </w:pPr>
    </w:p>
    <w:p w14:paraId="3B05328C" w14:textId="77777777" w:rsidR="00567286" w:rsidRPr="00050FA4" w:rsidRDefault="00567286" w:rsidP="003F1DA7">
      <w:pPr>
        <w:ind w:firstLine="284"/>
        <w:jc w:val="center"/>
        <w:rPr>
          <w:rFonts w:ascii="Garamond" w:hAnsi="Garamond"/>
          <w:b/>
          <w:i/>
          <w:color w:val="0D0D0D" w:themeColor="text1" w:themeTint="F2"/>
          <w:sz w:val="20"/>
          <w:szCs w:val="20"/>
        </w:rPr>
      </w:pPr>
    </w:p>
    <w:p w14:paraId="5170F5C8" w14:textId="77777777" w:rsidR="00567286" w:rsidRPr="00050FA4" w:rsidRDefault="00567286" w:rsidP="003F1DA7">
      <w:pPr>
        <w:ind w:firstLine="284"/>
        <w:jc w:val="center"/>
        <w:rPr>
          <w:rFonts w:ascii="Garamond" w:hAnsi="Garamond"/>
          <w:b/>
          <w:i/>
          <w:color w:val="0D0D0D" w:themeColor="text1" w:themeTint="F2"/>
          <w:sz w:val="20"/>
          <w:szCs w:val="20"/>
        </w:rPr>
      </w:pPr>
    </w:p>
    <w:p w14:paraId="62ACA4C9" w14:textId="50FC2FC4" w:rsidR="00094A26" w:rsidRPr="00050FA4" w:rsidRDefault="00567286" w:rsidP="003F1DA7">
      <w:pPr>
        <w:ind w:firstLine="284"/>
        <w:jc w:val="center"/>
        <w:rPr>
          <w:rFonts w:ascii="Garamond" w:hAnsi="Garamond"/>
          <w:b/>
          <w:i/>
          <w:color w:val="0D0D0D" w:themeColor="text1" w:themeTint="F2"/>
          <w:sz w:val="20"/>
          <w:szCs w:val="20"/>
        </w:rPr>
      </w:pPr>
      <w:r w:rsidRPr="00050FA4">
        <w:rPr>
          <w:rFonts w:ascii="Garamond" w:hAnsi="Garamond"/>
          <w:b/>
          <w:i/>
          <w:color w:val="0D0D0D" w:themeColor="text1" w:themeTint="F2"/>
          <w:sz w:val="20"/>
          <w:szCs w:val="20"/>
        </w:rPr>
        <w:t xml:space="preserve">Tabelë 4.7.1B </w:t>
      </w:r>
      <w:r w:rsidR="00094A26" w:rsidRPr="00050FA4">
        <w:rPr>
          <w:rFonts w:ascii="Garamond" w:hAnsi="Garamond"/>
          <w:b/>
          <w:i/>
          <w:color w:val="0D0D0D" w:themeColor="text1" w:themeTint="F2"/>
          <w:sz w:val="20"/>
          <w:szCs w:val="20"/>
        </w:rPr>
        <w:t>Të ardhurat dhe shpenzimet kryesore për secilin skenar (% e PBB-së)</w:t>
      </w:r>
    </w:p>
    <w:p w14:paraId="143AA24B" w14:textId="494BB66A" w:rsidR="00094A26" w:rsidRPr="00050FA4" w:rsidRDefault="00094A26" w:rsidP="003F1DA7">
      <w:pPr>
        <w:ind w:firstLine="284"/>
        <w:jc w:val="center"/>
        <w:rPr>
          <w:rFonts w:ascii="Garamond" w:hAnsi="Garamond"/>
          <w:color w:val="0D0D0D" w:themeColor="text1" w:themeTint="F2"/>
          <w:sz w:val="22"/>
          <w:szCs w:val="22"/>
        </w:rPr>
      </w:pPr>
      <w:r w:rsidRPr="00050FA4">
        <w:rPr>
          <w:rFonts w:ascii="Garamond" w:hAnsi="Garamond"/>
          <w:noProof/>
          <w:color w:val="0D0D0D" w:themeColor="text1" w:themeTint="F2"/>
          <w:lang w:val="en-US"/>
        </w:rPr>
        <w:drawing>
          <wp:inline distT="0" distB="0" distL="0" distR="0" wp14:anchorId="2362ED3A" wp14:editId="17942701">
            <wp:extent cx="6004558" cy="579077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08134" cy="5794222"/>
                    </a:xfrm>
                    <a:prstGeom prst="rect">
                      <a:avLst/>
                    </a:prstGeom>
                    <a:noFill/>
                    <a:ln>
                      <a:noFill/>
                    </a:ln>
                  </pic:spPr>
                </pic:pic>
              </a:graphicData>
            </a:graphic>
          </wp:inline>
        </w:drawing>
      </w:r>
    </w:p>
    <w:p w14:paraId="2870C09C" w14:textId="77777777" w:rsidR="00094A26" w:rsidRPr="00050FA4" w:rsidRDefault="00094A26" w:rsidP="003F1DA7">
      <w:pPr>
        <w:ind w:firstLine="284"/>
        <w:jc w:val="center"/>
        <w:rPr>
          <w:rFonts w:ascii="Garamond" w:hAnsi="Garamond"/>
          <w:color w:val="0D0D0D" w:themeColor="text1" w:themeTint="F2"/>
          <w:sz w:val="22"/>
          <w:szCs w:val="22"/>
        </w:rPr>
      </w:pPr>
    </w:p>
    <w:p w14:paraId="545E4BB1" w14:textId="77777777" w:rsidR="004B19EA" w:rsidRPr="00050FA4" w:rsidRDefault="004B19EA" w:rsidP="003F1DA7">
      <w:pPr>
        <w:ind w:firstLine="284"/>
        <w:jc w:val="center"/>
        <w:rPr>
          <w:rFonts w:ascii="Garamond" w:hAnsi="Garamond"/>
          <w:color w:val="0D0D0D" w:themeColor="text1" w:themeTint="F2"/>
          <w:sz w:val="22"/>
          <w:szCs w:val="22"/>
        </w:rPr>
      </w:pPr>
    </w:p>
    <w:p w14:paraId="408AA1FD" w14:textId="77777777" w:rsidR="004B19EA" w:rsidRPr="00050FA4" w:rsidRDefault="004B19EA" w:rsidP="003F1DA7">
      <w:pPr>
        <w:ind w:firstLine="284"/>
        <w:jc w:val="center"/>
        <w:rPr>
          <w:rFonts w:ascii="Garamond" w:hAnsi="Garamond"/>
          <w:color w:val="0D0D0D" w:themeColor="text1" w:themeTint="F2"/>
          <w:sz w:val="22"/>
          <w:szCs w:val="22"/>
        </w:rPr>
      </w:pPr>
    </w:p>
    <w:p w14:paraId="217534D6" w14:textId="77777777" w:rsidR="004B19EA" w:rsidRPr="00050FA4" w:rsidRDefault="004B19EA" w:rsidP="003F1DA7">
      <w:pPr>
        <w:ind w:firstLine="284"/>
        <w:jc w:val="center"/>
        <w:rPr>
          <w:rFonts w:ascii="Garamond" w:hAnsi="Garamond"/>
          <w:color w:val="0D0D0D" w:themeColor="text1" w:themeTint="F2"/>
          <w:sz w:val="22"/>
          <w:szCs w:val="22"/>
        </w:rPr>
      </w:pPr>
    </w:p>
    <w:p w14:paraId="2878CBFD" w14:textId="77777777" w:rsidR="004B19EA" w:rsidRPr="00050FA4" w:rsidRDefault="004B19EA" w:rsidP="003F1DA7">
      <w:pPr>
        <w:ind w:firstLine="284"/>
        <w:jc w:val="center"/>
        <w:rPr>
          <w:rFonts w:ascii="Garamond" w:hAnsi="Garamond"/>
          <w:color w:val="0D0D0D" w:themeColor="text1" w:themeTint="F2"/>
          <w:sz w:val="22"/>
          <w:szCs w:val="22"/>
        </w:rPr>
      </w:pPr>
    </w:p>
    <w:p w14:paraId="3D365F02" w14:textId="77777777" w:rsidR="004B19EA" w:rsidRPr="00050FA4" w:rsidRDefault="004B19EA" w:rsidP="003F1DA7">
      <w:pPr>
        <w:ind w:firstLine="284"/>
        <w:jc w:val="center"/>
        <w:rPr>
          <w:rFonts w:ascii="Garamond" w:hAnsi="Garamond"/>
          <w:color w:val="0D0D0D" w:themeColor="text1" w:themeTint="F2"/>
          <w:sz w:val="22"/>
          <w:szCs w:val="22"/>
        </w:rPr>
      </w:pPr>
    </w:p>
    <w:p w14:paraId="69E7AF1C" w14:textId="77777777" w:rsidR="004B19EA" w:rsidRPr="00050FA4" w:rsidRDefault="004B19EA" w:rsidP="003F1DA7">
      <w:pPr>
        <w:ind w:firstLine="284"/>
        <w:jc w:val="center"/>
        <w:rPr>
          <w:rFonts w:ascii="Garamond" w:hAnsi="Garamond"/>
          <w:color w:val="0D0D0D" w:themeColor="text1" w:themeTint="F2"/>
          <w:sz w:val="22"/>
          <w:szCs w:val="22"/>
        </w:rPr>
      </w:pPr>
    </w:p>
    <w:p w14:paraId="7835A7C6" w14:textId="77777777" w:rsidR="004B19EA" w:rsidRPr="00050FA4" w:rsidRDefault="004B19EA" w:rsidP="003F1DA7">
      <w:pPr>
        <w:ind w:firstLine="284"/>
        <w:jc w:val="center"/>
        <w:rPr>
          <w:rFonts w:ascii="Garamond" w:hAnsi="Garamond"/>
          <w:color w:val="0D0D0D" w:themeColor="text1" w:themeTint="F2"/>
          <w:sz w:val="22"/>
          <w:szCs w:val="22"/>
        </w:rPr>
      </w:pPr>
    </w:p>
    <w:p w14:paraId="3D7258A2" w14:textId="77777777" w:rsidR="004B19EA" w:rsidRPr="00050FA4" w:rsidRDefault="004B19EA" w:rsidP="003F1DA7">
      <w:pPr>
        <w:ind w:firstLine="284"/>
        <w:jc w:val="center"/>
        <w:rPr>
          <w:rFonts w:ascii="Garamond" w:hAnsi="Garamond"/>
          <w:color w:val="0D0D0D" w:themeColor="text1" w:themeTint="F2"/>
          <w:sz w:val="22"/>
          <w:szCs w:val="22"/>
        </w:rPr>
      </w:pPr>
    </w:p>
    <w:p w14:paraId="66BF0283" w14:textId="77777777" w:rsidR="004B19EA" w:rsidRPr="00050FA4" w:rsidRDefault="004B19EA" w:rsidP="003F1DA7">
      <w:pPr>
        <w:ind w:firstLine="284"/>
        <w:jc w:val="center"/>
        <w:rPr>
          <w:rFonts w:ascii="Garamond" w:hAnsi="Garamond"/>
          <w:color w:val="0D0D0D" w:themeColor="text1" w:themeTint="F2"/>
          <w:sz w:val="22"/>
          <w:szCs w:val="22"/>
        </w:rPr>
      </w:pPr>
    </w:p>
    <w:p w14:paraId="48D03641" w14:textId="77777777" w:rsidR="004B19EA" w:rsidRPr="00050FA4" w:rsidRDefault="004B19EA" w:rsidP="003F1DA7">
      <w:pPr>
        <w:ind w:firstLine="284"/>
        <w:jc w:val="center"/>
        <w:rPr>
          <w:rFonts w:ascii="Garamond" w:hAnsi="Garamond"/>
          <w:color w:val="0D0D0D" w:themeColor="text1" w:themeTint="F2"/>
          <w:sz w:val="22"/>
          <w:szCs w:val="22"/>
        </w:rPr>
      </w:pPr>
    </w:p>
    <w:p w14:paraId="76BE2D35" w14:textId="77777777" w:rsidR="004B19EA" w:rsidRPr="00050FA4" w:rsidRDefault="004B19EA" w:rsidP="003F1DA7">
      <w:pPr>
        <w:ind w:firstLine="284"/>
        <w:jc w:val="center"/>
        <w:rPr>
          <w:rFonts w:ascii="Garamond" w:hAnsi="Garamond"/>
          <w:color w:val="0D0D0D" w:themeColor="text1" w:themeTint="F2"/>
          <w:sz w:val="22"/>
          <w:szCs w:val="22"/>
        </w:rPr>
      </w:pPr>
    </w:p>
    <w:p w14:paraId="78D94309" w14:textId="77777777" w:rsidR="004B19EA" w:rsidRPr="00050FA4" w:rsidRDefault="004B19EA" w:rsidP="003F1DA7">
      <w:pPr>
        <w:ind w:firstLine="284"/>
        <w:jc w:val="center"/>
        <w:rPr>
          <w:rFonts w:ascii="Garamond" w:hAnsi="Garamond"/>
          <w:color w:val="0D0D0D" w:themeColor="text1" w:themeTint="F2"/>
          <w:sz w:val="22"/>
          <w:szCs w:val="22"/>
        </w:rPr>
      </w:pPr>
    </w:p>
    <w:p w14:paraId="41EDA8FB" w14:textId="77777777" w:rsidR="004B19EA" w:rsidRPr="00050FA4" w:rsidRDefault="004B19EA" w:rsidP="003F1DA7">
      <w:pPr>
        <w:ind w:firstLine="284"/>
        <w:jc w:val="center"/>
        <w:rPr>
          <w:rFonts w:ascii="Garamond" w:hAnsi="Garamond"/>
          <w:color w:val="0D0D0D" w:themeColor="text1" w:themeTint="F2"/>
          <w:sz w:val="22"/>
          <w:szCs w:val="22"/>
        </w:rPr>
      </w:pPr>
    </w:p>
    <w:p w14:paraId="557870A3" w14:textId="77777777" w:rsidR="004B19EA" w:rsidRPr="00050FA4" w:rsidRDefault="004B19EA" w:rsidP="003F1DA7">
      <w:pPr>
        <w:ind w:firstLine="284"/>
        <w:jc w:val="center"/>
        <w:rPr>
          <w:rFonts w:ascii="Garamond" w:hAnsi="Garamond"/>
          <w:color w:val="0D0D0D" w:themeColor="text1" w:themeTint="F2"/>
          <w:sz w:val="22"/>
          <w:szCs w:val="22"/>
        </w:rPr>
      </w:pPr>
    </w:p>
    <w:p w14:paraId="0885F3B0" w14:textId="77777777" w:rsidR="004B19EA" w:rsidRPr="00050FA4" w:rsidRDefault="004B19EA" w:rsidP="003F1DA7">
      <w:pPr>
        <w:ind w:firstLine="284"/>
        <w:jc w:val="center"/>
        <w:rPr>
          <w:rFonts w:ascii="Garamond" w:hAnsi="Garamond"/>
          <w:color w:val="0D0D0D" w:themeColor="text1" w:themeTint="F2"/>
          <w:sz w:val="22"/>
          <w:szCs w:val="22"/>
        </w:rPr>
      </w:pPr>
    </w:p>
    <w:p w14:paraId="15E24B95" w14:textId="77777777" w:rsidR="004B19EA" w:rsidRPr="00050FA4" w:rsidRDefault="004B19EA" w:rsidP="003F1DA7">
      <w:pPr>
        <w:ind w:firstLine="284"/>
        <w:jc w:val="center"/>
        <w:rPr>
          <w:rFonts w:ascii="Garamond" w:hAnsi="Garamond"/>
          <w:color w:val="0D0D0D" w:themeColor="text1" w:themeTint="F2"/>
          <w:sz w:val="22"/>
          <w:szCs w:val="22"/>
        </w:rPr>
      </w:pPr>
    </w:p>
    <w:p w14:paraId="0E3291EB" w14:textId="02B1DF90" w:rsidR="00094A26" w:rsidRPr="00050FA4" w:rsidRDefault="00567286" w:rsidP="003F1DA7">
      <w:pPr>
        <w:ind w:firstLine="284"/>
        <w:jc w:val="center"/>
        <w:rPr>
          <w:rFonts w:ascii="Garamond" w:hAnsi="Garamond"/>
          <w:b/>
          <w:i/>
          <w:color w:val="0D0D0D" w:themeColor="text1" w:themeTint="F2"/>
          <w:sz w:val="20"/>
          <w:szCs w:val="20"/>
        </w:rPr>
      </w:pPr>
      <w:r w:rsidRPr="00050FA4">
        <w:rPr>
          <w:rFonts w:ascii="Garamond" w:hAnsi="Garamond"/>
          <w:b/>
          <w:i/>
          <w:color w:val="0D0D0D" w:themeColor="text1" w:themeTint="F2"/>
          <w:sz w:val="20"/>
          <w:szCs w:val="20"/>
        </w:rPr>
        <w:lastRenderedPageBreak/>
        <w:t xml:space="preserve">Tabelë 4.7.2B </w:t>
      </w:r>
      <w:r w:rsidR="00094A26" w:rsidRPr="00050FA4">
        <w:rPr>
          <w:rFonts w:ascii="Garamond" w:hAnsi="Garamond"/>
          <w:b/>
          <w:i/>
          <w:color w:val="0D0D0D" w:themeColor="text1" w:themeTint="F2"/>
          <w:sz w:val="20"/>
          <w:szCs w:val="20"/>
        </w:rPr>
        <w:t>Parametrat kryesorë fiskalë dhe zërat e financimit në secilin skenar (% e PBB-së)</w:t>
      </w:r>
    </w:p>
    <w:p w14:paraId="4514A0D7" w14:textId="29BF971D" w:rsidR="00094A26" w:rsidRPr="00050FA4" w:rsidRDefault="00094A26" w:rsidP="003F1DA7">
      <w:pPr>
        <w:ind w:firstLine="284"/>
        <w:jc w:val="center"/>
        <w:rPr>
          <w:rFonts w:ascii="Garamond" w:hAnsi="Garamond"/>
          <w:color w:val="0D0D0D" w:themeColor="text1" w:themeTint="F2"/>
          <w:sz w:val="22"/>
          <w:szCs w:val="22"/>
        </w:rPr>
      </w:pPr>
      <w:r w:rsidRPr="00050FA4">
        <w:rPr>
          <w:rFonts w:ascii="Garamond" w:hAnsi="Garamond"/>
          <w:noProof/>
          <w:color w:val="0D0D0D" w:themeColor="text1" w:themeTint="F2"/>
          <w:lang w:val="en-US"/>
        </w:rPr>
        <w:drawing>
          <wp:inline distT="0" distB="0" distL="0" distR="0" wp14:anchorId="25338F9B" wp14:editId="55C5B16F">
            <wp:extent cx="5887747" cy="817742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90426" cy="8181146"/>
                    </a:xfrm>
                    <a:prstGeom prst="rect">
                      <a:avLst/>
                    </a:prstGeom>
                    <a:noFill/>
                    <a:ln>
                      <a:noFill/>
                    </a:ln>
                  </pic:spPr>
                </pic:pic>
              </a:graphicData>
            </a:graphic>
          </wp:inline>
        </w:drawing>
      </w:r>
    </w:p>
    <w:p w14:paraId="436B21FC" w14:textId="77777777" w:rsidR="00094A26" w:rsidRPr="00050FA4" w:rsidRDefault="00094A26" w:rsidP="003F1DA7">
      <w:pPr>
        <w:snapToGrid w:val="0"/>
        <w:ind w:firstLine="284"/>
        <w:jc w:val="center"/>
        <w:rPr>
          <w:rFonts w:ascii="Garamond" w:hAnsi="Garamond"/>
          <w:color w:val="0D0D0D" w:themeColor="text1" w:themeTint="F2"/>
        </w:rPr>
      </w:pPr>
    </w:p>
    <w:p w14:paraId="4A45AF0D" w14:textId="4AF944EC" w:rsidR="004E6105" w:rsidRPr="00050FA4" w:rsidRDefault="00326B4B" w:rsidP="003F1DA7">
      <w:pPr>
        <w:pStyle w:val="AAAAAAATEXXXX"/>
        <w:rPr>
          <w:rFonts w:cstheme="majorBidi"/>
          <w:b/>
          <w:lang w:val="sq-AL"/>
        </w:rPr>
      </w:pPr>
      <w:bookmarkStart w:id="38" w:name="_Toc61854160"/>
      <w:bookmarkStart w:id="39" w:name="_Toc93325760"/>
      <w:r w:rsidRPr="00050FA4">
        <w:rPr>
          <w:b/>
          <w:lang w:val="sq-AL"/>
        </w:rPr>
        <w:t xml:space="preserve">4.8 </w:t>
      </w:r>
      <w:r w:rsidR="000A27DD" w:rsidRPr="00050FA4">
        <w:rPr>
          <w:b/>
          <w:lang w:val="sq-AL"/>
        </w:rPr>
        <w:t>Cilësia e financave publike</w:t>
      </w:r>
      <w:bookmarkEnd w:id="38"/>
      <w:bookmarkEnd w:id="39"/>
    </w:p>
    <w:p w14:paraId="41337AC3" w14:textId="3FA8DB37" w:rsidR="00094A26" w:rsidRPr="00050FA4" w:rsidRDefault="00094A26" w:rsidP="003F1DA7">
      <w:pPr>
        <w:pStyle w:val="AAAAAAATEXXXX"/>
        <w:rPr>
          <w:lang w:val="sq-AL"/>
        </w:rPr>
      </w:pPr>
      <w:r w:rsidRPr="00050FA4">
        <w:rPr>
          <w:lang w:val="sq-AL"/>
        </w:rPr>
        <w:t xml:space="preserve">Cilësia e financave publike në Shqipëri ka </w:t>
      </w:r>
      <w:r w:rsidR="00DA35AA" w:rsidRPr="00050FA4">
        <w:rPr>
          <w:lang w:val="sq-AL"/>
        </w:rPr>
        <w:t>qenë</w:t>
      </w:r>
      <w:r w:rsidRPr="00050FA4">
        <w:rPr>
          <w:lang w:val="sq-AL"/>
        </w:rPr>
        <w:t xml:space="preserve"> në proces reformimi</w:t>
      </w:r>
      <w:r w:rsidR="00300D7B" w:rsidRPr="00050FA4">
        <w:rPr>
          <w:lang w:val="sq-AL"/>
        </w:rPr>
        <w:t>,</w:t>
      </w:r>
      <w:r w:rsidRPr="00050FA4">
        <w:rPr>
          <w:lang w:val="sq-AL"/>
        </w:rPr>
        <w:t xml:space="preserve"> duke filluar nga viti 2014, me miratimin e Strategjisë së Menaxhimit të Financave Publike (MFP) 2014</w:t>
      </w:r>
      <w:r w:rsidR="00300D7B" w:rsidRPr="00050FA4">
        <w:rPr>
          <w:color w:val="0D0D0D" w:themeColor="text1" w:themeTint="F2"/>
          <w:lang w:val="sq-AL"/>
        </w:rPr>
        <w:t>–</w:t>
      </w:r>
      <w:r w:rsidRPr="00050FA4">
        <w:rPr>
          <w:lang w:val="sq-AL"/>
        </w:rPr>
        <w:t>2020, ndjekur nga Strategjia e MFP 2019</w:t>
      </w:r>
      <w:r w:rsidR="00DA35AA" w:rsidRPr="00050FA4">
        <w:rPr>
          <w:lang w:val="sq-AL"/>
        </w:rPr>
        <w:t>–</w:t>
      </w:r>
      <w:r w:rsidRPr="00050FA4">
        <w:rPr>
          <w:lang w:val="sq-AL"/>
        </w:rPr>
        <w:t xml:space="preserve">2022. Përmirësimet e financave publike ndër vite dëshmojnë ecurinë e reformës gjatë këtyre </w:t>
      </w:r>
      <w:r w:rsidRPr="00050FA4">
        <w:rPr>
          <w:lang w:val="sq-AL"/>
        </w:rPr>
        <w:lastRenderedPageBreak/>
        <w:t>viteve. Strategjia e rishikuar e MFP-së 2019</w:t>
      </w:r>
      <w:r w:rsidR="00300D7B" w:rsidRPr="00050FA4">
        <w:rPr>
          <w:color w:val="0D0D0D" w:themeColor="text1" w:themeTint="F2"/>
          <w:lang w:val="sq-AL"/>
        </w:rPr>
        <w:t>–</w:t>
      </w:r>
      <w:r w:rsidRPr="00050FA4">
        <w:rPr>
          <w:lang w:val="sq-AL"/>
        </w:rPr>
        <w:t>2022 adreson një sërë sfidash që vendi ynë duhet të trajtojë në rrugën e tij drejt Bashkimit Evropian. Strategjia e MFP-së synon të mbështesë një ekonomi më të zhvilluar, me shërbime më të mira për qytetarët; synon rritjen e përgjegjshmërisë, efi</w:t>
      </w:r>
      <w:r w:rsidR="00DA35AA" w:rsidRPr="00050FA4">
        <w:rPr>
          <w:lang w:val="sq-AL"/>
        </w:rPr>
        <w:t>ci</w:t>
      </w:r>
      <w:r w:rsidRPr="00050FA4">
        <w:rPr>
          <w:lang w:val="sq-AL"/>
        </w:rPr>
        <w:t xml:space="preserve">encës dhe disiplinës fiskale në planifikimin dhe shpenzimin e fondeve publike. Me mbështetjen e kësaj Strategjie, qeveria shqiptare pret të përmirësojë buxhetimin me bazë gjinore dhe në këtë mënyrë të ndërmarrë një hap të prekshëm në rritjen e mundësive të barabarta mes meshkujve dhe femrave për zhvillimin e vendit tonë dhe për transformimin shoqëror. Strategjia i mundëson qeverisjes vendore të ofrojë shërbime më të mira dhe më transparente për qytetarët dhe u jep atyre mundësinë të kenë fjalën e tyre në planifikimin dhe shpenzimin e fondeve publike. </w:t>
      </w:r>
    </w:p>
    <w:p w14:paraId="6EF96DD1" w14:textId="5A77008F" w:rsidR="00094A26" w:rsidRPr="00050FA4" w:rsidRDefault="00094A26" w:rsidP="003F1DA7">
      <w:pPr>
        <w:pStyle w:val="AAAAAAATEXXXX"/>
        <w:rPr>
          <w:lang w:val="sq-AL"/>
        </w:rPr>
      </w:pPr>
      <w:r w:rsidRPr="00050FA4">
        <w:rPr>
          <w:lang w:val="sq-AL"/>
        </w:rPr>
        <w:t>Vizioni i Strategjisë së reformës së MFP-së është garantimi i një sistemi të financave publike që rrit transparencën, llogaridhënien, disiplinën fiskale dhe efi</w:t>
      </w:r>
      <w:r w:rsidR="00DA35AA" w:rsidRPr="00050FA4">
        <w:rPr>
          <w:lang w:val="sq-AL"/>
        </w:rPr>
        <w:t>c</w:t>
      </w:r>
      <w:r w:rsidRPr="00050FA4">
        <w:rPr>
          <w:lang w:val="sq-AL"/>
        </w:rPr>
        <w:t>iencën në menaxhimin dhe përdorimin e burimeve publike për përmirësimin e cilësisë së ofrimit të shërbimeve dhe zhvillimin ekonomik.</w:t>
      </w:r>
    </w:p>
    <w:p w14:paraId="71F6E91A" w14:textId="77777777" w:rsidR="00094A26" w:rsidRPr="00050FA4" w:rsidRDefault="00094A26" w:rsidP="003F1DA7">
      <w:pPr>
        <w:pStyle w:val="AAAAAAATEXXXX"/>
        <w:rPr>
          <w:lang w:val="sq-AL"/>
        </w:rPr>
      </w:pPr>
      <w:r w:rsidRPr="00050FA4">
        <w:rPr>
          <w:lang w:val="sq-AL"/>
        </w:rPr>
        <w:t xml:space="preserve">Ministria e Financave dhe Ekonomisë po punon për futjen e standardeve të reja për rritjen e transparencës në planifikimin dhe shpenzimin e fondeve publike. Kjo strategji do të shërbejë si bazë për një angazhim të plotë për përmirësimin e administratës fiskale, mbledhjen e taksave dhe reduktimin e informalitetit në ekonomi. Strategjia parashikon një sistem të përmirësuar të menaxhimit financiar, në përputhje me kuadrin ligjor dhe shkallë më të lartë të kontrollit mbi shpenzimet publike. </w:t>
      </w:r>
    </w:p>
    <w:p w14:paraId="28598627" w14:textId="50B6D49E" w:rsidR="00094A26" w:rsidRPr="00050FA4" w:rsidRDefault="00094A26" w:rsidP="003F1DA7">
      <w:pPr>
        <w:pStyle w:val="AAAAAAATEXXXX"/>
        <w:rPr>
          <w:lang w:val="sq-AL" w:eastAsia="sq-AL" w:bidi="he-IL"/>
        </w:rPr>
      </w:pPr>
      <w:r w:rsidRPr="00050FA4">
        <w:rPr>
          <w:lang w:val="sq-AL"/>
        </w:rPr>
        <w:t>Gjatë vitit 2020, Minis</w:t>
      </w:r>
      <w:r w:rsidR="00030B40" w:rsidRPr="00050FA4">
        <w:rPr>
          <w:lang w:val="sq-AL"/>
        </w:rPr>
        <w:t xml:space="preserve">tria e Financave dhe Ekonomisë </w:t>
      </w:r>
      <w:r w:rsidRPr="00050FA4">
        <w:rPr>
          <w:lang w:val="sq-AL"/>
        </w:rPr>
        <w:t>ndërmori një proces rishikimi për të përditësuar Planin e Veprimit të MFP-së 2020</w:t>
      </w:r>
      <w:r w:rsidR="00085CE8" w:rsidRPr="00050FA4">
        <w:rPr>
          <w:color w:val="0D0D0D" w:themeColor="text1" w:themeTint="F2"/>
          <w:lang w:val="sq-AL"/>
        </w:rPr>
        <w:t>–</w:t>
      </w:r>
      <w:r w:rsidRPr="00050FA4">
        <w:rPr>
          <w:lang w:val="sq-AL"/>
        </w:rPr>
        <w:t xml:space="preserve">2022. Qëllimi i rishikimit ishte të merrte parasysh ndikimin negativ të tërmetit dhe pandemisë </w:t>
      </w:r>
      <w:r w:rsidR="00DA35AA" w:rsidRPr="00050FA4">
        <w:rPr>
          <w:lang w:val="sq-AL"/>
        </w:rPr>
        <w:t>COVID</w:t>
      </w:r>
      <w:r w:rsidRPr="00050FA4">
        <w:rPr>
          <w:lang w:val="sq-AL"/>
        </w:rPr>
        <w:t xml:space="preserve">-19 në arritjen e rezultateve. Ndërkohë që ndryshimet janë përfshirë në </w:t>
      </w:r>
      <w:r w:rsidRPr="00050FA4">
        <w:rPr>
          <w:i/>
          <w:lang w:val="sq-AL"/>
        </w:rPr>
        <w:t>log frame</w:t>
      </w:r>
      <w:r w:rsidRPr="00050FA4">
        <w:rPr>
          <w:vertAlign w:val="superscript"/>
          <w:lang w:val="sq-AL"/>
        </w:rPr>
        <w:footnoteReference w:id="10"/>
      </w:r>
      <w:r w:rsidRPr="00050FA4">
        <w:rPr>
          <w:lang w:val="sq-AL"/>
        </w:rPr>
        <w:t>-in e strategjisë, thelbi mbetet i njëjtë me objektivat e përgjithsh</w:t>
      </w:r>
      <w:r w:rsidR="00BA32E8" w:rsidRPr="00050FA4">
        <w:rPr>
          <w:lang w:val="sq-AL"/>
        </w:rPr>
        <w:t>ë</w:t>
      </w:r>
      <w:r w:rsidRPr="00050FA4">
        <w:rPr>
          <w:lang w:val="sq-AL"/>
        </w:rPr>
        <w:t>m dhe specifik</w:t>
      </w:r>
      <w:r w:rsidR="00BA32E8" w:rsidRPr="00050FA4">
        <w:rPr>
          <w:lang w:val="sq-AL"/>
        </w:rPr>
        <w:t>ë</w:t>
      </w:r>
      <w:r w:rsidRPr="00050FA4">
        <w:rPr>
          <w:lang w:val="sq-AL"/>
        </w:rPr>
        <w:t xml:space="preserve"> që po ruhen. Një nga ndryshimet më të rëndësishme ka të bëjë me përbërjen e shpenzimeve, pasi është një nga aspektet më të ndikuara të financave publike,</w:t>
      </w:r>
      <w:r w:rsidR="00DA35AA" w:rsidRPr="00050FA4">
        <w:rPr>
          <w:lang w:val="sq-AL"/>
        </w:rPr>
        <w:t xml:space="preserve"> duke pasur parasysh se ri</w:t>
      </w:r>
      <w:r w:rsidRPr="00050FA4">
        <w:rPr>
          <w:lang w:val="sq-AL"/>
        </w:rPr>
        <w:t>prioritizimi dhe rialokimi i shpenzimeve buxhetore kanë ndikuar në përbërje. Rishikimi i Planit të Veprimit të MFP-së për vitet 2020</w:t>
      </w:r>
      <w:r w:rsidR="005B3CCE" w:rsidRPr="00050FA4">
        <w:rPr>
          <w:color w:val="0D0D0D" w:themeColor="text1" w:themeTint="F2"/>
          <w:lang w:val="sq-AL"/>
        </w:rPr>
        <w:t>–</w:t>
      </w:r>
      <w:r w:rsidRPr="00050FA4">
        <w:rPr>
          <w:lang w:val="sq-AL"/>
        </w:rPr>
        <w:t xml:space="preserve">2022, synon të mbështesë dhe të identifikojë këto ndryshime në mënyrë që të përafrohet dhe të shtyjë masat e fundit të politikave në vend që mbështesin një rritje ekonomike gjithëpërfshirëse. </w:t>
      </w:r>
      <w:r w:rsidRPr="00050FA4">
        <w:rPr>
          <w:i/>
          <w:lang w:val="sq-AL"/>
        </w:rPr>
        <w:t>Log frame</w:t>
      </w:r>
      <w:r w:rsidRPr="00050FA4">
        <w:rPr>
          <w:lang w:val="sq-AL"/>
        </w:rPr>
        <w:t>-i i strategjisë, ndryshimi i treguesve, objektivat e synuar dhe afatet kohore të tyre u diskutuan nga Komiteti Drejtues i MFP-së në janar të vitit 2021 dhe pas kësaj u miratua Plani i Veprimit i rishikuar për periudhën 2020</w:t>
      </w:r>
      <w:r w:rsidR="005B3CCE" w:rsidRPr="00050FA4">
        <w:rPr>
          <w:color w:val="0D0D0D" w:themeColor="text1" w:themeTint="F2"/>
          <w:lang w:val="sq-AL"/>
        </w:rPr>
        <w:t>–</w:t>
      </w:r>
      <w:r w:rsidRPr="00050FA4">
        <w:rPr>
          <w:lang w:val="sq-AL"/>
        </w:rPr>
        <w:t>2022.</w:t>
      </w:r>
    </w:p>
    <w:p w14:paraId="7FF4FC34" w14:textId="67949A88" w:rsidR="00A05FC8" w:rsidRPr="00050FA4" w:rsidRDefault="00326B4B" w:rsidP="003F1DA7">
      <w:pPr>
        <w:pStyle w:val="AAAAAAATEXXXX"/>
        <w:rPr>
          <w:b/>
          <w:lang w:val="sq-AL"/>
        </w:rPr>
      </w:pPr>
      <w:bookmarkStart w:id="40" w:name="_Toc61854161"/>
      <w:bookmarkStart w:id="41" w:name="_Toc93325761"/>
      <w:r w:rsidRPr="00050FA4">
        <w:rPr>
          <w:b/>
          <w:lang w:val="sq-AL"/>
        </w:rPr>
        <w:t xml:space="preserve">4.9 </w:t>
      </w:r>
      <w:r w:rsidR="000A27DD" w:rsidRPr="00050FA4">
        <w:rPr>
          <w:b/>
          <w:lang w:val="sq-AL"/>
        </w:rPr>
        <w:t>Qeverisja fiskale dhe kuadri buxhetor</w:t>
      </w:r>
      <w:bookmarkEnd w:id="40"/>
      <w:bookmarkEnd w:id="41"/>
    </w:p>
    <w:p w14:paraId="2C6A60FA" w14:textId="2B47A5BE" w:rsidR="00094A26" w:rsidRPr="00050FA4" w:rsidRDefault="00094A26" w:rsidP="003F1DA7">
      <w:pPr>
        <w:pStyle w:val="AAAAAAATEXXXX"/>
        <w:rPr>
          <w:lang w:val="sq-AL"/>
        </w:rPr>
      </w:pPr>
      <w:r w:rsidRPr="00050FA4">
        <w:rPr>
          <w:lang w:val="sq-AL"/>
        </w:rPr>
        <w:t xml:space="preserve">Strategjia e MFP-së përshkruan ndryshimet e parashikuara në qeverisjen fiskale të vendit, domethënë në set masash, rregullash dhe institucionesh që mbështesin drejtimin e politikës fiskale dhe kush duhet të bëjë çfarë për të sjellë risi në proceset e menaxhimit të financave publike. Strategjia ofron rezultate </w:t>
      </w:r>
      <w:r w:rsidR="001A322B" w:rsidRPr="00050FA4">
        <w:rPr>
          <w:lang w:val="sq-AL"/>
        </w:rPr>
        <w:t xml:space="preserve">specifike, të matshme, të arritshme, realiste, në kohë </w:t>
      </w:r>
      <w:r w:rsidRPr="00050FA4">
        <w:rPr>
          <w:lang w:val="sq-AL"/>
        </w:rPr>
        <w:t xml:space="preserve">(SMART) për secilin nga </w:t>
      </w:r>
      <w:r w:rsidR="00BA32E8" w:rsidRPr="00050FA4">
        <w:rPr>
          <w:lang w:val="sq-AL"/>
        </w:rPr>
        <w:t>objektivat specifikë</w:t>
      </w:r>
      <w:r w:rsidRPr="00050FA4">
        <w:rPr>
          <w:lang w:val="sq-AL"/>
        </w:rPr>
        <w:t>, të cilat janë të detajuara së bashku me Ndërhyrjet (Komponentët). Secili objektiv specifik përfshin një përshkrim të progresit që nga viti 2014 së bashku me mësimet e nxjerra dhe prioritetet për periudhën 2019</w:t>
      </w:r>
      <w:r w:rsidR="001A322B" w:rsidRPr="00050FA4">
        <w:rPr>
          <w:color w:val="0D0D0D" w:themeColor="text1" w:themeTint="F2"/>
          <w:lang w:val="sq-AL"/>
        </w:rPr>
        <w:t>–</w:t>
      </w:r>
      <w:r w:rsidRPr="00050FA4">
        <w:rPr>
          <w:lang w:val="sq-AL"/>
        </w:rPr>
        <w:t>2022. Ndërhyrjet kryesore janë të lidhura drejtpërdrejt me rezultatet</w:t>
      </w:r>
      <w:r w:rsidR="001A322B" w:rsidRPr="00050FA4">
        <w:rPr>
          <w:lang w:val="sq-AL"/>
        </w:rPr>
        <w:t>,</w:t>
      </w:r>
      <w:r w:rsidRPr="00050FA4">
        <w:rPr>
          <w:lang w:val="sq-AL"/>
        </w:rPr>
        <w:t xml:space="preserve"> si dhe janë identifikuar aktorët kyçë për të garantuar linja të qarta të llogaridhënies. Gjithashtu, janë identifikuar qartë produktet për secilin komponent brenda </w:t>
      </w:r>
      <w:r w:rsidR="001A322B" w:rsidRPr="00050FA4">
        <w:rPr>
          <w:lang w:val="sq-AL"/>
        </w:rPr>
        <w:t>objektivit specifik</w:t>
      </w:r>
      <w:r w:rsidRPr="00050FA4">
        <w:rPr>
          <w:lang w:val="sq-AL"/>
        </w:rPr>
        <w:t>. Strategjia 2019</w:t>
      </w:r>
      <w:r w:rsidR="001A322B" w:rsidRPr="00050FA4">
        <w:rPr>
          <w:color w:val="0D0D0D" w:themeColor="text1" w:themeTint="F2"/>
          <w:lang w:val="sq-AL"/>
        </w:rPr>
        <w:t>–</w:t>
      </w:r>
      <w:r w:rsidRPr="00050FA4">
        <w:rPr>
          <w:lang w:val="sq-AL"/>
        </w:rPr>
        <w:t xml:space="preserve">2022 është riorganizuar në shtatë </w:t>
      </w:r>
      <w:r w:rsidR="00BA32E8" w:rsidRPr="00050FA4">
        <w:rPr>
          <w:lang w:val="sq-AL"/>
        </w:rPr>
        <w:t>objektiva specifikë</w:t>
      </w:r>
      <w:r w:rsidRPr="00050FA4">
        <w:rPr>
          <w:lang w:val="sq-AL"/>
        </w:rPr>
        <w:t>:</w:t>
      </w:r>
    </w:p>
    <w:p w14:paraId="0817134B" w14:textId="12E35D71" w:rsidR="00094A26" w:rsidRPr="00050FA4" w:rsidRDefault="00094A26" w:rsidP="003F1DA7">
      <w:pPr>
        <w:pStyle w:val="AAAAAAATEXXXX"/>
        <w:rPr>
          <w:lang w:val="sq-AL"/>
        </w:rPr>
      </w:pPr>
      <w:r w:rsidRPr="00050FA4">
        <w:rPr>
          <w:lang w:val="sq-AL"/>
        </w:rPr>
        <w:t xml:space="preserve">Objektivi </w:t>
      </w:r>
      <w:r w:rsidR="004461F5" w:rsidRPr="00050FA4">
        <w:rPr>
          <w:lang w:val="sq-AL"/>
        </w:rPr>
        <w:t xml:space="preserve">specifik </w:t>
      </w:r>
      <w:r w:rsidRPr="00050FA4">
        <w:rPr>
          <w:lang w:val="sq-AL"/>
        </w:rPr>
        <w:t xml:space="preserve">1: Kuadër fiskal i qëndrueshëm dhe i matur; </w:t>
      </w:r>
      <w:r w:rsidR="004461F5" w:rsidRPr="00050FA4">
        <w:rPr>
          <w:lang w:val="sq-AL"/>
        </w:rPr>
        <w:t xml:space="preserve">me anë të objektivit specifik </w:t>
      </w:r>
      <w:r w:rsidRPr="00050FA4">
        <w:rPr>
          <w:lang w:val="sq-AL"/>
        </w:rPr>
        <w:t>1, qeveria synon të krijojë një kuadër makroekonomik të matur dhe politika fiskale që kanë si objektiv uljen e raportit të borxhit ndaj PBB-së në planin afatmesëm si dhe menaxhimin e risqeve fiskale në mënyrë më efektive.</w:t>
      </w:r>
    </w:p>
    <w:p w14:paraId="784BC7C2" w14:textId="50CE6AEE" w:rsidR="00094A26" w:rsidRPr="00050FA4" w:rsidRDefault="00094A26" w:rsidP="003F1DA7">
      <w:pPr>
        <w:pStyle w:val="AAAAAAATEXXXX"/>
        <w:rPr>
          <w:lang w:val="sq-AL"/>
        </w:rPr>
      </w:pPr>
      <w:r w:rsidRPr="00050FA4">
        <w:rPr>
          <w:lang w:val="sq-AL"/>
        </w:rPr>
        <w:t>Objekti</w:t>
      </w:r>
      <w:r w:rsidR="00A434B9" w:rsidRPr="00050FA4">
        <w:rPr>
          <w:lang w:val="sq-AL"/>
        </w:rPr>
        <w:t xml:space="preserve">vi </w:t>
      </w:r>
      <w:r w:rsidR="004461F5" w:rsidRPr="00050FA4">
        <w:rPr>
          <w:lang w:val="sq-AL"/>
        </w:rPr>
        <w:t xml:space="preserve">specifik </w:t>
      </w:r>
      <w:r w:rsidR="00A434B9" w:rsidRPr="00050FA4">
        <w:rPr>
          <w:lang w:val="sq-AL"/>
        </w:rPr>
        <w:t>2: Planifikim i mir</w:t>
      </w:r>
      <w:r w:rsidRPr="00050FA4">
        <w:rPr>
          <w:lang w:val="sq-AL"/>
        </w:rPr>
        <w:t xml:space="preserve">integruar dhe efikas; </w:t>
      </w:r>
      <w:r w:rsidR="004461F5" w:rsidRPr="00050FA4">
        <w:rPr>
          <w:lang w:val="sq-AL"/>
        </w:rPr>
        <w:t xml:space="preserve">qeveria </w:t>
      </w:r>
      <w:r w:rsidRPr="00050FA4">
        <w:rPr>
          <w:lang w:val="sq-AL"/>
        </w:rPr>
        <w:t xml:space="preserve">e pranon nevojën për të përafruar më tej dokumentet planifikuese strategjike, si Strategjia Kombëtare për Zhvillim dhe Integrim (SKZHI II), Strategjitë Sektoriale dhe Programi Buxhetor Afatmesëm (PBA), që është dhe fokusi i </w:t>
      </w:r>
      <w:r w:rsidR="004461F5" w:rsidRPr="00050FA4">
        <w:rPr>
          <w:lang w:val="sq-AL"/>
        </w:rPr>
        <w:t>objektivit sp</w:t>
      </w:r>
      <w:r w:rsidRPr="00050FA4">
        <w:rPr>
          <w:lang w:val="sq-AL"/>
        </w:rPr>
        <w:t xml:space="preserve">ecifik 2. Buxheti vjetor dhe proceset e PBA-së do të vazhdojnë të përmirësohen, si dhe do të ulen detyrimet e prapambetura. </w:t>
      </w:r>
    </w:p>
    <w:p w14:paraId="0E3B616E" w14:textId="014D0197" w:rsidR="00094A26" w:rsidRPr="00050FA4" w:rsidRDefault="00094A26" w:rsidP="003F1DA7">
      <w:pPr>
        <w:pStyle w:val="AAAAAAATEXXXX"/>
        <w:rPr>
          <w:lang w:val="sq-AL"/>
        </w:rPr>
      </w:pPr>
      <w:r w:rsidRPr="00050FA4">
        <w:rPr>
          <w:lang w:val="sq-AL"/>
        </w:rPr>
        <w:t xml:space="preserve">Objektivi </w:t>
      </w:r>
      <w:r w:rsidR="004461F5" w:rsidRPr="00050FA4">
        <w:rPr>
          <w:lang w:val="sq-AL"/>
        </w:rPr>
        <w:t xml:space="preserve">specifik </w:t>
      </w:r>
      <w:r w:rsidRPr="00050FA4">
        <w:rPr>
          <w:lang w:val="sq-AL"/>
        </w:rPr>
        <w:t xml:space="preserve">3: Mbledhja e të ardhurave; </w:t>
      </w:r>
      <w:r w:rsidR="004461F5" w:rsidRPr="00050FA4">
        <w:rPr>
          <w:lang w:val="sq-AL"/>
        </w:rPr>
        <w:t xml:space="preserve">rritja </w:t>
      </w:r>
      <w:r w:rsidRPr="00050FA4">
        <w:rPr>
          <w:lang w:val="sq-AL"/>
        </w:rPr>
        <w:t xml:space="preserve">e mbledhjes së të ardhurave është fokusi i </w:t>
      </w:r>
      <w:r w:rsidR="004461F5" w:rsidRPr="00050FA4">
        <w:rPr>
          <w:lang w:val="sq-AL"/>
        </w:rPr>
        <w:t xml:space="preserve">objektivit specifik </w:t>
      </w:r>
      <w:r w:rsidRPr="00050FA4">
        <w:rPr>
          <w:lang w:val="sq-AL"/>
        </w:rPr>
        <w:t>3, duke rritur efikasitetin në mbledhjen e burimeve të të ardhurave, që mbulon tatimet edhe doganat, duke sjellë kështu më shumë qëndrueshmëri në financimin e buxhetit</w:t>
      </w:r>
      <w:r w:rsidR="004461F5" w:rsidRPr="00050FA4">
        <w:rPr>
          <w:lang w:val="sq-AL"/>
        </w:rPr>
        <w:t>,</w:t>
      </w:r>
      <w:r w:rsidRPr="00050FA4">
        <w:rPr>
          <w:lang w:val="sq-AL"/>
        </w:rPr>
        <w:t xml:space="preserve"> si në nivel qendror dhe </w:t>
      </w:r>
      <w:r w:rsidRPr="00050FA4">
        <w:rPr>
          <w:lang w:val="sq-AL"/>
        </w:rPr>
        <w:lastRenderedPageBreak/>
        <w:t xml:space="preserve">vendor. Gjithashtu, do të ulet informaliteti. </w:t>
      </w:r>
    </w:p>
    <w:p w14:paraId="1715677F" w14:textId="2B9CF8E7" w:rsidR="00094A26" w:rsidRPr="00050FA4" w:rsidRDefault="00094A26" w:rsidP="003F1DA7">
      <w:pPr>
        <w:pStyle w:val="AAAAAAATEXXXX"/>
        <w:rPr>
          <w:lang w:val="sq-AL"/>
        </w:rPr>
      </w:pPr>
      <w:r w:rsidRPr="00050FA4">
        <w:rPr>
          <w:lang w:val="sq-AL"/>
        </w:rPr>
        <w:t xml:space="preserve">Objektivi </w:t>
      </w:r>
      <w:r w:rsidR="004461F5" w:rsidRPr="00050FA4">
        <w:rPr>
          <w:lang w:val="sq-AL"/>
        </w:rPr>
        <w:t xml:space="preserve">specifik </w:t>
      </w:r>
      <w:r w:rsidRPr="00050FA4">
        <w:rPr>
          <w:lang w:val="sq-AL"/>
        </w:rPr>
        <w:t xml:space="preserve">4: Zbatim efikas i buxhetit; </w:t>
      </w:r>
      <w:r w:rsidR="00BA32E8" w:rsidRPr="00050FA4">
        <w:rPr>
          <w:lang w:val="sq-AL"/>
        </w:rPr>
        <w:t xml:space="preserve">objektivat specifikë </w:t>
      </w:r>
      <w:r w:rsidRPr="00050FA4">
        <w:rPr>
          <w:lang w:val="sq-AL"/>
        </w:rPr>
        <w:t>1</w:t>
      </w:r>
      <w:r w:rsidR="00BA32E8" w:rsidRPr="00050FA4">
        <w:rPr>
          <w:lang w:val="sq-AL"/>
        </w:rPr>
        <w:t>–</w:t>
      </w:r>
      <w:r w:rsidRPr="00050FA4">
        <w:rPr>
          <w:lang w:val="sq-AL"/>
        </w:rPr>
        <w:t xml:space="preserve">5 dhe </w:t>
      </w:r>
      <w:r w:rsidR="00BA32E8" w:rsidRPr="00050FA4">
        <w:rPr>
          <w:lang w:val="sq-AL"/>
        </w:rPr>
        <w:t xml:space="preserve">objektivi specifik </w:t>
      </w:r>
      <w:r w:rsidRPr="00050FA4">
        <w:rPr>
          <w:lang w:val="sq-AL"/>
        </w:rPr>
        <w:t xml:space="preserve">4 në veçanti, kanë në fokusin e tyre integrimin e plotë të Sistemit të Informacionit të Menaxhimit Financiar Shqiptar (SIMFSH) me sistemet e tjera të MFP-së, për të minimizuar operacionet manuale dhe për të bërë të mundur që të ketë më shumë saktësi dhe respektim të afateve kohore në raportimin e operacioneve financiare qeveritare. Objektivi kryesor është të garantohet përdorim efektiv dhe efikas i burimeve të miratuara buxhetore. Ndërhyrjet synojnë të ulin detyrimet e prapambetura, të reduktojnë kostot e huamarrjes dhe të rrisin efikasitetin dhe transparencën e sistemit të prokurimit. </w:t>
      </w:r>
    </w:p>
    <w:p w14:paraId="2B301EE5" w14:textId="610D6133" w:rsidR="00094A26" w:rsidRPr="00050FA4" w:rsidRDefault="00094A26" w:rsidP="003F1DA7">
      <w:pPr>
        <w:pStyle w:val="AAAAAAATEXXXX"/>
        <w:rPr>
          <w:lang w:val="sq-AL"/>
        </w:rPr>
      </w:pPr>
      <w:r w:rsidRPr="00050FA4">
        <w:rPr>
          <w:lang w:val="sq-AL"/>
        </w:rPr>
        <w:t xml:space="preserve">Objektivi </w:t>
      </w:r>
      <w:r w:rsidR="004634D2" w:rsidRPr="00050FA4">
        <w:rPr>
          <w:lang w:val="sq-AL"/>
        </w:rPr>
        <w:t xml:space="preserve">specifik </w:t>
      </w:r>
      <w:r w:rsidRPr="00050FA4">
        <w:rPr>
          <w:lang w:val="sq-AL"/>
        </w:rPr>
        <w:t xml:space="preserve">5: Transparencë e </w:t>
      </w:r>
      <w:r w:rsidR="004634D2" w:rsidRPr="00050FA4">
        <w:rPr>
          <w:lang w:val="sq-AL"/>
        </w:rPr>
        <w:t xml:space="preserve">financave publike; </w:t>
      </w:r>
      <w:r w:rsidRPr="00050FA4">
        <w:rPr>
          <w:lang w:val="sq-AL"/>
        </w:rPr>
        <w:t>ky objektiv përpiqet të rrisë llogaridhënien dhe transparencën falë raportimit më të mirë financiar dhe jofinanciar</w:t>
      </w:r>
      <w:r w:rsidR="00A355B6" w:rsidRPr="00050FA4">
        <w:rPr>
          <w:lang w:val="sq-AL"/>
        </w:rPr>
        <w:t>,</w:t>
      </w:r>
      <w:r w:rsidRPr="00050FA4">
        <w:rPr>
          <w:lang w:val="sq-AL"/>
        </w:rPr>
        <w:t xml:space="preserve"> në përputhje me </w:t>
      </w:r>
      <w:r w:rsidR="00A434B9" w:rsidRPr="00050FA4">
        <w:rPr>
          <w:lang w:val="sq-AL"/>
        </w:rPr>
        <w:t>standardet</w:t>
      </w:r>
      <w:r w:rsidRPr="00050FA4">
        <w:rPr>
          <w:lang w:val="sq-AL"/>
        </w:rPr>
        <w:t xml:space="preserve"> ndërkombëtare, të përmirësojë mbulimin, cilësinë dhe aksesueshmërinë e informacionit për financat publike. Do të shtohen përpjekjet për të angazhuar publikun në procesin buxhetor. </w:t>
      </w:r>
    </w:p>
    <w:p w14:paraId="701E1406" w14:textId="6F95B1AC" w:rsidR="00094A26" w:rsidRPr="00050FA4" w:rsidRDefault="00094A26" w:rsidP="003F1DA7">
      <w:pPr>
        <w:pStyle w:val="AAAAAAATEXXXX"/>
        <w:rPr>
          <w:lang w:val="sq-AL"/>
        </w:rPr>
      </w:pPr>
      <w:r w:rsidRPr="00050FA4">
        <w:rPr>
          <w:i/>
          <w:lang w:val="sq-AL"/>
        </w:rPr>
        <w:t xml:space="preserve">Objektivi </w:t>
      </w:r>
      <w:r w:rsidR="004634D2" w:rsidRPr="00050FA4">
        <w:rPr>
          <w:i/>
          <w:lang w:val="sq-AL"/>
        </w:rPr>
        <w:t xml:space="preserve">specifik </w:t>
      </w:r>
      <w:r w:rsidRPr="00050FA4">
        <w:rPr>
          <w:i/>
          <w:lang w:val="sq-AL"/>
        </w:rPr>
        <w:t>6: Kontrolli i brendshëm efektiv;</w:t>
      </w:r>
      <w:r w:rsidRPr="00050FA4">
        <w:rPr>
          <w:lang w:val="sq-AL"/>
        </w:rPr>
        <w:t xml:space="preserve"> </w:t>
      </w:r>
      <w:r w:rsidR="004634D2" w:rsidRPr="00050FA4">
        <w:rPr>
          <w:lang w:val="sq-AL"/>
        </w:rPr>
        <w:t>disiplina</w:t>
      </w:r>
      <w:r w:rsidRPr="00050FA4">
        <w:rPr>
          <w:lang w:val="sq-AL"/>
        </w:rPr>
        <w:t xml:space="preserve">, kontrolli dhe transparenca financiare nëpërmjet përmirësimit të </w:t>
      </w:r>
      <w:r w:rsidR="004634D2" w:rsidRPr="00050FA4">
        <w:rPr>
          <w:lang w:val="sq-AL"/>
        </w:rPr>
        <w:t xml:space="preserve">Menaxhimit Financiar dhe Kontrollit </w:t>
      </w:r>
      <w:r w:rsidRPr="00050FA4">
        <w:rPr>
          <w:lang w:val="sq-AL"/>
        </w:rPr>
        <w:t xml:space="preserve">(MFK), Auditimit të Brendshëm dhe Inspektimit Financiar Publik efikas në qeverisjen qendrore dhe vendore është edhe fokusi i </w:t>
      </w:r>
      <w:r w:rsidR="004634D2" w:rsidRPr="00050FA4">
        <w:rPr>
          <w:lang w:val="sq-AL"/>
        </w:rPr>
        <w:t xml:space="preserve">objektivit specifik </w:t>
      </w:r>
      <w:r w:rsidRPr="00050FA4">
        <w:rPr>
          <w:lang w:val="sq-AL"/>
        </w:rPr>
        <w:t xml:space="preserve">6. </w:t>
      </w:r>
    </w:p>
    <w:p w14:paraId="3DCD13F8" w14:textId="281F6A2A" w:rsidR="00C505A7" w:rsidRPr="00050FA4" w:rsidRDefault="00094A26" w:rsidP="003F1DA7">
      <w:pPr>
        <w:pStyle w:val="AAAAAAATEXXXX"/>
        <w:rPr>
          <w:rFonts w:cstheme="majorBidi"/>
          <w:lang w:val="sq-AL"/>
        </w:rPr>
      </w:pPr>
      <w:r w:rsidRPr="00050FA4">
        <w:rPr>
          <w:i/>
          <w:lang w:val="sq-AL"/>
        </w:rPr>
        <w:t xml:space="preserve">Objektivi </w:t>
      </w:r>
      <w:r w:rsidR="004634D2" w:rsidRPr="00050FA4">
        <w:rPr>
          <w:i/>
          <w:lang w:val="sq-AL"/>
        </w:rPr>
        <w:t xml:space="preserve">specifik </w:t>
      </w:r>
      <w:r w:rsidRPr="00050FA4">
        <w:rPr>
          <w:i/>
          <w:lang w:val="sq-AL"/>
        </w:rPr>
        <w:t xml:space="preserve">7: Mbikëqyrje e jashtme efektive e financave publike; </w:t>
      </w:r>
      <w:r w:rsidR="004634D2" w:rsidRPr="00050FA4">
        <w:rPr>
          <w:lang w:val="sq-AL"/>
        </w:rPr>
        <w:t xml:space="preserve">së fundmi, objektivi specifik </w:t>
      </w:r>
      <w:r w:rsidRPr="00050FA4">
        <w:rPr>
          <w:lang w:val="sq-AL"/>
        </w:rPr>
        <w:t xml:space="preserve">7, synon të rrisë e të bëjë efektive mbikëqyrjen e jashtme të financave publike duke forcuar kapacitetet e Kontrollit të Lartë të Shtetit (KLSH). Do të rritet numri i auditimeve financiare dhe </w:t>
      </w:r>
      <w:r w:rsidR="004634D2" w:rsidRPr="00050FA4">
        <w:rPr>
          <w:lang w:val="sq-AL"/>
        </w:rPr>
        <w:t xml:space="preserve">i </w:t>
      </w:r>
      <w:r w:rsidRPr="00050FA4">
        <w:rPr>
          <w:lang w:val="sq-AL"/>
        </w:rPr>
        <w:t>auditimeve të performancës</w:t>
      </w:r>
      <w:r w:rsidR="00746A38" w:rsidRPr="00050FA4">
        <w:rPr>
          <w:lang w:val="sq-AL"/>
        </w:rPr>
        <w:t>,</w:t>
      </w:r>
      <w:r w:rsidRPr="00050FA4">
        <w:rPr>
          <w:lang w:val="sq-AL"/>
        </w:rPr>
        <w:t xml:space="preserve"> në mënyrë që të rritet edhe vlera e tyre dhe përfitimet në shoqëri.</w:t>
      </w:r>
    </w:p>
    <w:p w14:paraId="0DB96EB5" w14:textId="38F5C154" w:rsidR="00F23FB0" w:rsidRPr="00050FA4" w:rsidRDefault="00D56FB0" w:rsidP="003F1DA7">
      <w:pPr>
        <w:pStyle w:val="AAAAAAATEXXXX"/>
        <w:rPr>
          <w:b/>
          <w:lang w:val="sq-AL"/>
        </w:rPr>
      </w:pPr>
      <w:bookmarkStart w:id="42" w:name="_Toc61854162"/>
      <w:bookmarkStart w:id="43" w:name="_Toc93325762"/>
      <w:r w:rsidRPr="00050FA4">
        <w:rPr>
          <w:b/>
          <w:lang w:val="sq-AL"/>
        </w:rPr>
        <w:t xml:space="preserve">4.10 </w:t>
      </w:r>
      <w:r w:rsidR="000A27DD" w:rsidRPr="00050FA4">
        <w:rPr>
          <w:b/>
          <w:lang w:val="sq-AL"/>
        </w:rPr>
        <w:t>Qëndrueshmëria e financave publike</w:t>
      </w:r>
      <w:bookmarkEnd w:id="42"/>
      <w:bookmarkEnd w:id="43"/>
    </w:p>
    <w:p w14:paraId="457BE3AE" w14:textId="77777777" w:rsidR="00094A26" w:rsidRPr="00050FA4" w:rsidRDefault="00094A26" w:rsidP="003F1DA7">
      <w:pPr>
        <w:pStyle w:val="AAAAAAATEXXXX"/>
        <w:rPr>
          <w:lang w:val="sq-AL"/>
        </w:rPr>
      </w:pPr>
      <w:r w:rsidRPr="00050FA4">
        <w:rPr>
          <w:lang w:val="sq-AL"/>
        </w:rPr>
        <w:t>Zbatimi i reformës së MFP-së shërben si udhërrëfyes për Shqipërinë, për të ruajtur qëndrueshmërinë e financave publike. Objektivi i përgjithshëm i Strategjisë së reformës së MFP-së është të arrijë një buxhet më të balancuar dhe të qëndrueshëm me një raport të reduktuar të borxhit përmes menaxhimit financiar më të fortë dhe proceseve të kontrollit dhe auditimit dhe ku ekzekutimi i buxhetit është i lidhur siç duhet me politikat e qeverisë. Ky dokument strategjik në fushën e menaxhimit të financave publike shërben si një udhërrëfyes në:</w:t>
      </w:r>
    </w:p>
    <w:p w14:paraId="3CDA6001" w14:textId="168676FE" w:rsidR="00094A26" w:rsidRPr="00050FA4" w:rsidRDefault="00017C27" w:rsidP="003F1DA7">
      <w:pPr>
        <w:pStyle w:val="AAAAAAATEXXXX"/>
        <w:rPr>
          <w:lang w:val="sq-AL"/>
        </w:rPr>
      </w:pPr>
      <w:r w:rsidRPr="00050FA4">
        <w:rPr>
          <w:lang w:val="sq-AL"/>
        </w:rPr>
        <w:t xml:space="preserve">i. </w:t>
      </w:r>
      <w:r w:rsidR="00746A38" w:rsidRPr="00050FA4">
        <w:rPr>
          <w:lang w:val="sq-AL"/>
        </w:rPr>
        <w:t>re</w:t>
      </w:r>
      <w:r w:rsidR="00094A26" w:rsidRPr="00050FA4">
        <w:rPr>
          <w:lang w:val="sq-AL"/>
        </w:rPr>
        <w:t>duktimin e borxhit publik;</w:t>
      </w:r>
    </w:p>
    <w:p w14:paraId="20A1DF61" w14:textId="66A26CE6" w:rsidR="00094A26" w:rsidRPr="00050FA4" w:rsidRDefault="00017C27" w:rsidP="003F1DA7">
      <w:pPr>
        <w:pStyle w:val="AAAAAAATEXXXX"/>
        <w:rPr>
          <w:lang w:val="sq-AL"/>
        </w:rPr>
      </w:pPr>
      <w:r w:rsidRPr="00050FA4">
        <w:rPr>
          <w:lang w:val="sq-AL"/>
        </w:rPr>
        <w:t xml:space="preserve">ii. </w:t>
      </w:r>
      <w:r w:rsidR="00746A38" w:rsidRPr="00050FA4">
        <w:rPr>
          <w:lang w:val="sq-AL"/>
        </w:rPr>
        <w:t>s</w:t>
      </w:r>
      <w:r w:rsidR="00094A26" w:rsidRPr="00050FA4">
        <w:rPr>
          <w:lang w:val="sq-AL"/>
        </w:rPr>
        <w:t>hlyerjen dhe parandalimin e detyrimeve të prapambetura;</w:t>
      </w:r>
    </w:p>
    <w:p w14:paraId="7D035DFB" w14:textId="65FDAA53" w:rsidR="00094A26" w:rsidRPr="00050FA4" w:rsidRDefault="00017C27" w:rsidP="003F1DA7">
      <w:pPr>
        <w:pStyle w:val="AAAAAAATEXXXX"/>
        <w:rPr>
          <w:lang w:val="sq-AL"/>
        </w:rPr>
      </w:pPr>
      <w:r w:rsidRPr="00050FA4">
        <w:rPr>
          <w:lang w:val="sq-AL"/>
        </w:rPr>
        <w:t xml:space="preserve">iii. </w:t>
      </w:r>
      <w:r w:rsidR="00746A38" w:rsidRPr="00050FA4">
        <w:rPr>
          <w:lang w:val="sq-AL"/>
        </w:rPr>
        <w:t>m</w:t>
      </w:r>
      <w:r w:rsidR="00094A26" w:rsidRPr="00050FA4">
        <w:rPr>
          <w:lang w:val="sq-AL"/>
        </w:rPr>
        <w:t>obilizimin e vazhdueshëm të mbledhjes së të hyrave tatimore dhe doganore;</w:t>
      </w:r>
    </w:p>
    <w:p w14:paraId="05396CE9" w14:textId="5F8CC6D3" w:rsidR="00094A26" w:rsidRPr="00050FA4" w:rsidRDefault="00017C27" w:rsidP="003F1DA7">
      <w:pPr>
        <w:pStyle w:val="AAAAAAATEXXXX"/>
        <w:rPr>
          <w:lang w:val="sq-AL"/>
        </w:rPr>
      </w:pPr>
      <w:r w:rsidRPr="00050FA4">
        <w:rPr>
          <w:lang w:val="sq-AL"/>
        </w:rPr>
        <w:t xml:space="preserve">iv. </w:t>
      </w:r>
      <w:r w:rsidR="00746A38" w:rsidRPr="00050FA4">
        <w:rPr>
          <w:lang w:val="sq-AL"/>
        </w:rPr>
        <w:t>p</w:t>
      </w:r>
      <w:r w:rsidR="00094A26" w:rsidRPr="00050FA4">
        <w:rPr>
          <w:lang w:val="sq-AL"/>
        </w:rPr>
        <w:t xml:space="preserve">ërmirësimin e projekteve të investimeve publike, duke përfshirë </w:t>
      </w:r>
      <w:r w:rsidR="00746A38" w:rsidRPr="00050FA4">
        <w:rPr>
          <w:lang w:val="sq-AL"/>
        </w:rPr>
        <w:t>partneritetin publik privat</w:t>
      </w:r>
      <w:r w:rsidR="00094A26" w:rsidRPr="00050FA4">
        <w:rPr>
          <w:lang w:val="sq-AL"/>
        </w:rPr>
        <w:t xml:space="preserve"> dhe koncensionet;</w:t>
      </w:r>
    </w:p>
    <w:p w14:paraId="0713CA8A" w14:textId="38F45D8B" w:rsidR="00094A26" w:rsidRPr="00050FA4" w:rsidRDefault="00017C27" w:rsidP="003F1DA7">
      <w:pPr>
        <w:pStyle w:val="AAAAAAATEXXXX"/>
        <w:rPr>
          <w:lang w:val="sq-AL"/>
        </w:rPr>
      </w:pPr>
      <w:r w:rsidRPr="00050FA4">
        <w:rPr>
          <w:lang w:val="sq-AL"/>
        </w:rPr>
        <w:t xml:space="preserve">v. </w:t>
      </w:r>
      <w:r w:rsidR="00746A38" w:rsidRPr="00050FA4">
        <w:rPr>
          <w:lang w:val="sq-AL"/>
        </w:rPr>
        <w:t>s</w:t>
      </w:r>
      <w:r w:rsidR="00094A26" w:rsidRPr="00050FA4">
        <w:rPr>
          <w:lang w:val="sq-AL"/>
        </w:rPr>
        <w:t xml:space="preserve">igurimi i një lidhjeje më të mirë ndërmjet politikave strategjike dhe Programit Buxhetor Afatmesëm; </w:t>
      </w:r>
    </w:p>
    <w:p w14:paraId="1D4DC3D6" w14:textId="7277D2E5" w:rsidR="00094A26" w:rsidRPr="00050FA4" w:rsidRDefault="00017C27" w:rsidP="003F1DA7">
      <w:pPr>
        <w:pStyle w:val="AAAAAAATEXXXX"/>
        <w:rPr>
          <w:lang w:val="sq-AL"/>
        </w:rPr>
      </w:pPr>
      <w:r w:rsidRPr="00050FA4">
        <w:rPr>
          <w:lang w:val="sq-AL"/>
        </w:rPr>
        <w:t xml:space="preserve">vi </w:t>
      </w:r>
      <w:r w:rsidR="00746A38" w:rsidRPr="00050FA4">
        <w:rPr>
          <w:lang w:val="sq-AL"/>
        </w:rPr>
        <w:t>n</w:t>
      </w:r>
      <w:r w:rsidR="00094A26" w:rsidRPr="00050FA4">
        <w:rPr>
          <w:lang w:val="sq-AL"/>
        </w:rPr>
        <w:t xml:space="preserve">jë angazhim më i strukturuar dhe në kohë me qytetarët, </w:t>
      </w:r>
      <w:r w:rsidR="00746A38" w:rsidRPr="00050FA4">
        <w:rPr>
          <w:lang w:val="sq-AL"/>
        </w:rPr>
        <w:t xml:space="preserve">organizatat e shoqërisë civile </w:t>
      </w:r>
      <w:r w:rsidR="00094A26" w:rsidRPr="00050FA4">
        <w:rPr>
          <w:lang w:val="sq-AL"/>
        </w:rPr>
        <w:t xml:space="preserve">dhe </w:t>
      </w:r>
      <w:r w:rsidR="00746A38" w:rsidRPr="00050FA4">
        <w:rPr>
          <w:lang w:val="sq-AL"/>
        </w:rPr>
        <w:t xml:space="preserve">akademinë </w:t>
      </w:r>
      <w:r w:rsidR="00094A26" w:rsidRPr="00050FA4">
        <w:rPr>
          <w:lang w:val="sq-AL"/>
        </w:rPr>
        <w:t xml:space="preserve">në planifikimin, monitorimin dhe raportimin e buxhetit; </w:t>
      </w:r>
    </w:p>
    <w:p w14:paraId="4B5EA8F5" w14:textId="1766AD9C" w:rsidR="00094A26" w:rsidRPr="00050FA4" w:rsidRDefault="00017C27" w:rsidP="003F1DA7">
      <w:pPr>
        <w:pStyle w:val="AAAAAAATEXXXX"/>
        <w:rPr>
          <w:lang w:val="sq-AL"/>
        </w:rPr>
      </w:pPr>
      <w:r w:rsidRPr="00050FA4">
        <w:rPr>
          <w:lang w:val="sq-AL"/>
        </w:rPr>
        <w:t xml:space="preserve">vii. </w:t>
      </w:r>
      <w:r w:rsidR="00746A38" w:rsidRPr="00050FA4">
        <w:rPr>
          <w:lang w:val="sq-AL"/>
        </w:rPr>
        <w:t>r</w:t>
      </w:r>
      <w:r w:rsidR="00094A26" w:rsidRPr="00050FA4">
        <w:rPr>
          <w:lang w:val="sq-AL"/>
        </w:rPr>
        <w:t xml:space="preserve">ritja e përpjekjeve për të përmirësuar shkallën e zbatimit të rekomandimeve dhe gjetjeve të </w:t>
      </w:r>
      <w:r w:rsidR="00746A38" w:rsidRPr="00050FA4">
        <w:rPr>
          <w:lang w:val="sq-AL"/>
        </w:rPr>
        <w:t>institucioneve supreme të auditit</w:t>
      </w:r>
      <w:r w:rsidR="00094A26" w:rsidRPr="00050FA4">
        <w:rPr>
          <w:lang w:val="sq-AL"/>
        </w:rPr>
        <w:t>.</w:t>
      </w:r>
    </w:p>
    <w:p w14:paraId="624D567C" w14:textId="77777777" w:rsidR="0094022E" w:rsidRPr="00050FA4" w:rsidRDefault="00094A26" w:rsidP="003F1DA7">
      <w:pPr>
        <w:pStyle w:val="AAAAAAATEXXXX"/>
        <w:rPr>
          <w:lang w:val="sq-AL"/>
        </w:rPr>
      </w:pPr>
      <w:r w:rsidRPr="00050FA4">
        <w:rPr>
          <w:lang w:val="sq-AL"/>
        </w:rPr>
        <w:t>Ministria e Financave dhe Ekonomisë i ka dhënë një fokus të veçantë reformës së MFP-së: duke filluar me formulimin e Strategjisë së MFP-së, zbatimin e reformës ndër vite, monitorimin dhe</w:t>
      </w:r>
      <w:r w:rsidR="00017C27" w:rsidRPr="00050FA4">
        <w:rPr>
          <w:lang w:val="sq-AL"/>
        </w:rPr>
        <w:t xml:space="preserve"> raportimin dhe vlerësimin</w:t>
      </w:r>
      <w:r w:rsidR="0094022E" w:rsidRPr="00050FA4">
        <w:rPr>
          <w:lang w:val="sq-AL"/>
        </w:rPr>
        <w:t>.</w:t>
      </w:r>
    </w:p>
    <w:p w14:paraId="3F50DD79" w14:textId="182544C9" w:rsidR="00DF1828" w:rsidRPr="00050FA4" w:rsidRDefault="00D56FB0" w:rsidP="003F1DA7">
      <w:pPr>
        <w:pStyle w:val="AAAAAAATEXXXX"/>
        <w:rPr>
          <w:lang w:val="sq-AL"/>
        </w:rPr>
      </w:pPr>
      <w:bookmarkStart w:id="44" w:name="_Toc484076181"/>
      <w:bookmarkStart w:id="45" w:name="_Toc62805592"/>
      <w:bookmarkStart w:id="46" w:name="_Toc93325763"/>
      <w:r w:rsidRPr="00050FA4">
        <w:rPr>
          <w:lang w:val="sq-AL"/>
        </w:rPr>
        <w:t xml:space="preserve">5. </w:t>
      </w:r>
      <w:r w:rsidR="00746A38" w:rsidRPr="00050FA4">
        <w:rPr>
          <w:lang w:val="sq-AL"/>
        </w:rPr>
        <w:t>Reformat strukturore parësore më 2022–202</w:t>
      </w:r>
      <w:bookmarkEnd w:id="44"/>
      <w:r w:rsidR="00746A38" w:rsidRPr="00050FA4">
        <w:rPr>
          <w:lang w:val="sq-AL"/>
        </w:rPr>
        <w:t>4</w:t>
      </w:r>
      <w:bookmarkEnd w:id="45"/>
      <w:bookmarkEnd w:id="46"/>
    </w:p>
    <w:p w14:paraId="5CC7E719" w14:textId="3436A8FB" w:rsidR="00DF1828" w:rsidRPr="00050FA4" w:rsidRDefault="00D56FB0" w:rsidP="003F1DA7">
      <w:pPr>
        <w:pStyle w:val="AAAAAAATEXXXX"/>
        <w:rPr>
          <w:b/>
          <w:lang w:val="sq-AL"/>
        </w:rPr>
      </w:pPr>
      <w:bookmarkStart w:id="47" w:name="_Toc484076182"/>
      <w:bookmarkStart w:id="48" w:name="_Toc62805593"/>
      <w:bookmarkStart w:id="49" w:name="_Toc93325764"/>
      <w:r w:rsidRPr="00050FA4">
        <w:rPr>
          <w:b/>
          <w:lang w:val="sq-AL"/>
        </w:rPr>
        <w:t xml:space="preserve">5.1 </w:t>
      </w:r>
      <w:r w:rsidR="005E6A97" w:rsidRPr="00050FA4">
        <w:rPr>
          <w:b/>
          <w:lang w:val="sq-AL"/>
        </w:rPr>
        <w:t>Përditësim mbi tri</w:t>
      </w:r>
      <w:r w:rsidR="005E44FE" w:rsidRPr="00050FA4">
        <w:rPr>
          <w:b/>
          <w:lang w:val="sq-AL"/>
        </w:rPr>
        <w:t xml:space="preserve"> pengesat kryesore në konkurrueshmëri dhe rritje përfshirëse dhe masat e reformave të lidhura</w:t>
      </w:r>
      <w:bookmarkEnd w:id="47"/>
      <w:bookmarkEnd w:id="48"/>
      <w:bookmarkEnd w:id="49"/>
    </w:p>
    <w:p w14:paraId="67E66409" w14:textId="565703CD" w:rsidR="00106240" w:rsidRPr="00050FA4" w:rsidRDefault="00B2062A" w:rsidP="003F1DA7">
      <w:pPr>
        <w:pStyle w:val="AAAAAAATEXXXX"/>
        <w:rPr>
          <w:b/>
          <w:bCs/>
          <w:lang w:val="sq-AL"/>
        </w:rPr>
      </w:pPr>
      <w:bookmarkStart w:id="50" w:name="_Toc93325765"/>
      <w:r w:rsidRPr="00050FA4">
        <w:rPr>
          <w:b/>
          <w:bCs/>
          <w:lang w:val="sq-AL"/>
        </w:rPr>
        <w:t xml:space="preserve">Sfida </w:t>
      </w:r>
      <w:r w:rsidR="005E6A97" w:rsidRPr="00050FA4">
        <w:rPr>
          <w:b/>
          <w:bCs/>
          <w:lang w:val="sq-AL"/>
        </w:rPr>
        <w:t xml:space="preserve">kyçe </w:t>
      </w:r>
      <w:r w:rsidR="00106240" w:rsidRPr="00050FA4">
        <w:rPr>
          <w:b/>
          <w:bCs/>
          <w:lang w:val="sq-AL"/>
        </w:rPr>
        <w:t>#1</w:t>
      </w:r>
      <w:bookmarkEnd w:id="50"/>
    </w:p>
    <w:p w14:paraId="54CB7489" w14:textId="1A829BA0" w:rsidR="00AE4EA3" w:rsidRPr="00050FA4" w:rsidRDefault="00AE4EA3" w:rsidP="003F1DA7">
      <w:pPr>
        <w:pStyle w:val="AAAAAAATEXXXX"/>
        <w:rPr>
          <w:b/>
          <w:bCs/>
          <w:lang w:val="sq-AL"/>
        </w:rPr>
      </w:pPr>
      <w:r w:rsidRPr="00050FA4">
        <w:rPr>
          <w:b/>
          <w:bCs/>
          <w:lang w:val="sq-AL"/>
        </w:rPr>
        <w:t>Rritja e inovacionit dhe aftësive të të rinjve dhe të rriturve për të rritur punësimin</w:t>
      </w:r>
    </w:p>
    <w:p w14:paraId="28C0CF78" w14:textId="313C7917" w:rsidR="004F312A" w:rsidRPr="00050FA4" w:rsidRDefault="00017C27" w:rsidP="003F1DA7">
      <w:pPr>
        <w:pStyle w:val="AAAAAAATEXXXX"/>
        <w:rPr>
          <w:lang w:val="sq-AL"/>
        </w:rPr>
      </w:pPr>
      <w:r w:rsidRPr="00050FA4">
        <w:rPr>
          <w:lang w:val="sq-AL"/>
        </w:rPr>
        <w:t>a</w:t>
      </w:r>
      <w:r w:rsidR="00567286" w:rsidRPr="00050FA4">
        <w:rPr>
          <w:lang w:val="sq-AL"/>
        </w:rPr>
        <w:t>)</w:t>
      </w:r>
      <w:r w:rsidRPr="00050FA4">
        <w:rPr>
          <w:lang w:val="sq-AL"/>
        </w:rPr>
        <w:t xml:space="preserve"> </w:t>
      </w:r>
      <w:r w:rsidR="00B2062A" w:rsidRPr="00050FA4">
        <w:rPr>
          <w:lang w:val="sq-AL"/>
        </w:rPr>
        <w:t>Analiza e pengesave kryesore</w:t>
      </w:r>
    </w:p>
    <w:p w14:paraId="6F3A1127" w14:textId="7B25DDC3" w:rsidR="008625E0" w:rsidRPr="00050FA4" w:rsidRDefault="00857902" w:rsidP="003F1DA7">
      <w:pPr>
        <w:pStyle w:val="AAAAAAATEXXXX"/>
        <w:rPr>
          <w:lang w:val="sq-AL"/>
        </w:rPr>
      </w:pPr>
      <w:r w:rsidRPr="00050FA4">
        <w:rPr>
          <w:lang w:val="sq-AL"/>
        </w:rPr>
        <w:t>Brenda kësaj grup</w:t>
      </w:r>
      <w:r w:rsidR="00A434B9" w:rsidRPr="00050FA4">
        <w:rPr>
          <w:lang w:val="sq-AL"/>
        </w:rPr>
        <w:t>-</w:t>
      </w:r>
      <w:r w:rsidRPr="00050FA4">
        <w:rPr>
          <w:lang w:val="sq-AL"/>
        </w:rPr>
        <w:t>moshe, përqindja tek të rinjtë as në punësim, as në arsim ose trajnim (NEET) ishte më e larta në mesin e të diplomuarve të mesëm të lartë (28.9%), të ndjekur nga të diplomuarit në universitet (26.5%), ndërsa të rinjtë me jo më shumë se arsim të mesëm të ulët dolën më mirë (24.4%). Kjo lidhet me strukturën e sipërmarrjeve që nuk janë ende në gjendje të absorbojnë numrin në rritje të të diplomuarve me arsim të lartë, shoqëruar me tërheqjen aktualisht të ulët të investimeve të huaja direkte në vend dhe orientimin e kufizuar ose inekzistent të karrierës, ku studentët b</w:t>
      </w:r>
      <w:r w:rsidR="001C5DAB" w:rsidRPr="00050FA4">
        <w:rPr>
          <w:lang w:val="sq-AL"/>
        </w:rPr>
        <w:t>ëjnë zgjedhje që mund të mos të</w:t>
      </w:r>
      <w:r w:rsidRPr="00050FA4">
        <w:rPr>
          <w:lang w:val="sq-AL"/>
        </w:rPr>
        <w:t xml:space="preserve"> korrespondojnë gjithmonë me kërkesën e tregut të punës.</w:t>
      </w:r>
      <w:r w:rsidRPr="00050FA4">
        <w:rPr>
          <w:rStyle w:val="jlqj4b"/>
          <w:lang w:val="sq-AL"/>
        </w:rPr>
        <w:t xml:space="preserve"> </w:t>
      </w:r>
      <w:r w:rsidRPr="00050FA4">
        <w:rPr>
          <w:lang w:val="sq-AL"/>
        </w:rPr>
        <w:t>Situata</w:t>
      </w:r>
      <w:r w:rsidR="00746A38" w:rsidRPr="00050FA4">
        <w:rPr>
          <w:lang w:val="sq-AL"/>
        </w:rPr>
        <w:t>,</w:t>
      </w:r>
      <w:r w:rsidRPr="00050FA4">
        <w:rPr>
          <w:lang w:val="sq-AL"/>
        </w:rPr>
        <w:t xml:space="preserve"> gjithashtu</w:t>
      </w:r>
      <w:r w:rsidR="00746A38" w:rsidRPr="00050FA4">
        <w:rPr>
          <w:lang w:val="sq-AL"/>
        </w:rPr>
        <w:t>,</w:t>
      </w:r>
      <w:r w:rsidRPr="00050FA4">
        <w:rPr>
          <w:lang w:val="sq-AL"/>
        </w:rPr>
        <w:t xml:space="preserve"> thekson një nevojë të mundshme për masa shtesë për të kanalizuar fuqinë punëtore të re gjithnjë e më të aftë në sipërmarrje dhe në ekonomi sociale. Të rinjtë shqiptarë përballen me sfida të rëndësishme</w:t>
      </w:r>
      <w:r w:rsidR="00746A38" w:rsidRPr="00050FA4">
        <w:rPr>
          <w:lang w:val="sq-AL"/>
        </w:rPr>
        <w:t>,</w:t>
      </w:r>
      <w:r w:rsidRPr="00050FA4">
        <w:rPr>
          <w:lang w:val="sq-AL"/>
        </w:rPr>
        <w:t xml:space="preserve"> në përputhjen e kualifikimeve të </w:t>
      </w:r>
      <w:r w:rsidRPr="00050FA4">
        <w:rPr>
          <w:lang w:val="sq-AL"/>
        </w:rPr>
        <w:lastRenderedPageBreak/>
        <w:t>tyre të arsimit të lartë me kërkesat e tregut të punës dhe shpesh pranojnë pozicione të përkohshme punësimi</w:t>
      </w:r>
      <w:r w:rsidR="00746A38" w:rsidRPr="00050FA4">
        <w:rPr>
          <w:lang w:val="sq-AL"/>
        </w:rPr>
        <w:t>,</w:t>
      </w:r>
      <w:r w:rsidRPr="00050FA4">
        <w:rPr>
          <w:lang w:val="sq-AL"/>
        </w:rPr>
        <w:t xml:space="preserve"> për të cilat ata janë të mbikualifikuar, si një alternativë ndaj vendeve të pakta të punës në fushat e tyre përkatëse të specializimit. Kjo shpesh çon në vonesa në fillimin e një jet</w:t>
      </w:r>
      <w:r w:rsidR="00746A38" w:rsidRPr="00050FA4">
        <w:rPr>
          <w:lang w:val="sq-AL"/>
        </w:rPr>
        <w:t>ë</w:t>
      </w:r>
      <w:r w:rsidRPr="00050FA4">
        <w:rPr>
          <w:lang w:val="sq-AL"/>
        </w:rPr>
        <w:t xml:space="preserve"> të pavarur dhe mungesë motivimi për të krijuar një familje ose për të qenë më aktiv në shoqëri dhe afatgjatë që çon në të ardhura më të ulëta, rrezik më të lartë të varfërisë dhe dekurajim për të qenë aktiv në tregun e punës për të rinjtë. </w:t>
      </w:r>
    </w:p>
    <w:p w14:paraId="264E889A" w14:textId="76B96B09" w:rsidR="00857902" w:rsidRPr="00050FA4" w:rsidRDefault="00857902" w:rsidP="003F1DA7">
      <w:pPr>
        <w:pStyle w:val="AAAAAAATEXXXX"/>
        <w:rPr>
          <w:lang w:val="sq-AL"/>
        </w:rPr>
      </w:pPr>
      <w:r w:rsidRPr="00050FA4">
        <w:rPr>
          <w:lang w:val="sq-AL"/>
        </w:rPr>
        <w:t>Ekziston një nevojë e vazhdueshme për t</w:t>
      </w:r>
      <w:r w:rsidR="00A434B9" w:rsidRPr="00050FA4">
        <w:rPr>
          <w:lang w:val="sq-AL"/>
        </w:rPr>
        <w:t>’</w:t>
      </w:r>
      <w:r w:rsidRPr="00050FA4">
        <w:rPr>
          <w:lang w:val="sq-AL"/>
        </w:rPr>
        <w:t>u fokusuar tek të rinjtë NEET nga grupet vulnerabël.</w:t>
      </w:r>
      <w:r w:rsidR="00970CB0" w:rsidRPr="00050FA4">
        <w:rPr>
          <w:lang w:val="sq-AL"/>
        </w:rPr>
        <w:t xml:space="preserve"> </w:t>
      </w:r>
      <w:r w:rsidRPr="00050FA4">
        <w:rPr>
          <w:lang w:val="sq-AL"/>
        </w:rPr>
        <w:t>Rinia mund të identifikohet si një grup vulnerabël</w:t>
      </w:r>
      <w:r w:rsidR="00746A38" w:rsidRPr="00050FA4">
        <w:rPr>
          <w:lang w:val="sq-AL"/>
        </w:rPr>
        <w:t>,</w:t>
      </w:r>
      <w:r w:rsidRPr="00050FA4">
        <w:rPr>
          <w:lang w:val="sq-AL"/>
        </w:rPr>
        <w:t xml:space="preserve"> që përballet me sfida të mëdha si rreziku i varfërisë, papunësia e lartë, papunësisë afatgjatë dhe normat e larta NEET. Disa nga sfidat janë edhe më të mëdha për të rejat femra dhe të tjera për të rinjtë. Pjesëmarrja ekonomike e të rinjve është ende dukshëm nën mesataren e BE-së.</w:t>
      </w:r>
    </w:p>
    <w:p w14:paraId="585952B9" w14:textId="7B760013" w:rsidR="00857902" w:rsidRPr="00050FA4" w:rsidRDefault="00857902" w:rsidP="003F1DA7">
      <w:pPr>
        <w:pStyle w:val="AAAAAAATEXXXX"/>
        <w:rPr>
          <w:lang w:val="sq-AL"/>
        </w:rPr>
      </w:pPr>
      <w:r w:rsidRPr="00050FA4">
        <w:rPr>
          <w:lang w:val="sq-AL"/>
        </w:rPr>
        <w:t xml:space="preserve">Pandemia e COVID-19 imponoi sfida të rëndësishme në zhvillimin dhe zbatimin e politikave të AFP-së, si dhe në ofrimin e programeve të arsimit dhe trajnimit profesional. Në fillimin e pandemisë, të gjithë ofruesit e arsimit të mesëm profesional duhej të kalonin nga mësimi në klasë dhe të mësuarit në vendin e punës në mësimin </w:t>
      </w:r>
      <w:r w:rsidRPr="00050FA4">
        <w:rPr>
          <w:i/>
          <w:lang w:val="sq-AL"/>
        </w:rPr>
        <w:t>online</w:t>
      </w:r>
      <w:r w:rsidRPr="00050FA4">
        <w:rPr>
          <w:lang w:val="sq-AL"/>
        </w:rPr>
        <w:t xml:space="preserve"> (duke përdorur platforma të ndryshme </w:t>
      </w:r>
      <w:r w:rsidRPr="00050FA4">
        <w:rPr>
          <w:i/>
          <w:lang w:val="sq-AL"/>
        </w:rPr>
        <w:t>online</w:t>
      </w:r>
      <w:r w:rsidRPr="00050FA4">
        <w:rPr>
          <w:lang w:val="sq-AL"/>
        </w:rPr>
        <w:t xml:space="preserve">, duke përfshirë klasën e </w:t>
      </w:r>
      <w:r w:rsidRPr="00050FA4">
        <w:rPr>
          <w:i/>
          <w:lang w:val="sq-AL"/>
        </w:rPr>
        <w:t>Google</w:t>
      </w:r>
      <w:r w:rsidRPr="00050FA4">
        <w:rPr>
          <w:lang w:val="sq-AL"/>
        </w:rPr>
        <w:t xml:space="preserve">, </w:t>
      </w:r>
      <w:r w:rsidRPr="00050FA4">
        <w:rPr>
          <w:i/>
          <w:lang w:val="sq-AL"/>
        </w:rPr>
        <w:t>Zoom, Skype, WhatsApp</w:t>
      </w:r>
      <w:r w:rsidRPr="00050FA4">
        <w:rPr>
          <w:lang w:val="sq-AL"/>
        </w:rPr>
        <w:t xml:space="preserve"> etj.). Për të mbështetur këtë të fundit, u hartua dhe miratua një udhëzues. Punimet e lëndëve dhe leksionet për lëndët e përgjithshme, si</w:t>
      </w:r>
      <w:r w:rsidR="00746A38" w:rsidRPr="00050FA4">
        <w:rPr>
          <w:lang w:val="sq-AL"/>
        </w:rPr>
        <w:t xml:space="preserve">: </w:t>
      </w:r>
      <w:r w:rsidRPr="00050FA4">
        <w:rPr>
          <w:lang w:val="sq-AL"/>
        </w:rPr>
        <w:t xml:space="preserve">matematika, gjuha, biologjia, kimia, u transmetuan në </w:t>
      </w:r>
      <w:r w:rsidR="00746A38" w:rsidRPr="00050FA4">
        <w:rPr>
          <w:lang w:val="sq-AL"/>
        </w:rPr>
        <w:t>Kanalin e Transmetimit të Radiot</w:t>
      </w:r>
      <w:r w:rsidRPr="00050FA4">
        <w:rPr>
          <w:lang w:val="sq-AL"/>
        </w:rPr>
        <w:t xml:space="preserve">elevizionit Kombëtar Shqiptar (RTSH). Progresi në zbatimin e mësimit </w:t>
      </w:r>
      <w:r w:rsidRPr="00050FA4">
        <w:rPr>
          <w:i/>
          <w:lang w:val="sq-AL"/>
        </w:rPr>
        <w:t>online</w:t>
      </w:r>
      <w:r w:rsidRPr="00050FA4">
        <w:rPr>
          <w:lang w:val="sq-AL"/>
        </w:rPr>
        <w:t xml:space="preserve"> u monitorua përmes pyetësorëve të hartuar nga AKAFPK</w:t>
      </w:r>
      <w:r w:rsidR="007457EA" w:rsidRPr="00050FA4">
        <w:rPr>
          <w:lang w:val="sq-AL"/>
        </w:rPr>
        <w:t>-ja</w:t>
      </w:r>
      <w:r w:rsidRPr="00050FA4">
        <w:rPr>
          <w:lang w:val="sq-AL"/>
        </w:rPr>
        <w:t xml:space="preserve">, duke ofruar një pasqyrë të zbatimit të këtij procesi dhe vështirësive të hasura. Gjithashtu, në bashkëpunim me Agjencinë Kombëtare për Sigurimin e Cilësisë në Arsimin Parauniversitar (ASCAP), AKKAFP ka koordinuar ofrimin e trajnimeve për kompetencat </w:t>
      </w:r>
      <w:r w:rsidR="00C948AF" w:rsidRPr="00050FA4">
        <w:rPr>
          <w:lang w:val="sq-AL"/>
        </w:rPr>
        <w:t>digjital</w:t>
      </w:r>
      <w:r w:rsidRPr="00050FA4">
        <w:rPr>
          <w:lang w:val="sq-AL"/>
        </w:rPr>
        <w:t xml:space="preserve">e dhe mësimdhënien </w:t>
      </w:r>
      <w:r w:rsidRPr="00050FA4">
        <w:rPr>
          <w:i/>
          <w:lang w:val="sq-AL"/>
        </w:rPr>
        <w:t>online</w:t>
      </w:r>
      <w:r w:rsidRPr="00050FA4">
        <w:rPr>
          <w:lang w:val="sq-AL"/>
        </w:rPr>
        <w:t xml:space="preserve"> për mësuesit e AFP-së.</w:t>
      </w:r>
    </w:p>
    <w:p w14:paraId="75C765E2" w14:textId="6FF871A9" w:rsidR="00857902" w:rsidRPr="00050FA4" w:rsidRDefault="00857902" w:rsidP="003F1DA7">
      <w:pPr>
        <w:pStyle w:val="AAAAAAATEXXXX"/>
        <w:rPr>
          <w:lang w:val="sq-AL"/>
        </w:rPr>
      </w:pPr>
      <w:r w:rsidRPr="00050FA4">
        <w:rPr>
          <w:lang w:val="sq-AL"/>
        </w:rPr>
        <w:t xml:space="preserve">Ndërsa ofruesit e AFP-së raportojnë se mesatarisht 87.6% e të gjithë studentëve kanë marrë pjesë në një formë të mësimit </w:t>
      </w:r>
      <w:r w:rsidRPr="00050FA4">
        <w:rPr>
          <w:i/>
          <w:lang w:val="sq-AL"/>
        </w:rPr>
        <w:t>online</w:t>
      </w:r>
      <w:r w:rsidRPr="00050FA4">
        <w:rPr>
          <w:lang w:val="sq-AL"/>
        </w:rPr>
        <w:t xml:space="preserve">, nuk mund të nënvizohen çështjet që lidhen me aksesin në internet, pajisjet/teknologjitë </w:t>
      </w:r>
      <w:r w:rsidR="00C948AF" w:rsidRPr="00050FA4">
        <w:rPr>
          <w:lang w:val="sq-AL"/>
        </w:rPr>
        <w:t>digjital</w:t>
      </w:r>
      <w:r w:rsidRPr="00050FA4">
        <w:rPr>
          <w:lang w:val="sq-AL"/>
        </w:rPr>
        <w:t xml:space="preserve">e dhe kapacitetet e mësuesve për të përdorur platformat </w:t>
      </w:r>
      <w:r w:rsidRPr="00050FA4">
        <w:rPr>
          <w:i/>
          <w:lang w:val="sq-AL"/>
        </w:rPr>
        <w:t>online</w:t>
      </w:r>
      <w:r w:rsidRPr="00050FA4">
        <w:rPr>
          <w:lang w:val="sq-AL"/>
        </w:rPr>
        <w:t xml:space="preserve"> dhe për të zhvilluar përmbajtje </w:t>
      </w:r>
      <w:r w:rsidR="00C948AF" w:rsidRPr="00050FA4">
        <w:rPr>
          <w:lang w:val="sq-AL"/>
        </w:rPr>
        <w:t>digjital</w:t>
      </w:r>
      <w:r w:rsidRPr="00050FA4">
        <w:rPr>
          <w:lang w:val="sq-AL"/>
        </w:rPr>
        <w:t>e. Me mbylljen e shkollave dhe aksesin e kufizuar në mësimin në distancë, rreziku i braktisjes së përhershme të shkollës dhe pabarazive të të mësuarit mund të jetë përkeqësuar, veçanërisht për ato që tashmë kanë qenë të pafavorizuara përpara pandemisë.</w:t>
      </w:r>
    </w:p>
    <w:p w14:paraId="057F951F" w14:textId="78EDE29E" w:rsidR="00AE4EA3" w:rsidRPr="00050FA4" w:rsidRDefault="00857902" w:rsidP="003F1DA7">
      <w:pPr>
        <w:pStyle w:val="AAAAAAATEXXXX"/>
        <w:rPr>
          <w:lang w:val="sq-AL"/>
        </w:rPr>
      </w:pPr>
      <w:r w:rsidRPr="00050FA4">
        <w:rPr>
          <w:lang w:val="sq-AL"/>
        </w:rPr>
        <w:t>Trajnimi fillestar dhe zhvillimi i vazhdueshëm profesional i mësuesve/instruktorëve vazhdoi edhe gjatë vitit 2020 pavarësisht COVID-19. Konkretisht, 35 mësues/instruktorë janë trajnuar me programin Bazat e didaktikës në AAP dhe 40 mësues dhe instruktorë me programe të tjera trajnimi për zhvillim të vazhdueshëm profes</w:t>
      </w:r>
      <w:r w:rsidR="00AC0738" w:rsidRPr="00050FA4">
        <w:rPr>
          <w:lang w:val="sq-AL"/>
        </w:rPr>
        <w:t>ional. Gjithashtu u organizuan w</w:t>
      </w:r>
      <w:r w:rsidRPr="00050FA4">
        <w:rPr>
          <w:lang w:val="sq-AL"/>
        </w:rPr>
        <w:t xml:space="preserve">ebinarë </w:t>
      </w:r>
      <w:r w:rsidR="00AC0738" w:rsidRPr="00050FA4">
        <w:rPr>
          <w:lang w:val="sq-AL"/>
        </w:rPr>
        <w:t>p</w:t>
      </w:r>
      <w:r w:rsidRPr="00050FA4">
        <w:rPr>
          <w:lang w:val="sq-AL"/>
        </w:rPr>
        <w:t>ë</w:t>
      </w:r>
      <w:r w:rsidR="00AC0738" w:rsidRPr="00050FA4">
        <w:rPr>
          <w:lang w:val="sq-AL"/>
        </w:rPr>
        <w:t>r</w:t>
      </w:r>
      <w:r w:rsidRPr="00050FA4">
        <w:rPr>
          <w:lang w:val="sq-AL"/>
        </w:rPr>
        <w:t xml:space="preserve"> trajnimin e mësuesve/instruktorëve për aspekte të mësimit </w:t>
      </w:r>
      <w:r w:rsidRPr="00050FA4">
        <w:rPr>
          <w:i/>
          <w:lang w:val="sq-AL"/>
        </w:rPr>
        <w:t>online</w:t>
      </w:r>
      <w:r w:rsidRPr="00050FA4">
        <w:rPr>
          <w:lang w:val="sq-AL"/>
        </w:rPr>
        <w:t xml:space="preserve"> dhe vlerësimit të studentëve në kuadër të </w:t>
      </w:r>
      <w:r w:rsidR="00D449A8" w:rsidRPr="00050FA4">
        <w:rPr>
          <w:lang w:val="sq-AL"/>
        </w:rPr>
        <w:t>COVID</w:t>
      </w:r>
      <w:r w:rsidRPr="00050FA4">
        <w:rPr>
          <w:lang w:val="sq-AL"/>
        </w:rPr>
        <w:t xml:space="preserve">-19. Megjithatë, zhvillimi i vazhdueshëm profesional i mësuesve dhe instruktorëve, si dhe </w:t>
      </w:r>
      <w:r w:rsidR="00C948AF" w:rsidRPr="00050FA4">
        <w:rPr>
          <w:lang w:val="sq-AL"/>
        </w:rPr>
        <w:t>digjital</w:t>
      </w:r>
      <w:r w:rsidRPr="00050FA4">
        <w:rPr>
          <w:lang w:val="sq-AL"/>
        </w:rPr>
        <w:t>izimi i sistemit të AFP-së në përgjithësi kërkojnë një shtysë më të fortë. Ndërkohë, me mbështetjen e GIZ-it, ky program po përmirësohet</w:t>
      </w:r>
      <w:r w:rsidR="007457EA" w:rsidRPr="00050FA4">
        <w:rPr>
          <w:lang w:val="sq-AL"/>
        </w:rPr>
        <w:t>,</w:t>
      </w:r>
      <w:r w:rsidRPr="00050FA4">
        <w:rPr>
          <w:lang w:val="sq-AL"/>
        </w:rPr>
        <w:t xml:space="preserve"> duke integruar plotësisht kompetencat </w:t>
      </w:r>
      <w:r w:rsidR="00C948AF" w:rsidRPr="00050FA4">
        <w:rPr>
          <w:lang w:val="sq-AL"/>
        </w:rPr>
        <w:t>digjital</w:t>
      </w:r>
      <w:r w:rsidRPr="00050FA4">
        <w:rPr>
          <w:lang w:val="sq-AL"/>
        </w:rPr>
        <w:t>e që duhet të zotërojnë të gjithë mësuesit në AFP. Programi i trajnimit 24-ditor është duke u integruar në kuadrin ligjor si një trajnim fillestar i detyrueshëm për të gjithë mësuesit e rinj të rekrutuar dhe përzgjedhur në ofruesit publikë të AFP-së.</w:t>
      </w:r>
    </w:p>
    <w:p w14:paraId="60139FD1" w14:textId="63A0F70F" w:rsidR="00970CB0" w:rsidRPr="00050FA4" w:rsidRDefault="00970CB0" w:rsidP="003F1DA7">
      <w:pPr>
        <w:pStyle w:val="AAAAAAATEXXXX"/>
        <w:rPr>
          <w:lang w:val="sq-AL"/>
        </w:rPr>
      </w:pPr>
      <w:r w:rsidRPr="00050FA4">
        <w:rPr>
          <w:lang w:val="sq-AL"/>
        </w:rPr>
        <w:t>Shkalla e punësueshmërisë së të diplomuarve në arsimin profesional, sipas të dhënave të INSTAT</w:t>
      </w:r>
      <w:r w:rsidR="007457EA" w:rsidRPr="00050FA4">
        <w:rPr>
          <w:lang w:val="sq-AL"/>
        </w:rPr>
        <w:t>-it</w:t>
      </w:r>
      <w:r w:rsidRPr="00050FA4">
        <w:rPr>
          <w:lang w:val="sq-AL"/>
        </w:rPr>
        <w:t xml:space="preserve"> tregon se shkalla e punësimit të personave me arsim të mesëm profesional për vitin 2018 është 68,7% krahasuar me 54,9%, për ata me arsim të mesëm të përgjithshëm, duke theksuar rritjen e mundësive të punësimit për ata që kanë aftësi profesionale. Pavarësisht avantazhit të qartë të punësimit të maturantëve të AP, regjistrimet në shkollat e mesme profesionale publike në vitin akademik 2020</w:t>
      </w:r>
      <w:r w:rsidR="007457EA" w:rsidRPr="00050FA4">
        <w:rPr>
          <w:color w:val="0D0D0D" w:themeColor="text1" w:themeTint="F2"/>
          <w:lang w:val="sq-AL"/>
        </w:rPr>
        <w:t>–</w:t>
      </w:r>
      <w:r w:rsidRPr="00050FA4">
        <w:rPr>
          <w:lang w:val="sq-AL"/>
        </w:rPr>
        <w:t>2021 kanë rënë në 17,000 studentë (nga 18,164 në 2019</w:t>
      </w:r>
      <w:r w:rsidR="007457EA" w:rsidRPr="00050FA4">
        <w:rPr>
          <w:color w:val="0D0D0D" w:themeColor="text1" w:themeTint="F2"/>
          <w:lang w:val="sq-AL"/>
        </w:rPr>
        <w:t>–</w:t>
      </w:r>
      <w:r w:rsidRPr="00050FA4">
        <w:rPr>
          <w:lang w:val="sq-AL"/>
        </w:rPr>
        <w:t>2020). Ndërsa tendencat demografike janë kryesisht shkaku i rënies, promovimi i AFP-së ka nevojë për fokus të shtuar, por më e rëndësishmja, investimet infrastrukturore në sektor duhet të rriten në përputhje me planin e veprimit për optimizimin e ofruesve të AFP-së, veçanërisht në ofruesit që përballen me kërkesë të lartë (d</w:t>
      </w:r>
      <w:r w:rsidR="00D449A8" w:rsidRPr="00050FA4">
        <w:rPr>
          <w:lang w:val="sq-AL"/>
        </w:rPr>
        <w:t>.</w:t>
      </w:r>
      <w:r w:rsidRPr="00050FA4">
        <w:rPr>
          <w:lang w:val="sq-AL"/>
        </w:rPr>
        <w:t>m</w:t>
      </w:r>
      <w:r w:rsidR="00D449A8" w:rsidRPr="00050FA4">
        <w:rPr>
          <w:lang w:val="sq-AL"/>
        </w:rPr>
        <w:t>.</w:t>
      </w:r>
      <w:r w:rsidRPr="00050FA4">
        <w:rPr>
          <w:lang w:val="sq-AL"/>
        </w:rPr>
        <w:t>th</w:t>
      </w:r>
      <w:r w:rsidR="00D449A8" w:rsidRPr="00050FA4">
        <w:rPr>
          <w:lang w:val="sq-AL"/>
        </w:rPr>
        <w:t>.</w:t>
      </w:r>
      <w:r w:rsidRPr="00050FA4">
        <w:rPr>
          <w:lang w:val="sq-AL"/>
        </w:rPr>
        <w:t xml:space="preserve"> në rajonin qendror të Shqipërisë). Komunat nuk kanë avancuar shumë me përpjekjet e tyre për të përmirësuar infrastrukturën e AFP-së që është nën përgjegjësinë e tyre (p.sh. konviktet e shkollave të AAP-së).</w:t>
      </w:r>
    </w:p>
    <w:p w14:paraId="18C10014" w14:textId="3132DCAE" w:rsidR="00970CB0" w:rsidRPr="00050FA4" w:rsidRDefault="00970CB0" w:rsidP="003F1DA7">
      <w:pPr>
        <w:pStyle w:val="AAAAAAATEXXXX"/>
        <w:rPr>
          <w:lang w:val="sq-AL"/>
        </w:rPr>
      </w:pPr>
      <w:r w:rsidRPr="00050FA4">
        <w:rPr>
          <w:lang w:val="sq-AL"/>
        </w:rPr>
        <w:t>Problemet demografike dhe emigracioni kanë sjellë uljen e numrit të fëmijëve që ndjekin arsimin në arsimin e përgjithshëm dhe atë profesional. Bursat janë dhënë prej disa vitesh për të rritur pjesëmarrjen e vajzave në shkollat profesionale për ato vajza që duan të studiojnë lëndë tradicionalisht jotipike për to.</w:t>
      </w:r>
    </w:p>
    <w:p w14:paraId="3538C200" w14:textId="16FAA465" w:rsidR="00970CB0" w:rsidRPr="00050FA4" w:rsidRDefault="00970CB0" w:rsidP="003F1DA7">
      <w:pPr>
        <w:pStyle w:val="AAAAAAATEXXXX"/>
        <w:rPr>
          <w:lang w:val="sq-AL"/>
        </w:rPr>
      </w:pPr>
      <w:r w:rsidRPr="00050FA4">
        <w:rPr>
          <w:lang w:val="sq-AL"/>
        </w:rPr>
        <w:t>Sipas rezultateve paraprake që kemi</w:t>
      </w:r>
      <w:r w:rsidR="00792E81" w:rsidRPr="00050FA4">
        <w:rPr>
          <w:lang w:val="sq-AL"/>
        </w:rPr>
        <w:t>,</w:t>
      </w:r>
      <w:r w:rsidRPr="00050FA4">
        <w:rPr>
          <w:lang w:val="sq-AL"/>
        </w:rPr>
        <w:t xml:space="preserve"> për shkak se procesi i regjistrimit</w:t>
      </w:r>
      <w:r w:rsidR="00792E81" w:rsidRPr="00050FA4">
        <w:rPr>
          <w:lang w:val="sq-AL"/>
        </w:rPr>
        <w:t>,</w:t>
      </w:r>
      <w:r w:rsidRPr="00050FA4">
        <w:rPr>
          <w:lang w:val="sq-AL"/>
        </w:rPr>
        <w:t xml:space="preserve"> nuk ka përfunduar ende, në vitin aktual akademik 2021</w:t>
      </w:r>
      <w:r w:rsidR="00D449A8" w:rsidRPr="00050FA4">
        <w:rPr>
          <w:lang w:val="sq-AL"/>
        </w:rPr>
        <w:t>–</w:t>
      </w:r>
      <w:r w:rsidRPr="00050FA4">
        <w:rPr>
          <w:lang w:val="sq-AL"/>
        </w:rPr>
        <w:t xml:space="preserve">2022 ka një rritje të numrit të nxënësve nga zonat rurale dhe grupet e margjinalizuara. Më konkretisht, pjesëmarrja e romëve dhe </w:t>
      </w:r>
      <w:r w:rsidR="00792E81" w:rsidRPr="00050FA4">
        <w:rPr>
          <w:lang w:val="sq-AL"/>
        </w:rPr>
        <w:t xml:space="preserve">e </w:t>
      </w:r>
      <w:r w:rsidRPr="00050FA4">
        <w:rPr>
          <w:lang w:val="sq-AL"/>
        </w:rPr>
        <w:t xml:space="preserve">egjiptianëve arriti në 602 studentë dhe </w:t>
      </w:r>
      <w:r w:rsidRPr="00050FA4">
        <w:rPr>
          <w:lang w:val="sq-AL"/>
        </w:rPr>
        <w:lastRenderedPageBreak/>
        <w:t>kursantë (krahasuar me 592 një vit më parë), ndërsa pjesëmarrja e personave me aftësi të kufizuara u rrit nga 143 në 181. Mbi 50% e studentëve janë nga zonat rurale. Pavarësisht rritjeve nominale, ato nuk paraqesin një përmirësim të dukshëm në shtrirje.</w:t>
      </w:r>
    </w:p>
    <w:p w14:paraId="4525F8CC" w14:textId="44466A80" w:rsidR="00970CB0" w:rsidRPr="00050FA4" w:rsidRDefault="00970CB0" w:rsidP="003F1DA7">
      <w:pPr>
        <w:pStyle w:val="AAAAAAATEXXXX"/>
        <w:rPr>
          <w:lang w:val="sq-AL"/>
        </w:rPr>
      </w:pPr>
      <w:r w:rsidRPr="00050FA4">
        <w:rPr>
          <w:lang w:val="sq-AL"/>
        </w:rPr>
        <w:t>Një hap shtesë drejt sigurimit të cilësisë është vetëvlerësimi, një proces që tani zhvillohet çdo vit në të gjithë ofruesit e AFP-së dhe shërben si një bazë e mirë për përmirësime të mëtejshme në nivel ofruesi. Në kuadër të sigurimit të brendshëm të cilësisë së ofruesve të AFP-së, NAVETQ</w:t>
      </w:r>
      <w:r w:rsidR="00EB682D" w:rsidRPr="00050FA4">
        <w:rPr>
          <w:lang w:val="sq-AL"/>
        </w:rPr>
        <w:t>-së</w:t>
      </w:r>
      <w:r w:rsidRPr="00050FA4">
        <w:rPr>
          <w:lang w:val="sq-AL"/>
        </w:rPr>
        <w:t xml:space="preserve"> dhe MFE</w:t>
      </w:r>
      <w:r w:rsidR="00EB682D" w:rsidRPr="00050FA4">
        <w:rPr>
          <w:lang w:val="sq-AL"/>
        </w:rPr>
        <w:t>-së</w:t>
      </w:r>
      <w:r w:rsidRPr="00050FA4">
        <w:rPr>
          <w:lang w:val="sq-AL"/>
        </w:rPr>
        <w:t xml:space="preserve">, në bashkëpunim me UNDP-në kanë përmirësuar </w:t>
      </w:r>
      <w:r w:rsidR="00EB682D" w:rsidRPr="00050FA4">
        <w:rPr>
          <w:lang w:val="sq-AL"/>
        </w:rPr>
        <w:t xml:space="preserve">udhëzuesin e vetëvlerësimit </w:t>
      </w:r>
      <w:r w:rsidRPr="00050FA4">
        <w:rPr>
          <w:lang w:val="sq-AL"/>
        </w:rPr>
        <w:t>dhe kanë organizuar katër takime rajonale me drejtorët dhe ekipet e vetëvlerësimit të ofruesve publikë të AFP-së për të diskutuar zbatimin e vetëvlerësimit</w:t>
      </w:r>
      <w:r w:rsidR="00EB682D" w:rsidRPr="00050FA4">
        <w:rPr>
          <w:lang w:val="sq-AL"/>
        </w:rPr>
        <w:t>,</w:t>
      </w:r>
      <w:r w:rsidRPr="00050FA4">
        <w:rPr>
          <w:lang w:val="sq-AL"/>
        </w:rPr>
        <w:t xml:space="preserve"> </w:t>
      </w:r>
      <w:r w:rsidR="00EB682D" w:rsidRPr="00050FA4">
        <w:rPr>
          <w:lang w:val="sq-AL"/>
        </w:rPr>
        <w:t xml:space="preserve">vlerësimin </w:t>
      </w:r>
      <w:r w:rsidRPr="00050FA4">
        <w:rPr>
          <w:lang w:val="sq-AL"/>
        </w:rPr>
        <w:t>dhe zhvillimin e zgjidhjeve për të përmirësuar procesin. Procesi i trajnimit dhe konsultimit u ndërpre nga shpërthimi i COVID-19 në fillim të marsit 2020, duke shkaktuar një vonesë në finalizimin e procesit të vetëvlerësimit dhe raporteve. Megjithatë, të gjithë ofruesit publikë të AFP-së finalizuan raportet e ve</w:t>
      </w:r>
      <w:r w:rsidR="00EB682D" w:rsidRPr="00050FA4">
        <w:rPr>
          <w:lang w:val="sq-AL"/>
        </w:rPr>
        <w:t>të</w:t>
      </w:r>
      <w:r w:rsidRPr="00050FA4">
        <w:rPr>
          <w:lang w:val="sq-AL"/>
        </w:rPr>
        <w:t>vlerësimit në një deri në dy fusha cilësore deri në shtator 2020. Raportet dhe rezultatet e vetëvlerësimit u përdorën për të zhvilluar plane strategjike (3 ofrues) dhe plane vjetore (10 ofrues). Gjithashtu, NAVETQ</w:t>
      </w:r>
      <w:r w:rsidR="00EB682D" w:rsidRPr="00050FA4">
        <w:rPr>
          <w:lang w:val="sq-AL"/>
        </w:rPr>
        <w:t>-ja</w:t>
      </w:r>
      <w:r w:rsidRPr="00050FA4">
        <w:rPr>
          <w:lang w:val="sq-AL"/>
        </w:rPr>
        <w:t>, me mbështetjen e OEAD</w:t>
      </w:r>
      <w:r w:rsidR="00EB682D" w:rsidRPr="00050FA4">
        <w:rPr>
          <w:lang w:val="sq-AL"/>
        </w:rPr>
        <w:t>-së</w:t>
      </w:r>
      <w:r w:rsidRPr="00050FA4">
        <w:rPr>
          <w:lang w:val="sq-AL"/>
        </w:rPr>
        <w:t>, ka zhvilluar një manual mbi elementet përkatëse gjinore në procesin e vetëvlerësimit.</w:t>
      </w:r>
    </w:p>
    <w:p w14:paraId="44BB6A3A" w14:textId="30174C40" w:rsidR="00970CB0" w:rsidRPr="00050FA4" w:rsidRDefault="00970CB0" w:rsidP="003F1DA7">
      <w:pPr>
        <w:pStyle w:val="AAAAAAATEXXXX"/>
        <w:rPr>
          <w:lang w:val="sq-AL"/>
        </w:rPr>
      </w:pPr>
      <w:r w:rsidRPr="00050FA4">
        <w:rPr>
          <w:lang w:val="sq-AL"/>
        </w:rPr>
        <w:t>Në vitin 2020, NAVETQ</w:t>
      </w:r>
      <w:r w:rsidR="00EB682D" w:rsidRPr="00050FA4">
        <w:rPr>
          <w:lang w:val="sq-AL"/>
        </w:rPr>
        <w:t>-ja</w:t>
      </w:r>
      <w:r w:rsidRPr="00050FA4">
        <w:rPr>
          <w:lang w:val="sq-AL"/>
        </w:rPr>
        <w:t xml:space="preserve"> në bashkëpunim me ekspertizën ndërkombëtare të UNDP-së, hartoi modelin e akreditimit për ofruesit e AFP-së, i cili përfshin rolet dhe përgjegjësitë e institucioneve për akreditimin, standardet dhe kriteret, procedurat e akreditimit, si dhe një udhërrëfyes për të mbështetur listën e </w:t>
      </w:r>
      <w:r w:rsidRPr="003C6EE2">
        <w:rPr>
          <w:lang w:val="sq-AL"/>
        </w:rPr>
        <w:t>procesit të akreditimit. -jashtë.</w:t>
      </w:r>
      <w:r w:rsidRPr="00050FA4">
        <w:rPr>
          <w:lang w:val="sq-AL"/>
        </w:rPr>
        <w:t xml:space="preserve"> Modeli i propozuar u konsultua tërësisht brenda NAVETQ-së, si dhe me MFE</w:t>
      </w:r>
      <w:r w:rsidR="00EB682D" w:rsidRPr="00050FA4">
        <w:rPr>
          <w:lang w:val="sq-AL"/>
        </w:rPr>
        <w:t>-së</w:t>
      </w:r>
      <w:r w:rsidRPr="00050FA4">
        <w:rPr>
          <w:lang w:val="sq-AL"/>
        </w:rPr>
        <w:t>, AKSHP</w:t>
      </w:r>
      <w:r w:rsidR="00EB682D" w:rsidRPr="00050FA4">
        <w:rPr>
          <w:lang w:val="sq-AL"/>
        </w:rPr>
        <w:t>-së</w:t>
      </w:r>
      <w:r w:rsidRPr="00050FA4">
        <w:rPr>
          <w:lang w:val="sq-AL"/>
        </w:rPr>
        <w:t>, institucionet parauniversitare, partnerët socialë dhe ofruesit publik</w:t>
      </w:r>
      <w:r w:rsidR="00EB682D" w:rsidRPr="00050FA4">
        <w:rPr>
          <w:lang w:val="sq-AL"/>
        </w:rPr>
        <w:t>ë</w:t>
      </w:r>
      <w:r w:rsidRPr="00050FA4">
        <w:rPr>
          <w:lang w:val="sq-AL"/>
        </w:rPr>
        <w:t xml:space="preserve"> dhe jopublik</w:t>
      </w:r>
      <w:r w:rsidR="00EB682D" w:rsidRPr="00050FA4">
        <w:rPr>
          <w:lang w:val="sq-AL"/>
        </w:rPr>
        <w:t>ë</w:t>
      </w:r>
      <w:r w:rsidRPr="00050FA4">
        <w:rPr>
          <w:lang w:val="sq-AL"/>
        </w:rPr>
        <w:t xml:space="preserve"> të AFP-së. Modeli dhe rezultatet nga konsultimet po mbështesin zhvillimin e kuadrit ligjor për zbatimin e akreditimit. Modeli i akreditimit plotëson procesin e vetëvlerësimit, i prezantuar tashmë nga të gjithë ofruesit publikë të AFP-së. Procesi i propozuar i akreditimit ndërmerret në dy nivele – nivel kombëtar dhe nivel ofruesi i AFP-së. Institucionet kryesore të përfshira në nivel kombëtar janë NAVETQ dhe MFE.</w:t>
      </w:r>
    </w:p>
    <w:p w14:paraId="56996D81" w14:textId="24A6B325" w:rsidR="00970CB0" w:rsidRPr="00050FA4" w:rsidRDefault="00970CB0" w:rsidP="003F1DA7">
      <w:pPr>
        <w:pStyle w:val="AAAAAAATEXXXX"/>
        <w:rPr>
          <w:lang w:val="sq-AL"/>
        </w:rPr>
      </w:pPr>
      <w:r w:rsidRPr="00050FA4">
        <w:rPr>
          <w:lang w:val="sq-AL"/>
        </w:rPr>
        <w:t>Miratimi i rregullores së mësimit të bazuar në punë ishte një hap i rëndësishëm drejt rritjes së pjesëmarrjes së sektorit privat në AFP dhe përmirësimit të praktikave të WBL</w:t>
      </w:r>
      <w:r w:rsidR="00390464" w:rsidRPr="00050FA4">
        <w:rPr>
          <w:lang w:val="sq-AL"/>
        </w:rPr>
        <w:t>-së</w:t>
      </w:r>
      <w:r w:rsidRPr="00050FA4">
        <w:rPr>
          <w:lang w:val="sq-AL"/>
        </w:rPr>
        <w:t xml:space="preserve"> midis ofruesve të AFP-së. Zhvillimi i praktikave profesionale në vendin e punës është rritur, modulet e praktikave të parashikuara për t</w:t>
      </w:r>
      <w:r w:rsidR="00390464" w:rsidRPr="00050FA4">
        <w:rPr>
          <w:lang w:val="sq-AL"/>
        </w:rPr>
        <w:t>’</w:t>
      </w:r>
      <w:r w:rsidRPr="00050FA4">
        <w:rPr>
          <w:lang w:val="sq-AL"/>
        </w:rPr>
        <w:t>u zhvilluar në vendin e punës janë zhvilluar 100%, por cilësia e zhvillimit të tyre mbetet për t</w:t>
      </w:r>
      <w:r w:rsidR="00390464" w:rsidRPr="00050FA4">
        <w:rPr>
          <w:lang w:val="sq-AL"/>
        </w:rPr>
        <w:t>’</w:t>
      </w:r>
      <w:r w:rsidRPr="00050FA4">
        <w:rPr>
          <w:lang w:val="sq-AL"/>
        </w:rPr>
        <w:t>u monitoruar. Ngritja e komiteteve sektoriale të aftësive është identifikuar si prioritet në SHKP; megjithatë, komisioni i parë i aftësive të sektorit ende nuk është krijuar. Pas miratimit të VKM-së</w:t>
      </w:r>
      <w:r w:rsidR="00390464" w:rsidRPr="00050FA4">
        <w:rPr>
          <w:lang w:val="sq-AL"/>
        </w:rPr>
        <w:t>,</w:t>
      </w:r>
      <w:r w:rsidRPr="00050FA4">
        <w:rPr>
          <w:lang w:val="sq-AL"/>
        </w:rPr>
        <w:t xml:space="preserve"> </w:t>
      </w:r>
      <w:r w:rsidR="008A0E5B" w:rsidRPr="00050FA4">
        <w:rPr>
          <w:lang w:val="sq-AL"/>
        </w:rPr>
        <w:t>“</w:t>
      </w:r>
      <w:r w:rsidRPr="00050FA4">
        <w:rPr>
          <w:lang w:val="sq-AL"/>
        </w:rPr>
        <w:t>Për mënyrën e funksionimit dhe kriteret e përzgjedhjes së anëtarëve të komisioneve sektoriale dhe mënyrën e shpërblimit të tyre</w:t>
      </w:r>
      <w:r w:rsidR="008A0E5B" w:rsidRPr="00050FA4">
        <w:rPr>
          <w:lang w:val="sq-AL"/>
        </w:rPr>
        <w:t>”</w:t>
      </w:r>
      <w:r w:rsidRPr="00050FA4">
        <w:rPr>
          <w:lang w:val="sq-AL"/>
        </w:rPr>
        <w:t>, janë përpunuar termat e referencës për zhvillimin e metodologjisë për përzgjedhjen dhe përcaktimin e sektorit.</w:t>
      </w:r>
    </w:p>
    <w:p w14:paraId="70514A2E" w14:textId="6ECD5BB5" w:rsidR="004F312A" w:rsidRPr="00050FA4" w:rsidRDefault="00017C27" w:rsidP="003F1DA7">
      <w:pPr>
        <w:pStyle w:val="AAAAAAATEXXXX"/>
        <w:rPr>
          <w:b/>
          <w:lang w:val="sq-AL"/>
        </w:rPr>
      </w:pPr>
      <w:r w:rsidRPr="00050FA4">
        <w:rPr>
          <w:b/>
          <w:lang w:val="sq-AL"/>
        </w:rPr>
        <w:t>b</w:t>
      </w:r>
      <w:r w:rsidR="00567286" w:rsidRPr="00050FA4">
        <w:rPr>
          <w:b/>
          <w:lang w:val="sq-AL"/>
        </w:rPr>
        <w:t>)</w:t>
      </w:r>
      <w:r w:rsidRPr="00050FA4">
        <w:rPr>
          <w:b/>
          <w:lang w:val="sq-AL"/>
        </w:rPr>
        <w:t xml:space="preserve"> </w:t>
      </w:r>
      <w:r w:rsidR="00B2062A" w:rsidRPr="00050FA4">
        <w:rPr>
          <w:b/>
          <w:lang w:val="sq-AL"/>
        </w:rPr>
        <w:t>Masat e reformës</w:t>
      </w:r>
    </w:p>
    <w:p w14:paraId="7997BA06" w14:textId="0F107763" w:rsidR="004F312A" w:rsidRPr="00050FA4" w:rsidRDefault="00B2062A" w:rsidP="003F1DA7">
      <w:pPr>
        <w:pStyle w:val="AAAAAAATEXXXX"/>
        <w:rPr>
          <w:rFonts w:cstheme="majorBidi"/>
          <w:b/>
          <w:i/>
          <w:color w:val="0D0D0D" w:themeColor="text1" w:themeTint="F2"/>
          <w:lang w:val="sq-AL"/>
        </w:rPr>
      </w:pPr>
      <w:r w:rsidRPr="00050FA4">
        <w:rPr>
          <w:rFonts w:cstheme="majorBidi"/>
          <w:b/>
          <w:i/>
          <w:color w:val="0D0D0D" w:themeColor="text1" w:themeTint="F2"/>
          <w:lang w:val="sq-AL"/>
        </w:rPr>
        <w:t>Masa e reformës</w:t>
      </w:r>
      <w:r w:rsidR="005358F8" w:rsidRPr="00050FA4">
        <w:rPr>
          <w:rFonts w:cstheme="majorBidi"/>
          <w:b/>
          <w:i/>
          <w:color w:val="0D0D0D" w:themeColor="text1" w:themeTint="F2"/>
          <w:lang w:val="sq-AL"/>
        </w:rPr>
        <w:t xml:space="preserve"> 01</w:t>
      </w:r>
      <w:r w:rsidR="004F312A" w:rsidRPr="00050FA4">
        <w:rPr>
          <w:rFonts w:cstheme="majorBidi"/>
          <w:b/>
          <w:i/>
          <w:color w:val="0D0D0D" w:themeColor="text1" w:themeTint="F2"/>
          <w:lang w:val="sq-AL"/>
        </w:rPr>
        <w:t xml:space="preserve">: </w:t>
      </w:r>
      <w:r w:rsidR="009F7319" w:rsidRPr="00050FA4">
        <w:rPr>
          <w:rFonts w:cstheme="majorBidi"/>
          <w:b/>
          <w:i/>
          <w:color w:val="0D0D0D" w:themeColor="text1" w:themeTint="F2"/>
          <w:lang w:val="sq-AL"/>
        </w:rPr>
        <w:t xml:space="preserve">Rritja e cilësisë dhe </w:t>
      </w:r>
      <w:r w:rsidR="00390464" w:rsidRPr="00050FA4">
        <w:rPr>
          <w:rFonts w:cstheme="majorBidi"/>
          <w:b/>
          <w:i/>
          <w:color w:val="0D0D0D" w:themeColor="text1" w:themeTint="F2"/>
          <w:lang w:val="sq-AL"/>
        </w:rPr>
        <w:t xml:space="preserve">e </w:t>
      </w:r>
      <w:r w:rsidR="009F7319" w:rsidRPr="00050FA4">
        <w:rPr>
          <w:rFonts w:cstheme="majorBidi"/>
          <w:b/>
          <w:i/>
          <w:color w:val="0D0D0D" w:themeColor="text1" w:themeTint="F2"/>
          <w:lang w:val="sq-AL"/>
        </w:rPr>
        <w:t>aksesit në AFP</w:t>
      </w:r>
    </w:p>
    <w:p w14:paraId="4CC86700" w14:textId="7DC18488" w:rsidR="004F312A" w:rsidRPr="00050FA4" w:rsidRDefault="00017C27" w:rsidP="003F1DA7">
      <w:pPr>
        <w:pStyle w:val="AAAAAAATEXXXX"/>
        <w:rPr>
          <w:lang w:val="sq-AL"/>
        </w:rPr>
      </w:pPr>
      <w:r w:rsidRPr="00050FA4">
        <w:rPr>
          <w:lang w:val="sq-AL"/>
        </w:rPr>
        <w:t xml:space="preserve">1. </w:t>
      </w:r>
      <w:r w:rsidR="00B2062A" w:rsidRPr="00050FA4">
        <w:rPr>
          <w:lang w:val="sq-AL"/>
        </w:rPr>
        <w:t>Përshkrimi i masës</w:t>
      </w:r>
    </w:p>
    <w:p w14:paraId="01ACD299" w14:textId="03572AD9" w:rsidR="00FB30AC" w:rsidRPr="00050FA4" w:rsidRDefault="00FB30AC" w:rsidP="003F1DA7">
      <w:pPr>
        <w:pStyle w:val="AAAAAAATEXXXX"/>
        <w:rPr>
          <w:lang w:val="sq-AL"/>
        </w:rPr>
      </w:pPr>
      <w:r w:rsidRPr="00050FA4">
        <w:rPr>
          <w:lang w:val="sq-AL"/>
        </w:rPr>
        <w:t>Strategjia Kombëtare e Punësimit dhe Aftësive 2019</w:t>
      </w:r>
      <w:r w:rsidR="00390464" w:rsidRPr="00050FA4">
        <w:rPr>
          <w:color w:val="0D0D0D" w:themeColor="text1" w:themeTint="F2"/>
          <w:lang w:val="sq-AL"/>
        </w:rPr>
        <w:t>–</w:t>
      </w:r>
      <w:r w:rsidRPr="00050FA4">
        <w:rPr>
          <w:lang w:val="sq-AL"/>
        </w:rPr>
        <w:t>2022 është dokumenti kryesor i politikave që orienton zbatimin e veprimeve në lidhje me punësimin dhe zhvillimin e aftësive në vend. Objektivat (</w:t>
      </w:r>
      <w:r w:rsidR="00512A0F" w:rsidRPr="00050FA4">
        <w:rPr>
          <w:lang w:val="sq-AL"/>
        </w:rPr>
        <w:t xml:space="preserve">rritja </w:t>
      </w:r>
      <w:r w:rsidRPr="00050FA4">
        <w:rPr>
          <w:lang w:val="sq-AL"/>
        </w:rPr>
        <w:t>e cilësisë së rezultateve të arsimit, zhvillimi i kualifikimeve, atraktiviteti dhe rëndësia e sistemit të arsimit profesional dhe parashikimi i aftësive për korrigjimin e mospërputhjeve dhe përmirësimin e njohjes së aftësive) do të arrihen përmes disa aktiviteteve që lidhen me moder</w:t>
      </w:r>
      <w:r w:rsidR="00512A0F" w:rsidRPr="00050FA4">
        <w:rPr>
          <w:lang w:val="sq-AL"/>
        </w:rPr>
        <w:t>nizimin e përfshirjes së AFP-së</w:t>
      </w:r>
      <w:r w:rsidRPr="00050FA4">
        <w:rPr>
          <w:lang w:val="sq-AL"/>
        </w:rPr>
        <w:t>, duke synuar zhvillimin e tregut të punës.</w:t>
      </w:r>
    </w:p>
    <w:p w14:paraId="5E17EAD5" w14:textId="01984B3E" w:rsidR="00FB30AC" w:rsidRPr="00050FA4" w:rsidRDefault="00FB30AC" w:rsidP="003F1DA7">
      <w:pPr>
        <w:pStyle w:val="AAAAAAATEXXXX"/>
        <w:rPr>
          <w:lang w:val="sq-AL"/>
        </w:rPr>
      </w:pPr>
      <w:r w:rsidRPr="00050FA4">
        <w:rPr>
          <w:lang w:val="sq-AL"/>
        </w:rPr>
        <w:t xml:space="preserve">Ofrimi i arsimit dhe </w:t>
      </w:r>
      <w:r w:rsidR="00512A0F" w:rsidRPr="00050FA4">
        <w:rPr>
          <w:lang w:val="sq-AL"/>
        </w:rPr>
        <w:t xml:space="preserve">i </w:t>
      </w:r>
      <w:r w:rsidRPr="00050FA4">
        <w:rPr>
          <w:lang w:val="sq-AL"/>
        </w:rPr>
        <w:t>trajnimit profesional cilësor për të rinjtë dhe të rriturit janë prioritetet e përgjithshme strategjike të AAP-së. Mungesa e kapaciteteve në infrastrukturë në disa qarqe (Tiranë, Du</w:t>
      </w:r>
      <w:r w:rsidR="00D449A8" w:rsidRPr="00050FA4">
        <w:rPr>
          <w:lang w:val="sq-AL"/>
        </w:rPr>
        <w:t>rrës, Elbasan) dhe përdorimi jo</w:t>
      </w:r>
      <w:r w:rsidRPr="00050FA4">
        <w:rPr>
          <w:lang w:val="sq-AL"/>
        </w:rPr>
        <w:t>racional i tyre në disa qarqe të tjera (Korçë, Berat) bëjnë të domosdoshëm zbatimin e menjëhershëm të planit për optimizimin e ofruesve publikë të arsimit dhe formimit profesional.</w:t>
      </w:r>
    </w:p>
    <w:p w14:paraId="5698D083" w14:textId="53634C25" w:rsidR="00FB30AC" w:rsidRPr="00050FA4" w:rsidRDefault="00FB30AC" w:rsidP="003F1DA7">
      <w:pPr>
        <w:pStyle w:val="AAAAAAATEXXXX"/>
        <w:rPr>
          <w:lang w:val="sq-AL"/>
        </w:rPr>
      </w:pPr>
      <w:r w:rsidRPr="00050FA4">
        <w:rPr>
          <w:lang w:val="sq-AL"/>
        </w:rPr>
        <w:t>Përvoja pozitive e bashkëpunimit me komunitetin e biznesit duhet të shtrihet në të gjitha fushat që ofrojnë shkollat profesionale. Mos u kufizoni në hoteleri-turizëm, shërbime automjetesh etj.</w:t>
      </w:r>
    </w:p>
    <w:p w14:paraId="3F8407FC" w14:textId="057FF798" w:rsidR="00FB30AC" w:rsidRPr="00050FA4" w:rsidRDefault="00FB30AC" w:rsidP="003F1DA7">
      <w:pPr>
        <w:pStyle w:val="AAAAAAATEXXXX"/>
        <w:rPr>
          <w:lang w:val="sq-AL"/>
        </w:rPr>
      </w:pPr>
      <w:r w:rsidRPr="00050FA4">
        <w:rPr>
          <w:lang w:val="sq-AL"/>
        </w:rPr>
        <w:t>Edhe pse, siç u përmend më lart, si pasojë e pandemisë, promovimi i AFP-së nuk u krye në kushtet më të mira, megjitha</w:t>
      </w:r>
      <w:r w:rsidR="00AE4EA3" w:rsidRPr="00050FA4">
        <w:rPr>
          <w:lang w:val="sq-AL"/>
        </w:rPr>
        <w:t xml:space="preserve">të në bashkëpunim me shkollat </w:t>
      </w:r>
      <w:r w:rsidRPr="00050FA4">
        <w:rPr>
          <w:lang w:val="sq-AL"/>
        </w:rPr>
        <w:t>profesionale patëm një fillim të mbarë të vitit shkollor 2021</w:t>
      </w:r>
      <w:r w:rsidR="00567286" w:rsidRPr="00050FA4">
        <w:rPr>
          <w:lang w:val="sq-AL"/>
        </w:rPr>
        <w:t>–</w:t>
      </w:r>
      <w:r w:rsidRPr="00050FA4">
        <w:rPr>
          <w:lang w:val="sq-AL"/>
        </w:rPr>
        <w:t>2022</w:t>
      </w:r>
      <w:r w:rsidR="00893E76" w:rsidRPr="00050FA4">
        <w:rPr>
          <w:lang w:val="sq-AL"/>
        </w:rPr>
        <w:t>,</w:t>
      </w:r>
      <w:r w:rsidRPr="00050FA4">
        <w:rPr>
          <w:lang w:val="sq-AL"/>
        </w:rPr>
        <w:t xml:space="preserve"> për</w:t>
      </w:r>
      <w:r w:rsidR="00AC0738" w:rsidRPr="00050FA4">
        <w:rPr>
          <w:lang w:val="sq-AL"/>
        </w:rPr>
        <w:t xml:space="preserve"> </w:t>
      </w:r>
      <w:r w:rsidR="00E67ECA" w:rsidRPr="00050FA4">
        <w:rPr>
          <w:lang w:val="sq-AL"/>
        </w:rPr>
        <w:t>sa u</w:t>
      </w:r>
      <w:r w:rsidRPr="00050FA4">
        <w:rPr>
          <w:lang w:val="sq-AL"/>
        </w:rPr>
        <w:t xml:space="preserve"> përket regjistrimeve në vitet e para (mbi 4500 studentë u regjistruan).</w:t>
      </w:r>
    </w:p>
    <w:p w14:paraId="6E1DC28A" w14:textId="1F1A3BB6" w:rsidR="00FB30AC" w:rsidRPr="00050FA4" w:rsidRDefault="00FB30AC" w:rsidP="003F1DA7">
      <w:pPr>
        <w:pStyle w:val="AAAAAAATEXXXX"/>
        <w:rPr>
          <w:lang w:val="sq-AL"/>
        </w:rPr>
      </w:pPr>
      <w:r w:rsidRPr="00050FA4">
        <w:rPr>
          <w:lang w:val="sq-AL"/>
        </w:rPr>
        <w:t xml:space="preserve">Miratimi i akteve nënligjore në zbatim të ligjit të AFP-së duhet të kishte përfunduar, por aktet e fundit </w:t>
      </w:r>
      <w:r w:rsidRPr="00050FA4">
        <w:rPr>
          <w:lang w:val="sq-AL"/>
        </w:rPr>
        <w:lastRenderedPageBreak/>
        <w:t xml:space="preserve">tashmë janë hartuar, janë dorëzuar në sistemin </w:t>
      </w:r>
      <w:r w:rsidRPr="00050FA4">
        <w:rPr>
          <w:i/>
          <w:lang w:val="sq-AL"/>
        </w:rPr>
        <w:t>e-</w:t>
      </w:r>
      <w:r w:rsidR="00494E4A" w:rsidRPr="00050FA4">
        <w:rPr>
          <w:i/>
          <w:lang w:val="sq-AL"/>
        </w:rPr>
        <w:t>Akte</w:t>
      </w:r>
      <w:r w:rsidR="00494E4A" w:rsidRPr="00050FA4">
        <w:rPr>
          <w:lang w:val="sq-AL"/>
        </w:rPr>
        <w:t xml:space="preserve"> </w:t>
      </w:r>
      <w:r w:rsidRPr="00050FA4">
        <w:rPr>
          <w:lang w:val="sq-AL"/>
        </w:rPr>
        <w:t>dhe janë duke u koordinuar me institucionet e tjera në mënyrë që brenda vitit 2021 të miratohen nga Këshilli i Ministrat.</w:t>
      </w:r>
    </w:p>
    <w:p w14:paraId="3607E05D" w14:textId="30BBE1FC" w:rsidR="004F312A" w:rsidRPr="00050FA4" w:rsidRDefault="00017C27" w:rsidP="003F1DA7">
      <w:pPr>
        <w:pStyle w:val="AAAAAAATEXXXX"/>
        <w:rPr>
          <w:b/>
          <w:lang w:val="sq-AL"/>
        </w:rPr>
      </w:pPr>
      <w:r w:rsidRPr="00050FA4">
        <w:rPr>
          <w:b/>
          <w:lang w:val="sq-AL"/>
        </w:rPr>
        <w:t>a</w:t>
      </w:r>
      <w:r w:rsidR="00567286" w:rsidRPr="00050FA4">
        <w:rPr>
          <w:b/>
          <w:lang w:val="sq-AL"/>
        </w:rPr>
        <w:t>)</w:t>
      </w:r>
      <w:r w:rsidRPr="00050FA4">
        <w:rPr>
          <w:b/>
          <w:lang w:val="sq-AL"/>
        </w:rPr>
        <w:t xml:space="preserve"> </w:t>
      </w:r>
      <w:r w:rsidR="00B2062A" w:rsidRPr="00050FA4">
        <w:rPr>
          <w:b/>
          <w:lang w:val="sq-AL"/>
        </w:rPr>
        <w:t xml:space="preserve">Aktivitete të planifikuara </w:t>
      </w:r>
      <w:r w:rsidR="00D449A8" w:rsidRPr="00050FA4">
        <w:rPr>
          <w:b/>
          <w:lang w:val="sq-AL"/>
        </w:rPr>
        <w:t>m</w:t>
      </w:r>
      <w:r w:rsidR="00B2062A" w:rsidRPr="00050FA4">
        <w:rPr>
          <w:b/>
          <w:lang w:val="sq-AL"/>
        </w:rPr>
        <w:t>ë</w:t>
      </w:r>
      <w:r w:rsidR="004F312A" w:rsidRPr="00050FA4">
        <w:rPr>
          <w:b/>
          <w:lang w:val="sq-AL"/>
        </w:rPr>
        <w:t xml:space="preserve"> 2022</w:t>
      </w:r>
      <w:r w:rsidR="00D449A8" w:rsidRPr="00050FA4">
        <w:rPr>
          <w:b/>
          <w:lang w:val="sq-AL"/>
        </w:rPr>
        <w:t>-shin</w:t>
      </w:r>
    </w:p>
    <w:p w14:paraId="71DDB3AB" w14:textId="3732A08F" w:rsidR="00FB30AC" w:rsidRPr="00050FA4" w:rsidRDefault="002C3394" w:rsidP="003F1DA7">
      <w:pPr>
        <w:pStyle w:val="AAAAAAATEXXXX"/>
        <w:rPr>
          <w:lang w:val="sq-AL"/>
        </w:rPr>
      </w:pPr>
      <w:r w:rsidRPr="00050FA4">
        <w:rPr>
          <w:lang w:val="sq-AL"/>
        </w:rPr>
        <w:t>a</w:t>
      </w:r>
      <w:r w:rsidR="00567286" w:rsidRPr="00050FA4">
        <w:rPr>
          <w:lang w:val="sq-AL"/>
        </w:rPr>
        <w:t>)</w:t>
      </w:r>
      <w:r w:rsidRPr="00050FA4">
        <w:rPr>
          <w:lang w:val="sq-AL"/>
        </w:rPr>
        <w:t xml:space="preserve"> </w:t>
      </w:r>
      <w:r w:rsidR="00FB30AC" w:rsidRPr="00050FA4">
        <w:rPr>
          <w:lang w:val="sq-AL"/>
        </w:rPr>
        <w:t>Plotësoni kuadrin ligjor për të siguruar autonominë financiare, gjenerimin e të ardhurave për ofruesit e AFP-së. Rishikoni metodën e ndarjes së buxhetit. Zhvilloni një instrument për të vlerësuar implikimet e kostos specifike të programit në konsultim të ngushtë me ofruesit e AFP-së</w:t>
      </w:r>
      <w:r w:rsidR="00BD5CB5" w:rsidRPr="00050FA4">
        <w:rPr>
          <w:lang w:val="sq-AL"/>
        </w:rPr>
        <w:t>;</w:t>
      </w:r>
    </w:p>
    <w:p w14:paraId="1DC6824B" w14:textId="251F5583" w:rsidR="00FB30AC" w:rsidRPr="00050FA4" w:rsidRDefault="002C3394" w:rsidP="003F1DA7">
      <w:pPr>
        <w:pStyle w:val="AAAAAAATEXXXX"/>
        <w:rPr>
          <w:lang w:val="sq-AL"/>
        </w:rPr>
      </w:pPr>
      <w:r w:rsidRPr="00050FA4">
        <w:rPr>
          <w:lang w:val="sq-AL"/>
        </w:rPr>
        <w:t>b</w:t>
      </w:r>
      <w:r w:rsidR="00567286" w:rsidRPr="00050FA4">
        <w:rPr>
          <w:lang w:val="sq-AL"/>
        </w:rPr>
        <w:t>)</w:t>
      </w:r>
      <w:r w:rsidRPr="00050FA4">
        <w:rPr>
          <w:lang w:val="sq-AL"/>
        </w:rPr>
        <w:t xml:space="preserve"> </w:t>
      </w:r>
      <w:r w:rsidR="00FB30AC" w:rsidRPr="00050FA4">
        <w:rPr>
          <w:lang w:val="sq-AL"/>
        </w:rPr>
        <w:t xml:space="preserve">Finalizimi i procesit të referimit të </w:t>
      </w:r>
      <w:r w:rsidR="007E26CD" w:rsidRPr="00050FA4">
        <w:rPr>
          <w:lang w:val="sq-AL"/>
        </w:rPr>
        <w:t xml:space="preserve">kornizës shqiptare të kualifikimeve </w:t>
      </w:r>
      <w:r w:rsidR="00FB30AC" w:rsidRPr="00050FA4">
        <w:rPr>
          <w:lang w:val="sq-AL"/>
        </w:rPr>
        <w:t xml:space="preserve">në atë </w:t>
      </w:r>
      <w:r w:rsidR="007E26CD" w:rsidRPr="00050FA4">
        <w:rPr>
          <w:lang w:val="sq-AL"/>
        </w:rPr>
        <w:t xml:space="preserve">kuadër evropian </w:t>
      </w:r>
      <w:r w:rsidR="00FB30AC" w:rsidRPr="00050FA4">
        <w:rPr>
          <w:lang w:val="sq-AL"/>
        </w:rPr>
        <w:t xml:space="preserve">të </w:t>
      </w:r>
      <w:r w:rsidR="007E26CD" w:rsidRPr="00050FA4">
        <w:rPr>
          <w:lang w:val="sq-AL"/>
        </w:rPr>
        <w:t>kualifikimeve</w:t>
      </w:r>
      <w:r w:rsidR="00BD5CB5" w:rsidRPr="00050FA4">
        <w:rPr>
          <w:lang w:val="sq-AL"/>
        </w:rPr>
        <w:t>;</w:t>
      </w:r>
    </w:p>
    <w:p w14:paraId="581085B4" w14:textId="780B7636" w:rsidR="00FB30AC" w:rsidRPr="00050FA4" w:rsidRDefault="002C3394" w:rsidP="003F1DA7">
      <w:pPr>
        <w:pStyle w:val="AAAAAAATEXXXX"/>
        <w:rPr>
          <w:lang w:val="sq-AL"/>
        </w:rPr>
      </w:pPr>
      <w:r w:rsidRPr="00050FA4">
        <w:rPr>
          <w:lang w:val="sq-AL"/>
        </w:rPr>
        <w:t>c</w:t>
      </w:r>
      <w:r w:rsidR="00567286" w:rsidRPr="00050FA4">
        <w:rPr>
          <w:lang w:val="sq-AL"/>
        </w:rPr>
        <w:t>)</w:t>
      </w:r>
      <w:r w:rsidRPr="00050FA4">
        <w:rPr>
          <w:lang w:val="sq-AL"/>
        </w:rPr>
        <w:t xml:space="preserve"> </w:t>
      </w:r>
      <w:r w:rsidR="00FB30AC" w:rsidRPr="00050FA4">
        <w:rPr>
          <w:lang w:val="sq-AL"/>
        </w:rPr>
        <w:t xml:space="preserve">Përsosni procesin e përkthimit të </w:t>
      </w:r>
      <w:r w:rsidR="007E26CD" w:rsidRPr="00050FA4">
        <w:rPr>
          <w:lang w:val="sq-AL"/>
        </w:rPr>
        <w:t xml:space="preserve">standardeve profesionale dhe të kualifikimit në standarde, vlerësimi </w:t>
      </w:r>
      <w:r w:rsidR="00FB30AC" w:rsidRPr="00050FA4">
        <w:rPr>
          <w:lang w:val="sq-AL"/>
        </w:rPr>
        <w:t>me ndihmën e specialistëve të sektorit dhe ekspertëve të çështjeve nga sektori privat për të siguruar që provimet e nivelit të jenë të përshtatshme për verifikimin e kompetencave profesionale të një kandidati</w:t>
      </w:r>
      <w:r w:rsidR="007E26CD" w:rsidRPr="00050FA4">
        <w:rPr>
          <w:lang w:val="sq-AL"/>
        </w:rPr>
        <w:t>,</w:t>
      </w:r>
      <w:r w:rsidR="00FB30AC" w:rsidRPr="00050FA4">
        <w:rPr>
          <w:lang w:val="sq-AL"/>
        </w:rPr>
        <w:t xml:space="preserve"> siç përcaktohen nga industria</w:t>
      </w:r>
      <w:r w:rsidR="00BD5CB5" w:rsidRPr="00050FA4">
        <w:rPr>
          <w:lang w:val="sq-AL"/>
        </w:rPr>
        <w:t>;</w:t>
      </w:r>
    </w:p>
    <w:p w14:paraId="4DF33C44" w14:textId="52CDBCF0" w:rsidR="00FB30AC" w:rsidRPr="00050FA4" w:rsidRDefault="002C3394" w:rsidP="003F1DA7">
      <w:pPr>
        <w:pStyle w:val="AAAAAAATEXXXX"/>
        <w:rPr>
          <w:lang w:val="sq-AL"/>
        </w:rPr>
      </w:pPr>
      <w:r w:rsidRPr="00050FA4">
        <w:rPr>
          <w:lang w:val="sq-AL"/>
        </w:rPr>
        <w:t>d</w:t>
      </w:r>
      <w:r w:rsidR="00567286" w:rsidRPr="00050FA4">
        <w:rPr>
          <w:lang w:val="sq-AL"/>
        </w:rPr>
        <w:t>)</w:t>
      </w:r>
      <w:r w:rsidRPr="00050FA4">
        <w:rPr>
          <w:lang w:val="sq-AL"/>
        </w:rPr>
        <w:t xml:space="preserve"> </w:t>
      </w:r>
      <w:r w:rsidR="00FB30AC" w:rsidRPr="00050FA4">
        <w:rPr>
          <w:lang w:val="sq-AL"/>
        </w:rPr>
        <w:t>Përhapja, ndërtimi i kapaciteteve të palëve të përfshira dhe konsolidimi i zbatimit të sistemit të akreditimit</w:t>
      </w:r>
      <w:r w:rsidR="00BD5CB5" w:rsidRPr="00050FA4">
        <w:rPr>
          <w:lang w:val="sq-AL"/>
        </w:rPr>
        <w:t>;</w:t>
      </w:r>
    </w:p>
    <w:p w14:paraId="56A45CB9" w14:textId="65AE8C84" w:rsidR="00FB30AC" w:rsidRPr="00050FA4" w:rsidRDefault="002C3394" w:rsidP="003F1DA7">
      <w:pPr>
        <w:pStyle w:val="AAAAAAATEXXXX"/>
        <w:rPr>
          <w:lang w:val="sq-AL"/>
        </w:rPr>
      </w:pPr>
      <w:r w:rsidRPr="00050FA4">
        <w:rPr>
          <w:lang w:val="sq-AL"/>
        </w:rPr>
        <w:t>e</w:t>
      </w:r>
      <w:r w:rsidR="00567286" w:rsidRPr="00050FA4">
        <w:rPr>
          <w:lang w:val="sq-AL"/>
        </w:rPr>
        <w:t>)</w:t>
      </w:r>
      <w:r w:rsidRPr="00050FA4">
        <w:rPr>
          <w:lang w:val="sq-AL"/>
        </w:rPr>
        <w:t xml:space="preserve"> </w:t>
      </w:r>
      <w:r w:rsidR="00FB30AC" w:rsidRPr="00050FA4">
        <w:rPr>
          <w:lang w:val="sq-AL"/>
        </w:rPr>
        <w:t xml:space="preserve">Zhvillimi i kompetencave të 170 mësuesve të AFP-së dhe stafit mbështetës, si dhe </w:t>
      </w:r>
      <w:r w:rsidR="007E26CD" w:rsidRPr="00050FA4">
        <w:rPr>
          <w:lang w:val="sq-AL"/>
        </w:rPr>
        <w:t xml:space="preserve">të </w:t>
      </w:r>
      <w:r w:rsidR="00FB30AC" w:rsidRPr="00050FA4">
        <w:rPr>
          <w:lang w:val="sq-AL"/>
        </w:rPr>
        <w:t>trajnerëve të mësuesve</w:t>
      </w:r>
      <w:r w:rsidR="00BD5CB5" w:rsidRPr="00050FA4">
        <w:rPr>
          <w:lang w:val="sq-AL"/>
        </w:rPr>
        <w:t>;</w:t>
      </w:r>
    </w:p>
    <w:p w14:paraId="467A2DB5" w14:textId="77956C6C" w:rsidR="00FB30AC" w:rsidRPr="00050FA4" w:rsidRDefault="002C3394" w:rsidP="003F1DA7">
      <w:pPr>
        <w:pStyle w:val="AAAAAAATEXXXX"/>
        <w:rPr>
          <w:lang w:val="sq-AL"/>
        </w:rPr>
      </w:pPr>
      <w:r w:rsidRPr="00050FA4">
        <w:rPr>
          <w:lang w:val="sq-AL"/>
        </w:rPr>
        <w:t>f</w:t>
      </w:r>
      <w:r w:rsidR="00567286" w:rsidRPr="00050FA4">
        <w:rPr>
          <w:lang w:val="sq-AL"/>
        </w:rPr>
        <w:t>)</w:t>
      </w:r>
      <w:r w:rsidRPr="00050FA4">
        <w:rPr>
          <w:lang w:val="sq-AL"/>
        </w:rPr>
        <w:t xml:space="preserve"> </w:t>
      </w:r>
      <w:r w:rsidR="00FB30AC" w:rsidRPr="00050FA4">
        <w:rPr>
          <w:lang w:val="sq-AL"/>
        </w:rPr>
        <w:t>Institucionalizimi i Këshillit Kombëtar të Arsimit dhe Formimit Profesional</w:t>
      </w:r>
      <w:r w:rsidR="00BD5CB5" w:rsidRPr="00050FA4">
        <w:rPr>
          <w:lang w:val="sq-AL"/>
        </w:rPr>
        <w:t>;</w:t>
      </w:r>
    </w:p>
    <w:p w14:paraId="7F0B2748" w14:textId="0F4A2145" w:rsidR="00FB30AC" w:rsidRPr="00050FA4" w:rsidRDefault="002C3394" w:rsidP="003F1DA7">
      <w:pPr>
        <w:pStyle w:val="AAAAAAATEXXXX"/>
        <w:rPr>
          <w:lang w:val="sq-AL"/>
        </w:rPr>
      </w:pPr>
      <w:r w:rsidRPr="00050FA4">
        <w:rPr>
          <w:lang w:val="sq-AL"/>
        </w:rPr>
        <w:t>g</w:t>
      </w:r>
      <w:r w:rsidR="00567286" w:rsidRPr="00050FA4">
        <w:rPr>
          <w:lang w:val="sq-AL"/>
        </w:rPr>
        <w:t>)</w:t>
      </w:r>
      <w:r w:rsidRPr="00050FA4">
        <w:rPr>
          <w:lang w:val="sq-AL"/>
        </w:rPr>
        <w:t xml:space="preserve"> </w:t>
      </w:r>
      <w:r w:rsidR="00FB30AC" w:rsidRPr="00050FA4">
        <w:rPr>
          <w:lang w:val="sq-AL"/>
        </w:rPr>
        <w:t>Ngritja e Komitetit të Dytë Sektorial</w:t>
      </w:r>
      <w:r w:rsidR="00BD5CB5" w:rsidRPr="00050FA4">
        <w:rPr>
          <w:lang w:val="sq-AL"/>
        </w:rPr>
        <w:t>;</w:t>
      </w:r>
    </w:p>
    <w:p w14:paraId="25AF7BC3" w14:textId="3A05C03A" w:rsidR="00FB30AC" w:rsidRPr="00050FA4" w:rsidRDefault="002C3394" w:rsidP="003F1DA7">
      <w:pPr>
        <w:pStyle w:val="AAAAAAATEXXXX"/>
        <w:rPr>
          <w:lang w:val="sq-AL"/>
        </w:rPr>
      </w:pPr>
      <w:r w:rsidRPr="00050FA4">
        <w:rPr>
          <w:lang w:val="sq-AL"/>
        </w:rPr>
        <w:t>h</w:t>
      </w:r>
      <w:r w:rsidR="00567286" w:rsidRPr="00050FA4">
        <w:rPr>
          <w:lang w:val="sq-AL"/>
        </w:rPr>
        <w:t>)</w:t>
      </w:r>
      <w:r w:rsidRPr="00050FA4">
        <w:rPr>
          <w:lang w:val="sq-AL"/>
        </w:rPr>
        <w:t xml:space="preserve"> </w:t>
      </w:r>
      <w:r w:rsidR="00FB30AC" w:rsidRPr="00050FA4">
        <w:rPr>
          <w:lang w:val="sq-AL"/>
        </w:rPr>
        <w:t>Fillimi i punës për hartimin e një Strategjie të re në fushën e punësimit dhe aftësive profesionale</w:t>
      </w:r>
      <w:r w:rsidR="00BD5CB5" w:rsidRPr="00050FA4">
        <w:rPr>
          <w:lang w:val="sq-AL"/>
        </w:rPr>
        <w:t>;</w:t>
      </w:r>
    </w:p>
    <w:p w14:paraId="5CBB963E" w14:textId="70E802E3" w:rsidR="00FB30AC" w:rsidRPr="00050FA4" w:rsidRDefault="002C3394" w:rsidP="003F1DA7">
      <w:pPr>
        <w:pStyle w:val="AAAAAAATEXXXX"/>
        <w:rPr>
          <w:lang w:val="sq-AL"/>
        </w:rPr>
      </w:pPr>
      <w:r w:rsidRPr="00050FA4">
        <w:rPr>
          <w:lang w:val="sq-AL"/>
        </w:rPr>
        <w:t>i</w:t>
      </w:r>
      <w:r w:rsidR="00567286" w:rsidRPr="00050FA4">
        <w:rPr>
          <w:lang w:val="sq-AL"/>
        </w:rPr>
        <w:t>)</w:t>
      </w:r>
      <w:r w:rsidRPr="00050FA4">
        <w:rPr>
          <w:lang w:val="sq-AL"/>
        </w:rPr>
        <w:t xml:space="preserve"> </w:t>
      </w:r>
      <w:r w:rsidR="00FB30AC" w:rsidRPr="00050FA4">
        <w:rPr>
          <w:lang w:val="sq-AL"/>
        </w:rPr>
        <w:t>Vazhdimi i punës për ngritjen e komiteteve sektoriale.</w:t>
      </w:r>
    </w:p>
    <w:p w14:paraId="49EE74AD" w14:textId="463DF554" w:rsidR="004F312A" w:rsidRPr="00050FA4" w:rsidRDefault="007E26CD" w:rsidP="003F1DA7">
      <w:pPr>
        <w:pStyle w:val="AAAAAAATEXXXX"/>
        <w:rPr>
          <w:b/>
          <w:lang w:val="sq-AL"/>
        </w:rPr>
      </w:pPr>
      <w:r w:rsidRPr="00050FA4">
        <w:rPr>
          <w:b/>
          <w:lang w:val="sq-AL"/>
        </w:rPr>
        <w:t xml:space="preserve">b) </w:t>
      </w:r>
      <w:r w:rsidR="00B2062A" w:rsidRPr="00050FA4">
        <w:rPr>
          <w:b/>
          <w:lang w:val="sq-AL"/>
        </w:rPr>
        <w:t xml:space="preserve">Aktivitete të planifikuara </w:t>
      </w:r>
      <w:r w:rsidRPr="00050FA4">
        <w:rPr>
          <w:b/>
          <w:lang w:val="sq-AL"/>
        </w:rPr>
        <w:t>m</w:t>
      </w:r>
      <w:r w:rsidR="00B2062A" w:rsidRPr="00050FA4">
        <w:rPr>
          <w:b/>
          <w:lang w:val="sq-AL"/>
        </w:rPr>
        <w:t>ë</w:t>
      </w:r>
      <w:r w:rsidR="004F312A" w:rsidRPr="00050FA4">
        <w:rPr>
          <w:b/>
          <w:lang w:val="sq-AL"/>
        </w:rPr>
        <w:t xml:space="preserve"> 2023</w:t>
      </w:r>
      <w:r w:rsidRPr="00050FA4">
        <w:rPr>
          <w:b/>
          <w:lang w:val="sq-AL"/>
        </w:rPr>
        <w:t>-shin</w:t>
      </w:r>
    </w:p>
    <w:p w14:paraId="784FA04A" w14:textId="0D6ACE07" w:rsidR="00FB30AC" w:rsidRPr="00050FA4" w:rsidRDefault="002C3394" w:rsidP="003F1DA7">
      <w:pPr>
        <w:pStyle w:val="AAAAAAATEXXXX"/>
        <w:rPr>
          <w:lang w:val="sq-AL"/>
        </w:rPr>
      </w:pPr>
      <w:r w:rsidRPr="00050FA4">
        <w:rPr>
          <w:lang w:val="sq-AL"/>
        </w:rPr>
        <w:t>a</w:t>
      </w:r>
      <w:r w:rsidR="00567286" w:rsidRPr="00050FA4">
        <w:rPr>
          <w:lang w:val="sq-AL"/>
        </w:rPr>
        <w:t>)</w:t>
      </w:r>
      <w:r w:rsidRPr="00050FA4">
        <w:rPr>
          <w:lang w:val="sq-AL"/>
        </w:rPr>
        <w:t xml:space="preserve"> </w:t>
      </w:r>
      <w:r w:rsidR="00FB30AC" w:rsidRPr="00050FA4">
        <w:rPr>
          <w:lang w:val="sq-AL"/>
        </w:rPr>
        <w:t>Të vazhdohet me zbatimin e planeve zhvillimore infrastrukturore dhe institucionale</w:t>
      </w:r>
      <w:r w:rsidR="00BD5CB5" w:rsidRPr="00050FA4">
        <w:rPr>
          <w:lang w:val="sq-AL"/>
        </w:rPr>
        <w:t>;</w:t>
      </w:r>
    </w:p>
    <w:p w14:paraId="4D252553" w14:textId="11389011" w:rsidR="00FB30AC" w:rsidRPr="00050FA4" w:rsidRDefault="002C3394" w:rsidP="003F1DA7">
      <w:pPr>
        <w:pStyle w:val="AAAAAAATEXXXX"/>
        <w:rPr>
          <w:lang w:val="sq-AL"/>
        </w:rPr>
      </w:pPr>
      <w:r w:rsidRPr="00050FA4">
        <w:rPr>
          <w:lang w:val="sq-AL"/>
        </w:rPr>
        <w:t>b</w:t>
      </w:r>
      <w:r w:rsidR="00567286" w:rsidRPr="00050FA4">
        <w:rPr>
          <w:lang w:val="sq-AL"/>
        </w:rPr>
        <w:t>)</w:t>
      </w:r>
      <w:r w:rsidRPr="00050FA4">
        <w:rPr>
          <w:lang w:val="sq-AL"/>
        </w:rPr>
        <w:t xml:space="preserve"> </w:t>
      </w:r>
      <w:r w:rsidR="00FB30AC" w:rsidRPr="00050FA4">
        <w:rPr>
          <w:lang w:val="sq-AL"/>
        </w:rPr>
        <w:t>Zhvillimi i kompetencave të 200 mësuesve të AFP-së dhe stafit mbështetës, si dhe trajnerëve të mësuesve</w:t>
      </w:r>
      <w:r w:rsidR="00BD5CB5" w:rsidRPr="00050FA4">
        <w:rPr>
          <w:lang w:val="sq-AL"/>
        </w:rPr>
        <w:t>;</w:t>
      </w:r>
    </w:p>
    <w:p w14:paraId="7B662FB4" w14:textId="6A1932F8" w:rsidR="00FB30AC" w:rsidRPr="00050FA4" w:rsidRDefault="002C3394" w:rsidP="003F1DA7">
      <w:pPr>
        <w:pStyle w:val="AAAAAAATEXXXX"/>
        <w:rPr>
          <w:lang w:val="sq-AL"/>
        </w:rPr>
      </w:pPr>
      <w:r w:rsidRPr="00050FA4">
        <w:rPr>
          <w:lang w:val="sq-AL"/>
        </w:rPr>
        <w:t>c</w:t>
      </w:r>
      <w:r w:rsidR="00567286" w:rsidRPr="00050FA4">
        <w:rPr>
          <w:lang w:val="sq-AL"/>
        </w:rPr>
        <w:t>)</w:t>
      </w:r>
      <w:r w:rsidRPr="00050FA4">
        <w:rPr>
          <w:lang w:val="sq-AL"/>
        </w:rPr>
        <w:t xml:space="preserve"> </w:t>
      </w:r>
      <w:r w:rsidR="00FB30AC" w:rsidRPr="00050FA4">
        <w:rPr>
          <w:lang w:val="sq-AL"/>
        </w:rPr>
        <w:t>Vazhdimi i punës për ngritjen e komiteteve sektoriale</w:t>
      </w:r>
      <w:r w:rsidR="00BD5CB5" w:rsidRPr="00050FA4">
        <w:rPr>
          <w:lang w:val="sq-AL"/>
        </w:rPr>
        <w:t>;</w:t>
      </w:r>
    </w:p>
    <w:p w14:paraId="68520477" w14:textId="206005E7" w:rsidR="00FB30AC" w:rsidRPr="00050FA4" w:rsidRDefault="00567286" w:rsidP="003F1DA7">
      <w:pPr>
        <w:pStyle w:val="AAAAAAATEXXXX"/>
        <w:rPr>
          <w:lang w:val="sq-AL"/>
        </w:rPr>
      </w:pPr>
      <w:r w:rsidRPr="00050FA4">
        <w:rPr>
          <w:lang w:val="sq-AL"/>
        </w:rPr>
        <w:t>d)</w:t>
      </w:r>
      <w:r w:rsidR="002C3394" w:rsidRPr="00050FA4">
        <w:rPr>
          <w:lang w:val="sq-AL"/>
        </w:rPr>
        <w:t xml:space="preserve"> </w:t>
      </w:r>
      <w:r w:rsidR="00FB30AC" w:rsidRPr="00050FA4">
        <w:rPr>
          <w:lang w:val="sq-AL"/>
        </w:rPr>
        <w:t>Mbledhja e rregullt e Këshillit Kombëtar të Arsimit dhe Formimit Profesional</w:t>
      </w:r>
      <w:r w:rsidR="00BD5CB5" w:rsidRPr="00050FA4">
        <w:rPr>
          <w:lang w:val="sq-AL"/>
        </w:rPr>
        <w:t>;</w:t>
      </w:r>
    </w:p>
    <w:p w14:paraId="5EB4A5A4" w14:textId="793C0FE0" w:rsidR="004F312A" w:rsidRPr="00050FA4" w:rsidRDefault="00BD5CB5" w:rsidP="003F1DA7">
      <w:pPr>
        <w:pStyle w:val="AAAAAAATEXXXX"/>
        <w:rPr>
          <w:b/>
          <w:lang w:val="sq-AL"/>
        </w:rPr>
      </w:pPr>
      <w:r w:rsidRPr="00050FA4">
        <w:rPr>
          <w:b/>
          <w:lang w:val="sq-AL"/>
        </w:rPr>
        <w:t xml:space="preserve">c) </w:t>
      </w:r>
      <w:r w:rsidR="00B2062A" w:rsidRPr="00050FA4">
        <w:rPr>
          <w:b/>
          <w:lang w:val="sq-AL"/>
        </w:rPr>
        <w:t xml:space="preserve">Aktivitete të planifikuara </w:t>
      </w:r>
      <w:r w:rsidRPr="00050FA4">
        <w:rPr>
          <w:b/>
          <w:lang w:val="sq-AL"/>
        </w:rPr>
        <w:t>m</w:t>
      </w:r>
      <w:r w:rsidR="00B2062A" w:rsidRPr="00050FA4">
        <w:rPr>
          <w:b/>
          <w:lang w:val="sq-AL"/>
        </w:rPr>
        <w:t>ë</w:t>
      </w:r>
      <w:r w:rsidR="004F312A" w:rsidRPr="00050FA4">
        <w:rPr>
          <w:b/>
          <w:lang w:val="sq-AL"/>
        </w:rPr>
        <w:t xml:space="preserve"> 2024</w:t>
      </w:r>
      <w:r w:rsidRPr="00050FA4">
        <w:rPr>
          <w:b/>
          <w:lang w:val="sq-AL"/>
        </w:rPr>
        <w:t>-ën</w:t>
      </w:r>
    </w:p>
    <w:p w14:paraId="403A3515" w14:textId="1C686812" w:rsidR="00FB30AC" w:rsidRPr="00050FA4" w:rsidRDefault="002C3394" w:rsidP="003F1DA7">
      <w:pPr>
        <w:pStyle w:val="AAAAAAATEXXXX"/>
        <w:rPr>
          <w:lang w:val="sq-AL"/>
        </w:rPr>
      </w:pPr>
      <w:r w:rsidRPr="00050FA4">
        <w:rPr>
          <w:lang w:val="sq-AL"/>
        </w:rPr>
        <w:t>a</w:t>
      </w:r>
      <w:r w:rsidR="00567286" w:rsidRPr="00050FA4">
        <w:rPr>
          <w:lang w:val="sq-AL"/>
        </w:rPr>
        <w:t>)</w:t>
      </w:r>
      <w:r w:rsidRPr="00050FA4">
        <w:rPr>
          <w:lang w:val="sq-AL"/>
        </w:rPr>
        <w:t xml:space="preserve"> </w:t>
      </w:r>
      <w:r w:rsidR="00FB30AC" w:rsidRPr="00050FA4">
        <w:rPr>
          <w:lang w:val="sq-AL"/>
        </w:rPr>
        <w:t>Zhvillimi i kompetencave të 200 mësuesve të AFP-së dhe stafit mbështetës, si dhe trajnerëve të mësuesve</w:t>
      </w:r>
      <w:r w:rsidR="00BD5CB5" w:rsidRPr="00050FA4">
        <w:rPr>
          <w:lang w:val="sq-AL"/>
        </w:rPr>
        <w:t>;</w:t>
      </w:r>
    </w:p>
    <w:p w14:paraId="3C564751" w14:textId="32ED083D" w:rsidR="00FB30AC" w:rsidRPr="00050FA4" w:rsidRDefault="002C3394" w:rsidP="003F1DA7">
      <w:pPr>
        <w:pStyle w:val="AAAAAAATEXXXX"/>
        <w:rPr>
          <w:lang w:val="sq-AL"/>
        </w:rPr>
      </w:pPr>
      <w:r w:rsidRPr="00050FA4">
        <w:rPr>
          <w:lang w:val="sq-AL"/>
        </w:rPr>
        <w:t>b</w:t>
      </w:r>
      <w:r w:rsidR="00567286" w:rsidRPr="00050FA4">
        <w:rPr>
          <w:lang w:val="sq-AL"/>
        </w:rPr>
        <w:t>)</w:t>
      </w:r>
      <w:r w:rsidRPr="00050FA4">
        <w:rPr>
          <w:lang w:val="sq-AL"/>
        </w:rPr>
        <w:t xml:space="preserve"> </w:t>
      </w:r>
      <w:r w:rsidR="00FB30AC" w:rsidRPr="00050FA4">
        <w:rPr>
          <w:lang w:val="sq-AL"/>
        </w:rPr>
        <w:t>Vazhdimi i punës për ngritjen e komiteteve sektoriale</w:t>
      </w:r>
      <w:r w:rsidR="00BD5CB5" w:rsidRPr="00050FA4">
        <w:rPr>
          <w:lang w:val="sq-AL"/>
        </w:rPr>
        <w:t>;</w:t>
      </w:r>
    </w:p>
    <w:p w14:paraId="7C5B66A3" w14:textId="7F0B64E5" w:rsidR="00FB30AC" w:rsidRPr="00050FA4" w:rsidRDefault="002C3394" w:rsidP="003F1DA7">
      <w:pPr>
        <w:pStyle w:val="AAAAAAATEXXXX"/>
        <w:rPr>
          <w:lang w:val="sq-AL"/>
        </w:rPr>
      </w:pPr>
      <w:r w:rsidRPr="00050FA4">
        <w:rPr>
          <w:lang w:val="sq-AL"/>
        </w:rPr>
        <w:t>c</w:t>
      </w:r>
      <w:r w:rsidR="00567286" w:rsidRPr="00050FA4">
        <w:rPr>
          <w:lang w:val="sq-AL"/>
        </w:rPr>
        <w:t>)</w:t>
      </w:r>
      <w:r w:rsidRPr="00050FA4">
        <w:rPr>
          <w:lang w:val="sq-AL"/>
        </w:rPr>
        <w:t xml:space="preserve"> </w:t>
      </w:r>
      <w:r w:rsidR="00FB30AC" w:rsidRPr="00050FA4">
        <w:rPr>
          <w:lang w:val="sq-AL"/>
        </w:rPr>
        <w:t>Mbledhja e rregullt e Këshillit Kombëtar të Arsimit dhe Formimit Profesional.</w:t>
      </w:r>
    </w:p>
    <w:p w14:paraId="45B9943D" w14:textId="75B1CFE3" w:rsidR="004F312A" w:rsidRPr="00050FA4" w:rsidRDefault="002C3394" w:rsidP="003F1DA7">
      <w:pPr>
        <w:pStyle w:val="AAAAAAATEXXXX"/>
        <w:rPr>
          <w:lang w:val="sq-AL"/>
        </w:rPr>
      </w:pPr>
      <w:r w:rsidRPr="00050FA4">
        <w:rPr>
          <w:lang w:val="sq-AL"/>
        </w:rPr>
        <w:t xml:space="preserve">2. </w:t>
      </w:r>
      <w:r w:rsidR="00B2062A" w:rsidRPr="00050FA4">
        <w:rPr>
          <w:lang w:val="sq-AL"/>
        </w:rPr>
        <w:t>Treguesit e rezultateve</w:t>
      </w:r>
    </w:p>
    <w:p w14:paraId="4A61E21A" w14:textId="77777777" w:rsidR="00BD5CB5" w:rsidRPr="00050FA4" w:rsidRDefault="00BD5CB5" w:rsidP="003F1DA7">
      <w:pPr>
        <w:pStyle w:val="AAAAAAATEXXXX"/>
        <w:rPr>
          <w:lang w:val="sq-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0"/>
        <w:gridCol w:w="1848"/>
        <w:gridCol w:w="1848"/>
        <w:gridCol w:w="1848"/>
      </w:tblGrid>
      <w:tr w:rsidR="00FA29AB" w:rsidRPr="00050FA4" w14:paraId="6DA6F6CF" w14:textId="77777777" w:rsidTr="00567286">
        <w:trPr>
          <w:jc w:val="center"/>
        </w:trPr>
        <w:tc>
          <w:tcPr>
            <w:tcW w:w="4090" w:type="dxa"/>
            <w:shd w:val="clear" w:color="auto" w:fill="auto"/>
            <w:vAlign w:val="center"/>
          </w:tcPr>
          <w:p w14:paraId="2A9F09BF" w14:textId="35148BD9" w:rsidR="00951D71" w:rsidRPr="00050FA4" w:rsidRDefault="00B2062A" w:rsidP="00567286">
            <w:pPr>
              <w:pStyle w:val="AAAAAAATEXXXX"/>
              <w:ind w:firstLine="0"/>
              <w:jc w:val="center"/>
              <w:rPr>
                <w:b/>
                <w:sz w:val="18"/>
                <w:szCs w:val="18"/>
                <w:lang w:val="sq-AL"/>
              </w:rPr>
            </w:pPr>
            <w:r w:rsidRPr="00050FA4">
              <w:rPr>
                <w:b/>
                <w:sz w:val="18"/>
                <w:szCs w:val="18"/>
                <w:lang w:val="sq-AL"/>
              </w:rPr>
              <w:t>Tregues</w:t>
            </w:r>
          </w:p>
        </w:tc>
        <w:tc>
          <w:tcPr>
            <w:tcW w:w="1848" w:type="dxa"/>
            <w:shd w:val="clear" w:color="auto" w:fill="auto"/>
            <w:vAlign w:val="center"/>
          </w:tcPr>
          <w:p w14:paraId="3840AD03" w14:textId="42A44E0D" w:rsidR="00951D71" w:rsidRPr="00050FA4" w:rsidRDefault="00B2062A" w:rsidP="00567286">
            <w:pPr>
              <w:pStyle w:val="AAAAAAATEXXXX"/>
              <w:ind w:firstLine="0"/>
              <w:jc w:val="center"/>
              <w:rPr>
                <w:b/>
                <w:sz w:val="18"/>
                <w:szCs w:val="18"/>
                <w:lang w:val="sq-AL"/>
              </w:rPr>
            </w:pPr>
            <w:r w:rsidRPr="00050FA4">
              <w:rPr>
                <w:b/>
                <w:sz w:val="18"/>
                <w:szCs w:val="18"/>
                <w:lang w:val="sq-AL"/>
              </w:rPr>
              <w:t>Bazë</w:t>
            </w:r>
            <w:r w:rsidR="00951D71" w:rsidRPr="00050FA4">
              <w:rPr>
                <w:b/>
                <w:sz w:val="18"/>
                <w:szCs w:val="18"/>
                <w:lang w:val="sq-AL"/>
              </w:rPr>
              <w:t xml:space="preserve"> (2022)</w:t>
            </w:r>
          </w:p>
        </w:tc>
        <w:tc>
          <w:tcPr>
            <w:tcW w:w="1848" w:type="dxa"/>
            <w:shd w:val="clear" w:color="auto" w:fill="auto"/>
            <w:vAlign w:val="center"/>
          </w:tcPr>
          <w:p w14:paraId="631EEC0A" w14:textId="2355FC71" w:rsidR="00951D71" w:rsidRPr="00050FA4" w:rsidRDefault="00B2062A" w:rsidP="00567286">
            <w:pPr>
              <w:pStyle w:val="AAAAAAATEXXXX"/>
              <w:ind w:firstLine="0"/>
              <w:jc w:val="center"/>
              <w:rPr>
                <w:b/>
                <w:sz w:val="18"/>
                <w:szCs w:val="18"/>
                <w:lang w:val="sq-AL"/>
              </w:rPr>
            </w:pPr>
            <w:r w:rsidRPr="00050FA4">
              <w:rPr>
                <w:b/>
                <w:sz w:val="18"/>
                <w:szCs w:val="18"/>
                <w:lang w:val="sq-AL"/>
              </w:rPr>
              <w:t>I ndërmjetëm</w:t>
            </w:r>
            <w:r w:rsidR="00951D71" w:rsidRPr="00050FA4">
              <w:rPr>
                <w:b/>
                <w:sz w:val="18"/>
                <w:szCs w:val="18"/>
                <w:lang w:val="sq-AL"/>
              </w:rPr>
              <w:t xml:space="preserve"> (2023)</w:t>
            </w:r>
          </w:p>
        </w:tc>
        <w:tc>
          <w:tcPr>
            <w:tcW w:w="1848" w:type="dxa"/>
            <w:shd w:val="clear" w:color="auto" w:fill="auto"/>
            <w:vAlign w:val="center"/>
          </w:tcPr>
          <w:p w14:paraId="4FDD08C9" w14:textId="41B1A1BB" w:rsidR="00951D71" w:rsidRPr="00050FA4" w:rsidRDefault="00B2062A" w:rsidP="00567286">
            <w:pPr>
              <w:pStyle w:val="AAAAAAATEXXXX"/>
              <w:ind w:firstLine="0"/>
              <w:jc w:val="center"/>
              <w:rPr>
                <w:b/>
                <w:sz w:val="18"/>
                <w:szCs w:val="18"/>
                <w:lang w:val="sq-AL"/>
              </w:rPr>
            </w:pPr>
            <w:r w:rsidRPr="00050FA4">
              <w:rPr>
                <w:b/>
                <w:sz w:val="18"/>
                <w:szCs w:val="18"/>
                <w:lang w:val="sq-AL"/>
              </w:rPr>
              <w:t>Synimi</w:t>
            </w:r>
            <w:r w:rsidR="00951D71" w:rsidRPr="00050FA4">
              <w:rPr>
                <w:b/>
                <w:sz w:val="18"/>
                <w:szCs w:val="18"/>
                <w:lang w:val="sq-AL"/>
              </w:rPr>
              <w:t xml:space="preserve"> (2024)</w:t>
            </w:r>
          </w:p>
        </w:tc>
      </w:tr>
      <w:tr w:rsidR="00FA29AB" w:rsidRPr="00050FA4" w14:paraId="6BDAD7C2" w14:textId="77777777" w:rsidTr="00567286">
        <w:trPr>
          <w:jc w:val="center"/>
        </w:trPr>
        <w:tc>
          <w:tcPr>
            <w:tcW w:w="4090" w:type="dxa"/>
            <w:shd w:val="clear" w:color="auto" w:fill="auto"/>
          </w:tcPr>
          <w:p w14:paraId="7F7E825A" w14:textId="33A11B75" w:rsidR="00FB30AC" w:rsidRPr="00050FA4" w:rsidRDefault="00FB30AC" w:rsidP="00A95D23">
            <w:pPr>
              <w:pStyle w:val="AAAAAAATEXXXX"/>
              <w:ind w:firstLine="0"/>
              <w:rPr>
                <w:sz w:val="18"/>
                <w:szCs w:val="18"/>
                <w:lang w:val="sq-AL"/>
              </w:rPr>
            </w:pPr>
            <w:r w:rsidRPr="00050FA4">
              <w:rPr>
                <w:sz w:val="18"/>
                <w:szCs w:val="18"/>
                <w:lang w:val="sq-AL"/>
              </w:rPr>
              <w:t>Numri i mësuesve të trajnuar në trajnime gjatë gjithë jetës</w:t>
            </w:r>
          </w:p>
        </w:tc>
        <w:tc>
          <w:tcPr>
            <w:tcW w:w="1848" w:type="dxa"/>
            <w:shd w:val="clear" w:color="auto" w:fill="auto"/>
          </w:tcPr>
          <w:p w14:paraId="335BB0E8" w14:textId="6811DD4D" w:rsidR="00FB30AC" w:rsidRPr="00050FA4" w:rsidRDefault="00FB30AC" w:rsidP="00567286">
            <w:pPr>
              <w:pStyle w:val="AAAAAAATEXXXX"/>
              <w:ind w:firstLine="0"/>
              <w:jc w:val="right"/>
              <w:rPr>
                <w:sz w:val="18"/>
                <w:szCs w:val="18"/>
                <w:lang w:val="sq-AL"/>
              </w:rPr>
            </w:pPr>
            <w:r w:rsidRPr="00050FA4">
              <w:rPr>
                <w:sz w:val="18"/>
                <w:szCs w:val="18"/>
                <w:lang w:val="sq-AL"/>
              </w:rPr>
              <w:t>170</w:t>
            </w:r>
          </w:p>
        </w:tc>
        <w:tc>
          <w:tcPr>
            <w:tcW w:w="1848" w:type="dxa"/>
            <w:shd w:val="clear" w:color="auto" w:fill="auto"/>
          </w:tcPr>
          <w:p w14:paraId="5F9E71A5" w14:textId="1063C431" w:rsidR="00FB30AC" w:rsidRPr="00050FA4" w:rsidRDefault="00FB30AC" w:rsidP="00567286">
            <w:pPr>
              <w:pStyle w:val="AAAAAAATEXXXX"/>
              <w:ind w:firstLine="0"/>
              <w:jc w:val="right"/>
              <w:rPr>
                <w:sz w:val="18"/>
                <w:szCs w:val="18"/>
                <w:lang w:val="sq-AL"/>
              </w:rPr>
            </w:pPr>
            <w:r w:rsidRPr="00050FA4">
              <w:rPr>
                <w:sz w:val="18"/>
                <w:szCs w:val="18"/>
                <w:lang w:val="sq-AL"/>
              </w:rPr>
              <w:t>200</w:t>
            </w:r>
          </w:p>
        </w:tc>
        <w:tc>
          <w:tcPr>
            <w:tcW w:w="1848" w:type="dxa"/>
            <w:shd w:val="clear" w:color="auto" w:fill="auto"/>
          </w:tcPr>
          <w:p w14:paraId="5C7ABE13" w14:textId="5E6A50E2" w:rsidR="00FB30AC" w:rsidRPr="00050FA4" w:rsidRDefault="00FB30AC" w:rsidP="00567286">
            <w:pPr>
              <w:pStyle w:val="AAAAAAATEXXXX"/>
              <w:ind w:firstLine="0"/>
              <w:jc w:val="right"/>
              <w:rPr>
                <w:sz w:val="18"/>
                <w:szCs w:val="18"/>
                <w:lang w:val="sq-AL"/>
              </w:rPr>
            </w:pPr>
            <w:r w:rsidRPr="00050FA4">
              <w:rPr>
                <w:sz w:val="18"/>
                <w:szCs w:val="18"/>
                <w:lang w:val="sq-AL"/>
              </w:rPr>
              <w:t>200</w:t>
            </w:r>
          </w:p>
        </w:tc>
      </w:tr>
      <w:tr w:rsidR="00FA29AB" w:rsidRPr="00050FA4" w14:paraId="3B08B82C" w14:textId="77777777" w:rsidTr="00567286">
        <w:trPr>
          <w:jc w:val="center"/>
        </w:trPr>
        <w:tc>
          <w:tcPr>
            <w:tcW w:w="4090" w:type="dxa"/>
            <w:shd w:val="clear" w:color="auto" w:fill="auto"/>
          </w:tcPr>
          <w:p w14:paraId="45942D28" w14:textId="140F8D01" w:rsidR="00FB30AC" w:rsidRPr="00050FA4" w:rsidRDefault="00FB30AC" w:rsidP="00A95D23">
            <w:pPr>
              <w:pStyle w:val="AAAAAAATEXXXX"/>
              <w:ind w:firstLine="0"/>
              <w:rPr>
                <w:sz w:val="18"/>
                <w:szCs w:val="18"/>
                <w:lang w:val="sq-AL"/>
              </w:rPr>
            </w:pPr>
            <w:r w:rsidRPr="00050FA4">
              <w:rPr>
                <w:sz w:val="18"/>
                <w:szCs w:val="18"/>
                <w:lang w:val="sq-AL"/>
              </w:rPr>
              <w:t>Numri i regjistrimeve në AP dhe % e nxënësve që ndjekin arsimin e mesëm të lartë</w:t>
            </w:r>
          </w:p>
        </w:tc>
        <w:tc>
          <w:tcPr>
            <w:tcW w:w="1848" w:type="dxa"/>
            <w:shd w:val="clear" w:color="auto" w:fill="auto"/>
          </w:tcPr>
          <w:p w14:paraId="60951EC9" w14:textId="2FADDA13" w:rsidR="00FB30AC" w:rsidRPr="00050FA4" w:rsidRDefault="00FB30AC" w:rsidP="00567286">
            <w:pPr>
              <w:pStyle w:val="AAAAAAATEXXXX"/>
              <w:ind w:firstLine="0"/>
              <w:jc w:val="right"/>
              <w:rPr>
                <w:sz w:val="18"/>
                <w:szCs w:val="18"/>
                <w:lang w:val="sq-AL"/>
              </w:rPr>
            </w:pPr>
            <w:r w:rsidRPr="00050FA4">
              <w:rPr>
                <w:sz w:val="18"/>
                <w:szCs w:val="18"/>
                <w:lang w:val="sq-AL"/>
              </w:rPr>
              <w:t>17.5%</w:t>
            </w:r>
          </w:p>
        </w:tc>
        <w:tc>
          <w:tcPr>
            <w:tcW w:w="1848" w:type="dxa"/>
            <w:shd w:val="clear" w:color="auto" w:fill="auto"/>
          </w:tcPr>
          <w:p w14:paraId="53CAFB41" w14:textId="3B93DAED" w:rsidR="00FB30AC" w:rsidRPr="00050FA4" w:rsidRDefault="00FB30AC" w:rsidP="00567286">
            <w:pPr>
              <w:pStyle w:val="AAAAAAATEXXXX"/>
              <w:ind w:firstLine="0"/>
              <w:jc w:val="right"/>
              <w:rPr>
                <w:sz w:val="18"/>
                <w:szCs w:val="18"/>
                <w:lang w:val="sq-AL"/>
              </w:rPr>
            </w:pPr>
            <w:r w:rsidRPr="00050FA4">
              <w:rPr>
                <w:sz w:val="18"/>
                <w:szCs w:val="18"/>
                <w:lang w:val="sq-AL"/>
              </w:rPr>
              <w:t>18%</w:t>
            </w:r>
          </w:p>
        </w:tc>
        <w:tc>
          <w:tcPr>
            <w:tcW w:w="1848" w:type="dxa"/>
            <w:shd w:val="clear" w:color="auto" w:fill="auto"/>
          </w:tcPr>
          <w:p w14:paraId="2D15DE95" w14:textId="32428FA3" w:rsidR="00FB30AC" w:rsidRPr="00050FA4" w:rsidRDefault="00FB30AC" w:rsidP="00567286">
            <w:pPr>
              <w:pStyle w:val="AAAAAAATEXXXX"/>
              <w:ind w:firstLine="0"/>
              <w:jc w:val="right"/>
              <w:rPr>
                <w:sz w:val="18"/>
                <w:szCs w:val="18"/>
                <w:lang w:val="sq-AL"/>
              </w:rPr>
            </w:pPr>
            <w:r w:rsidRPr="00050FA4">
              <w:rPr>
                <w:sz w:val="18"/>
                <w:szCs w:val="18"/>
                <w:lang w:val="sq-AL"/>
              </w:rPr>
              <w:t>18.2%</w:t>
            </w:r>
          </w:p>
        </w:tc>
      </w:tr>
      <w:tr w:rsidR="00FA29AB" w:rsidRPr="00050FA4" w14:paraId="1E8F5B50" w14:textId="77777777" w:rsidTr="00567286">
        <w:trPr>
          <w:jc w:val="center"/>
        </w:trPr>
        <w:tc>
          <w:tcPr>
            <w:tcW w:w="4090" w:type="dxa"/>
            <w:shd w:val="clear" w:color="auto" w:fill="auto"/>
          </w:tcPr>
          <w:p w14:paraId="588E32BF" w14:textId="2AFBAC59" w:rsidR="00FB30AC" w:rsidRPr="00050FA4" w:rsidRDefault="00FB30AC" w:rsidP="00A95D23">
            <w:pPr>
              <w:pStyle w:val="AAAAAAATEXXXX"/>
              <w:ind w:firstLine="0"/>
              <w:rPr>
                <w:sz w:val="18"/>
                <w:szCs w:val="18"/>
                <w:lang w:val="sq-AL"/>
              </w:rPr>
            </w:pPr>
            <w:r w:rsidRPr="00050FA4">
              <w:rPr>
                <w:sz w:val="18"/>
                <w:szCs w:val="18"/>
                <w:lang w:val="sq-AL"/>
              </w:rPr>
              <w:t>% e nxënësve femra që ndjekin shkollat e arsimit të lartë</w:t>
            </w:r>
          </w:p>
        </w:tc>
        <w:tc>
          <w:tcPr>
            <w:tcW w:w="1848" w:type="dxa"/>
            <w:shd w:val="clear" w:color="auto" w:fill="auto"/>
          </w:tcPr>
          <w:p w14:paraId="623D9D28" w14:textId="3E8D3C61" w:rsidR="00FB30AC" w:rsidRPr="00050FA4" w:rsidRDefault="00FB30AC" w:rsidP="00567286">
            <w:pPr>
              <w:pStyle w:val="AAAAAAATEXXXX"/>
              <w:ind w:firstLine="0"/>
              <w:jc w:val="right"/>
              <w:rPr>
                <w:sz w:val="18"/>
                <w:szCs w:val="18"/>
                <w:lang w:val="sq-AL"/>
              </w:rPr>
            </w:pPr>
            <w:r w:rsidRPr="00050FA4">
              <w:rPr>
                <w:sz w:val="18"/>
                <w:szCs w:val="18"/>
                <w:lang w:val="sq-AL"/>
              </w:rPr>
              <w:t>16.7%</w:t>
            </w:r>
          </w:p>
        </w:tc>
        <w:tc>
          <w:tcPr>
            <w:tcW w:w="1848" w:type="dxa"/>
            <w:shd w:val="clear" w:color="auto" w:fill="auto"/>
          </w:tcPr>
          <w:p w14:paraId="70C2E437" w14:textId="4B5218C0" w:rsidR="00FB30AC" w:rsidRPr="00050FA4" w:rsidRDefault="00FB30AC" w:rsidP="00567286">
            <w:pPr>
              <w:pStyle w:val="AAAAAAATEXXXX"/>
              <w:ind w:firstLine="0"/>
              <w:jc w:val="right"/>
              <w:rPr>
                <w:sz w:val="18"/>
                <w:szCs w:val="18"/>
                <w:lang w:val="sq-AL"/>
              </w:rPr>
            </w:pPr>
            <w:r w:rsidRPr="00050FA4">
              <w:rPr>
                <w:sz w:val="18"/>
                <w:szCs w:val="18"/>
                <w:lang w:val="sq-AL"/>
              </w:rPr>
              <w:t>17%</w:t>
            </w:r>
          </w:p>
        </w:tc>
        <w:tc>
          <w:tcPr>
            <w:tcW w:w="1848" w:type="dxa"/>
            <w:shd w:val="clear" w:color="auto" w:fill="auto"/>
          </w:tcPr>
          <w:p w14:paraId="7FBA0644" w14:textId="278C4A7A" w:rsidR="00FB30AC" w:rsidRPr="00050FA4" w:rsidRDefault="00FB30AC" w:rsidP="00567286">
            <w:pPr>
              <w:pStyle w:val="AAAAAAATEXXXX"/>
              <w:ind w:firstLine="0"/>
              <w:jc w:val="right"/>
              <w:rPr>
                <w:sz w:val="18"/>
                <w:szCs w:val="18"/>
                <w:lang w:val="sq-AL"/>
              </w:rPr>
            </w:pPr>
            <w:r w:rsidRPr="00050FA4">
              <w:rPr>
                <w:sz w:val="18"/>
                <w:szCs w:val="18"/>
                <w:lang w:val="sq-AL"/>
              </w:rPr>
              <w:t>17.3%</w:t>
            </w:r>
          </w:p>
        </w:tc>
      </w:tr>
    </w:tbl>
    <w:p w14:paraId="65EA03BF" w14:textId="77777777" w:rsidR="00951D71" w:rsidRPr="00050FA4" w:rsidRDefault="00951D71" w:rsidP="003F1DA7">
      <w:pPr>
        <w:pStyle w:val="AAAAAAATEXXXX"/>
        <w:rPr>
          <w:lang w:val="sq-AL"/>
        </w:rPr>
      </w:pPr>
    </w:p>
    <w:p w14:paraId="210C973A" w14:textId="5EE21536" w:rsidR="004F312A" w:rsidRPr="00050FA4" w:rsidRDefault="002C3394" w:rsidP="003F1DA7">
      <w:pPr>
        <w:pStyle w:val="AAAAAAATEXXXX"/>
        <w:rPr>
          <w:lang w:val="sq-AL"/>
        </w:rPr>
      </w:pPr>
      <w:r w:rsidRPr="00050FA4">
        <w:rPr>
          <w:lang w:val="sq-AL"/>
        </w:rPr>
        <w:t xml:space="preserve">3. </w:t>
      </w:r>
      <w:r w:rsidR="00B2062A" w:rsidRPr="00050FA4">
        <w:rPr>
          <w:lang w:val="sq-AL"/>
        </w:rPr>
        <w:t>Ndikimi i pritshëm në konkurrueshmëri</w:t>
      </w:r>
    </w:p>
    <w:p w14:paraId="3F925867" w14:textId="64E878A5" w:rsidR="00FB30AC" w:rsidRPr="00050FA4" w:rsidRDefault="00FB30AC" w:rsidP="003F1DA7">
      <w:pPr>
        <w:pStyle w:val="AAAAAAATEXXXX"/>
        <w:rPr>
          <w:lang w:val="sq-AL"/>
        </w:rPr>
      </w:pPr>
      <w:r w:rsidRPr="00050FA4">
        <w:rPr>
          <w:lang w:val="sq-AL"/>
        </w:rPr>
        <w:t>Reforma synon t</w:t>
      </w:r>
      <w:r w:rsidR="00E67ECA" w:rsidRPr="00050FA4">
        <w:rPr>
          <w:lang w:val="sq-AL"/>
        </w:rPr>
        <w:t>’</w:t>
      </w:r>
      <w:r w:rsidRPr="00050FA4">
        <w:rPr>
          <w:lang w:val="sq-AL"/>
        </w:rPr>
        <w:t>i pajisë të rinjtë me trajnimet, aftësitë dhe kualifikimet e nevojshme për të konkurruar në tregun e punës dhe për të rritur mundësitë e tyre të punësimit. Një fuqi punëtore e kualifikuar është një parakusht për tërheqjen e investimeve të bazuara në teknologji, zhvillimin e mëtejshëm të sektorëve shqiptarë me avantazhe krahasuese dhe/ose mundësi dhe pika të forta dhe një faktor i rëndësishëm që stimulon flukset hyrëse të IHD-ve.</w:t>
      </w:r>
    </w:p>
    <w:p w14:paraId="1EEA2516" w14:textId="432880EE" w:rsidR="004F312A" w:rsidRPr="00050FA4" w:rsidRDefault="002C3394" w:rsidP="003F1DA7">
      <w:pPr>
        <w:pStyle w:val="AAAAAAATEXXXX"/>
        <w:rPr>
          <w:lang w:val="sq-AL"/>
        </w:rPr>
      </w:pPr>
      <w:r w:rsidRPr="00050FA4">
        <w:rPr>
          <w:lang w:val="sq-AL"/>
        </w:rPr>
        <w:t xml:space="preserve">4. </w:t>
      </w:r>
      <w:r w:rsidR="00B2062A" w:rsidRPr="00050FA4">
        <w:rPr>
          <w:lang w:val="sq-AL"/>
        </w:rPr>
        <w:t>Kosto</w:t>
      </w:r>
      <w:r w:rsidR="00567286" w:rsidRPr="00050FA4">
        <w:rPr>
          <w:lang w:val="sq-AL"/>
        </w:rPr>
        <w:t>ja</w:t>
      </w:r>
      <w:r w:rsidR="00B2062A" w:rsidRPr="00050FA4">
        <w:rPr>
          <w:lang w:val="sq-AL"/>
        </w:rPr>
        <w:t xml:space="preserve"> e parashikuar e aktiviteteve dhe burimi i financimit</w:t>
      </w:r>
    </w:p>
    <w:p w14:paraId="7E939963" w14:textId="07D6A492" w:rsidR="00FB30AC" w:rsidRPr="00050FA4" w:rsidRDefault="00FB30AC" w:rsidP="003F1DA7">
      <w:pPr>
        <w:pStyle w:val="AAAAAAATEXXXX"/>
        <w:rPr>
          <w:lang w:val="sq-AL"/>
        </w:rPr>
      </w:pPr>
      <w:r w:rsidRPr="00050FA4">
        <w:rPr>
          <w:lang w:val="sq-AL"/>
        </w:rPr>
        <w:t>Shpenzimet për zbatimin e masave të AFP-së janë të përfshira në Programin Buxhetor Afatmesëm. Buxheti afatmesëm 2022</w:t>
      </w:r>
      <w:r w:rsidR="0024511B" w:rsidRPr="00050FA4">
        <w:rPr>
          <w:lang w:val="sq-AL"/>
        </w:rPr>
        <w:t>–</w:t>
      </w:r>
      <w:r w:rsidRPr="00050FA4">
        <w:rPr>
          <w:lang w:val="sq-AL"/>
        </w:rPr>
        <w:t>2024 është në proces miratimi.</w:t>
      </w:r>
    </w:p>
    <w:p w14:paraId="3E3DF1E5" w14:textId="64BD090D" w:rsidR="004F312A" w:rsidRPr="00050FA4" w:rsidRDefault="002C3394" w:rsidP="003F1DA7">
      <w:pPr>
        <w:pStyle w:val="AAAAAAATEXXXX"/>
        <w:rPr>
          <w:lang w:val="sq-AL"/>
        </w:rPr>
      </w:pPr>
      <w:r w:rsidRPr="00050FA4">
        <w:rPr>
          <w:lang w:val="sq-AL"/>
        </w:rPr>
        <w:t xml:space="preserve">5. </w:t>
      </w:r>
      <w:r w:rsidR="00B2062A" w:rsidRPr="00050FA4">
        <w:rPr>
          <w:lang w:val="sq-AL"/>
        </w:rPr>
        <w:t>Ndikimi i pritshëm në përfundimet sociale</w:t>
      </w:r>
      <w:r w:rsidR="00BD5CB5" w:rsidRPr="00050FA4">
        <w:rPr>
          <w:lang w:val="sq-AL"/>
        </w:rPr>
        <w:t>,</w:t>
      </w:r>
      <w:r w:rsidR="00B2062A" w:rsidRPr="00050FA4">
        <w:rPr>
          <w:lang w:val="sq-AL"/>
        </w:rPr>
        <w:t xml:space="preserve"> s</w:t>
      </w:r>
      <w:r w:rsidR="00BD5CB5" w:rsidRPr="00050FA4">
        <w:rPr>
          <w:lang w:val="sq-AL"/>
        </w:rPr>
        <w:t>:</w:t>
      </w:r>
      <w:r w:rsidR="00B2062A" w:rsidRPr="00050FA4">
        <w:rPr>
          <w:lang w:val="sq-AL"/>
        </w:rPr>
        <w:t xml:space="preserve"> punësimi, ulja e varfërisë, barazia gjinore dhe aksesi në kujdesin shëndetësor</w:t>
      </w:r>
    </w:p>
    <w:p w14:paraId="4D0C438D" w14:textId="0F406AA5" w:rsidR="00FB30AC" w:rsidRPr="00050FA4" w:rsidRDefault="00FB30AC" w:rsidP="003F1DA7">
      <w:pPr>
        <w:pStyle w:val="AAAAAAATEXXXX"/>
        <w:rPr>
          <w:lang w:val="sq-AL"/>
        </w:rPr>
      </w:pPr>
      <w:r w:rsidRPr="00050FA4">
        <w:rPr>
          <w:lang w:val="sq-AL"/>
        </w:rPr>
        <w:t xml:space="preserve">Reforma synon të sigurojë arsim gjithëpërfshirës dhe me cilësi të barabartë dhe të promovojë mundësitë e të mësuarit gjatë gjithë jetës për të gjithë. Gjithashtu, rifokusi synon zhvillimin e aftësive, veçanërisht në lidhje me aksesin në aftësitë profesionale për punësim, punë të denjë dhe sipërmarrje; </w:t>
      </w:r>
      <w:r w:rsidRPr="00050FA4">
        <w:rPr>
          <w:lang w:val="sq-AL"/>
        </w:rPr>
        <w:lastRenderedPageBreak/>
        <w:t>eliminimi i pabarazisë gjinore dhe sigurimi i aksesit për shtresat vulnerabël.</w:t>
      </w:r>
    </w:p>
    <w:p w14:paraId="11CB8819" w14:textId="5DF00FC2" w:rsidR="004F312A" w:rsidRPr="00050FA4" w:rsidRDefault="002C3394"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36009D0F" w14:textId="4CE9231E" w:rsidR="00FB30AC" w:rsidRPr="00050FA4" w:rsidRDefault="00FB30AC" w:rsidP="003F1DA7">
      <w:pPr>
        <w:pStyle w:val="AAAAAAATEXXXX"/>
        <w:rPr>
          <w:lang w:val="sq-AL"/>
        </w:rPr>
      </w:pPr>
      <w:r w:rsidRPr="00050FA4">
        <w:rPr>
          <w:lang w:val="sq-AL"/>
        </w:rPr>
        <w:t>Masa e reformës nuk pritet të ketë ndikim në mjedis.</w:t>
      </w:r>
    </w:p>
    <w:p w14:paraId="7B1C85CA" w14:textId="5D9978A4" w:rsidR="004F312A" w:rsidRPr="00050FA4" w:rsidRDefault="002C3394" w:rsidP="003F1DA7">
      <w:pPr>
        <w:pStyle w:val="AAAAAAATEXXXX"/>
        <w:rPr>
          <w:lang w:val="sq-AL"/>
        </w:rPr>
      </w:pPr>
      <w:r w:rsidRPr="00050FA4">
        <w:rPr>
          <w:lang w:val="sq-AL"/>
        </w:rPr>
        <w:t xml:space="preserve">7. </w:t>
      </w:r>
      <w:r w:rsidR="00B2062A" w:rsidRPr="00050FA4">
        <w:rPr>
          <w:lang w:val="sq-AL"/>
        </w:rPr>
        <w:t>Rreziqet e mundshme</w:t>
      </w:r>
    </w:p>
    <w:p w14:paraId="43112DBC" w14:textId="77777777" w:rsidR="00BD5CB5" w:rsidRPr="00050FA4" w:rsidRDefault="00BD5CB5" w:rsidP="003F1DA7">
      <w:pPr>
        <w:pStyle w:val="AAAAAAATEXXXX"/>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5"/>
        <w:gridCol w:w="1556"/>
        <w:gridCol w:w="4215"/>
      </w:tblGrid>
      <w:tr w:rsidR="00FA29AB" w:rsidRPr="00050FA4" w14:paraId="1218059C" w14:textId="77777777" w:rsidTr="0024511B">
        <w:trPr>
          <w:jc w:val="center"/>
        </w:trPr>
        <w:tc>
          <w:tcPr>
            <w:tcW w:w="3805" w:type="dxa"/>
            <w:shd w:val="clear" w:color="auto" w:fill="auto"/>
            <w:vAlign w:val="center"/>
          </w:tcPr>
          <w:p w14:paraId="09329355" w14:textId="0AF715D7" w:rsidR="00951D71" w:rsidRPr="00050FA4" w:rsidRDefault="00B2062A" w:rsidP="0024511B">
            <w:pPr>
              <w:widowControl w:val="0"/>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556" w:type="dxa"/>
            <w:shd w:val="clear" w:color="auto" w:fill="auto"/>
            <w:vAlign w:val="center"/>
          </w:tcPr>
          <w:p w14:paraId="50743C72" w14:textId="2697D76F" w:rsidR="0024511B" w:rsidRPr="00050FA4" w:rsidRDefault="00B2062A" w:rsidP="0024511B">
            <w:pPr>
              <w:widowControl w:val="0"/>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p>
          <w:p w14:paraId="744AEB22" w14:textId="163FBF3A" w:rsidR="00951D71" w:rsidRPr="00050FA4" w:rsidRDefault="00951D71" w:rsidP="0024511B">
            <w:pPr>
              <w:widowControl w:val="0"/>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4215" w:type="dxa"/>
            <w:shd w:val="clear" w:color="auto" w:fill="auto"/>
            <w:vAlign w:val="center"/>
          </w:tcPr>
          <w:p w14:paraId="792B6D96" w14:textId="55095776" w:rsidR="00951D71" w:rsidRPr="00050FA4" w:rsidRDefault="00B2062A" w:rsidP="0024511B">
            <w:pPr>
              <w:widowControl w:val="0"/>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3A5727DA" w14:textId="77777777" w:rsidTr="0024511B">
        <w:trPr>
          <w:jc w:val="center"/>
        </w:trPr>
        <w:tc>
          <w:tcPr>
            <w:tcW w:w="3805" w:type="dxa"/>
            <w:shd w:val="clear" w:color="auto" w:fill="auto"/>
          </w:tcPr>
          <w:p w14:paraId="3E9BFDB9" w14:textId="7A0E2DD3" w:rsidR="00951D71" w:rsidRPr="00050FA4" w:rsidRDefault="00FB30AC" w:rsidP="003F1DA7">
            <w:pPr>
              <w:widowControl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Disponueshmëria e pamjaftueshme për trajnim</w:t>
            </w:r>
            <w:r w:rsidR="00BD5CB5" w:rsidRPr="00050FA4">
              <w:rPr>
                <w:rFonts w:ascii="Garamond" w:eastAsia="Times New Roman" w:hAnsi="Garamond" w:cstheme="majorBidi"/>
                <w:color w:val="0D0D0D" w:themeColor="text1" w:themeTint="F2"/>
                <w:sz w:val="18"/>
                <w:szCs w:val="18"/>
              </w:rPr>
              <w:t>/praktikë në punë në treg</w:t>
            </w:r>
          </w:p>
        </w:tc>
        <w:tc>
          <w:tcPr>
            <w:tcW w:w="1556" w:type="dxa"/>
            <w:shd w:val="clear" w:color="auto" w:fill="auto"/>
          </w:tcPr>
          <w:p w14:paraId="01618A10" w14:textId="48430CD0" w:rsidR="00951D71" w:rsidRPr="00050FA4" w:rsidRDefault="00FB30AC" w:rsidP="003F1DA7">
            <w:pPr>
              <w:widowControl w:val="0"/>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ulët</w:t>
            </w:r>
          </w:p>
        </w:tc>
        <w:tc>
          <w:tcPr>
            <w:tcW w:w="4215" w:type="dxa"/>
            <w:shd w:val="clear" w:color="auto" w:fill="auto"/>
            <w:vAlign w:val="center"/>
          </w:tcPr>
          <w:p w14:paraId="15FA31DA" w14:textId="7590E800" w:rsidR="00951D71" w:rsidRPr="00050FA4" w:rsidRDefault="009C6BEF" w:rsidP="003F1DA7">
            <w:pPr>
              <w:widowControl w:val="0"/>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Fushata sensibilizuese për bizneset për njohjen dhe zbatimin e rregullores s</w:t>
            </w:r>
            <w:r w:rsidR="00BD5CB5" w:rsidRPr="00050FA4">
              <w:rPr>
                <w:rFonts w:ascii="Garamond" w:hAnsi="Garamond" w:cstheme="majorBidi"/>
                <w:color w:val="0D0D0D" w:themeColor="text1" w:themeTint="F2"/>
                <w:sz w:val="18"/>
                <w:szCs w:val="18"/>
              </w:rPr>
              <w:t>ë të mësuarit në vendin e punës</w:t>
            </w:r>
          </w:p>
        </w:tc>
      </w:tr>
      <w:tr w:rsidR="00FA29AB" w:rsidRPr="00050FA4" w14:paraId="5EEB8E72" w14:textId="77777777" w:rsidTr="0024511B">
        <w:trPr>
          <w:jc w:val="center"/>
        </w:trPr>
        <w:tc>
          <w:tcPr>
            <w:tcW w:w="3805" w:type="dxa"/>
            <w:shd w:val="clear" w:color="auto" w:fill="auto"/>
          </w:tcPr>
          <w:p w14:paraId="3CA0A941" w14:textId="131357ED" w:rsidR="00951D71" w:rsidRPr="00050FA4" w:rsidRDefault="00FB30AC" w:rsidP="003F1DA7">
            <w:pPr>
              <w:widowControl w:val="0"/>
              <w:rPr>
                <w:rFonts w:ascii="Garamond" w:hAnsi="Garamond" w:cstheme="majorBidi"/>
                <w:color w:val="0D0D0D" w:themeColor="text1" w:themeTint="F2"/>
                <w:sz w:val="18"/>
                <w:szCs w:val="18"/>
                <w:lang w:eastAsia="sq-AL"/>
              </w:rPr>
            </w:pPr>
            <w:r w:rsidRPr="00050FA4">
              <w:rPr>
                <w:rFonts w:ascii="Garamond" w:eastAsia="Times New Roman" w:hAnsi="Garamond" w:cstheme="majorBidi"/>
                <w:color w:val="0D0D0D" w:themeColor="text1" w:themeTint="F2"/>
                <w:sz w:val="18"/>
                <w:szCs w:val="18"/>
              </w:rPr>
              <w:t>Ngurrimi i mësuesve për të marrë pjesë në trajnime të vazhdueshme.</w:t>
            </w:r>
          </w:p>
        </w:tc>
        <w:tc>
          <w:tcPr>
            <w:tcW w:w="1556" w:type="dxa"/>
            <w:shd w:val="clear" w:color="auto" w:fill="auto"/>
          </w:tcPr>
          <w:p w14:paraId="7A89F6AE" w14:textId="25610F5A" w:rsidR="00951D71" w:rsidRPr="00050FA4" w:rsidRDefault="00FB30AC"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rPr>
              <w:t>E ulët</w:t>
            </w:r>
          </w:p>
        </w:tc>
        <w:tc>
          <w:tcPr>
            <w:tcW w:w="4215" w:type="dxa"/>
            <w:shd w:val="clear" w:color="auto" w:fill="auto"/>
            <w:vAlign w:val="center"/>
          </w:tcPr>
          <w:p w14:paraId="19C969C6" w14:textId="3D0CF989" w:rsidR="00951D71" w:rsidRPr="00050FA4" w:rsidRDefault="009C6BEF"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Informacion në ofruesit e AFP-së për rëndësinë e trajnimit të vazhdueshëm. Zbatimi i masave promovuese për shpë</w:t>
            </w:r>
            <w:r w:rsidR="00BD5CB5" w:rsidRPr="00050FA4">
              <w:rPr>
                <w:rFonts w:ascii="Garamond" w:hAnsi="Garamond" w:cstheme="majorBidi"/>
                <w:color w:val="0D0D0D" w:themeColor="text1" w:themeTint="F2"/>
                <w:sz w:val="18"/>
                <w:szCs w:val="18"/>
                <w:lang w:eastAsia="sq-AL"/>
              </w:rPr>
              <w:t>rblimin e kualifikimeve në pagë</w:t>
            </w:r>
          </w:p>
        </w:tc>
      </w:tr>
      <w:tr w:rsidR="00FA29AB" w:rsidRPr="00050FA4" w14:paraId="5A11FB0C" w14:textId="77777777" w:rsidTr="0024511B">
        <w:trPr>
          <w:jc w:val="center"/>
        </w:trPr>
        <w:tc>
          <w:tcPr>
            <w:tcW w:w="3805" w:type="dxa"/>
            <w:shd w:val="clear" w:color="auto" w:fill="auto"/>
          </w:tcPr>
          <w:p w14:paraId="0DC48A20" w14:textId="3FFAEC6A" w:rsidR="00951D71" w:rsidRPr="00050FA4" w:rsidRDefault="00FB30AC" w:rsidP="003F1DA7">
            <w:pPr>
              <w:widowControl w:val="0"/>
              <w:rPr>
                <w:rFonts w:ascii="Garamond" w:hAnsi="Garamond" w:cstheme="majorBidi"/>
                <w:color w:val="0D0D0D" w:themeColor="text1" w:themeTint="F2"/>
                <w:sz w:val="18"/>
                <w:szCs w:val="18"/>
                <w:lang w:eastAsia="sq-AL"/>
              </w:rPr>
            </w:pPr>
            <w:r w:rsidRPr="00050FA4">
              <w:rPr>
                <w:rFonts w:ascii="Garamond" w:eastAsia="Times New Roman" w:hAnsi="Garamond" w:cstheme="majorBidi"/>
                <w:color w:val="0D0D0D" w:themeColor="text1" w:themeTint="F2"/>
                <w:sz w:val="18"/>
                <w:szCs w:val="18"/>
              </w:rPr>
              <w:t>Niveli joadekuat i koordinimit me bizneset për mbështetje më të mirë në AAP.</w:t>
            </w:r>
          </w:p>
        </w:tc>
        <w:tc>
          <w:tcPr>
            <w:tcW w:w="1556" w:type="dxa"/>
            <w:shd w:val="clear" w:color="auto" w:fill="auto"/>
          </w:tcPr>
          <w:p w14:paraId="47F3B7E1" w14:textId="1796B2FC" w:rsidR="00951D71" w:rsidRPr="00050FA4" w:rsidRDefault="00FB30AC"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E mesme</w:t>
            </w:r>
          </w:p>
        </w:tc>
        <w:tc>
          <w:tcPr>
            <w:tcW w:w="4215" w:type="dxa"/>
            <w:shd w:val="clear" w:color="auto" w:fill="auto"/>
          </w:tcPr>
          <w:p w14:paraId="6BE20CCD" w14:textId="107B97F3" w:rsidR="00951D71" w:rsidRPr="00050FA4" w:rsidRDefault="009C6BEF"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 xml:space="preserve">Forcimi i rolit të njësisë së zhvillimit të ofruesve dhe </w:t>
            </w:r>
            <w:r w:rsidR="00BD5CB5" w:rsidRPr="00050FA4">
              <w:rPr>
                <w:rFonts w:ascii="Garamond" w:hAnsi="Garamond" w:cstheme="majorBidi"/>
                <w:color w:val="0D0D0D" w:themeColor="text1" w:themeTint="F2"/>
                <w:sz w:val="18"/>
                <w:szCs w:val="18"/>
                <w:lang w:eastAsia="sq-AL"/>
              </w:rPr>
              <w:t xml:space="preserve">të </w:t>
            </w:r>
            <w:r w:rsidRPr="00050FA4">
              <w:rPr>
                <w:rFonts w:ascii="Garamond" w:hAnsi="Garamond" w:cstheme="majorBidi"/>
                <w:color w:val="0D0D0D" w:themeColor="text1" w:themeTint="F2"/>
                <w:sz w:val="18"/>
                <w:szCs w:val="18"/>
                <w:lang w:eastAsia="sq-AL"/>
              </w:rPr>
              <w:t>shoqatave të biznesit duke rritur kapacitetin e koordinatorëve të biznesit.</w:t>
            </w:r>
          </w:p>
        </w:tc>
      </w:tr>
      <w:tr w:rsidR="00FA29AB" w:rsidRPr="00050FA4" w14:paraId="3BF562F1" w14:textId="77777777" w:rsidTr="0024511B">
        <w:trPr>
          <w:jc w:val="center"/>
        </w:trPr>
        <w:tc>
          <w:tcPr>
            <w:tcW w:w="3805" w:type="dxa"/>
            <w:shd w:val="clear" w:color="auto" w:fill="auto"/>
          </w:tcPr>
          <w:p w14:paraId="7ED8EED2" w14:textId="526006F1" w:rsidR="00951D71" w:rsidRPr="00050FA4" w:rsidRDefault="00FB30AC" w:rsidP="003F1DA7">
            <w:pPr>
              <w:snapToGrid w:val="0"/>
              <w:jc w:val="both"/>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Mungesa e vlerësimit specifik rajonal për aftësitë që mungojnë në tregun e punës.</w:t>
            </w:r>
          </w:p>
        </w:tc>
        <w:tc>
          <w:tcPr>
            <w:tcW w:w="1556" w:type="dxa"/>
            <w:shd w:val="clear" w:color="auto" w:fill="auto"/>
          </w:tcPr>
          <w:p w14:paraId="634EEAF8" w14:textId="40C2E63E" w:rsidR="00951D71" w:rsidRPr="00050FA4" w:rsidRDefault="00FB30AC"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E mesme</w:t>
            </w:r>
          </w:p>
        </w:tc>
        <w:tc>
          <w:tcPr>
            <w:tcW w:w="4215" w:type="dxa"/>
            <w:shd w:val="clear" w:color="auto" w:fill="auto"/>
          </w:tcPr>
          <w:p w14:paraId="65990F86" w14:textId="52E11FD7" w:rsidR="00951D71" w:rsidRPr="00050FA4" w:rsidRDefault="00405262"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Studim mbi aftësitë që mungojnë në tregun rajonal të punës.</w:t>
            </w:r>
          </w:p>
        </w:tc>
      </w:tr>
      <w:tr w:rsidR="00FA29AB" w:rsidRPr="00050FA4" w14:paraId="36F56B4B" w14:textId="77777777" w:rsidTr="0024511B">
        <w:trPr>
          <w:jc w:val="center"/>
        </w:trPr>
        <w:tc>
          <w:tcPr>
            <w:tcW w:w="3805" w:type="dxa"/>
            <w:shd w:val="clear" w:color="auto" w:fill="auto"/>
          </w:tcPr>
          <w:p w14:paraId="4FE19A88" w14:textId="42EDFD6C" w:rsidR="00951D71" w:rsidRPr="00050FA4" w:rsidRDefault="00FB30AC" w:rsidP="003F1DA7">
            <w:pPr>
              <w:widowControl w:val="0"/>
              <w:rPr>
                <w:rFonts w:ascii="Garamond" w:hAnsi="Garamond" w:cstheme="majorBidi"/>
                <w:color w:val="0D0D0D" w:themeColor="text1" w:themeTint="F2"/>
                <w:sz w:val="18"/>
                <w:szCs w:val="18"/>
                <w:lang w:eastAsia="sq-AL"/>
              </w:rPr>
            </w:pPr>
            <w:r w:rsidRPr="00050FA4">
              <w:rPr>
                <w:rFonts w:ascii="Garamond" w:eastAsia="Times New Roman" w:hAnsi="Garamond" w:cstheme="majorBidi"/>
                <w:color w:val="0D0D0D" w:themeColor="text1" w:themeTint="F2"/>
                <w:sz w:val="18"/>
                <w:szCs w:val="18"/>
              </w:rPr>
              <w:t>Mungesa e pajisjeve të teknologjisë së lartë</w:t>
            </w:r>
          </w:p>
        </w:tc>
        <w:tc>
          <w:tcPr>
            <w:tcW w:w="1556" w:type="dxa"/>
            <w:shd w:val="clear" w:color="auto" w:fill="auto"/>
          </w:tcPr>
          <w:p w14:paraId="1CF22B3A" w14:textId="1007BC7B" w:rsidR="00951D71" w:rsidRPr="00050FA4" w:rsidRDefault="00FB30AC"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E mesme</w:t>
            </w:r>
          </w:p>
        </w:tc>
        <w:tc>
          <w:tcPr>
            <w:tcW w:w="4215" w:type="dxa"/>
            <w:shd w:val="clear" w:color="auto" w:fill="auto"/>
          </w:tcPr>
          <w:p w14:paraId="1170FF0E" w14:textId="74ABE198" w:rsidR="00951D71" w:rsidRPr="00050FA4" w:rsidRDefault="00405262" w:rsidP="003F1DA7">
            <w:pPr>
              <w:widowControl w:val="0"/>
              <w:snapToGrid w:val="0"/>
              <w:rPr>
                <w:rFonts w:ascii="Garamond" w:hAnsi="Garamond" w:cstheme="majorBidi"/>
                <w:color w:val="0D0D0D" w:themeColor="text1" w:themeTint="F2"/>
                <w:sz w:val="18"/>
                <w:szCs w:val="18"/>
                <w:lang w:eastAsia="sq-AL"/>
              </w:rPr>
            </w:pPr>
            <w:r w:rsidRPr="00050FA4">
              <w:rPr>
                <w:rFonts w:ascii="Garamond" w:hAnsi="Garamond" w:cstheme="majorBidi"/>
                <w:color w:val="0D0D0D" w:themeColor="text1" w:themeTint="F2"/>
                <w:sz w:val="18"/>
                <w:szCs w:val="18"/>
                <w:lang w:eastAsia="sq-AL"/>
              </w:rPr>
              <w:t xml:space="preserve">Identifikimi, planifikimi i nevojave dhe </w:t>
            </w:r>
            <w:r w:rsidR="00BD5CB5" w:rsidRPr="00050FA4">
              <w:rPr>
                <w:rFonts w:ascii="Garamond" w:hAnsi="Garamond" w:cstheme="majorBidi"/>
                <w:color w:val="0D0D0D" w:themeColor="text1" w:themeTint="F2"/>
                <w:sz w:val="18"/>
                <w:szCs w:val="18"/>
                <w:lang w:eastAsia="sq-AL"/>
              </w:rPr>
              <w:t xml:space="preserve">i </w:t>
            </w:r>
            <w:r w:rsidRPr="00050FA4">
              <w:rPr>
                <w:rFonts w:ascii="Garamond" w:hAnsi="Garamond" w:cstheme="majorBidi"/>
                <w:color w:val="0D0D0D" w:themeColor="text1" w:themeTint="F2"/>
                <w:sz w:val="18"/>
                <w:szCs w:val="18"/>
                <w:lang w:eastAsia="sq-AL"/>
              </w:rPr>
              <w:t xml:space="preserve">kostove për pajisjen e ofruesve të AFP-së për </w:t>
            </w:r>
            <w:r w:rsidR="00C948AF" w:rsidRPr="00050FA4">
              <w:rPr>
                <w:rFonts w:ascii="Garamond" w:hAnsi="Garamond" w:cstheme="majorBidi"/>
                <w:color w:val="0D0D0D" w:themeColor="text1" w:themeTint="F2"/>
                <w:sz w:val="18"/>
                <w:szCs w:val="18"/>
                <w:lang w:eastAsia="sq-AL"/>
              </w:rPr>
              <w:t>digjital</w:t>
            </w:r>
            <w:r w:rsidRPr="00050FA4">
              <w:rPr>
                <w:rFonts w:ascii="Garamond" w:hAnsi="Garamond" w:cstheme="majorBidi"/>
                <w:color w:val="0D0D0D" w:themeColor="text1" w:themeTint="F2"/>
                <w:sz w:val="18"/>
                <w:szCs w:val="18"/>
                <w:lang w:eastAsia="sq-AL"/>
              </w:rPr>
              <w:t>izim dhe fokus dhe inves</w:t>
            </w:r>
            <w:r w:rsidR="00BD5CB5" w:rsidRPr="00050FA4">
              <w:rPr>
                <w:rFonts w:ascii="Garamond" w:hAnsi="Garamond" w:cstheme="majorBidi"/>
                <w:color w:val="0D0D0D" w:themeColor="text1" w:themeTint="F2"/>
                <w:sz w:val="18"/>
                <w:szCs w:val="18"/>
                <w:lang w:eastAsia="sq-AL"/>
              </w:rPr>
              <w:t>time për rritjen e teknologjisë</w:t>
            </w:r>
          </w:p>
        </w:tc>
      </w:tr>
    </w:tbl>
    <w:p w14:paraId="605A92BD" w14:textId="77777777" w:rsidR="00FB30AC" w:rsidRPr="00050FA4" w:rsidRDefault="00FB30AC" w:rsidP="003F1DA7">
      <w:pPr>
        <w:snapToGrid w:val="0"/>
        <w:ind w:firstLine="284"/>
        <w:jc w:val="both"/>
        <w:rPr>
          <w:rFonts w:ascii="Garamond" w:eastAsia="Times New Roman" w:hAnsi="Garamond" w:cstheme="majorBidi"/>
          <w:color w:val="0D0D0D" w:themeColor="text1" w:themeTint="F2"/>
        </w:rPr>
      </w:pPr>
    </w:p>
    <w:p w14:paraId="1E285FE4" w14:textId="77777777" w:rsidR="00857902" w:rsidRPr="00050FA4" w:rsidRDefault="00B2062A" w:rsidP="003F1DA7">
      <w:pPr>
        <w:pStyle w:val="AAAAAAATEXXXX"/>
        <w:rPr>
          <w:b/>
          <w:i/>
          <w:lang w:val="sq-AL"/>
        </w:rPr>
      </w:pPr>
      <w:r w:rsidRPr="00050FA4">
        <w:rPr>
          <w:b/>
          <w:i/>
          <w:lang w:val="sq-AL"/>
        </w:rPr>
        <w:t>Masa e reformës</w:t>
      </w:r>
      <w:r w:rsidR="005358F8" w:rsidRPr="00050FA4">
        <w:rPr>
          <w:b/>
          <w:i/>
          <w:lang w:val="sq-AL"/>
        </w:rPr>
        <w:t xml:space="preserve"> 02</w:t>
      </w:r>
      <w:r w:rsidR="00DB22AB" w:rsidRPr="00050FA4">
        <w:rPr>
          <w:b/>
          <w:i/>
          <w:lang w:val="sq-AL"/>
        </w:rPr>
        <w:t xml:space="preserve">: </w:t>
      </w:r>
      <w:r w:rsidR="00857902" w:rsidRPr="00050FA4">
        <w:rPr>
          <w:b/>
          <w:i/>
          <w:lang w:val="sq-AL"/>
        </w:rPr>
        <w:t>Përmirësimi i punësueshmërisë së punëkërkuesve të papunë më vulnerabël, veçanërisht atyre të prekur nga COVID-19, përmes PNP-ve dhe shërbimeve të punësimit të reja dhe të rishikuara</w:t>
      </w:r>
    </w:p>
    <w:p w14:paraId="2C4175C4" w14:textId="02380AB4" w:rsidR="00DB22AB" w:rsidRPr="00050FA4" w:rsidRDefault="002C3394" w:rsidP="003F1DA7">
      <w:pPr>
        <w:pStyle w:val="AAAAAAATEXXXX"/>
        <w:rPr>
          <w:lang w:val="sq-AL"/>
        </w:rPr>
      </w:pPr>
      <w:r w:rsidRPr="00050FA4">
        <w:rPr>
          <w:lang w:val="sq-AL"/>
        </w:rPr>
        <w:t xml:space="preserve">1. </w:t>
      </w:r>
      <w:r w:rsidR="00B2062A" w:rsidRPr="00050FA4">
        <w:rPr>
          <w:lang w:val="sq-AL"/>
        </w:rPr>
        <w:t>Përshkrimi i masës</w:t>
      </w:r>
    </w:p>
    <w:p w14:paraId="13EB784B" w14:textId="75B4626A" w:rsidR="00857902" w:rsidRPr="00050FA4" w:rsidRDefault="00857902" w:rsidP="003F1DA7">
      <w:pPr>
        <w:pStyle w:val="AAAAAAATEXXXX"/>
        <w:rPr>
          <w:lang w:val="sq-AL"/>
        </w:rPr>
      </w:pPr>
      <w:r w:rsidRPr="00050FA4">
        <w:rPr>
          <w:lang w:val="sq-AL"/>
        </w:rPr>
        <w:t>Strategjia Kombëtare e Punësimit dhe Aftësive (SKP) 2019</w:t>
      </w:r>
      <w:r w:rsidR="003947C3" w:rsidRPr="00050FA4">
        <w:rPr>
          <w:lang w:val="sq-AL"/>
        </w:rPr>
        <w:t>–</w:t>
      </w:r>
      <w:r w:rsidRPr="00050FA4">
        <w:rPr>
          <w:lang w:val="sq-AL"/>
        </w:rPr>
        <w:t>2022, strategjia dhe plani i veprimit që lidhet me të mbështetet nga PBA, si dhe nga projektet e donatorëve. Objektivi kryesor i Strategjisë Kombëtare</w:t>
      </w:r>
      <w:r w:rsidR="003947C3" w:rsidRPr="00050FA4">
        <w:rPr>
          <w:lang w:val="sq-AL"/>
        </w:rPr>
        <w:t xml:space="preserve"> të Punësimit dhe Aftësive 2019–</w:t>
      </w:r>
      <w:r w:rsidRPr="00050FA4">
        <w:rPr>
          <w:lang w:val="sq-AL"/>
        </w:rPr>
        <w:t xml:space="preserve">2022 dhe </w:t>
      </w:r>
      <w:r w:rsidR="00A2713B" w:rsidRPr="00050FA4">
        <w:rPr>
          <w:lang w:val="sq-AL"/>
        </w:rPr>
        <w:t xml:space="preserve">i </w:t>
      </w:r>
      <w:r w:rsidRPr="00050FA4">
        <w:rPr>
          <w:lang w:val="sq-AL"/>
        </w:rPr>
        <w:t>planit të saj të veprimit është identifikimi dhe hartimi i politikave të përshtatshme nxitëse në vend për punësimin dhe formimin profesional të fuqisë punëtore</w:t>
      </w:r>
      <w:r w:rsidR="00A2713B" w:rsidRPr="00050FA4">
        <w:rPr>
          <w:lang w:val="sq-AL"/>
        </w:rPr>
        <w:t>,</w:t>
      </w:r>
      <w:r w:rsidRPr="00050FA4">
        <w:rPr>
          <w:lang w:val="sq-AL"/>
        </w:rPr>
        <w:t xml:space="preserve"> me qëllim krijimin e vendeve të punës cilësore dhe mundësive për punësim dhe aftësi në të gjithë </w:t>
      </w:r>
      <w:r w:rsidRPr="003C6EE2">
        <w:rPr>
          <w:lang w:val="sq-AL"/>
        </w:rPr>
        <w:t>vendin</w:t>
      </w:r>
      <w:r w:rsidR="00A2713B" w:rsidRPr="003C6EE2">
        <w:rPr>
          <w:lang w:val="sq-AL"/>
        </w:rPr>
        <w:t>,</w:t>
      </w:r>
      <w:r w:rsidRPr="003C6EE2">
        <w:rPr>
          <w:lang w:val="sq-AL"/>
        </w:rPr>
        <w:t xml:space="preserve"> ciklin jetësor.</w:t>
      </w:r>
      <w:r w:rsidRPr="00050FA4">
        <w:rPr>
          <w:lang w:val="sq-AL"/>
        </w:rPr>
        <w:t xml:space="preserve"> Plani i veprimit fokusohet në rritjen e mundësive të punës së denjë përmes politikave efikase të tregut të punës, duke ofruar arsim dhe trajnim cilësor për të rinjtë dhe të rriturit, nxitjen e përfshirjes dhe kohezionit social dhe forcimin e sistemit të punës dhe kualifikimeve në treg.</w:t>
      </w:r>
    </w:p>
    <w:p w14:paraId="4B729B74" w14:textId="5AD304A6" w:rsidR="00857902" w:rsidRPr="00050FA4" w:rsidRDefault="00857902" w:rsidP="003F1DA7">
      <w:pPr>
        <w:pStyle w:val="AAAAAAATEXXXX"/>
        <w:rPr>
          <w:lang w:val="sq-AL"/>
        </w:rPr>
      </w:pPr>
      <w:r w:rsidRPr="00050FA4">
        <w:rPr>
          <w:lang w:val="sq-AL"/>
        </w:rPr>
        <w:t xml:space="preserve">Tetë programet e reja dhe të rishikuara të </w:t>
      </w:r>
      <w:r w:rsidR="00A2713B" w:rsidRPr="00050FA4">
        <w:rPr>
          <w:lang w:val="sq-AL"/>
        </w:rPr>
        <w:t>nxitjes së punësimit</w:t>
      </w:r>
      <w:r w:rsidRPr="00050FA4">
        <w:rPr>
          <w:lang w:val="sq-AL"/>
        </w:rPr>
        <w:t>, përfshirë ato për situatën COVID-19, me qëllim që të arrihet një përgjigje më e mirë ndaj nevojave të punëkërkuesve të papunë, veçanërisht atyre më të cenueshëm dhe të harmonizohen ndërveprimet dhe ndërhyrjet e AKPA-s, Shërbimit Social Shtetëror dhe autoriteteve vendore janë në zbatim.</w:t>
      </w:r>
    </w:p>
    <w:p w14:paraId="06C2928D" w14:textId="5481FB43" w:rsidR="00857902" w:rsidRPr="00050FA4" w:rsidRDefault="00D449A8" w:rsidP="003F1DA7">
      <w:pPr>
        <w:pStyle w:val="AAAAAAATEXXXX"/>
        <w:rPr>
          <w:lang w:val="sq-AL"/>
        </w:rPr>
      </w:pPr>
      <w:r w:rsidRPr="00050FA4">
        <w:rPr>
          <w:lang w:val="sq-AL"/>
        </w:rPr>
        <w:t>COVID</w:t>
      </w:r>
      <w:r w:rsidR="00857902" w:rsidRPr="00050FA4">
        <w:rPr>
          <w:lang w:val="sq-AL"/>
        </w:rPr>
        <w:t>-19 ekspozoi më tej cenueshmërinë e shtuar me të cilën përballen punëtorët informalë në tregun e punës. Mbështetja për riintegrimin në tregun e punës të ish-punëtorëve informalë dhe formalizimi i tyre do të vazhdojë, si dhe bashkëpunimi ndërinstitucional ndërmjet Drejtorisë së Përgjithshme të Tatimeve, Inspektoratit Shtetëror të Punës dhe AKPA-s. Për më tepër, politikat dhe rregulloret e tregut të punës do të duhet të analizohen për sa i përket ndikimit që mund të kenë në reduktimin e punësimit informal.</w:t>
      </w:r>
    </w:p>
    <w:p w14:paraId="717CE3CA" w14:textId="3FEFA6B5" w:rsidR="00857902" w:rsidRPr="00050FA4" w:rsidRDefault="00857902" w:rsidP="003F1DA7">
      <w:pPr>
        <w:pStyle w:val="AAAAAAATEXXXX"/>
        <w:rPr>
          <w:lang w:val="sq-AL"/>
        </w:rPr>
      </w:pPr>
      <w:r w:rsidRPr="00050FA4">
        <w:rPr>
          <w:lang w:val="sq-AL"/>
        </w:rPr>
        <w:t>Finalizimi i sistemit të informacionit të AKPA-s</w:t>
      </w:r>
      <w:r w:rsidR="00A2713B" w:rsidRPr="00050FA4">
        <w:rPr>
          <w:lang w:val="sq-AL"/>
        </w:rPr>
        <w:t>ë</w:t>
      </w:r>
      <w:r w:rsidRPr="00050FA4">
        <w:rPr>
          <w:lang w:val="sq-AL"/>
        </w:rPr>
        <w:t xml:space="preserve"> dhe zhvillimi i planeve individuale të punësimit janë në zbatim. Operacionalizimi i funksioneve të </w:t>
      </w:r>
      <w:r w:rsidR="00A2713B" w:rsidRPr="00050FA4">
        <w:rPr>
          <w:lang w:val="sq-AL"/>
        </w:rPr>
        <w:t>AKPA</w:t>
      </w:r>
      <w:r w:rsidRPr="00050FA4">
        <w:rPr>
          <w:lang w:val="sq-AL"/>
        </w:rPr>
        <w:t>-s</w:t>
      </w:r>
      <w:r w:rsidR="00A2713B" w:rsidRPr="00050FA4">
        <w:rPr>
          <w:lang w:val="sq-AL"/>
        </w:rPr>
        <w:t xml:space="preserve">ë </w:t>
      </w:r>
      <w:r w:rsidRPr="00050FA4">
        <w:rPr>
          <w:lang w:val="sq-AL"/>
        </w:rPr>
        <w:t>dhe mbështetja e kapaciteteve për stafin e AKPA-s</w:t>
      </w:r>
      <w:r w:rsidR="00A2713B" w:rsidRPr="00050FA4">
        <w:rPr>
          <w:lang w:val="sq-AL"/>
        </w:rPr>
        <w:t>ë</w:t>
      </w:r>
      <w:r w:rsidRPr="00050FA4">
        <w:rPr>
          <w:lang w:val="sq-AL"/>
        </w:rPr>
        <w:t xml:space="preserve"> në të gjitha nivelet ka vazhduar.</w:t>
      </w:r>
    </w:p>
    <w:p w14:paraId="5F3BC1E7" w14:textId="77777777" w:rsidR="00857902" w:rsidRPr="00050FA4" w:rsidRDefault="00857902" w:rsidP="003F1DA7">
      <w:pPr>
        <w:pStyle w:val="AAAAAAATEXXXX"/>
        <w:rPr>
          <w:lang w:val="sq-AL"/>
        </w:rPr>
      </w:pPr>
      <w:r w:rsidRPr="00050FA4">
        <w:rPr>
          <w:lang w:val="sq-AL"/>
        </w:rPr>
        <w:t>Promovimi i punësimit të të rinjve është një nga prioritetet e qeverisë shqiptare dhe një nga programet që do të zbatohet është Programi i Garancisë Rinore. Fokusi i programit do të jetë NEET, pasi shkalla e papunësisë dhe pasiviteti për këtë kategori është shumë e lartë. Puna për ngritjen e grupit ndërinstitucional për hartimin e planit YG është në vazhdim.</w:t>
      </w:r>
    </w:p>
    <w:p w14:paraId="06EE412F" w14:textId="59D57407" w:rsidR="00700A3C" w:rsidRPr="00050FA4" w:rsidRDefault="00857902" w:rsidP="003F1DA7">
      <w:pPr>
        <w:pStyle w:val="AAAAAAATEXXXX"/>
        <w:rPr>
          <w:lang w:val="sq-AL"/>
        </w:rPr>
      </w:pPr>
      <w:r w:rsidRPr="00050FA4">
        <w:rPr>
          <w:lang w:val="sq-AL"/>
        </w:rPr>
        <w:t>AKPA</w:t>
      </w:r>
      <w:r w:rsidR="00537564" w:rsidRPr="00050FA4">
        <w:rPr>
          <w:lang w:val="sq-AL"/>
        </w:rPr>
        <w:t>-ja</w:t>
      </w:r>
      <w:r w:rsidRPr="00050FA4">
        <w:rPr>
          <w:lang w:val="sq-AL"/>
        </w:rPr>
        <w:t xml:space="preserve"> ka ndërtuar një plan të qëndrueshëm për të adresuar kategoritë vulnerabël që gjenden në bazën e të dhënave të tij. Gjatë planifikimit të treguesve vjetorë</w:t>
      </w:r>
      <w:r w:rsidR="00C1399F" w:rsidRPr="00050FA4">
        <w:rPr>
          <w:lang w:val="sq-AL"/>
        </w:rPr>
        <w:t>,</w:t>
      </w:r>
      <w:r w:rsidRPr="00050FA4">
        <w:rPr>
          <w:lang w:val="sq-AL"/>
        </w:rPr>
        <w:t xml:space="preserve"> që lidhen me punësimin, programet e nxitjes së punësimit dhe kurset e formimit profesional në secilin prej treguesve, janë vendosur objektiva për përfshirjen e kategorive të veçanta në këto shërbime. Kjo siguron trajtimin e planifikuar të kategorive vulnerabël. Sistemi i ri i punësimit ka mundësuar edhe integrimin me sisteme të tjera si asistenca ekonomike dhe personat me aftësi të kufizuara, gjë që siguron ndërveprimin e të dhënave dhe lehtësimin e procedurave</w:t>
      </w:r>
      <w:r w:rsidR="00700A3C" w:rsidRPr="00050FA4">
        <w:rPr>
          <w:lang w:val="sq-AL"/>
        </w:rPr>
        <w:t>.</w:t>
      </w:r>
    </w:p>
    <w:p w14:paraId="1A26C6B5" w14:textId="0E914B92" w:rsidR="00DB22AB" w:rsidRPr="00050FA4" w:rsidRDefault="002C3394" w:rsidP="003F1DA7">
      <w:pPr>
        <w:pStyle w:val="AAAAAAATEXXXX"/>
        <w:rPr>
          <w:b/>
          <w:lang w:val="sq-AL"/>
        </w:rPr>
      </w:pPr>
      <w:r w:rsidRPr="00050FA4">
        <w:rPr>
          <w:b/>
          <w:lang w:val="sq-AL"/>
        </w:rPr>
        <w:lastRenderedPageBreak/>
        <w:t>a</w:t>
      </w:r>
      <w:r w:rsidR="003947C3" w:rsidRPr="00050FA4">
        <w:rPr>
          <w:b/>
          <w:lang w:val="sq-AL"/>
        </w:rPr>
        <w:t>)</w:t>
      </w:r>
      <w:r w:rsidRPr="00050FA4">
        <w:rPr>
          <w:b/>
          <w:lang w:val="sq-AL"/>
        </w:rPr>
        <w:t xml:space="preserve"> </w:t>
      </w:r>
      <w:r w:rsidR="00B2062A" w:rsidRPr="00050FA4">
        <w:rPr>
          <w:b/>
          <w:lang w:val="sq-AL"/>
        </w:rPr>
        <w:t xml:space="preserve">Aktivitete të planifikuara </w:t>
      </w:r>
      <w:r w:rsidR="00C1399F" w:rsidRPr="00050FA4">
        <w:rPr>
          <w:b/>
          <w:lang w:val="sq-AL"/>
        </w:rPr>
        <w:t>m</w:t>
      </w:r>
      <w:r w:rsidR="00B2062A" w:rsidRPr="00050FA4">
        <w:rPr>
          <w:b/>
          <w:lang w:val="sq-AL"/>
        </w:rPr>
        <w:t>ë</w:t>
      </w:r>
      <w:r w:rsidR="00DB22AB" w:rsidRPr="00050FA4">
        <w:rPr>
          <w:b/>
          <w:lang w:val="sq-AL"/>
        </w:rPr>
        <w:t xml:space="preserve"> 2022</w:t>
      </w:r>
      <w:r w:rsidR="00C1399F" w:rsidRPr="00050FA4">
        <w:rPr>
          <w:b/>
          <w:lang w:val="sq-AL"/>
        </w:rPr>
        <w:t>-shin</w:t>
      </w:r>
    </w:p>
    <w:p w14:paraId="05A1CF3D" w14:textId="0CD646A4" w:rsidR="00857902" w:rsidRPr="00050FA4" w:rsidRDefault="002C3394" w:rsidP="003F1DA7">
      <w:pPr>
        <w:pStyle w:val="AAAAAAATEXXXX"/>
        <w:rPr>
          <w:lang w:val="sq-AL" w:eastAsia="x-none"/>
        </w:rPr>
      </w:pPr>
      <w:r w:rsidRPr="00050FA4">
        <w:rPr>
          <w:lang w:val="sq-AL" w:eastAsia="x-none"/>
        </w:rPr>
        <w:t>a</w:t>
      </w:r>
      <w:r w:rsidR="003947C3" w:rsidRPr="00050FA4">
        <w:rPr>
          <w:lang w:val="sq-AL" w:eastAsia="x-none"/>
        </w:rPr>
        <w:t>)</w:t>
      </w:r>
      <w:r w:rsidRPr="00050FA4">
        <w:rPr>
          <w:lang w:val="sq-AL" w:eastAsia="x-none"/>
        </w:rPr>
        <w:t xml:space="preserve"> </w:t>
      </w:r>
      <w:r w:rsidR="00857902" w:rsidRPr="00050FA4">
        <w:rPr>
          <w:lang w:val="sq-AL" w:eastAsia="x-none"/>
        </w:rPr>
        <w:t>Zbatimi i programeve të nxitjes së punësimit, përfshirë programet e dedikuara për COVID-19, që synojnë mbështetjen e grupeve më vulnerabël dhe aktivizimin dhe numrin e punëkërkuesve të regjistruar të papunë që përfitojnë nga programet e nxitjes së punësimit, synohet të arrijë në 7% të të papunëve të regjistruar;</w:t>
      </w:r>
    </w:p>
    <w:p w14:paraId="2B981BF2" w14:textId="33C248B5" w:rsidR="00857902" w:rsidRPr="00050FA4" w:rsidRDefault="002C3394" w:rsidP="003F1DA7">
      <w:pPr>
        <w:pStyle w:val="AAAAAAATEXXXX"/>
        <w:rPr>
          <w:lang w:val="sq-AL" w:eastAsia="x-none"/>
        </w:rPr>
      </w:pPr>
      <w:r w:rsidRPr="00050FA4">
        <w:rPr>
          <w:lang w:val="sq-AL" w:eastAsia="x-none"/>
        </w:rPr>
        <w:t>b</w:t>
      </w:r>
      <w:r w:rsidR="003947C3" w:rsidRPr="00050FA4">
        <w:rPr>
          <w:lang w:val="sq-AL" w:eastAsia="x-none"/>
        </w:rPr>
        <w:t>)</w:t>
      </w:r>
      <w:r w:rsidRPr="00050FA4">
        <w:rPr>
          <w:lang w:val="sq-AL" w:eastAsia="x-none"/>
        </w:rPr>
        <w:t xml:space="preserve"> </w:t>
      </w:r>
      <w:r w:rsidR="00857902" w:rsidRPr="00050FA4">
        <w:rPr>
          <w:lang w:val="sq-AL" w:eastAsia="x-none"/>
        </w:rPr>
        <w:t>Hartimi i programit të garancisë për të rinjtë (VKM)</w:t>
      </w:r>
      <w:r w:rsidR="00E10061" w:rsidRPr="00050FA4">
        <w:rPr>
          <w:lang w:val="sq-AL" w:eastAsia="x-none"/>
        </w:rPr>
        <w:t>,</w:t>
      </w:r>
      <w:r w:rsidR="00857902" w:rsidRPr="00050FA4">
        <w:rPr>
          <w:lang w:val="sq-AL" w:eastAsia="x-none"/>
        </w:rPr>
        <w:t xml:space="preserve"> që synon papunësinë e të rinjve veçanërisht NEET;</w:t>
      </w:r>
    </w:p>
    <w:p w14:paraId="0574E304" w14:textId="4BF55F03" w:rsidR="00857902" w:rsidRPr="00050FA4" w:rsidRDefault="002C3394" w:rsidP="003F1DA7">
      <w:pPr>
        <w:pStyle w:val="AAAAAAATEXXXX"/>
        <w:rPr>
          <w:lang w:val="sq-AL" w:eastAsia="x-none"/>
        </w:rPr>
      </w:pPr>
      <w:r w:rsidRPr="00050FA4">
        <w:rPr>
          <w:lang w:val="sq-AL" w:eastAsia="x-none"/>
        </w:rPr>
        <w:t>c</w:t>
      </w:r>
      <w:r w:rsidR="003947C3" w:rsidRPr="00050FA4">
        <w:rPr>
          <w:lang w:val="sq-AL" w:eastAsia="x-none"/>
        </w:rPr>
        <w:t>)</w:t>
      </w:r>
      <w:r w:rsidRPr="00050FA4">
        <w:rPr>
          <w:lang w:val="sq-AL" w:eastAsia="x-none"/>
        </w:rPr>
        <w:t xml:space="preserve"> </w:t>
      </w:r>
      <w:r w:rsidR="00857902" w:rsidRPr="00050FA4">
        <w:rPr>
          <w:lang w:val="sq-AL" w:eastAsia="x-none"/>
        </w:rPr>
        <w:t>Zbatimi i marrëveshjeve të nënshkruara me komunat në zonat e pambuluara;</w:t>
      </w:r>
    </w:p>
    <w:p w14:paraId="7035CA98" w14:textId="160EB881" w:rsidR="00857902" w:rsidRPr="00050FA4" w:rsidRDefault="002C3394" w:rsidP="003F1DA7">
      <w:pPr>
        <w:pStyle w:val="AAAAAAATEXXXX"/>
        <w:rPr>
          <w:lang w:val="sq-AL" w:eastAsia="x-none"/>
        </w:rPr>
      </w:pPr>
      <w:r w:rsidRPr="00050FA4">
        <w:rPr>
          <w:lang w:val="sq-AL" w:eastAsia="x-none"/>
        </w:rPr>
        <w:t>d</w:t>
      </w:r>
      <w:r w:rsidR="003947C3" w:rsidRPr="00050FA4">
        <w:rPr>
          <w:lang w:val="sq-AL" w:eastAsia="x-none"/>
        </w:rPr>
        <w:t>)</w:t>
      </w:r>
      <w:r w:rsidRPr="00050FA4">
        <w:rPr>
          <w:lang w:val="sq-AL" w:eastAsia="x-none"/>
        </w:rPr>
        <w:t xml:space="preserve"> </w:t>
      </w:r>
      <w:r w:rsidR="00857902" w:rsidRPr="00050FA4">
        <w:rPr>
          <w:lang w:val="sq-AL" w:eastAsia="x-none"/>
        </w:rPr>
        <w:t>Përmirësimi i cilësisë dhe efektivitetit të institucioneve dhe shërbimeve të tregut të punës, nëpërmjet rritjes së performancës së stafit;</w:t>
      </w:r>
    </w:p>
    <w:p w14:paraId="5AAA279F" w14:textId="2F6A0EBC" w:rsidR="00857902" w:rsidRPr="00050FA4" w:rsidRDefault="002C3394" w:rsidP="003F1DA7">
      <w:pPr>
        <w:pStyle w:val="AAAAAAATEXXXX"/>
        <w:rPr>
          <w:lang w:val="sq-AL" w:eastAsia="x-none"/>
        </w:rPr>
      </w:pPr>
      <w:r w:rsidRPr="00050FA4">
        <w:rPr>
          <w:lang w:val="sq-AL" w:eastAsia="x-none"/>
        </w:rPr>
        <w:t>e</w:t>
      </w:r>
      <w:r w:rsidR="003947C3" w:rsidRPr="00050FA4">
        <w:rPr>
          <w:lang w:val="sq-AL" w:eastAsia="x-none"/>
        </w:rPr>
        <w:t>)</w:t>
      </w:r>
      <w:r w:rsidRPr="00050FA4">
        <w:rPr>
          <w:lang w:val="sq-AL" w:eastAsia="x-none"/>
        </w:rPr>
        <w:t xml:space="preserve"> </w:t>
      </w:r>
      <w:r w:rsidR="00857902" w:rsidRPr="00050FA4">
        <w:rPr>
          <w:lang w:val="sq-AL" w:eastAsia="x-none"/>
        </w:rPr>
        <w:t>Zhvillimi dhe publikimi i informacionit dhe analiza cilësore të tregut të punës dhe përmirësimi i marrëdhënieve me publikun;</w:t>
      </w:r>
    </w:p>
    <w:p w14:paraId="1C3268CD" w14:textId="05FCF8F9" w:rsidR="00857902" w:rsidRPr="00050FA4" w:rsidRDefault="002C3394" w:rsidP="003F1DA7">
      <w:pPr>
        <w:pStyle w:val="AAAAAAATEXXXX"/>
        <w:rPr>
          <w:lang w:val="sq-AL" w:eastAsia="x-none"/>
        </w:rPr>
      </w:pPr>
      <w:r w:rsidRPr="00050FA4">
        <w:rPr>
          <w:lang w:val="sq-AL" w:eastAsia="x-none"/>
        </w:rPr>
        <w:t>f</w:t>
      </w:r>
      <w:r w:rsidR="003947C3" w:rsidRPr="00050FA4">
        <w:rPr>
          <w:lang w:val="sq-AL" w:eastAsia="x-none"/>
        </w:rPr>
        <w:t>)</w:t>
      </w:r>
      <w:r w:rsidRPr="00050FA4">
        <w:rPr>
          <w:lang w:val="sq-AL" w:eastAsia="x-none"/>
        </w:rPr>
        <w:t xml:space="preserve"> </w:t>
      </w:r>
      <w:r w:rsidR="00857902" w:rsidRPr="00050FA4">
        <w:rPr>
          <w:lang w:val="sq-AL" w:eastAsia="x-none"/>
        </w:rPr>
        <w:t>Përgatitja e të gjitha procedurave për zbatimin e programit të garancisë për të rinjtë dhe pilotimi i tij;</w:t>
      </w:r>
    </w:p>
    <w:p w14:paraId="38E0080E" w14:textId="464FDAAB" w:rsidR="00857902" w:rsidRPr="00050FA4" w:rsidRDefault="002C3394" w:rsidP="003F1DA7">
      <w:pPr>
        <w:pStyle w:val="AAAAAAATEXXXX"/>
        <w:rPr>
          <w:lang w:val="sq-AL" w:eastAsia="x-none"/>
        </w:rPr>
      </w:pPr>
      <w:r w:rsidRPr="00050FA4">
        <w:rPr>
          <w:lang w:val="sq-AL" w:eastAsia="x-none"/>
        </w:rPr>
        <w:t>g</w:t>
      </w:r>
      <w:r w:rsidR="003947C3" w:rsidRPr="00050FA4">
        <w:rPr>
          <w:lang w:val="sq-AL" w:eastAsia="x-none"/>
        </w:rPr>
        <w:t>)</w:t>
      </w:r>
      <w:r w:rsidRPr="00050FA4">
        <w:rPr>
          <w:lang w:val="sq-AL" w:eastAsia="x-none"/>
        </w:rPr>
        <w:t xml:space="preserve"> </w:t>
      </w:r>
      <w:r w:rsidR="00857902" w:rsidRPr="00050FA4">
        <w:rPr>
          <w:lang w:val="sq-AL" w:eastAsia="x-none"/>
        </w:rPr>
        <w:t xml:space="preserve">Kryerja e një vlerësimi për të matur ndikimin e </w:t>
      </w:r>
      <w:r w:rsidR="00E10061" w:rsidRPr="00050FA4">
        <w:rPr>
          <w:lang w:val="sq-AL" w:eastAsia="x-none"/>
        </w:rPr>
        <w:t xml:space="preserve">programeve të nxitjes së punësimit të zbatuara </w:t>
      </w:r>
      <w:r w:rsidR="00857902" w:rsidRPr="00050FA4">
        <w:rPr>
          <w:lang w:val="sq-AL" w:eastAsia="x-none"/>
        </w:rPr>
        <w:t>(2020</w:t>
      </w:r>
      <w:r w:rsidR="003947C3" w:rsidRPr="00050FA4">
        <w:rPr>
          <w:lang w:val="sq-AL" w:eastAsia="x-none"/>
        </w:rPr>
        <w:t>–</w:t>
      </w:r>
      <w:r w:rsidR="00857902" w:rsidRPr="00050FA4">
        <w:rPr>
          <w:lang w:val="sq-AL" w:eastAsia="x-none"/>
        </w:rPr>
        <w:t>2021).</w:t>
      </w:r>
    </w:p>
    <w:p w14:paraId="489AD6C6" w14:textId="13D595F8" w:rsidR="00DB22AB" w:rsidRPr="00050FA4" w:rsidRDefault="002C3394" w:rsidP="003F1DA7">
      <w:pPr>
        <w:pStyle w:val="AAAAAAATEXXXX"/>
        <w:rPr>
          <w:b/>
          <w:lang w:val="sq-AL"/>
        </w:rPr>
      </w:pPr>
      <w:r w:rsidRPr="00050FA4">
        <w:rPr>
          <w:b/>
          <w:lang w:val="sq-AL"/>
        </w:rPr>
        <w:t>b</w:t>
      </w:r>
      <w:r w:rsidR="003947C3" w:rsidRPr="00050FA4">
        <w:rPr>
          <w:b/>
          <w:lang w:val="sq-AL"/>
        </w:rPr>
        <w:t>)</w:t>
      </w:r>
      <w:r w:rsidRPr="00050FA4">
        <w:rPr>
          <w:b/>
          <w:lang w:val="sq-AL"/>
        </w:rPr>
        <w:t xml:space="preserve"> </w:t>
      </w:r>
      <w:r w:rsidR="00B2062A" w:rsidRPr="00050FA4">
        <w:rPr>
          <w:b/>
          <w:lang w:val="sq-AL"/>
        </w:rPr>
        <w:t xml:space="preserve">Aktivitete të planifikuara </w:t>
      </w:r>
      <w:r w:rsidR="00E10061" w:rsidRPr="00050FA4">
        <w:rPr>
          <w:b/>
          <w:lang w:val="sq-AL"/>
        </w:rPr>
        <w:t>m</w:t>
      </w:r>
      <w:r w:rsidR="00B2062A" w:rsidRPr="00050FA4">
        <w:rPr>
          <w:b/>
          <w:lang w:val="sq-AL"/>
        </w:rPr>
        <w:t>ë</w:t>
      </w:r>
      <w:r w:rsidR="00DB22AB" w:rsidRPr="00050FA4">
        <w:rPr>
          <w:b/>
          <w:lang w:val="sq-AL"/>
        </w:rPr>
        <w:t xml:space="preserve"> 2023</w:t>
      </w:r>
      <w:r w:rsidR="00E10061" w:rsidRPr="00050FA4">
        <w:rPr>
          <w:b/>
          <w:lang w:val="sq-AL"/>
        </w:rPr>
        <w:t>-shin</w:t>
      </w:r>
    </w:p>
    <w:p w14:paraId="3B9E94EF" w14:textId="7C7693D2" w:rsidR="00857902" w:rsidRPr="00050FA4" w:rsidRDefault="00E10061" w:rsidP="003F1DA7">
      <w:pPr>
        <w:pStyle w:val="AAAAAAATEXXXX"/>
        <w:rPr>
          <w:lang w:val="sq-AL"/>
        </w:rPr>
      </w:pPr>
      <w:r w:rsidRPr="00050FA4">
        <w:rPr>
          <w:lang w:val="sq-AL"/>
        </w:rPr>
        <w:t xml:space="preserve">a) </w:t>
      </w:r>
      <w:r w:rsidR="00857902" w:rsidRPr="00050FA4">
        <w:rPr>
          <w:lang w:val="sq-AL"/>
        </w:rPr>
        <w:t>Përmirësimi i cilësisë dhe efektivitetit të institucioneve dhe shërbimeve të tregut të punës, nëpërmjet rritjes së performancës së stafit;</w:t>
      </w:r>
    </w:p>
    <w:p w14:paraId="6FBC2422" w14:textId="696FD7C8" w:rsidR="00857902" w:rsidRPr="00050FA4" w:rsidRDefault="00E10061" w:rsidP="003F1DA7">
      <w:pPr>
        <w:pStyle w:val="AAAAAAATEXXXX"/>
        <w:rPr>
          <w:lang w:val="sq-AL"/>
        </w:rPr>
      </w:pPr>
      <w:r w:rsidRPr="00050FA4">
        <w:rPr>
          <w:lang w:val="sq-AL"/>
        </w:rPr>
        <w:t xml:space="preserve">b) </w:t>
      </w:r>
      <w:r w:rsidR="00857902" w:rsidRPr="00050FA4">
        <w:rPr>
          <w:lang w:val="sq-AL"/>
        </w:rPr>
        <w:t>Zbatimi i Programit të Garancisë për Rininë;</w:t>
      </w:r>
    </w:p>
    <w:p w14:paraId="11E04E70" w14:textId="7F4AF97E" w:rsidR="00857902" w:rsidRPr="00050FA4" w:rsidRDefault="00E10061" w:rsidP="003F1DA7">
      <w:pPr>
        <w:pStyle w:val="AAAAAAATEXXXX"/>
        <w:rPr>
          <w:lang w:val="sq-AL"/>
        </w:rPr>
      </w:pPr>
      <w:r w:rsidRPr="00050FA4">
        <w:rPr>
          <w:lang w:val="sq-AL"/>
        </w:rPr>
        <w:t xml:space="preserve">c) </w:t>
      </w:r>
      <w:r w:rsidR="00857902" w:rsidRPr="00050FA4">
        <w:rPr>
          <w:lang w:val="sq-AL"/>
        </w:rPr>
        <w:t>Zbatimi i programeve të nxitjes së punësimit</w:t>
      </w:r>
      <w:r w:rsidRPr="00050FA4">
        <w:rPr>
          <w:lang w:val="sq-AL"/>
        </w:rPr>
        <w:t>,</w:t>
      </w:r>
      <w:r w:rsidR="00857902" w:rsidRPr="00050FA4">
        <w:rPr>
          <w:lang w:val="sq-AL"/>
        </w:rPr>
        <w:t xml:space="preserve"> që synojnë mbështetjen e grupeve më vulnerabël dhe synohet aktivizimi e numri i punëkërkuesve të papunë të regjistruar që përfitojnë nga programet e nxitjes së punësimit të arrijë në 7% të punëkërkuesve të papunë të regjistruar.</w:t>
      </w:r>
    </w:p>
    <w:p w14:paraId="4307C3F7" w14:textId="03E6F86E" w:rsidR="00DB22AB" w:rsidRPr="00050FA4" w:rsidRDefault="002C3394" w:rsidP="003F1DA7">
      <w:pPr>
        <w:pStyle w:val="AAAAAAATEXXXX"/>
        <w:rPr>
          <w:b/>
          <w:lang w:val="sq-AL"/>
        </w:rPr>
      </w:pPr>
      <w:r w:rsidRPr="00050FA4">
        <w:rPr>
          <w:b/>
          <w:lang w:val="sq-AL"/>
        </w:rPr>
        <w:t>c</w:t>
      </w:r>
      <w:r w:rsidR="003947C3" w:rsidRPr="00050FA4">
        <w:rPr>
          <w:b/>
          <w:lang w:val="sq-AL"/>
        </w:rPr>
        <w:t>)</w:t>
      </w:r>
      <w:r w:rsidRPr="00050FA4">
        <w:rPr>
          <w:b/>
          <w:lang w:val="sq-AL"/>
        </w:rPr>
        <w:t xml:space="preserve"> </w:t>
      </w:r>
      <w:r w:rsidR="00B2062A" w:rsidRPr="00050FA4">
        <w:rPr>
          <w:b/>
          <w:lang w:val="sq-AL"/>
        </w:rPr>
        <w:t xml:space="preserve">Aktivitete të planifikuara </w:t>
      </w:r>
      <w:r w:rsidR="00E10061" w:rsidRPr="00050FA4">
        <w:rPr>
          <w:b/>
          <w:lang w:val="sq-AL"/>
        </w:rPr>
        <w:t>m</w:t>
      </w:r>
      <w:r w:rsidR="00B2062A" w:rsidRPr="00050FA4">
        <w:rPr>
          <w:b/>
          <w:lang w:val="sq-AL"/>
        </w:rPr>
        <w:t>ë</w:t>
      </w:r>
      <w:r w:rsidR="00DB22AB" w:rsidRPr="00050FA4">
        <w:rPr>
          <w:b/>
          <w:lang w:val="sq-AL"/>
        </w:rPr>
        <w:t xml:space="preserve"> 2024</w:t>
      </w:r>
      <w:r w:rsidR="00E10061" w:rsidRPr="00050FA4">
        <w:rPr>
          <w:b/>
          <w:lang w:val="sq-AL"/>
        </w:rPr>
        <w:t>-shin</w:t>
      </w:r>
    </w:p>
    <w:p w14:paraId="6ECEA599" w14:textId="17C35457" w:rsidR="00857902" w:rsidRPr="00050FA4" w:rsidRDefault="00E10061" w:rsidP="003F1DA7">
      <w:pPr>
        <w:pStyle w:val="AAAAAAATEXXXX"/>
        <w:rPr>
          <w:lang w:val="sq-AL"/>
        </w:rPr>
      </w:pPr>
      <w:r w:rsidRPr="00050FA4">
        <w:rPr>
          <w:lang w:val="sq-AL"/>
        </w:rPr>
        <w:t xml:space="preserve">a) </w:t>
      </w:r>
      <w:r w:rsidR="00857902" w:rsidRPr="00050FA4">
        <w:rPr>
          <w:lang w:val="sq-AL"/>
        </w:rPr>
        <w:t xml:space="preserve">Përmirësimi i cilësisë dhe </w:t>
      </w:r>
      <w:r w:rsidRPr="00050FA4">
        <w:rPr>
          <w:lang w:val="sq-AL"/>
        </w:rPr>
        <w:t xml:space="preserve">i </w:t>
      </w:r>
      <w:r w:rsidR="00857902" w:rsidRPr="00050FA4">
        <w:rPr>
          <w:lang w:val="sq-AL"/>
        </w:rPr>
        <w:t>efektivitetit të institucioneve dhe shërbimeve të tregut të punës, nëpërmjet rritjes së performancës së stafit;</w:t>
      </w:r>
    </w:p>
    <w:p w14:paraId="08B3D99E" w14:textId="16447DC4" w:rsidR="00857902" w:rsidRPr="00050FA4" w:rsidRDefault="004727B7" w:rsidP="003F1DA7">
      <w:pPr>
        <w:pStyle w:val="AAAAAAATEXXXX"/>
        <w:rPr>
          <w:lang w:val="sq-AL"/>
        </w:rPr>
      </w:pPr>
      <w:r w:rsidRPr="00050FA4">
        <w:rPr>
          <w:lang w:val="sq-AL"/>
        </w:rPr>
        <w:t xml:space="preserve">b) </w:t>
      </w:r>
      <w:r w:rsidR="00857902" w:rsidRPr="00050FA4">
        <w:rPr>
          <w:lang w:val="sq-AL"/>
        </w:rPr>
        <w:t>Zbatimi i programit të garancisë rinore;</w:t>
      </w:r>
    </w:p>
    <w:p w14:paraId="74DE22F7" w14:textId="4B9D98A8" w:rsidR="00857902" w:rsidRPr="00050FA4" w:rsidRDefault="004727B7" w:rsidP="003F1DA7">
      <w:pPr>
        <w:pStyle w:val="AAAAAAATEXXXX"/>
        <w:rPr>
          <w:lang w:val="sq-AL"/>
        </w:rPr>
      </w:pPr>
      <w:r w:rsidRPr="00050FA4">
        <w:rPr>
          <w:lang w:val="sq-AL"/>
        </w:rPr>
        <w:t xml:space="preserve">c) </w:t>
      </w:r>
      <w:r w:rsidR="00857902" w:rsidRPr="00050FA4">
        <w:rPr>
          <w:lang w:val="sq-AL"/>
        </w:rPr>
        <w:t>Zbatimi i programeve të nxitjes së punësimit</w:t>
      </w:r>
      <w:r w:rsidRPr="00050FA4">
        <w:rPr>
          <w:lang w:val="sq-AL"/>
        </w:rPr>
        <w:t>,</w:t>
      </w:r>
      <w:r w:rsidR="00857902" w:rsidRPr="00050FA4">
        <w:rPr>
          <w:lang w:val="sq-AL"/>
        </w:rPr>
        <w:t xml:space="preserve"> që synojnë mbështetjen e grupeve më vulnerabël dhe synohet aktivizimi e numrin e punëkërkuesve të regjistruar të papunë</w:t>
      </w:r>
      <w:r w:rsidRPr="00050FA4">
        <w:rPr>
          <w:lang w:val="sq-AL"/>
        </w:rPr>
        <w:t>,</w:t>
      </w:r>
      <w:r w:rsidR="00857902" w:rsidRPr="00050FA4">
        <w:rPr>
          <w:lang w:val="sq-AL"/>
        </w:rPr>
        <w:t xml:space="preserve"> që përfitojnë nga programet e nxitjes së punësimit të arrijë në 7.2%;</w:t>
      </w:r>
    </w:p>
    <w:p w14:paraId="6E717A40" w14:textId="5AC015A5" w:rsidR="00857902" w:rsidRPr="00050FA4" w:rsidRDefault="004727B7" w:rsidP="003F1DA7">
      <w:pPr>
        <w:pStyle w:val="AAAAAAATEXXXX"/>
        <w:rPr>
          <w:lang w:val="sq-AL"/>
        </w:rPr>
      </w:pPr>
      <w:r w:rsidRPr="00050FA4">
        <w:rPr>
          <w:lang w:val="sq-AL"/>
        </w:rPr>
        <w:t xml:space="preserve">d) </w:t>
      </w:r>
      <w:r w:rsidR="00857902" w:rsidRPr="00050FA4">
        <w:rPr>
          <w:lang w:val="sq-AL"/>
        </w:rPr>
        <w:t>Vlerësimi i ndikimit të programeve të nxitjes së punësimit.</w:t>
      </w:r>
    </w:p>
    <w:p w14:paraId="0CD11543" w14:textId="77777777" w:rsidR="00CB4F25" w:rsidRPr="00050FA4" w:rsidRDefault="00CB4F25" w:rsidP="003F1DA7">
      <w:pPr>
        <w:pStyle w:val="AAAAAAATEXXXX"/>
        <w:rPr>
          <w:lang w:val="sq-AL"/>
        </w:rPr>
      </w:pPr>
    </w:p>
    <w:p w14:paraId="607D6351" w14:textId="1B9A5D20" w:rsidR="00DB22AB" w:rsidRPr="00050FA4" w:rsidRDefault="002C3394" w:rsidP="003F1DA7">
      <w:pPr>
        <w:pStyle w:val="AAAAAAATEXXXX"/>
        <w:rPr>
          <w:lang w:val="sq-AL"/>
        </w:rPr>
      </w:pPr>
      <w:r w:rsidRPr="00050FA4">
        <w:rPr>
          <w:lang w:val="sq-AL"/>
        </w:rPr>
        <w:t xml:space="preserve">2. </w:t>
      </w:r>
      <w:r w:rsidR="00B2062A" w:rsidRPr="00050FA4">
        <w:rPr>
          <w:lang w:val="sq-AL"/>
        </w:rPr>
        <w:t>Treguesit e rezultateve</w:t>
      </w:r>
    </w:p>
    <w:tbl>
      <w:tblPr>
        <w:tblStyle w:val="TableGrid2"/>
        <w:tblW w:w="0" w:type="auto"/>
        <w:jc w:val="center"/>
        <w:tblLook w:val="04A0" w:firstRow="1" w:lastRow="0" w:firstColumn="1" w:lastColumn="0" w:noHBand="0" w:noVBand="1"/>
      </w:tblPr>
      <w:tblGrid>
        <w:gridCol w:w="4533"/>
        <w:gridCol w:w="849"/>
        <w:gridCol w:w="1583"/>
        <w:gridCol w:w="1583"/>
        <w:gridCol w:w="1568"/>
      </w:tblGrid>
      <w:tr w:rsidR="00FA29AB" w:rsidRPr="00050FA4" w14:paraId="10EF55F7" w14:textId="77777777" w:rsidTr="003947C3">
        <w:trPr>
          <w:jc w:val="center"/>
        </w:trPr>
        <w:tc>
          <w:tcPr>
            <w:tcW w:w="4677" w:type="dxa"/>
            <w:vAlign w:val="center"/>
          </w:tcPr>
          <w:p w14:paraId="10B8E5AA" w14:textId="439ADE0D" w:rsidR="008725CE" w:rsidRPr="00050FA4" w:rsidRDefault="00B2062A" w:rsidP="003947C3">
            <w:pPr>
              <w:pStyle w:val="AAAAAAATEXXXX"/>
              <w:ind w:firstLine="0"/>
              <w:jc w:val="center"/>
              <w:rPr>
                <w:b/>
                <w:sz w:val="18"/>
                <w:szCs w:val="18"/>
                <w:lang w:val="sq-AL"/>
              </w:rPr>
            </w:pPr>
            <w:r w:rsidRPr="00050FA4">
              <w:rPr>
                <w:b/>
                <w:sz w:val="18"/>
                <w:szCs w:val="18"/>
                <w:lang w:val="sq-AL"/>
              </w:rPr>
              <w:t>Tregues</w:t>
            </w:r>
          </w:p>
        </w:tc>
        <w:tc>
          <w:tcPr>
            <w:tcW w:w="856" w:type="dxa"/>
            <w:vAlign w:val="center"/>
          </w:tcPr>
          <w:p w14:paraId="204F673A" w14:textId="739E48C7" w:rsidR="008725CE" w:rsidRPr="00050FA4" w:rsidRDefault="00B2062A" w:rsidP="003947C3">
            <w:pPr>
              <w:pStyle w:val="AAAAAAATEXXXX"/>
              <w:ind w:firstLine="0"/>
              <w:jc w:val="center"/>
              <w:rPr>
                <w:b/>
                <w:sz w:val="18"/>
                <w:szCs w:val="18"/>
                <w:lang w:val="sq-AL"/>
              </w:rPr>
            </w:pPr>
            <w:r w:rsidRPr="00050FA4">
              <w:rPr>
                <w:b/>
                <w:sz w:val="18"/>
                <w:szCs w:val="18"/>
                <w:lang w:val="sq-AL"/>
              </w:rPr>
              <w:t>Bazë</w:t>
            </w:r>
            <w:r w:rsidR="008725CE" w:rsidRPr="00050FA4">
              <w:rPr>
                <w:b/>
                <w:sz w:val="18"/>
                <w:szCs w:val="18"/>
                <w:lang w:val="sq-AL"/>
              </w:rPr>
              <w:t xml:space="preserve"> (2020)</w:t>
            </w:r>
          </w:p>
        </w:tc>
        <w:tc>
          <w:tcPr>
            <w:tcW w:w="1603" w:type="dxa"/>
            <w:vAlign w:val="center"/>
          </w:tcPr>
          <w:p w14:paraId="2137E5F4" w14:textId="511482A0" w:rsidR="008725CE" w:rsidRPr="00050FA4" w:rsidRDefault="00B2062A" w:rsidP="003947C3">
            <w:pPr>
              <w:pStyle w:val="AAAAAAATEXXXX"/>
              <w:ind w:firstLine="0"/>
              <w:jc w:val="center"/>
              <w:rPr>
                <w:b/>
                <w:sz w:val="18"/>
                <w:szCs w:val="18"/>
                <w:lang w:val="sq-AL"/>
              </w:rPr>
            </w:pPr>
            <w:r w:rsidRPr="00050FA4">
              <w:rPr>
                <w:b/>
                <w:sz w:val="18"/>
                <w:szCs w:val="18"/>
                <w:lang w:val="sq-AL"/>
              </w:rPr>
              <w:t>I ndërmjetëm</w:t>
            </w:r>
            <w:r w:rsidR="008D080B" w:rsidRPr="00050FA4">
              <w:rPr>
                <w:b/>
                <w:sz w:val="18"/>
                <w:szCs w:val="18"/>
                <w:lang w:val="sq-AL"/>
              </w:rPr>
              <w:t xml:space="preserve"> </w:t>
            </w:r>
            <w:r w:rsidR="008725CE" w:rsidRPr="00050FA4">
              <w:rPr>
                <w:b/>
                <w:sz w:val="18"/>
                <w:szCs w:val="18"/>
                <w:lang w:val="sq-AL"/>
              </w:rPr>
              <w:t>(2021)</w:t>
            </w:r>
          </w:p>
        </w:tc>
        <w:tc>
          <w:tcPr>
            <w:tcW w:w="1603" w:type="dxa"/>
            <w:vAlign w:val="center"/>
          </w:tcPr>
          <w:p w14:paraId="787D78DC" w14:textId="7018A60B" w:rsidR="008725CE" w:rsidRPr="00050FA4" w:rsidRDefault="00B2062A" w:rsidP="003947C3">
            <w:pPr>
              <w:pStyle w:val="AAAAAAATEXXXX"/>
              <w:ind w:firstLine="0"/>
              <w:jc w:val="center"/>
              <w:rPr>
                <w:b/>
                <w:sz w:val="18"/>
                <w:szCs w:val="18"/>
                <w:lang w:val="sq-AL"/>
              </w:rPr>
            </w:pPr>
            <w:r w:rsidRPr="00050FA4">
              <w:rPr>
                <w:b/>
                <w:sz w:val="18"/>
                <w:szCs w:val="18"/>
                <w:lang w:val="sq-AL"/>
              </w:rPr>
              <w:t>I ndërmjetëm</w:t>
            </w:r>
            <w:r w:rsidR="008725CE" w:rsidRPr="00050FA4">
              <w:rPr>
                <w:b/>
                <w:sz w:val="18"/>
                <w:szCs w:val="18"/>
                <w:lang w:val="sq-AL"/>
              </w:rPr>
              <w:t xml:space="preserve"> (2022)</w:t>
            </w:r>
          </w:p>
        </w:tc>
        <w:tc>
          <w:tcPr>
            <w:tcW w:w="1604" w:type="dxa"/>
            <w:vAlign w:val="center"/>
          </w:tcPr>
          <w:p w14:paraId="00928B1C" w14:textId="614C8B48" w:rsidR="008725CE" w:rsidRPr="00050FA4" w:rsidRDefault="00B2062A" w:rsidP="003947C3">
            <w:pPr>
              <w:pStyle w:val="AAAAAAATEXXXX"/>
              <w:ind w:firstLine="0"/>
              <w:jc w:val="center"/>
              <w:rPr>
                <w:b/>
                <w:sz w:val="18"/>
                <w:szCs w:val="18"/>
                <w:lang w:val="sq-AL"/>
              </w:rPr>
            </w:pPr>
            <w:r w:rsidRPr="00050FA4">
              <w:rPr>
                <w:b/>
                <w:sz w:val="18"/>
                <w:szCs w:val="18"/>
                <w:lang w:val="sq-AL"/>
              </w:rPr>
              <w:t>Synimi</w:t>
            </w:r>
            <w:r w:rsidR="008725CE" w:rsidRPr="00050FA4">
              <w:rPr>
                <w:b/>
                <w:sz w:val="18"/>
                <w:szCs w:val="18"/>
                <w:lang w:val="sq-AL"/>
              </w:rPr>
              <w:t xml:space="preserve"> (2023)</w:t>
            </w:r>
          </w:p>
        </w:tc>
      </w:tr>
      <w:tr w:rsidR="00FA29AB" w:rsidRPr="00050FA4" w14:paraId="666CE96C" w14:textId="77777777" w:rsidTr="003947C3">
        <w:trPr>
          <w:jc w:val="center"/>
        </w:trPr>
        <w:tc>
          <w:tcPr>
            <w:tcW w:w="4677" w:type="dxa"/>
          </w:tcPr>
          <w:p w14:paraId="48C19F53" w14:textId="6AAEEE02" w:rsidR="00857902" w:rsidRPr="00050FA4" w:rsidRDefault="00857902" w:rsidP="003947C3">
            <w:pPr>
              <w:pStyle w:val="AAAAAAATEXXXX"/>
              <w:ind w:firstLine="0"/>
              <w:rPr>
                <w:sz w:val="18"/>
                <w:szCs w:val="18"/>
                <w:lang w:val="sq-AL"/>
              </w:rPr>
            </w:pPr>
            <w:r w:rsidRPr="00050FA4">
              <w:rPr>
                <w:sz w:val="18"/>
                <w:szCs w:val="18"/>
                <w:lang w:val="sq-AL"/>
              </w:rPr>
              <w:t>Rritja e punësimit të punëkërkuesve përmes shërbimeve të ndërmjetësimit për punë</w:t>
            </w:r>
          </w:p>
        </w:tc>
        <w:tc>
          <w:tcPr>
            <w:tcW w:w="856" w:type="dxa"/>
          </w:tcPr>
          <w:p w14:paraId="470A1A24" w14:textId="5CAB575F" w:rsidR="00857902" w:rsidRPr="00050FA4" w:rsidRDefault="00857902" w:rsidP="003947C3">
            <w:pPr>
              <w:pStyle w:val="AAAAAAATEXXXX"/>
              <w:ind w:firstLine="0"/>
              <w:rPr>
                <w:sz w:val="18"/>
                <w:szCs w:val="18"/>
                <w:lang w:val="sq-AL"/>
              </w:rPr>
            </w:pPr>
            <w:r w:rsidRPr="00050FA4">
              <w:rPr>
                <w:sz w:val="18"/>
                <w:szCs w:val="18"/>
                <w:lang w:val="sq-AL"/>
              </w:rPr>
              <w:t>28%</w:t>
            </w:r>
          </w:p>
        </w:tc>
        <w:tc>
          <w:tcPr>
            <w:tcW w:w="1603" w:type="dxa"/>
          </w:tcPr>
          <w:p w14:paraId="6999B749" w14:textId="3443BCF7" w:rsidR="00857902" w:rsidRPr="00050FA4" w:rsidRDefault="00857902" w:rsidP="003947C3">
            <w:pPr>
              <w:pStyle w:val="AAAAAAATEXXXX"/>
              <w:ind w:firstLine="0"/>
              <w:rPr>
                <w:sz w:val="18"/>
                <w:szCs w:val="18"/>
                <w:lang w:val="sq-AL"/>
              </w:rPr>
            </w:pPr>
            <w:r w:rsidRPr="00050FA4">
              <w:rPr>
                <w:sz w:val="18"/>
                <w:szCs w:val="18"/>
                <w:lang w:val="sq-AL"/>
              </w:rPr>
              <w:t>38%</w:t>
            </w:r>
          </w:p>
        </w:tc>
        <w:tc>
          <w:tcPr>
            <w:tcW w:w="1603" w:type="dxa"/>
          </w:tcPr>
          <w:p w14:paraId="49194E0D" w14:textId="25B52753" w:rsidR="00857902" w:rsidRPr="00050FA4" w:rsidRDefault="00857902" w:rsidP="003947C3">
            <w:pPr>
              <w:pStyle w:val="AAAAAAATEXXXX"/>
              <w:ind w:firstLine="0"/>
              <w:rPr>
                <w:sz w:val="18"/>
                <w:szCs w:val="18"/>
                <w:lang w:val="sq-AL"/>
              </w:rPr>
            </w:pPr>
            <w:r w:rsidRPr="00050FA4">
              <w:rPr>
                <w:sz w:val="18"/>
                <w:szCs w:val="18"/>
                <w:lang w:val="sq-AL"/>
              </w:rPr>
              <w:t>43%</w:t>
            </w:r>
          </w:p>
        </w:tc>
        <w:tc>
          <w:tcPr>
            <w:tcW w:w="1604" w:type="dxa"/>
          </w:tcPr>
          <w:p w14:paraId="6AD41D17" w14:textId="31B25B98" w:rsidR="00857902" w:rsidRPr="00050FA4" w:rsidRDefault="00857902" w:rsidP="003947C3">
            <w:pPr>
              <w:pStyle w:val="AAAAAAATEXXXX"/>
              <w:ind w:firstLine="0"/>
              <w:rPr>
                <w:sz w:val="18"/>
                <w:szCs w:val="18"/>
                <w:lang w:val="sq-AL"/>
              </w:rPr>
            </w:pPr>
            <w:r w:rsidRPr="00050FA4">
              <w:rPr>
                <w:sz w:val="18"/>
                <w:szCs w:val="18"/>
                <w:lang w:val="sq-AL"/>
              </w:rPr>
              <w:t>48%</w:t>
            </w:r>
          </w:p>
        </w:tc>
      </w:tr>
      <w:tr w:rsidR="00FA29AB" w:rsidRPr="00050FA4" w14:paraId="3B35D0C8" w14:textId="77777777" w:rsidTr="003947C3">
        <w:trPr>
          <w:jc w:val="center"/>
        </w:trPr>
        <w:tc>
          <w:tcPr>
            <w:tcW w:w="4677" w:type="dxa"/>
          </w:tcPr>
          <w:p w14:paraId="7B43CDFD" w14:textId="61734C1E" w:rsidR="00857902" w:rsidRPr="00050FA4" w:rsidRDefault="00857902" w:rsidP="003947C3">
            <w:pPr>
              <w:pStyle w:val="AAAAAAATEXXXX"/>
              <w:ind w:firstLine="0"/>
              <w:rPr>
                <w:sz w:val="18"/>
                <w:szCs w:val="18"/>
                <w:lang w:val="sq-AL"/>
              </w:rPr>
            </w:pPr>
            <w:r w:rsidRPr="00050FA4">
              <w:rPr>
                <w:sz w:val="18"/>
                <w:szCs w:val="18"/>
                <w:lang w:val="sq-AL"/>
              </w:rPr>
              <w:t>Rritja e pjesëmarrjes së punëkërkuesve të papunë në programet e nxitjes së punësimit</w:t>
            </w:r>
          </w:p>
        </w:tc>
        <w:tc>
          <w:tcPr>
            <w:tcW w:w="856" w:type="dxa"/>
          </w:tcPr>
          <w:p w14:paraId="7342697B" w14:textId="227091CA" w:rsidR="00857902" w:rsidRPr="00050FA4" w:rsidRDefault="00857902" w:rsidP="003947C3">
            <w:pPr>
              <w:pStyle w:val="AAAAAAATEXXXX"/>
              <w:ind w:firstLine="0"/>
              <w:rPr>
                <w:sz w:val="18"/>
                <w:szCs w:val="18"/>
                <w:lang w:val="sq-AL"/>
              </w:rPr>
            </w:pPr>
            <w:r w:rsidRPr="00050FA4">
              <w:rPr>
                <w:sz w:val="18"/>
                <w:szCs w:val="18"/>
                <w:lang w:val="sq-AL"/>
              </w:rPr>
              <w:t>6,4%</w:t>
            </w:r>
          </w:p>
        </w:tc>
        <w:tc>
          <w:tcPr>
            <w:tcW w:w="1603" w:type="dxa"/>
          </w:tcPr>
          <w:p w14:paraId="55D57637" w14:textId="5395B55E" w:rsidR="00857902" w:rsidRPr="00050FA4" w:rsidRDefault="00857902" w:rsidP="003947C3">
            <w:pPr>
              <w:pStyle w:val="AAAAAAATEXXXX"/>
              <w:ind w:firstLine="0"/>
              <w:rPr>
                <w:sz w:val="18"/>
                <w:szCs w:val="18"/>
                <w:lang w:val="sq-AL"/>
              </w:rPr>
            </w:pPr>
            <w:r w:rsidRPr="00050FA4">
              <w:rPr>
                <w:sz w:val="18"/>
                <w:szCs w:val="18"/>
                <w:lang w:val="sq-AL"/>
              </w:rPr>
              <w:t>6,7%</w:t>
            </w:r>
          </w:p>
        </w:tc>
        <w:tc>
          <w:tcPr>
            <w:tcW w:w="1603" w:type="dxa"/>
          </w:tcPr>
          <w:p w14:paraId="7924F06C" w14:textId="315BBFD3" w:rsidR="00857902" w:rsidRPr="00050FA4" w:rsidRDefault="00857902" w:rsidP="003947C3">
            <w:pPr>
              <w:pStyle w:val="AAAAAAATEXXXX"/>
              <w:ind w:firstLine="0"/>
              <w:rPr>
                <w:sz w:val="18"/>
                <w:szCs w:val="18"/>
                <w:lang w:val="sq-AL"/>
              </w:rPr>
            </w:pPr>
            <w:r w:rsidRPr="00050FA4">
              <w:rPr>
                <w:sz w:val="18"/>
                <w:szCs w:val="18"/>
                <w:lang w:val="sq-AL"/>
              </w:rPr>
              <w:t>7,0%</w:t>
            </w:r>
          </w:p>
        </w:tc>
        <w:tc>
          <w:tcPr>
            <w:tcW w:w="1604" w:type="dxa"/>
          </w:tcPr>
          <w:p w14:paraId="19285446" w14:textId="27DAD1FA" w:rsidR="00857902" w:rsidRPr="00050FA4" w:rsidRDefault="00857902" w:rsidP="003947C3">
            <w:pPr>
              <w:pStyle w:val="AAAAAAATEXXXX"/>
              <w:ind w:firstLine="0"/>
              <w:rPr>
                <w:sz w:val="18"/>
                <w:szCs w:val="18"/>
                <w:lang w:val="sq-AL"/>
              </w:rPr>
            </w:pPr>
            <w:r w:rsidRPr="00050FA4">
              <w:rPr>
                <w:sz w:val="18"/>
                <w:szCs w:val="18"/>
                <w:lang w:val="sq-AL"/>
              </w:rPr>
              <w:t>7.3%</w:t>
            </w:r>
          </w:p>
        </w:tc>
      </w:tr>
      <w:tr w:rsidR="00FA29AB" w:rsidRPr="00050FA4" w14:paraId="4DBD6C5C" w14:textId="77777777" w:rsidTr="003947C3">
        <w:trPr>
          <w:jc w:val="center"/>
        </w:trPr>
        <w:tc>
          <w:tcPr>
            <w:tcW w:w="4677" w:type="dxa"/>
          </w:tcPr>
          <w:p w14:paraId="1A9749D9" w14:textId="5B98B7C7" w:rsidR="00857902" w:rsidRPr="00050FA4" w:rsidRDefault="00857902" w:rsidP="003947C3">
            <w:pPr>
              <w:pStyle w:val="AAAAAAATEXXXX"/>
              <w:ind w:firstLine="0"/>
              <w:rPr>
                <w:sz w:val="18"/>
                <w:szCs w:val="18"/>
                <w:lang w:val="sq-AL"/>
              </w:rPr>
            </w:pPr>
            <w:r w:rsidRPr="00050FA4">
              <w:rPr>
                <w:sz w:val="18"/>
                <w:szCs w:val="18"/>
                <w:lang w:val="sq-AL"/>
              </w:rPr>
              <w:t>Rritja e trajnimeve për punëkërkuesit e papunë</w:t>
            </w:r>
          </w:p>
        </w:tc>
        <w:tc>
          <w:tcPr>
            <w:tcW w:w="856" w:type="dxa"/>
          </w:tcPr>
          <w:p w14:paraId="38F8BE5C" w14:textId="10B632DF" w:rsidR="00857902" w:rsidRPr="00050FA4" w:rsidRDefault="00857902" w:rsidP="003947C3">
            <w:pPr>
              <w:pStyle w:val="AAAAAAATEXXXX"/>
              <w:ind w:firstLine="0"/>
              <w:rPr>
                <w:sz w:val="18"/>
                <w:szCs w:val="18"/>
                <w:lang w:val="sq-AL"/>
              </w:rPr>
            </w:pPr>
            <w:r w:rsidRPr="00050FA4">
              <w:rPr>
                <w:sz w:val="18"/>
                <w:szCs w:val="18"/>
                <w:lang w:val="sq-AL"/>
              </w:rPr>
              <w:t>50%</w:t>
            </w:r>
          </w:p>
        </w:tc>
        <w:tc>
          <w:tcPr>
            <w:tcW w:w="1603" w:type="dxa"/>
          </w:tcPr>
          <w:p w14:paraId="39AB8F90" w14:textId="38CA60B1" w:rsidR="00857902" w:rsidRPr="00050FA4" w:rsidRDefault="00857902" w:rsidP="003947C3">
            <w:pPr>
              <w:pStyle w:val="AAAAAAATEXXXX"/>
              <w:ind w:firstLine="0"/>
              <w:rPr>
                <w:sz w:val="18"/>
                <w:szCs w:val="18"/>
                <w:lang w:val="sq-AL"/>
              </w:rPr>
            </w:pPr>
            <w:r w:rsidRPr="00050FA4">
              <w:rPr>
                <w:sz w:val="18"/>
                <w:szCs w:val="18"/>
                <w:lang w:val="sq-AL"/>
              </w:rPr>
              <w:t>60%</w:t>
            </w:r>
          </w:p>
        </w:tc>
        <w:tc>
          <w:tcPr>
            <w:tcW w:w="1603" w:type="dxa"/>
          </w:tcPr>
          <w:p w14:paraId="05AF4D60" w14:textId="46EC2B4F" w:rsidR="00857902" w:rsidRPr="00050FA4" w:rsidRDefault="00857902" w:rsidP="003947C3">
            <w:pPr>
              <w:pStyle w:val="AAAAAAATEXXXX"/>
              <w:ind w:firstLine="0"/>
              <w:rPr>
                <w:sz w:val="18"/>
                <w:szCs w:val="18"/>
                <w:lang w:val="sq-AL"/>
              </w:rPr>
            </w:pPr>
            <w:r w:rsidRPr="00050FA4">
              <w:rPr>
                <w:sz w:val="18"/>
                <w:szCs w:val="18"/>
                <w:lang w:val="sq-AL"/>
              </w:rPr>
              <w:t>65%</w:t>
            </w:r>
          </w:p>
        </w:tc>
        <w:tc>
          <w:tcPr>
            <w:tcW w:w="1604" w:type="dxa"/>
          </w:tcPr>
          <w:p w14:paraId="313808FC" w14:textId="6D465AB3" w:rsidR="00857902" w:rsidRPr="00050FA4" w:rsidRDefault="00857902" w:rsidP="003947C3">
            <w:pPr>
              <w:pStyle w:val="AAAAAAATEXXXX"/>
              <w:ind w:firstLine="0"/>
              <w:rPr>
                <w:sz w:val="18"/>
                <w:szCs w:val="18"/>
                <w:lang w:val="sq-AL"/>
              </w:rPr>
            </w:pPr>
            <w:r w:rsidRPr="00050FA4">
              <w:rPr>
                <w:sz w:val="18"/>
                <w:szCs w:val="18"/>
                <w:lang w:val="sq-AL"/>
              </w:rPr>
              <w:t>70%</w:t>
            </w:r>
          </w:p>
        </w:tc>
      </w:tr>
    </w:tbl>
    <w:p w14:paraId="77DB33D4" w14:textId="77777777" w:rsidR="008725CE" w:rsidRPr="00050FA4" w:rsidRDefault="008725CE" w:rsidP="003F1DA7">
      <w:pPr>
        <w:pStyle w:val="AAAAAAATEXXXX"/>
        <w:rPr>
          <w:sz w:val="20"/>
          <w:szCs w:val="20"/>
          <w:lang w:val="sq-AL"/>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190"/>
        <w:gridCol w:w="1191"/>
        <w:gridCol w:w="1190"/>
        <w:gridCol w:w="1191"/>
        <w:gridCol w:w="1191"/>
      </w:tblGrid>
      <w:tr w:rsidR="00FA29AB" w:rsidRPr="00050FA4" w14:paraId="2DC272F7" w14:textId="77777777" w:rsidTr="00D449A8">
        <w:trPr>
          <w:trHeight w:val="219"/>
          <w:jc w:val="center"/>
        </w:trPr>
        <w:tc>
          <w:tcPr>
            <w:tcW w:w="4395" w:type="dxa"/>
            <w:shd w:val="clear" w:color="000000" w:fill="FFFFFF"/>
            <w:vAlign w:val="center"/>
            <w:hideMark/>
          </w:tcPr>
          <w:p w14:paraId="0146DB74" w14:textId="743449C1" w:rsidR="00857902" w:rsidRPr="00050FA4" w:rsidRDefault="00655282" w:rsidP="003947C3">
            <w:pPr>
              <w:pStyle w:val="AAAAAAATEXXXX"/>
              <w:ind w:firstLine="0"/>
              <w:jc w:val="center"/>
              <w:rPr>
                <w:rFonts w:eastAsia="Times New Roman"/>
                <w:b/>
                <w:sz w:val="18"/>
                <w:szCs w:val="18"/>
                <w:lang w:val="sq-AL"/>
              </w:rPr>
            </w:pPr>
            <w:r w:rsidRPr="00050FA4">
              <w:rPr>
                <w:b/>
                <w:sz w:val="18"/>
                <w:szCs w:val="18"/>
                <w:lang w:val="sq-AL"/>
              </w:rPr>
              <w:t>Tregues</w:t>
            </w:r>
          </w:p>
        </w:tc>
        <w:tc>
          <w:tcPr>
            <w:tcW w:w="1190" w:type="dxa"/>
            <w:shd w:val="clear" w:color="000000" w:fill="FFFFFF"/>
            <w:vAlign w:val="center"/>
            <w:hideMark/>
          </w:tcPr>
          <w:p w14:paraId="23C5B8F3" w14:textId="7FB88F4C" w:rsidR="00857902" w:rsidRPr="00050FA4" w:rsidRDefault="00857902" w:rsidP="003947C3">
            <w:pPr>
              <w:pStyle w:val="AAAAAAATEXXXX"/>
              <w:ind w:firstLine="0"/>
              <w:jc w:val="center"/>
              <w:rPr>
                <w:rFonts w:eastAsia="Times New Roman"/>
                <w:b/>
                <w:sz w:val="18"/>
                <w:szCs w:val="18"/>
                <w:lang w:val="sq-AL"/>
              </w:rPr>
            </w:pPr>
            <w:r w:rsidRPr="00050FA4">
              <w:rPr>
                <w:rFonts w:eastAsia="Times New Roman"/>
                <w:b/>
                <w:sz w:val="18"/>
                <w:szCs w:val="18"/>
                <w:lang w:val="sq-AL"/>
              </w:rPr>
              <w:t>2018</w:t>
            </w:r>
          </w:p>
        </w:tc>
        <w:tc>
          <w:tcPr>
            <w:tcW w:w="1191" w:type="dxa"/>
            <w:shd w:val="clear" w:color="000000" w:fill="FFFFFF"/>
            <w:vAlign w:val="center"/>
            <w:hideMark/>
          </w:tcPr>
          <w:p w14:paraId="73550C57" w14:textId="77777777" w:rsidR="00857902" w:rsidRPr="00050FA4" w:rsidRDefault="00857902" w:rsidP="003947C3">
            <w:pPr>
              <w:pStyle w:val="AAAAAAATEXXXX"/>
              <w:ind w:firstLine="0"/>
              <w:jc w:val="center"/>
              <w:rPr>
                <w:rFonts w:eastAsia="Times New Roman"/>
                <w:b/>
                <w:bCs/>
                <w:sz w:val="18"/>
                <w:szCs w:val="18"/>
                <w:lang w:val="sq-AL"/>
              </w:rPr>
            </w:pPr>
            <w:r w:rsidRPr="00050FA4">
              <w:rPr>
                <w:rFonts w:eastAsia="Times New Roman"/>
                <w:b/>
                <w:bCs/>
                <w:sz w:val="18"/>
                <w:szCs w:val="18"/>
                <w:lang w:val="sq-AL"/>
              </w:rPr>
              <w:t>2019</w:t>
            </w:r>
          </w:p>
        </w:tc>
        <w:tc>
          <w:tcPr>
            <w:tcW w:w="1190" w:type="dxa"/>
            <w:shd w:val="clear" w:color="000000" w:fill="FFFFFF"/>
            <w:vAlign w:val="center"/>
            <w:hideMark/>
          </w:tcPr>
          <w:p w14:paraId="20C767CC" w14:textId="77777777" w:rsidR="00857902" w:rsidRPr="00050FA4" w:rsidRDefault="00857902" w:rsidP="003947C3">
            <w:pPr>
              <w:pStyle w:val="AAAAAAATEXXXX"/>
              <w:ind w:firstLine="0"/>
              <w:jc w:val="center"/>
              <w:rPr>
                <w:rFonts w:eastAsia="Times New Roman"/>
                <w:b/>
                <w:bCs/>
                <w:sz w:val="18"/>
                <w:szCs w:val="18"/>
                <w:lang w:val="sq-AL"/>
              </w:rPr>
            </w:pPr>
            <w:r w:rsidRPr="00050FA4">
              <w:rPr>
                <w:rFonts w:eastAsia="Times New Roman"/>
                <w:b/>
                <w:bCs/>
                <w:sz w:val="18"/>
                <w:szCs w:val="18"/>
                <w:lang w:val="sq-AL"/>
              </w:rPr>
              <w:t>2020</w:t>
            </w:r>
          </w:p>
        </w:tc>
        <w:tc>
          <w:tcPr>
            <w:tcW w:w="1191" w:type="dxa"/>
            <w:shd w:val="clear" w:color="000000" w:fill="FFFFFF"/>
            <w:vAlign w:val="center"/>
            <w:hideMark/>
          </w:tcPr>
          <w:p w14:paraId="1CE5B47C" w14:textId="77777777" w:rsidR="00857902" w:rsidRPr="00050FA4" w:rsidRDefault="00857902" w:rsidP="003947C3">
            <w:pPr>
              <w:pStyle w:val="AAAAAAATEXXXX"/>
              <w:ind w:firstLine="0"/>
              <w:jc w:val="center"/>
              <w:rPr>
                <w:rFonts w:eastAsia="Times New Roman"/>
                <w:b/>
                <w:sz w:val="18"/>
                <w:szCs w:val="18"/>
                <w:lang w:val="sq-AL"/>
              </w:rPr>
            </w:pPr>
            <w:r w:rsidRPr="00050FA4">
              <w:rPr>
                <w:rFonts w:eastAsia="Times New Roman"/>
                <w:b/>
                <w:sz w:val="18"/>
                <w:szCs w:val="18"/>
                <w:lang w:val="sq-AL"/>
              </w:rPr>
              <w:t>(2021)</w:t>
            </w:r>
          </w:p>
        </w:tc>
        <w:tc>
          <w:tcPr>
            <w:tcW w:w="1191" w:type="dxa"/>
            <w:shd w:val="clear" w:color="000000" w:fill="FFFFFF"/>
            <w:vAlign w:val="center"/>
            <w:hideMark/>
          </w:tcPr>
          <w:p w14:paraId="3349B571" w14:textId="77777777" w:rsidR="00857902" w:rsidRPr="00050FA4" w:rsidRDefault="00857902" w:rsidP="003947C3">
            <w:pPr>
              <w:pStyle w:val="AAAAAAATEXXXX"/>
              <w:ind w:firstLine="0"/>
              <w:jc w:val="center"/>
              <w:rPr>
                <w:rFonts w:eastAsia="Times New Roman"/>
                <w:b/>
                <w:sz w:val="18"/>
                <w:szCs w:val="18"/>
                <w:lang w:val="sq-AL"/>
              </w:rPr>
            </w:pPr>
            <w:r w:rsidRPr="00050FA4">
              <w:rPr>
                <w:rFonts w:eastAsia="Times New Roman"/>
                <w:b/>
                <w:sz w:val="18"/>
                <w:szCs w:val="18"/>
                <w:lang w:val="sq-AL"/>
              </w:rPr>
              <w:t>Objektivi (2022)</w:t>
            </w:r>
          </w:p>
        </w:tc>
      </w:tr>
      <w:tr w:rsidR="00FA29AB" w:rsidRPr="00050FA4" w14:paraId="470C9F87" w14:textId="77777777" w:rsidTr="00D449A8">
        <w:trPr>
          <w:trHeight w:val="564"/>
          <w:jc w:val="center"/>
        </w:trPr>
        <w:tc>
          <w:tcPr>
            <w:tcW w:w="4395" w:type="dxa"/>
            <w:shd w:val="clear" w:color="000000" w:fill="FFFFFF"/>
            <w:vAlign w:val="center"/>
            <w:hideMark/>
          </w:tcPr>
          <w:p w14:paraId="17C12914" w14:textId="77777777" w:rsidR="00857902" w:rsidRPr="00050FA4" w:rsidRDefault="00857902" w:rsidP="003947C3">
            <w:pPr>
              <w:pStyle w:val="AAAAAAATEXXXX"/>
              <w:ind w:firstLine="0"/>
              <w:rPr>
                <w:rFonts w:eastAsia="Times New Roman"/>
                <w:sz w:val="18"/>
                <w:szCs w:val="18"/>
                <w:lang w:val="sq-AL"/>
              </w:rPr>
            </w:pPr>
            <w:r w:rsidRPr="00050FA4">
              <w:rPr>
                <w:rFonts w:eastAsia="Times New Roman"/>
                <w:sz w:val="18"/>
                <w:szCs w:val="18"/>
                <w:lang w:val="sq-AL"/>
              </w:rPr>
              <w:t>Rritja e pjesëmarrjes në kurset e formimit profesional për punëkërkuesit e papunë</w:t>
            </w:r>
          </w:p>
        </w:tc>
        <w:tc>
          <w:tcPr>
            <w:tcW w:w="1190" w:type="dxa"/>
            <w:shd w:val="clear" w:color="000000" w:fill="FFFFFF"/>
            <w:vAlign w:val="center"/>
            <w:hideMark/>
          </w:tcPr>
          <w:p w14:paraId="68519258" w14:textId="577E495E" w:rsidR="00857902" w:rsidRPr="00050FA4" w:rsidRDefault="003947C3" w:rsidP="003947C3">
            <w:pPr>
              <w:pStyle w:val="AAAAAAATEXXXX"/>
              <w:ind w:firstLine="0"/>
              <w:jc w:val="right"/>
              <w:rPr>
                <w:rFonts w:eastAsia="Times New Roman"/>
                <w:bCs/>
                <w:sz w:val="18"/>
                <w:szCs w:val="18"/>
                <w:lang w:val="sq-AL"/>
              </w:rPr>
            </w:pPr>
            <w:r w:rsidRPr="00050FA4">
              <w:rPr>
                <w:rFonts w:eastAsia="Times New Roman"/>
                <w:bCs/>
                <w:sz w:val="18"/>
                <w:szCs w:val="18"/>
                <w:lang w:val="sq-AL"/>
              </w:rPr>
              <w:t xml:space="preserve">(8770/16574) </w:t>
            </w:r>
            <w:r w:rsidRPr="00050FA4">
              <w:rPr>
                <w:rFonts w:eastAsia="Times New Roman"/>
                <w:sz w:val="18"/>
                <w:szCs w:val="18"/>
                <w:lang w:val="sq-AL"/>
              </w:rPr>
              <w:t>53%</w:t>
            </w:r>
          </w:p>
        </w:tc>
        <w:tc>
          <w:tcPr>
            <w:tcW w:w="1191" w:type="dxa"/>
            <w:shd w:val="clear" w:color="000000" w:fill="FFFFFF"/>
            <w:vAlign w:val="center"/>
            <w:hideMark/>
          </w:tcPr>
          <w:p w14:paraId="1C682F02" w14:textId="1B863E6D" w:rsidR="00857902" w:rsidRPr="00050FA4" w:rsidRDefault="003947C3" w:rsidP="003947C3">
            <w:pPr>
              <w:pStyle w:val="AAAAAAATEXXXX"/>
              <w:ind w:firstLine="0"/>
              <w:jc w:val="right"/>
              <w:rPr>
                <w:rFonts w:eastAsia="Times New Roman"/>
                <w:bCs/>
                <w:sz w:val="18"/>
                <w:szCs w:val="18"/>
                <w:lang w:val="sq-AL"/>
              </w:rPr>
            </w:pPr>
            <w:r w:rsidRPr="00050FA4">
              <w:rPr>
                <w:rFonts w:eastAsia="Times New Roman"/>
                <w:bCs/>
                <w:sz w:val="18"/>
                <w:szCs w:val="18"/>
                <w:lang w:val="sq-AL"/>
              </w:rPr>
              <w:t>(8,818/15,143)</w:t>
            </w:r>
            <w:r w:rsidRPr="00050FA4">
              <w:rPr>
                <w:rFonts w:eastAsia="Times New Roman"/>
                <w:sz w:val="18"/>
                <w:szCs w:val="18"/>
                <w:lang w:val="sq-AL"/>
              </w:rPr>
              <w:t xml:space="preserve"> 58%</w:t>
            </w:r>
          </w:p>
        </w:tc>
        <w:tc>
          <w:tcPr>
            <w:tcW w:w="1190" w:type="dxa"/>
            <w:shd w:val="clear" w:color="000000" w:fill="FFFFFF"/>
            <w:vAlign w:val="center"/>
            <w:hideMark/>
          </w:tcPr>
          <w:p w14:paraId="63E02EED" w14:textId="3FFF4225" w:rsidR="00857902" w:rsidRPr="00050FA4" w:rsidRDefault="003947C3" w:rsidP="004727B7">
            <w:pPr>
              <w:pStyle w:val="AAAAAAATEXXXX"/>
              <w:ind w:firstLine="0"/>
              <w:jc w:val="right"/>
              <w:rPr>
                <w:rFonts w:eastAsia="Times New Roman"/>
                <w:bCs/>
                <w:sz w:val="18"/>
                <w:szCs w:val="18"/>
                <w:lang w:val="sq-AL"/>
              </w:rPr>
            </w:pPr>
            <w:r w:rsidRPr="00050FA4">
              <w:rPr>
                <w:rFonts w:eastAsia="Times New Roman"/>
                <w:bCs/>
                <w:sz w:val="18"/>
                <w:szCs w:val="18"/>
                <w:lang w:val="sq-AL"/>
              </w:rPr>
              <w:t>(4386/7427)</w:t>
            </w:r>
            <w:r w:rsidRPr="00050FA4">
              <w:rPr>
                <w:rFonts w:eastAsia="Times New Roman"/>
                <w:sz w:val="18"/>
                <w:szCs w:val="18"/>
                <w:lang w:val="sq-AL"/>
              </w:rPr>
              <w:t xml:space="preserve"> 59% (jan</w:t>
            </w:r>
            <w:r w:rsidR="004727B7" w:rsidRPr="00050FA4">
              <w:rPr>
                <w:rFonts w:eastAsia="Times New Roman"/>
                <w:sz w:val="18"/>
                <w:szCs w:val="18"/>
                <w:lang w:val="sq-AL"/>
              </w:rPr>
              <w:t>.– dhje.</w:t>
            </w:r>
            <w:r w:rsidRPr="00050FA4">
              <w:rPr>
                <w:rFonts w:eastAsia="Times New Roman"/>
                <w:sz w:val="18"/>
                <w:szCs w:val="18"/>
                <w:lang w:val="sq-AL"/>
              </w:rPr>
              <w:t xml:space="preserve"> 2020)</w:t>
            </w:r>
          </w:p>
        </w:tc>
        <w:tc>
          <w:tcPr>
            <w:tcW w:w="1191" w:type="dxa"/>
            <w:shd w:val="clear" w:color="000000" w:fill="FFFFFF"/>
            <w:vAlign w:val="center"/>
            <w:hideMark/>
          </w:tcPr>
          <w:p w14:paraId="2A7513B7" w14:textId="4B44813F"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(3984/6839)</w:t>
            </w:r>
          </w:p>
          <w:p w14:paraId="6882103F" w14:textId="2F3505D3"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58%</w:t>
            </w:r>
          </w:p>
          <w:p w14:paraId="60B626A3" w14:textId="0D9004B3" w:rsidR="00857902" w:rsidRPr="00050FA4" w:rsidRDefault="003947C3" w:rsidP="004727B7">
            <w:pPr>
              <w:pStyle w:val="AAAAAAATEXXXX"/>
              <w:ind w:firstLine="0"/>
              <w:jc w:val="right"/>
              <w:rPr>
                <w:rFonts w:eastAsia="Times New Roman"/>
                <w:sz w:val="18"/>
                <w:szCs w:val="18"/>
                <w:lang w:val="sq-AL"/>
              </w:rPr>
            </w:pPr>
            <w:r w:rsidRPr="00050FA4">
              <w:rPr>
                <w:rFonts w:eastAsia="Times New Roman"/>
                <w:sz w:val="18"/>
                <w:szCs w:val="18"/>
                <w:lang w:val="sq-AL"/>
              </w:rPr>
              <w:t>(jan</w:t>
            </w:r>
            <w:r w:rsidR="004727B7" w:rsidRPr="00050FA4">
              <w:rPr>
                <w:rFonts w:eastAsia="Times New Roman"/>
                <w:sz w:val="18"/>
                <w:szCs w:val="18"/>
                <w:lang w:val="sq-AL"/>
              </w:rPr>
              <w:t>.–</w:t>
            </w:r>
            <w:r w:rsidRPr="00050FA4">
              <w:rPr>
                <w:rFonts w:eastAsia="Times New Roman"/>
                <w:sz w:val="18"/>
                <w:szCs w:val="18"/>
                <w:lang w:val="sq-AL"/>
              </w:rPr>
              <w:t>gusht</w:t>
            </w:r>
            <w:r w:rsidR="004727B7" w:rsidRPr="00050FA4">
              <w:rPr>
                <w:rFonts w:eastAsia="Times New Roman"/>
                <w:sz w:val="18"/>
                <w:szCs w:val="18"/>
                <w:lang w:val="sq-AL"/>
              </w:rPr>
              <w:t>.</w:t>
            </w:r>
            <w:r w:rsidRPr="00050FA4">
              <w:rPr>
                <w:rFonts w:eastAsia="Times New Roman"/>
                <w:sz w:val="18"/>
                <w:szCs w:val="18"/>
                <w:lang w:val="sq-AL"/>
              </w:rPr>
              <w:t>)</w:t>
            </w:r>
          </w:p>
        </w:tc>
        <w:tc>
          <w:tcPr>
            <w:tcW w:w="1191" w:type="dxa"/>
            <w:shd w:val="clear" w:color="000000" w:fill="FFFFFF"/>
            <w:vAlign w:val="center"/>
            <w:hideMark/>
          </w:tcPr>
          <w:p w14:paraId="46F52EAE" w14:textId="6A958525"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70%</w:t>
            </w:r>
          </w:p>
        </w:tc>
      </w:tr>
      <w:tr w:rsidR="00FA29AB" w:rsidRPr="00050FA4" w14:paraId="67E9D116" w14:textId="77777777" w:rsidTr="00D449A8">
        <w:trPr>
          <w:trHeight w:val="554"/>
          <w:jc w:val="center"/>
        </w:trPr>
        <w:tc>
          <w:tcPr>
            <w:tcW w:w="4395" w:type="dxa"/>
            <w:shd w:val="clear" w:color="000000" w:fill="FFFFFF"/>
            <w:vAlign w:val="center"/>
            <w:hideMark/>
          </w:tcPr>
          <w:p w14:paraId="4A50E179" w14:textId="77777777" w:rsidR="00857902" w:rsidRPr="00050FA4" w:rsidRDefault="00857902" w:rsidP="003947C3">
            <w:pPr>
              <w:pStyle w:val="AAAAAAATEXXXX"/>
              <w:ind w:firstLine="0"/>
              <w:rPr>
                <w:rFonts w:eastAsia="Times New Roman"/>
                <w:sz w:val="18"/>
                <w:szCs w:val="18"/>
                <w:lang w:val="sq-AL"/>
              </w:rPr>
            </w:pPr>
            <w:r w:rsidRPr="00050FA4">
              <w:rPr>
                <w:rFonts w:eastAsia="Times New Roman"/>
                <w:sz w:val="18"/>
                <w:szCs w:val="18"/>
                <w:lang w:val="sq-AL"/>
              </w:rPr>
              <w:t>Rritja e punësimit të punëkërkuesve përmes shërbimeve të ndërmjetësimit për punë</w:t>
            </w:r>
          </w:p>
        </w:tc>
        <w:tc>
          <w:tcPr>
            <w:tcW w:w="1190" w:type="dxa"/>
            <w:shd w:val="clear" w:color="000000" w:fill="FFFFFF"/>
            <w:vAlign w:val="center"/>
            <w:hideMark/>
          </w:tcPr>
          <w:p w14:paraId="1BE6BA39" w14:textId="0465F473" w:rsidR="00857902" w:rsidRPr="00050FA4" w:rsidRDefault="003947C3" w:rsidP="003947C3">
            <w:pPr>
              <w:pStyle w:val="AAAAAAATEXXXX"/>
              <w:ind w:firstLine="0"/>
              <w:jc w:val="right"/>
              <w:rPr>
                <w:rFonts w:eastAsia="Times New Roman"/>
                <w:sz w:val="18"/>
                <w:szCs w:val="18"/>
                <w:lang w:val="sq-AL"/>
              </w:rPr>
            </w:pPr>
            <w:r w:rsidRPr="00050FA4">
              <w:rPr>
                <w:rFonts w:eastAsia="Times New Roman"/>
                <w:bCs/>
                <w:sz w:val="18"/>
                <w:szCs w:val="18"/>
                <w:lang w:val="sq-AL"/>
              </w:rPr>
              <w:t>(20,808)</w:t>
            </w:r>
            <w:r w:rsidRPr="00050FA4">
              <w:rPr>
                <w:rFonts w:eastAsia="Times New Roman"/>
                <w:sz w:val="18"/>
                <w:szCs w:val="18"/>
                <w:lang w:val="sq-AL"/>
              </w:rPr>
              <w:t xml:space="preserve"> 28%</w:t>
            </w:r>
          </w:p>
        </w:tc>
        <w:tc>
          <w:tcPr>
            <w:tcW w:w="1191" w:type="dxa"/>
            <w:shd w:val="clear" w:color="000000" w:fill="FFFFFF"/>
            <w:vAlign w:val="center"/>
            <w:hideMark/>
          </w:tcPr>
          <w:p w14:paraId="7D82D952" w14:textId="3012FCFF" w:rsidR="00857902" w:rsidRPr="00050FA4" w:rsidRDefault="003947C3" w:rsidP="003947C3">
            <w:pPr>
              <w:pStyle w:val="AAAAAAATEXXXX"/>
              <w:ind w:firstLine="0"/>
              <w:jc w:val="right"/>
              <w:rPr>
                <w:rFonts w:eastAsia="Times New Roman"/>
                <w:bCs/>
                <w:sz w:val="18"/>
                <w:szCs w:val="18"/>
                <w:lang w:val="sq-AL"/>
              </w:rPr>
            </w:pPr>
            <w:r w:rsidRPr="00050FA4">
              <w:rPr>
                <w:rFonts w:eastAsia="Times New Roman"/>
                <w:bCs/>
                <w:sz w:val="18"/>
                <w:szCs w:val="18"/>
                <w:lang w:val="sq-AL"/>
              </w:rPr>
              <w:t>(20,880)</w:t>
            </w:r>
            <w:r w:rsidRPr="00050FA4">
              <w:rPr>
                <w:rFonts w:eastAsia="Times New Roman"/>
                <w:sz w:val="18"/>
                <w:szCs w:val="18"/>
                <w:lang w:val="sq-AL"/>
              </w:rPr>
              <w:t xml:space="preserve"> 29.4%</w:t>
            </w:r>
          </w:p>
        </w:tc>
        <w:tc>
          <w:tcPr>
            <w:tcW w:w="1190" w:type="dxa"/>
            <w:shd w:val="clear" w:color="000000" w:fill="FFFFFF"/>
            <w:vAlign w:val="center"/>
            <w:hideMark/>
          </w:tcPr>
          <w:p w14:paraId="1FD81CF8" w14:textId="461FC474" w:rsidR="00857902" w:rsidRPr="00050FA4" w:rsidRDefault="003947C3" w:rsidP="004727B7">
            <w:pPr>
              <w:pStyle w:val="AAAAAAATEXXXX"/>
              <w:ind w:firstLine="0"/>
              <w:jc w:val="right"/>
              <w:rPr>
                <w:rFonts w:eastAsia="Times New Roman"/>
                <w:sz w:val="18"/>
                <w:szCs w:val="18"/>
                <w:lang w:val="sq-AL"/>
              </w:rPr>
            </w:pPr>
            <w:r w:rsidRPr="00050FA4">
              <w:rPr>
                <w:rFonts w:eastAsia="Times New Roman"/>
                <w:bCs/>
                <w:sz w:val="18"/>
                <w:szCs w:val="18"/>
                <w:lang w:val="sq-AL"/>
              </w:rPr>
              <w:t xml:space="preserve">(8,830) </w:t>
            </w:r>
            <w:r w:rsidRPr="00050FA4">
              <w:rPr>
                <w:rFonts w:eastAsia="Times New Roman"/>
                <w:sz w:val="18"/>
                <w:szCs w:val="18"/>
                <w:lang w:val="sq-AL"/>
              </w:rPr>
              <w:t>10.6% (jan</w:t>
            </w:r>
            <w:r w:rsidR="004727B7" w:rsidRPr="00050FA4">
              <w:rPr>
                <w:rFonts w:eastAsia="Times New Roman"/>
                <w:sz w:val="18"/>
                <w:szCs w:val="18"/>
                <w:lang w:val="sq-AL"/>
              </w:rPr>
              <w:t>.–</w:t>
            </w:r>
            <w:r w:rsidRPr="00050FA4">
              <w:rPr>
                <w:rFonts w:eastAsia="Times New Roman"/>
                <w:sz w:val="18"/>
                <w:szCs w:val="18"/>
                <w:lang w:val="sq-AL"/>
              </w:rPr>
              <w:t>dhje 2020)</w:t>
            </w:r>
          </w:p>
        </w:tc>
        <w:tc>
          <w:tcPr>
            <w:tcW w:w="1191" w:type="dxa"/>
            <w:shd w:val="clear" w:color="000000" w:fill="FFFFFF"/>
            <w:vAlign w:val="center"/>
            <w:hideMark/>
          </w:tcPr>
          <w:p w14:paraId="40DC2B70" w14:textId="6911000C" w:rsidR="00857902" w:rsidRPr="00050FA4" w:rsidRDefault="003947C3" w:rsidP="004727B7">
            <w:pPr>
              <w:pStyle w:val="AAAAAAATEXXXX"/>
              <w:ind w:firstLine="0"/>
              <w:jc w:val="right"/>
              <w:rPr>
                <w:rFonts w:eastAsia="Times New Roman"/>
                <w:sz w:val="18"/>
                <w:szCs w:val="18"/>
                <w:lang w:val="sq-AL"/>
              </w:rPr>
            </w:pPr>
            <w:r w:rsidRPr="00050FA4">
              <w:rPr>
                <w:rFonts w:eastAsia="Times New Roman"/>
                <w:sz w:val="18"/>
                <w:szCs w:val="18"/>
                <w:lang w:val="sq-AL"/>
              </w:rPr>
              <w:t>(5368) 5.6% (jan</w:t>
            </w:r>
            <w:r w:rsidR="004727B7" w:rsidRPr="00050FA4">
              <w:rPr>
                <w:rFonts w:eastAsia="Times New Roman"/>
                <w:sz w:val="18"/>
                <w:szCs w:val="18"/>
                <w:lang w:val="sq-AL"/>
              </w:rPr>
              <w:t>.–</w:t>
            </w:r>
            <w:r w:rsidRPr="00050FA4">
              <w:rPr>
                <w:rFonts w:eastAsia="Times New Roman"/>
                <w:sz w:val="18"/>
                <w:szCs w:val="18"/>
                <w:lang w:val="sq-AL"/>
              </w:rPr>
              <w:t>gusht</w:t>
            </w:r>
            <w:r w:rsidR="004727B7" w:rsidRPr="00050FA4">
              <w:rPr>
                <w:rFonts w:eastAsia="Times New Roman"/>
                <w:sz w:val="18"/>
                <w:szCs w:val="18"/>
                <w:lang w:val="sq-AL"/>
              </w:rPr>
              <w:t>.</w:t>
            </w:r>
            <w:r w:rsidRPr="00050FA4">
              <w:rPr>
                <w:rFonts w:eastAsia="Times New Roman"/>
                <w:sz w:val="18"/>
                <w:szCs w:val="18"/>
                <w:lang w:val="sq-AL"/>
              </w:rPr>
              <w:t>)</w:t>
            </w:r>
          </w:p>
        </w:tc>
        <w:tc>
          <w:tcPr>
            <w:tcW w:w="1191" w:type="dxa"/>
            <w:shd w:val="clear" w:color="000000" w:fill="FFFFFF"/>
            <w:vAlign w:val="center"/>
            <w:hideMark/>
          </w:tcPr>
          <w:p w14:paraId="597B3D41" w14:textId="27A07F05"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48%</w:t>
            </w:r>
          </w:p>
        </w:tc>
      </w:tr>
      <w:tr w:rsidR="00FA29AB" w:rsidRPr="00050FA4" w14:paraId="2493A33C" w14:textId="77777777" w:rsidTr="00D449A8">
        <w:trPr>
          <w:trHeight w:val="575"/>
          <w:jc w:val="center"/>
        </w:trPr>
        <w:tc>
          <w:tcPr>
            <w:tcW w:w="4395" w:type="dxa"/>
            <w:shd w:val="clear" w:color="000000" w:fill="FFFFFF"/>
            <w:vAlign w:val="center"/>
            <w:hideMark/>
          </w:tcPr>
          <w:p w14:paraId="1007171B" w14:textId="77777777" w:rsidR="00857902" w:rsidRPr="00050FA4" w:rsidRDefault="00857902" w:rsidP="003947C3">
            <w:pPr>
              <w:pStyle w:val="AAAAAAATEXXXX"/>
              <w:ind w:firstLine="0"/>
              <w:rPr>
                <w:rFonts w:eastAsia="Times New Roman"/>
                <w:sz w:val="18"/>
                <w:szCs w:val="18"/>
                <w:lang w:val="sq-AL"/>
              </w:rPr>
            </w:pPr>
            <w:r w:rsidRPr="00050FA4">
              <w:rPr>
                <w:rFonts w:eastAsia="Times New Roman"/>
                <w:sz w:val="18"/>
                <w:szCs w:val="18"/>
                <w:lang w:val="sq-AL"/>
              </w:rPr>
              <w:t>Rritja e pjesëmarrjes së punëkërkuesve të papunë në programet e nxitjes së punësimit</w:t>
            </w:r>
          </w:p>
        </w:tc>
        <w:tc>
          <w:tcPr>
            <w:tcW w:w="1190" w:type="dxa"/>
            <w:shd w:val="clear" w:color="000000" w:fill="FFFFFF"/>
            <w:vAlign w:val="center"/>
            <w:hideMark/>
          </w:tcPr>
          <w:p w14:paraId="7B0E1FAD" w14:textId="1BA698F7" w:rsidR="00857902" w:rsidRPr="00050FA4" w:rsidRDefault="003947C3" w:rsidP="003947C3">
            <w:pPr>
              <w:pStyle w:val="AAAAAAATEXXXX"/>
              <w:ind w:firstLine="0"/>
              <w:jc w:val="right"/>
              <w:rPr>
                <w:rFonts w:eastAsia="Times New Roman"/>
                <w:sz w:val="18"/>
                <w:szCs w:val="18"/>
                <w:lang w:val="sq-AL"/>
              </w:rPr>
            </w:pPr>
            <w:r w:rsidRPr="00050FA4">
              <w:rPr>
                <w:rFonts w:eastAsia="Times New Roman"/>
                <w:bCs/>
                <w:sz w:val="18"/>
                <w:szCs w:val="18"/>
                <w:lang w:val="sq-AL"/>
              </w:rPr>
              <w:t>(4,808)</w:t>
            </w:r>
            <w:r w:rsidRPr="00050FA4">
              <w:rPr>
                <w:rFonts w:eastAsia="Times New Roman"/>
                <w:sz w:val="18"/>
                <w:szCs w:val="18"/>
                <w:lang w:val="sq-AL"/>
              </w:rPr>
              <w:t xml:space="preserve"> 6,4%</w:t>
            </w:r>
          </w:p>
        </w:tc>
        <w:tc>
          <w:tcPr>
            <w:tcW w:w="1191" w:type="dxa"/>
            <w:shd w:val="clear" w:color="000000" w:fill="FFFFFF"/>
            <w:vAlign w:val="center"/>
            <w:hideMark/>
          </w:tcPr>
          <w:p w14:paraId="67E22AE1" w14:textId="09D39A55" w:rsidR="00857902" w:rsidRPr="00050FA4" w:rsidRDefault="003947C3" w:rsidP="003947C3">
            <w:pPr>
              <w:pStyle w:val="AAAAAAATEXXXX"/>
              <w:ind w:firstLine="0"/>
              <w:jc w:val="right"/>
              <w:rPr>
                <w:rFonts w:eastAsia="Times New Roman"/>
                <w:bCs/>
                <w:sz w:val="18"/>
                <w:szCs w:val="18"/>
                <w:lang w:val="sq-AL"/>
              </w:rPr>
            </w:pPr>
            <w:r w:rsidRPr="00050FA4">
              <w:rPr>
                <w:rFonts w:eastAsia="Times New Roman"/>
                <w:bCs/>
                <w:sz w:val="18"/>
                <w:szCs w:val="18"/>
                <w:lang w:val="sq-AL"/>
              </w:rPr>
              <w:t>(5,338)</w:t>
            </w:r>
            <w:r w:rsidRPr="00050FA4">
              <w:rPr>
                <w:rFonts w:eastAsia="Times New Roman"/>
                <w:sz w:val="18"/>
                <w:szCs w:val="18"/>
                <w:lang w:val="sq-AL"/>
              </w:rPr>
              <w:t xml:space="preserve"> 7.5%</w:t>
            </w:r>
          </w:p>
        </w:tc>
        <w:tc>
          <w:tcPr>
            <w:tcW w:w="1190" w:type="dxa"/>
            <w:shd w:val="clear" w:color="000000" w:fill="FFFFFF"/>
            <w:vAlign w:val="center"/>
            <w:hideMark/>
          </w:tcPr>
          <w:p w14:paraId="6A93DD77" w14:textId="4BC07E24" w:rsidR="00857902" w:rsidRPr="00050FA4" w:rsidRDefault="003947C3" w:rsidP="004727B7">
            <w:pPr>
              <w:pStyle w:val="AAAAAAATEXXXX"/>
              <w:ind w:firstLine="0"/>
              <w:jc w:val="right"/>
              <w:rPr>
                <w:rFonts w:eastAsia="Times New Roman"/>
                <w:sz w:val="18"/>
                <w:szCs w:val="18"/>
                <w:lang w:val="sq-AL"/>
              </w:rPr>
            </w:pPr>
            <w:r w:rsidRPr="00050FA4">
              <w:rPr>
                <w:rFonts w:eastAsia="Times New Roman"/>
                <w:bCs/>
                <w:sz w:val="18"/>
                <w:szCs w:val="18"/>
                <w:lang w:val="sq-AL"/>
              </w:rPr>
              <w:t xml:space="preserve">(4,141) </w:t>
            </w:r>
            <w:r w:rsidRPr="00050FA4">
              <w:rPr>
                <w:rFonts w:eastAsia="Times New Roman"/>
                <w:sz w:val="18"/>
                <w:szCs w:val="18"/>
                <w:lang w:val="sq-AL"/>
              </w:rPr>
              <w:t>5% (jan</w:t>
            </w:r>
            <w:r w:rsidR="004727B7" w:rsidRPr="00050FA4">
              <w:rPr>
                <w:rFonts w:eastAsia="Times New Roman"/>
                <w:sz w:val="18"/>
                <w:szCs w:val="18"/>
                <w:lang w:val="sq-AL"/>
              </w:rPr>
              <w:t>.–</w:t>
            </w:r>
            <w:r w:rsidRPr="00050FA4">
              <w:rPr>
                <w:rFonts w:eastAsia="Times New Roman"/>
                <w:sz w:val="18"/>
                <w:szCs w:val="18"/>
                <w:lang w:val="sq-AL"/>
              </w:rPr>
              <w:t>dhje</w:t>
            </w:r>
            <w:r w:rsidR="004727B7" w:rsidRPr="00050FA4">
              <w:rPr>
                <w:rFonts w:eastAsia="Times New Roman"/>
                <w:sz w:val="18"/>
                <w:szCs w:val="18"/>
                <w:lang w:val="sq-AL"/>
              </w:rPr>
              <w:t>.</w:t>
            </w:r>
            <w:r w:rsidRPr="00050FA4">
              <w:rPr>
                <w:rFonts w:eastAsia="Times New Roman"/>
                <w:sz w:val="18"/>
                <w:szCs w:val="18"/>
                <w:lang w:val="sq-AL"/>
              </w:rPr>
              <w:t xml:space="preserve"> 2020)</w:t>
            </w:r>
          </w:p>
        </w:tc>
        <w:tc>
          <w:tcPr>
            <w:tcW w:w="1191" w:type="dxa"/>
            <w:shd w:val="clear" w:color="000000" w:fill="FFFFFF"/>
            <w:vAlign w:val="center"/>
            <w:hideMark/>
          </w:tcPr>
          <w:p w14:paraId="45A4155E" w14:textId="4EDA48A9"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(3236) 3.3%</w:t>
            </w:r>
          </w:p>
          <w:p w14:paraId="42D489A5" w14:textId="28B41512" w:rsidR="00857902" w:rsidRPr="00050FA4" w:rsidRDefault="003947C3" w:rsidP="004727B7">
            <w:pPr>
              <w:pStyle w:val="AAAAAAATEXXXX"/>
              <w:ind w:firstLine="0"/>
              <w:jc w:val="right"/>
              <w:rPr>
                <w:rFonts w:eastAsia="Times New Roman"/>
                <w:sz w:val="18"/>
                <w:szCs w:val="18"/>
                <w:lang w:val="sq-AL"/>
              </w:rPr>
            </w:pPr>
            <w:r w:rsidRPr="00050FA4">
              <w:rPr>
                <w:rFonts w:eastAsia="Times New Roman"/>
                <w:sz w:val="18"/>
                <w:szCs w:val="18"/>
                <w:lang w:val="sq-AL"/>
              </w:rPr>
              <w:t>(jan</w:t>
            </w:r>
            <w:r w:rsidR="004727B7" w:rsidRPr="00050FA4">
              <w:rPr>
                <w:rFonts w:eastAsia="Times New Roman"/>
                <w:sz w:val="18"/>
                <w:szCs w:val="18"/>
                <w:lang w:val="sq-AL"/>
              </w:rPr>
              <w:t xml:space="preserve">.– </w:t>
            </w:r>
            <w:r w:rsidRPr="00050FA4">
              <w:rPr>
                <w:rFonts w:eastAsia="Times New Roman"/>
                <w:sz w:val="18"/>
                <w:szCs w:val="18"/>
                <w:lang w:val="sq-AL"/>
              </w:rPr>
              <w:t>qer</w:t>
            </w:r>
            <w:r w:rsidR="004727B7" w:rsidRPr="00050FA4">
              <w:rPr>
                <w:rFonts w:eastAsia="Times New Roman"/>
                <w:sz w:val="18"/>
                <w:szCs w:val="18"/>
                <w:lang w:val="sq-AL"/>
              </w:rPr>
              <w:t>.</w:t>
            </w:r>
            <w:r w:rsidRPr="00050FA4">
              <w:rPr>
                <w:rFonts w:eastAsia="Times New Roman"/>
                <w:sz w:val="18"/>
                <w:szCs w:val="18"/>
                <w:lang w:val="sq-AL"/>
              </w:rPr>
              <w:t xml:space="preserve">) </w:t>
            </w:r>
          </w:p>
        </w:tc>
        <w:tc>
          <w:tcPr>
            <w:tcW w:w="1191" w:type="dxa"/>
            <w:shd w:val="clear" w:color="000000" w:fill="FFFFFF"/>
            <w:vAlign w:val="center"/>
            <w:hideMark/>
          </w:tcPr>
          <w:p w14:paraId="6EB15841" w14:textId="13F9F732"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7.30%</w:t>
            </w:r>
          </w:p>
        </w:tc>
      </w:tr>
      <w:tr w:rsidR="00FA29AB" w:rsidRPr="00050FA4" w14:paraId="52FFCE35" w14:textId="77777777" w:rsidTr="00D449A8">
        <w:trPr>
          <w:trHeight w:val="564"/>
          <w:jc w:val="center"/>
        </w:trPr>
        <w:tc>
          <w:tcPr>
            <w:tcW w:w="4395" w:type="dxa"/>
            <w:shd w:val="clear" w:color="000000" w:fill="FFFFFF"/>
            <w:vAlign w:val="center"/>
            <w:hideMark/>
          </w:tcPr>
          <w:p w14:paraId="4EEA04BF" w14:textId="77777777" w:rsidR="00857902" w:rsidRPr="00050FA4" w:rsidRDefault="00857902" w:rsidP="003947C3">
            <w:pPr>
              <w:pStyle w:val="AAAAAAATEXXXX"/>
              <w:ind w:firstLine="0"/>
              <w:rPr>
                <w:rFonts w:eastAsia="Times New Roman"/>
                <w:sz w:val="18"/>
                <w:szCs w:val="18"/>
                <w:lang w:val="sq-AL"/>
              </w:rPr>
            </w:pPr>
            <w:r w:rsidRPr="00050FA4">
              <w:rPr>
                <w:rFonts w:eastAsia="Times New Roman"/>
                <w:sz w:val="18"/>
                <w:szCs w:val="18"/>
                <w:lang w:val="sq-AL"/>
              </w:rPr>
              <w:t xml:space="preserve">Numri mesatar i punëkërkuesve të papunë të regjistruar </w:t>
            </w:r>
            <w:r w:rsidRPr="00050FA4">
              <w:rPr>
                <w:rFonts w:eastAsia="Times New Roman"/>
                <w:i/>
                <w:sz w:val="18"/>
                <w:szCs w:val="18"/>
                <w:lang w:val="sq-AL"/>
              </w:rPr>
              <w:t>(Stock)</w:t>
            </w:r>
          </w:p>
        </w:tc>
        <w:tc>
          <w:tcPr>
            <w:tcW w:w="1190" w:type="dxa"/>
            <w:shd w:val="clear" w:color="000000" w:fill="FFFFFF"/>
            <w:vAlign w:val="center"/>
            <w:hideMark/>
          </w:tcPr>
          <w:p w14:paraId="02C4E5F6" w14:textId="7450C1E5" w:rsidR="00857902" w:rsidRPr="00050FA4" w:rsidRDefault="003947C3" w:rsidP="003947C3">
            <w:pPr>
              <w:pStyle w:val="AAAAAAATEXXXX"/>
              <w:ind w:firstLine="0"/>
              <w:jc w:val="right"/>
              <w:rPr>
                <w:rFonts w:eastAsia="Times New Roman"/>
                <w:bCs/>
                <w:sz w:val="18"/>
                <w:szCs w:val="18"/>
                <w:lang w:val="sq-AL"/>
              </w:rPr>
            </w:pPr>
            <w:r w:rsidRPr="00050FA4">
              <w:rPr>
                <w:rFonts w:eastAsia="Times New Roman"/>
                <w:bCs/>
                <w:sz w:val="18"/>
                <w:szCs w:val="18"/>
                <w:lang w:val="sq-AL"/>
              </w:rPr>
              <w:t>74,686</w:t>
            </w:r>
          </w:p>
        </w:tc>
        <w:tc>
          <w:tcPr>
            <w:tcW w:w="1191" w:type="dxa"/>
            <w:shd w:val="clear" w:color="000000" w:fill="FFFFFF"/>
            <w:vAlign w:val="center"/>
            <w:hideMark/>
          </w:tcPr>
          <w:p w14:paraId="56B6C849" w14:textId="6F7F49BC" w:rsidR="00857902" w:rsidRPr="00050FA4" w:rsidRDefault="003947C3" w:rsidP="003947C3">
            <w:pPr>
              <w:pStyle w:val="AAAAAAATEXXXX"/>
              <w:ind w:firstLine="0"/>
              <w:jc w:val="right"/>
              <w:rPr>
                <w:rFonts w:eastAsia="Times New Roman"/>
                <w:bCs/>
                <w:sz w:val="18"/>
                <w:szCs w:val="18"/>
                <w:lang w:val="sq-AL"/>
              </w:rPr>
            </w:pPr>
            <w:r w:rsidRPr="00050FA4">
              <w:rPr>
                <w:rFonts w:eastAsia="Times New Roman"/>
                <w:bCs/>
                <w:sz w:val="18"/>
                <w:szCs w:val="18"/>
                <w:lang w:val="sq-AL"/>
              </w:rPr>
              <w:t>70,930</w:t>
            </w:r>
          </w:p>
        </w:tc>
        <w:tc>
          <w:tcPr>
            <w:tcW w:w="1190" w:type="dxa"/>
            <w:shd w:val="clear" w:color="000000" w:fill="FFFFFF"/>
            <w:vAlign w:val="center"/>
            <w:hideMark/>
          </w:tcPr>
          <w:p w14:paraId="3D2E8205" w14:textId="17738771" w:rsidR="00857902" w:rsidRPr="00050FA4" w:rsidRDefault="003947C3" w:rsidP="004727B7">
            <w:pPr>
              <w:pStyle w:val="AAAAAAATEXXXX"/>
              <w:ind w:firstLine="0"/>
              <w:jc w:val="right"/>
              <w:rPr>
                <w:rFonts w:eastAsia="Times New Roman"/>
                <w:bCs/>
                <w:sz w:val="18"/>
                <w:szCs w:val="18"/>
                <w:lang w:val="sq-AL"/>
              </w:rPr>
            </w:pPr>
            <w:r w:rsidRPr="00050FA4">
              <w:rPr>
                <w:rFonts w:eastAsia="Times New Roman"/>
                <w:bCs/>
                <w:sz w:val="18"/>
                <w:szCs w:val="18"/>
                <w:lang w:val="sq-AL"/>
              </w:rPr>
              <w:t xml:space="preserve">82,921 </w:t>
            </w:r>
            <w:r w:rsidRPr="00050FA4">
              <w:rPr>
                <w:rFonts w:eastAsia="Times New Roman"/>
                <w:sz w:val="18"/>
                <w:szCs w:val="18"/>
                <w:lang w:val="sq-AL"/>
              </w:rPr>
              <w:t>(jan</w:t>
            </w:r>
            <w:r w:rsidR="004727B7" w:rsidRPr="00050FA4">
              <w:rPr>
                <w:rFonts w:eastAsia="Times New Roman"/>
                <w:sz w:val="18"/>
                <w:szCs w:val="18"/>
                <w:lang w:val="sq-AL"/>
              </w:rPr>
              <w:t>.–</w:t>
            </w:r>
            <w:r w:rsidRPr="00050FA4">
              <w:rPr>
                <w:rFonts w:eastAsia="Times New Roman"/>
                <w:sz w:val="18"/>
                <w:szCs w:val="18"/>
                <w:lang w:val="sq-AL"/>
              </w:rPr>
              <w:t xml:space="preserve"> dhje</w:t>
            </w:r>
            <w:r w:rsidR="004727B7" w:rsidRPr="00050FA4">
              <w:rPr>
                <w:rFonts w:eastAsia="Times New Roman"/>
                <w:sz w:val="18"/>
                <w:szCs w:val="18"/>
                <w:lang w:val="sq-AL"/>
              </w:rPr>
              <w:t>.</w:t>
            </w:r>
            <w:r w:rsidRPr="00050FA4">
              <w:rPr>
                <w:rFonts w:eastAsia="Times New Roman"/>
                <w:sz w:val="18"/>
                <w:szCs w:val="18"/>
                <w:lang w:val="sq-AL"/>
              </w:rPr>
              <w:t xml:space="preserve"> 2020)</w:t>
            </w:r>
          </w:p>
        </w:tc>
        <w:tc>
          <w:tcPr>
            <w:tcW w:w="1191" w:type="dxa"/>
            <w:shd w:val="clear" w:color="000000" w:fill="FFFFFF"/>
            <w:vAlign w:val="center"/>
            <w:hideMark/>
          </w:tcPr>
          <w:p w14:paraId="3C3EE111" w14:textId="51AA854C" w:rsidR="00857902" w:rsidRPr="00050FA4" w:rsidRDefault="003947C3" w:rsidP="003947C3">
            <w:pPr>
              <w:pStyle w:val="AAAAAAATEXXXX"/>
              <w:ind w:firstLine="0"/>
              <w:jc w:val="right"/>
              <w:rPr>
                <w:rFonts w:eastAsia="Times New Roman"/>
                <w:sz w:val="18"/>
                <w:szCs w:val="18"/>
                <w:lang w:val="sq-AL"/>
              </w:rPr>
            </w:pPr>
            <w:r w:rsidRPr="00050FA4">
              <w:rPr>
                <w:rFonts w:eastAsia="Times New Roman"/>
                <w:sz w:val="18"/>
                <w:szCs w:val="18"/>
                <w:lang w:val="sq-AL"/>
              </w:rPr>
              <w:t>(95,806) jan</w:t>
            </w:r>
            <w:r w:rsidR="004727B7" w:rsidRPr="00050FA4">
              <w:rPr>
                <w:rFonts w:eastAsia="Times New Roman"/>
                <w:sz w:val="18"/>
                <w:szCs w:val="18"/>
                <w:lang w:val="sq-AL"/>
              </w:rPr>
              <w:t>.–</w:t>
            </w:r>
            <w:r w:rsidRPr="00050FA4">
              <w:rPr>
                <w:rFonts w:eastAsia="Times New Roman"/>
                <w:sz w:val="18"/>
                <w:szCs w:val="18"/>
                <w:lang w:val="sq-AL"/>
              </w:rPr>
              <w:t xml:space="preserve"> pri</w:t>
            </w:r>
            <w:r w:rsidR="004727B7" w:rsidRPr="00050FA4">
              <w:rPr>
                <w:rFonts w:eastAsia="Times New Roman"/>
                <w:sz w:val="18"/>
                <w:szCs w:val="18"/>
                <w:lang w:val="sq-AL"/>
              </w:rPr>
              <w:t>.</w:t>
            </w:r>
            <w:r w:rsidRPr="00050FA4">
              <w:rPr>
                <w:rFonts w:eastAsia="Times New Roman"/>
                <w:sz w:val="18"/>
                <w:szCs w:val="18"/>
                <w:lang w:val="sq-AL"/>
              </w:rPr>
              <w:t>)</w:t>
            </w:r>
          </w:p>
        </w:tc>
        <w:tc>
          <w:tcPr>
            <w:tcW w:w="1191" w:type="dxa"/>
            <w:shd w:val="clear" w:color="000000" w:fill="FFFFFF"/>
            <w:vAlign w:val="center"/>
            <w:hideMark/>
          </w:tcPr>
          <w:p w14:paraId="534D2E8E" w14:textId="77777777" w:rsidR="00857902" w:rsidRPr="00050FA4" w:rsidRDefault="00857902" w:rsidP="003947C3">
            <w:pPr>
              <w:pStyle w:val="AAAAAAATEXXXX"/>
              <w:ind w:firstLine="0"/>
              <w:jc w:val="right"/>
              <w:rPr>
                <w:rFonts w:eastAsia="Times New Roman"/>
                <w:sz w:val="18"/>
                <w:szCs w:val="18"/>
                <w:lang w:val="sq-AL"/>
              </w:rPr>
            </w:pPr>
          </w:p>
        </w:tc>
      </w:tr>
    </w:tbl>
    <w:p w14:paraId="1AEC3018" w14:textId="77777777" w:rsidR="008625E0" w:rsidRPr="00050FA4" w:rsidRDefault="008625E0" w:rsidP="003F1DA7">
      <w:pPr>
        <w:pStyle w:val="AAAAAAATEXXXX"/>
        <w:rPr>
          <w:lang w:val="sq-AL"/>
        </w:rPr>
      </w:pPr>
    </w:p>
    <w:p w14:paraId="10D72FDD" w14:textId="766511CB" w:rsidR="00DB22AB" w:rsidRPr="00050FA4" w:rsidRDefault="002C3394" w:rsidP="003F1DA7">
      <w:pPr>
        <w:pStyle w:val="AAAAAAATEXXXX"/>
        <w:rPr>
          <w:lang w:val="sq-AL"/>
        </w:rPr>
      </w:pPr>
      <w:r w:rsidRPr="00050FA4">
        <w:rPr>
          <w:lang w:val="sq-AL"/>
        </w:rPr>
        <w:t xml:space="preserve">3. </w:t>
      </w:r>
      <w:r w:rsidR="00B2062A" w:rsidRPr="00050FA4">
        <w:rPr>
          <w:lang w:val="sq-AL"/>
        </w:rPr>
        <w:t>Ndikimi i pritshëm në konkurrueshmëri</w:t>
      </w:r>
    </w:p>
    <w:p w14:paraId="0C1AC283" w14:textId="78C6035E" w:rsidR="00700A3C" w:rsidRPr="00050FA4" w:rsidRDefault="007F2542" w:rsidP="003F1DA7">
      <w:pPr>
        <w:pStyle w:val="AAAAAAATEXXXX"/>
        <w:rPr>
          <w:lang w:val="sq-AL"/>
        </w:rPr>
      </w:pPr>
      <w:r w:rsidRPr="00050FA4">
        <w:rPr>
          <w:lang w:val="sq-AL"/>
        </w:rPr>
        <w:t xml:space="preserve">Masa e reformës synon të përmirësojë punësueshmërinë, aftësitë dhe kualifikimet e punëkërkuesve të papunë; pra rritjen e cilësisë së fuqisë punëtore. Në periudhën afatmesme dhe afatgjatë, masa pritet të ndihmojë në tërheqjen e investimeve të huaja direkte pasi fuqia punëtore e kualifikuar i përket faktorit më </w:t>
      </w:r>
      <w:r w:rsidRPr="00050FA4">
        <w:rPr>
          <w:lang w:val="sq-AL"/>
        </w:rPr>
        <w:lastRenderedPageBreak/>
        <w:t>të rëndësishëm të vendndodhjes</w:t>
      </w:r>
      <w:r w:rsidR="00700A3C" w:rsidRPr="00050FA4">
        <w:rPr>
          <w:lang w:val="sq-AL"/>
        </w:rPr>
        <w:t>.</w:t>
      </w:r>
    </w:p>
    <w:p w14:paraId="397203ED" w14:textId="54EAA130" w:rsidR="00DB22AB" w:rsidRPr="00050FA4" w:rsidRDefault="002C3394" w:rsidP="003F1DA7">
      <w:pPr>
        <w:pStyle w:val="AAAAAAATEXXXX"/>
        <w:rPr>
          <w:lang w:val="sq-AL"/>
        </w:rPr>
      </w:pPr>
      <w:r w:rsidRPr="00050FA4">
        <w:rPr>
          <w:lang w:val="sq-AL"/>
        </w:rPr>
        <w:t xml:space="preserve">4. </w:t>
      </w:r>
      <w:r w:rsidR="00B2062A" w:rsidRPr="00050FA4">
        <w:rPr>
          <w:lang w:val="sq-AL"/>
        </w:rPr>
        <w:t>Kosto</w:t>
      </w:r>
      <w:r w:rsidR="003947C3" w:rsidRPr="00050FA4">
        <w:rPr>
          <w:lang w:val="sq-AL"/>
        </w:rPr>
        <w:t>ja</w:t>
      </w:r>
      <w:r w:rsidR="00B2062A" w:rsidRPr="00050FA4">
        <w:rPr>
          <w:lang w:val="sq-AL"/>
        </w:rPr>
        <w:t xml:space="preserve"> e parashikuar e aktiviteteve dhe burimi i financimit</w:t>
      </w:r>
    </w:p>
    <w:tbl>
      <w:tblPr>
        <w:tblStyle w:val="TableGrid2"/>
        <w:tblW w:w="0" w:type="auto"/>
        <w:jc w:val="center"/>
        <w:tblLayout w:type="fixed"/>
        <w:tblLook w:val="04A0" w:firstRow="1" w:lastRow="0" w:firstColumn="1" w:lastColumn="0" w:noHBand="0" w:noVBand="1"/>
      </w:tblPr>
      <w:tblGrid>
        <w:gridCol w:w="3381"/>
        <w:gridCol w:w="1413"/>
        <w:gridCol w:w="1414"/>
        <w:gridCol w:w="1414"/>
        <w:gridCol w:w="1414"/>
        <w:gridCol w:w="1414"/>
      </w:tblGrid>
      <w:tr w:rsidR="00FA29AB" w:rsidRPr="00050FA4" w14:paraId="1635F6FC" w14:textId="77777777" w:rsidTr="00D449A8">
        <w:trPr>
          <w:trHeight w:val="20"/>
          <w:jc w:val="center"/>
        </w:trPr>
        <w:tc>
          <w:tcPr>
            <w:tcW w:w="3381" w:type="dxa"/>
            <w:vMerge w:val="restart"/>
            <w:hideMark/>
          </w:tcPr>
          <w:p w14:paraId="37311CF0" w14:textId="77777777" w:rsidR="007F2542" w:rsidRPr="00050FA4" w:rsidRDefault="007F2542" w:rsidP="003947C3">
            <w:pPr>
              <w:snapToGrid w:val="0"/>
              <w:jc w:val="center"/>
              <w:rPr>
                <w:rFonts w:ascii="Garamond" w:eastAsia="Times New Roman" w:hAnsi="Garamond" w:cstheme="majorBidi"/>
                <w:b/>
                <w:color w:val="0D0D0D" w:themeColor="text1" w:themeTint="F2"/>
                <w:sz w:val="18"/>
                <w:szCs w:val="18"/>
              </w:rPr>
            </w:pPr>
          </w:p>
          <w:p w14:paraId="722FEABE" w14:textId="77777777" w:rsidR="007F2542" w:rsidRPr="00050FA4" w:rsidRDefault="007F2542" w:rsidP="003947C3">
            <w:pPr>
              <w:snapToGrid w:val="0"/>
              <w:rPr>
                <w:rFonts w:ascii="Garamond" w:eastAsia="Times New Roman" w:hAnsi="Garamond" w:cstheme="majorBidi"/>
                <w:b/>
                <w:color w:val="0D0D0D" w:themeColor="text1" w:themeTint="F2"/>
                <w:sz w:val="18"/>
                <w:szCs w:val="18"/>
              </w:rPr>
            </w:pPr>
          </w:p>
        </w:tc>
        <w:tc>
          <w:tcPr>
            <w:tcW w:w="1413" w:type="dxa"/>
            <w:vAlign w:val="center"/>
            <w:hideMark/>
          </w:tcPr>
          <w:p w14:paraId="334D66C5" w14:textId="77777777" w:rsidR="007F2542" w:rsidRPr="00050FA4" w:rsidRDefault="007F2542" w:rsidP="003947C3">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2020</w:t>
            </w:r>
          </w:p>
        </w:tc>
        <w:tc>
          <w:tcPr>
            <w:tcW w:w="1414" w:type="dxa"/>
            <w:vAlign w:val="center"/>
            <w:hideMark/>
          </w:tcPr>
          <w:p w14:paraId="3B6C7533" w14:textId="77777777" w:rsidR="007F2542" w:rsidRPr="00050FA4" w:rsidRDefault="007F2542" w:rsidP="003947C3">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2021</w:t>
            </w:r>
          </w:p>
        </w:tc>
        <w:tc>
          <w:tcPr>
            <w:tcW w:w="1414" w:type="dxa"/>
            <w:vAlign w:val="center"/>
            <w:hideMark/>
          </w:tcPr>
          <w:p w14:paraId="4AD8F301" w14:textId="77777777" w:rsidR="007F2542" w:rsidRPr="00050FA4" w:rsidRDefault="007F2542" w:rsidP="003947C3">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2022</w:t>
            </w:r>
          </w:p>
        </w:tc>
        <w:tc>
          <w:tcPr>
            <w:tcW w:w="1414" w:type="dxa"/>
            <w:vAlign w:val="center"/>
          </w:tcPr>
          <w:p w14:paraId="7FEF4028" w14:textId="77777777" w:rsidR="007F2542" w:rsidRPr="00050FA4" w:rsidRDefault="007F2542" w:rsidP="003947C3">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2023</w:t>
            </w:r>
          </w:p>
        </w:tc>
        <w:tc>
          <w:tcPr>
            <w:tcW w:w="1414" w:type="dxa"/>
            <w:vAlign w:val="center"/>
          </w:tcPr>
          <w:p w14:paraId="187D33B9" w14:textId="77777777" w:rsidR="007F2542" w:rsidRPr="00050FA4" w:rsidRDefault="007F2542" w:rsidP="003947C3">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2024</w:t>
            </w:r>
          </w:p>
        </w:tc>
      </w:tr>
      <w:tr w:rsidR="00FA29AB" w:rsidRPr="00050FA4" w14:paraId="17C1E461" w14:textId="77777777" w:rsidTr="00D449A8">
        <w:trPr>
          <w:trHeight w:val="20"/>
          <w:jc w:val="center"/>
        </w:trPr>
        <w:tc>
          <w:tcPr>
            <w:tcW w:w="3381" w:type="dxa"/>
            <w:vMerge/>
            <w:hideMark/>
          </w:tcPr>
          <w:p w14:paraId="2F50CC8F" w14:textId="77777777" w:rsidR="007F2542" w:rsidRPr="00050FA4" w:rsidRDefault="007F2542" w:rsidP="003947C3">
            <w:pPr>
              <w:snapToGrid w:val="0"/>
              <w:rPr>
                <w:rFonts w:ascii="Garamond" w:hAnsi="Garamond" w:cstheme="majorBidi"/>
                <w:b/>
                <w:color w:val="0D0D0D" w:themeColor="text1" w:themeTint="F2"/>
                <w:sz w:val="18"/>
                <w:szCs w:val="18"/>
              </w:rPr>
            </w:pPr>
          </w:p>
        </w:tc>
        <w:tc>
          <w:tcPr>
            <w:tcW w:w="1413" w:type="dxa"/>
            <w:vAlign w:val="center"/>
            <w:hideMark/>
          </w:tcPr>
          <w:p w14:paraId="49C44777" w14:textId="77777777" w:rsidR="007F2542" w:rsidRPr="00050FA4" w:rsidRDefault="007F2542" w:rsidP="003947C3">
            <w:pPr>
              <w:snapToGrid w:val="0"/>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Parashikimi në EUR</w:t>
            </w:r>
          </w:p>
        </w:tc>
        <w:tc>
          <w:tcPr>
            <w:tcW w:w="1414" w:type="dxa"/>
            <w:vAlign w:val="center"/>
            <w:hideMark/>
          </w:tcPr>
          <w:p w14:paraId="09F67EF2" w14:textId="77777777" w:rsidR="007F2542" w:rsidRPr="00050FA4" w:rsidRDefault="007F2542" w:rsidP="003947C3">
            <w:pPr>
              <w:snapToGrid w:val="0"/>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Parashikimi në EUR</w:t>
            </w:r>
          </w:p>
        </w:tc>
        <w:tc>
          <w:tcPr>
            <w:tcW w:w="1414" w:type="dxa"/>
            <w:vAlign w:val="center"/>
            <w:hideMark/>
          </w:tcPr>
          <w:p w14:paraId="5070ADCE" w14:textId="77777777" w:rsidR="007F2542" w:rsidRPr="00050FA4" w:rsidRDefault="007F2542" w:rsidP="003947C3">
            <w:pPr>
              <w:snapToGrid w:val="0"/>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Parashikimi në EUR</w:t>
            </w:r>
          </w:p>
        </w:tc>
        <w:tc>
          <w:tcPr>
            <w:tcW w:w="1414" w:type="dxa"/>
            <w:vAlign w:val="center"/>
          </w:tcPr>
          <w:p w14:paraId="0DC891E7" w14:textId="77777777" w:rsidR="007F2542" w:rsidRPr="00050FA4" w:rsidRDefault="007F2542" w:rsidP="003947C3">
            <w:pPr>
              <w:snapToGrid w:val="0"/>
              <w:jc w:val="center"/>
              <w:rPr>
                <w:rFonts w:ascii="Garamond" w:eastAsia="Times New Roman" w:hAnsi="Garamond" w:cstheme="majorBidi"/>
                <w:color w:val="0D0D0D" w:themeColor="text1" w:themeTint="F2"/>
                <w:sz w:val="18"/>
                <w:szCs w:val="18"/>
              </w:rPr>
            </w:pPr>
          </w:p>
        </w:tc>
        <w:tc>
          <w:tcPr>
            <w:tcW w:w="1414" w:type="dxa"/>
            <w:vAlign w:val="center"/>
          </w:tcPr>
          <w:p w14:paraId="62920B21" w14:textId="77777777" w:rsidR="007F2542" w:rsidRPr="00050FA4" w:rsidRDefault="007F2542" w:rsidP="003947C3">
            <w:pPr>
              <w:snapToGrid w:val="0"/>
              <w:jc w:val="center"/>
              <w:rPr>
                <w:rFonts w:ascii="Garamond" w:eastAsia="Times New Roman" w:hAnsi="Garamond" w:cstheme="majorBidi"/>
                <w:color w:val="0D0D0D" w:themeColor="text1" w:themeTint="F2"/>
                <w:sz w:val="18"/>
                <w:szCs w:val="18"/>
              </w:rPr>
            </w:pPr>
          </w:p>
        </w:tc>
      </w:tr>
      <w:tr w:rsidR="00FA29AB" w:rsidRPr="00050FA4" w14:paraId="779AE3C6" w14:textId="77777777" w:rsidTr="00D449A8">
        <w:trPr>
          <w:trHeight w:val="20"/>
          <w:jc w:val="center"/>
        </w:trPr>
        <w:tc>
          <w:tcPr>
            <w:tcW w:w="3381" w:type="dxa"/>
            <w:hideMark/>
          </w:tcPr>
          <w:p w14:paraId="04632C97" w14:textId="1C26AF60" w:rsidR="007F2542" w:rsidRPr="00050FA4" w:rsidRDefault="007F2542" w:rsidP="003947C3">
            <w:pPr>
              <w:snapToGrid w:val="0"/>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Ndërmjetësimet e kryera nga </w:t>
            </w:r>
            <w:r w:rsidR="003947C3" w:rsidRPr="00050FA4">
              <w:rPr>
                <w:rFonts w:ascii="Garamond" w:hAnsi="Garamond" w:cstheme="majorBidi"/>
                <w:color w:val="0D0D0D" w:themeColor="text1" w:themeTint="F2"/>
                <w:sz w:val="18"/>
                <w:szCs w:val="18"/>
              </w:rPr>
              <w:t>zyrat e punës</w:t>
            </w:r>
          </w:p>
        </w:tc>
        <w:tc>
          <w:tcPr>
            <w:tcW w:w="1413" w:type="dxa"/>
            <w:vAlign w:val="center"/>
            <w:hideMark/>
          </w:tcPr>
          <w:p w14:paraId="6BB25E0A"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2,179,934</w:t>
            </w:r>
          </w:p>
        </w:tc>
        <w:tc>
          <w:tcPr>
            <w:tcW w:w="1414" w:type="dxa"/>
            <w:vAlign w:val="center"/>
            <w:hideMark/>
          </w:tcPr>
          <w:p w14:paraId="34CEA6E3"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2,509,090</w:t>
            </w:r>
          </w:p>
        </w:tc>
        <w:tc>
          <w:tcPr>
            <w:tcW w:w="1414" w:type="dxa"/>
            <w:vAlign w:val="center"/>
            <w:hideMark/>
          </w:tcPr>
          <w:p w14:paraId="76E512AD"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3,176,811</w:t>
            </w:r>
          </w:p>
        </w:tc>
        <w:tc>
          <w:tcPr>
            <w:tcW w:w="1414" w:type="dxa"/>
            <w:vAlign w:val="center"/>
          </w:tcPr>
          <w:p w14:paraId="4D0A6A3D"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3,176,811</w:t>
            </w:r>
          </w:p>
        </w:tc>
        <w:tc>
          <w:tcPr>
            <w:tcW w:w="1414" w:type="dxa"/>
            <w:vAlign w:val="center"/>
          </w:tcPr>
          <w:p w14:paraId="239A7583"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23CDDBA3" w14:textId="77777777" w:rsidTr="00D449A8">
        <w:trPr>
          <w:trHeight w:val="20"/>
          <w:jc w:val="center"/>
        </w:trPr>
        <w:tc>
          <w:tcPr>
            <w:tcW w:w="3381" w:type="dxa"/>
            <w:hideMark/>
          </w:tcPr>
          <w:p w14:paraId="0C21242F" w14:textId="77777777" w:rsidR="007F2542" w:rsidRPr="00050FA4" w:rsidRDefault="007F2542" w:rsidP="003947C3">
            <w:pPr>
              <w:snapToGrid w:val="0"/>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Zbatimi i programeve të nxitjes së punësimit</w:t>
            </w:r>
          </w:p>
        </w:tc>
        <w:tc>
          <w:tcPr>
            <w:tcW w:w="1413" w:type="dxa"/>
            <w:vAlign w:val="center"/>
            <w:hideMark/>
          </w:tcPr>
          <w:p w14:paraId="6E75DF49" w14:textId="77777777" w:rsidR="007F2542" w:rsidRPr="00050FA4" w:rsidRDefault="007F2542" w:rsidP="003947C3">
            <w:pPr>
              <w:snapToGrid w:val="0"/>
              <w:jc w:val="right"/>
              <w:rPr>
                <w:rFonts w:ascii="Garamond" w:hAnsi="Garamond" w:cstheme="majorBidi"/>
                <w:color w:val="0D0D0D" w:themeColor="text1" w:themeTint="F2"/>
                <w:sz w:val="18"/>
                <w:szCs w:val="18"/>
              </w:rPr>
            </w:pPr>
          </w:p>
        </w:tc>
        <w:tc>
          <w:tcPr>
            <w:tcW w:w="1414" w:type="dxa"/>
            <w:vAlign w:val="center"/>
            <w:hideMark/>
          </w:tcPr>
          <w:p w14:paraId="3B03E6E9"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4,275,090</w:t>
            </w:r>
          </w:p>
        </w:tc>
        <w:tc>
          <w:tcPr>
            <w:tcW w:w="1414" w:type="dxa"/>
            <w:vAlign w:val="center"/>
            <w:hideMark/>
          </w:tcPr>
          <w:p w14:paraId="1FBE47FF"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4,508,197</w:t>
            </w:r>
          </w:p>
        </w:tc>
        <w:tc>
          <w:tcPr>
            <w:tcW w:w="1414" w:type="dxa"/>
            <w:vAlign w:val="center"/>
          </w:tcPr>
          <w:p w14:paraId="61DCC2D3"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4,508,197</w:t>
            </w:r>
          </w:p>
        </w:tc>
        <w:tc>
          <w:tcPr>
            <w:tcW w:w="1414" w:type="dxa"/>
            <w:vAlign w:val="center"/>
          </w:tcPr>
          <w:p w14:paraId="6D2AF38A"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3AD6770A" w14:textId="77777777" w:rsidTr="00D449A8">
        <w:trPr>
          <w:trHeight w:val="20"/>
          <w:jc w:val="center"/>
        </w:trPr>
        <w:tc>
          <w:tcPr>
            <w:tcW w:w="3381" w:type="dxa"/>
            <w:hideMark/>
          </w:tcPr>
          <w:p w14:paraId="2B6FC246" w14:textId="77777777" w:rsidR="007F2542" w:rsidRPr="00050FA4" w:rsidRDefault="007F2542" w:rsidP="003947C3">
            <w:pPr>
              <w:snapToGrid w:val="0"/>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Trajnim në QFP</w:t>
            </w:r>
          </w:p>
        </w:tc>
        <w:tc>
          <w:tcPr>
            <w:tcW w:w="1413" w:type="dxa"/>
            <w:vAlign w:val="center"/>
            <w:hideMark/>
          </w:tcPr>
          <w:p w14:paraId="797CCAE6"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1,945,516</w:t>
            </w:r>
          </w:p>
        </w:tc>
        <w:tc>
          <w:tcPr>
            <w:tcW w:w="1414" w:type="dxa"/>
            <w:vAlign w:val="center"/>
            <w:hideMark/>
          </w:tcPr>
          <w:p w14:paraId="4380C0BB"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2,766,352</w:t>
            </w:r>
          </w:p>
        </w:tc>
        <w:tc>
          <w:tcPr>
            <w:tcW w:w="1414" w:type="dxa"/>
            <w:vAlign w:val="center"/>
            <w:hideMark/>
          </w:tcPr>
          <w:p w14:paraId="3D6EA46B"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3,091,221</w:t>
            </w:r>
          </w:p>
        </w:tc>
        <w:tc>
          <w:tcPr>
            <w:tcW w:w="1414" w:type="dxa"/>
            <w:vAlign w:val="center"/>
          </w:tcPr>
          <w:p w14:paraId="58A67895"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3,091,221</w:t>
            </w:r>
          </w:p>
        </w:tc>
        <w:tc>
          <w:tcPr>
            <w:tcW w:w="1414" w:type="dxa"/>
            <w:vAlign w:val="center"/>
          </w:tcPr>
          <w:p w14:paraId="056CD28F"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76AB536D" w14:textId="77777777" w:rsidTr="00D449A8">
        <w:trPr>
          <w:trHeight w:val="20"/>
          <w:jc w:val="center"/>
        </w:trPr>
        <w:tc>
          <w:tcPr>
            <w:tcW w:w="3381" w:type="dxa"/>
          </w:tcPr>
          <w:p w14:paraId="50A19239" w14:textId="77777777" w:rsidR="007F2542" w:rsidRPr="00050FA4" w:rsidRDefault="007F2542" w:rsidP="003947C3">
            <w:pPr>
              <w:snapToGrid w:val="0"/>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Përfitimet e papunësisë/transferta</w:t>
            </w:r>
          </w:p>
        </w:tc>
        <w:tc>
          <w:tcPr>
            <w:tcW w:w="1413" w:type="dxa"/>
            <w:vAlign w:val="center"/>
          </w:tcPr>
          <w:p w14:paraId="61737B82" w14:textId="77777777" w:rsidR="007F2542" w:rsidRPr="00050FA4" w:rsidRDefault="007F2542" w:rsidP="003947C3">
            <w:pPr>
              <w:snapToGrid w:val="0"/>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7,267,213</w:t>
            </w:r>
          </w:p>
        </w:tc>
        <w:tc>
          <w:tcPr>
            <w:tcW w:w="1414" w:type="dxa"/>
            <w:vAlign w:val="center"/>
          </w:tcPr>
          <w:p w14:paraId="26560C29"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8,085,131</w:t>
            </w:r>
          </w:p>
        </w:tc>
        <w:tc>
          <w:tcPr>
            <w:tcW w:w="1414" w:type="dxa"/>
            <w:vAlign w:val="center"/>
          </w:tcPr>
          <w:p w14:paraId="4E1D43E1"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7,377,049</w:t>
            </w:r>
          </w:p>
        </w:tc>
        <w:tc>
          <w:tcPr>
            <w:tcW w:w="1414" w:type="dxa"/>
            <w:vAlign w:val="center"/>
          </w:tcPr>
          <w:p w14:paraId="53C1F76A"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7,377,049</w:t>
            </w:r>
          </w:p>
        </w:tc>
        <w:tc>
          <w:tcPr>
            <w:tcW w:w="1414" w:type="dxa"/>
            <w:vAlign w:val="center"/>
          </w:tcPr>
          <w:p w14:paraId="533D6DD5"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5253DAC7" w14:textId="77777777" w:rsidTr="00D449A8">
        <w:trPr>
          <w:trHeight w:val="20"/>
          <w:jc w:val="center"/>
        </w:trPr>
        <w:tc>
          <w:tcPr>
            <w:tcW w:w="3381" w:type="dxa"/>
          </w:tcPr>
          <w:p w14:paraId="25AC6EA4" w14:textId="77777777" w:rsidR="007F2542" w:rsidRPr="00050FA4" w:rsidRDefault="007F2542" w:rsidP="003947C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Investimet</w:t>
            </w:r>
          </w:p>
        </w:tc>
        <w:tc>
          <w:tcPr>
            <w:tcW w:w="1413" w:type="dxa"/>
            <w:vAlign w:val="center"/>
          </w:tcPr>
          <w:p w14:paraId="631D4EBC" w14:textId="77777777" w:rsidR="007F2542" w:rsidRPr="00050FA4" w:rsidRDefault="007F2542" w:rsidP="003947C3">
            <w:pPr>
              <w:snapToGrid w:val="0"/>
              <w:jc w:val="right"/>
              <w:rPr>
                <w:rFonts w:ascii="Garamond" w:hAnsi="Garamond" w:cstheme="majorBidi"/>
                <w:bCs/>
                <w:color w:val="0D0D0D" w:themeColor="text1" w:themeTint="F2"/>
                <w:sz w:val="18"/>
                <w:szCs w:val="18"/>
              </w:rPr>
            </w:pPr>
            <w:r w:rsidRPr="00050FA4">
              <w:rPr>
                <w:rFonts w:ascii="Garamond" w:hAnsi="Garamond" w:cstheme="majorBidi"/>
                <w:color w:val="0D0D0D" w:themeColor="text1" w:themeTint="F2"/>
                <w:sz w:val="18"/>
                <w:szCs w:val="18"/>
              </w:rPr>
              <w:t>285,393</w:t>
            </w:r>
          </w:p>
        </w:tc>
        <w:tc>
          <w:tcPr>
            <w:tcW w:w="1414" w:type="dxa"/>
            <w:vAlign w:val="center"/>
          </w:tcPr>
          <w:p w14:paraId="7662753C"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532,787</w:t>
            </w:r>
          </w:p>
        </w:tc>
        <w:tc>
          <w:tcPr>
            <w:tcW w:w="1414" w:type="dxa"/>
            <w:vAlign w:val="center"/>
          </w:tcPr>
          <w:p w14:paraId="3A387110"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663,934</w:t>
            </w:r>
          </w:p>
        </w:tc>
        <w:tc>
          <w:tcPr>
            <w:tcW w:w="1414" w:type="dxa"/>
            <w:vAlign w:val="center"/>
          </w:tcPr>
          <w:p w14:paraId="22564CCE"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663,934</w:t>
            </w:r>
          </w:p>
        </w:tc>
        <w:tc>
          <w:tcPr>
            <w:tcW w:w="1414" w:type="dxa"/>
            <w:vAlign w:val="center"/>
          </w:tcPr>
          <w:p w14:paraId="63CD3414"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78D6B634" w14:textId="77777777" w:rsidTr="00D449A8">
        <w:trPr>
          <w:trHeight w:val="20"/>
          <w:jc w:val="center"/>
        </w:trPr>
        <w:tc>
          <w:tcPr>
            <w:tcW w:w="3381" w:type="dxa"/>
          </w:tcPr>
          <w:p w14:paraId="75FCD344" w14:textId="77777777" w:rsidR="007F2542" w:rsidRPr="00050FA4" w:rsidRDefault="007F2542" w:rsidP="003947C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Shpenzime të tjera administrative</w:t>
            </w:r>
          </w:p>
        </w:tc>
        <w:tc>
          <w:tcPr>
            <w:tcW w:w="1413" w:type="dxa"/>
            <w:vAlign w:val="center"/>
          </w:tcPr>
          <w:p w14:paraId="7F41C2C6" w14:textId="77777777" w:rsidR="007F2542" w:rsidRPr="00050FA4" w:rsidRDefault="007F2542" w:rsidP="003947C3">
            <w:pPr>
              <w:snapToGrid w:val="0"/>
              <w:jc w:val="right"/>
              <w:rPr>
                <w:rFonts w:ascii="Garamond" w:hAnsi="Garamond" w:cstheme="majorBidi"/>
                <w:bCs/>
                <w:color w:val="0D0D0D" w:themeColor="text1" w:themeTint="F2"/>
                <w:sz w:val="18"/>
                <w:szCs w:val="18"/>
              </w:rPr>
            </w:pPr>
            <w:r w:rsidRPr="00050FA4">
              <w:rPr>
                <w:rFonts w:ascii="Garamond" w:hAnsi="Garamond" w:cstheme="majorBidi"/>
                <w:color w:val="0D0D0D" w:themeColor="text1" w:themeTint="F2"/>
                <w:sz w:val="18"/>
                <w:szCs w:val="18"/>
              </w:rPr>
              <w:t>415,574</w:t>
            </w:r>
          </w:p>
        </w:tc>
        <w:tc>
          <w:tcPr>
            <w:tcW w:w="1414" w:type="dxa"/>
            <w:vAlign w:val="center"/>
          </w:tcPr>
          <w:p w14:paraId="18DA1580"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684,008</w:t>
            </w:r>
          </w:p>
        </w:tc>
        <w:tc>
          <w:tcPr>
            <w:tcW w:w="1414" w:type="dxa"/>
            <w:vAlign w:val="center"/>
          </w:tcPr>
          <w:p w14:paraId="017794D0"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1,105,738</w:t>
            </w:r>
          </w:p>
        </w:tc>
        <w:tc>
          <w:tcPr>
            <w:tcW w:w="1414" w:type="dxa"/>
            <w:vAlign w:val="center"/>
          </w:tcPr>
          <w:p w14:paraId="6394A3B6"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1,105,738</w:t>
            </w:r>
          </w:p>
        </w:tc>
        <w:tc>
          <w:tcPr>
            <w:tcW w:w="1414" w:type="dxa"/>
            <w:vAlign w:val="center"/>
          </w:tcPr>
          <w:p w14:paraId="58596724"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4152EFF6" w14:textId="77777777" w:rsidTr="00D449A8">
        <w:trPr>
          <w:trHeight w:val="20"/>
          <w:jc w:val="center"/>
        </w:trPr>
        <w:tc>
          <w:tcPr>
            <w:tcW w:w="3381" w:type="dxa"/>
          </w:tcPr>
          <w:p w14:paraId="6018D8D5" w14:textId="77777777" w:rsidR="007F2542" w:rsidRPr="00050FA4" w:rsidRDefault="007F2542" w:rsidP="003947C3">
            <w:pPr>
              <w:snapToGrid w:val="0"/>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Totali (me shpenzimet administrative)</w:t>
            </w:r>
          </w:p>
        </w:tc>
        <w:tc>
          <w:tcPr>
            <w:tcW w:w="1413" w:type="dxa"/>
            <w:vAlign w:val="center"/>
          </w:tcPr>
          <w:p w14:paraId="34434B9B" w14:textId="77777777" w:rsidR="007F2542" w:rsidRPr="00050FA4" w:rsidRDefault="007F2542" w:rsidP="003947C3">
            <w:pPr>
              <w:snapToGrid w:val="0"/>
              <w:jc w:val="right"/>
              <w:rPr>
                <w:rFonts w:ascii="Garamond" w:hAnsi="Garamond" w:cstheme="majorBidi"/>
                <w:b/>
                <w:bCs/>
                <w:color w:val="0D0D0D" w:themeColor="text1" w:themeTint="F2"/>
                <w:sz w:val="18"/>
                <w:szCs w:val="18"/>
              </w:rPr>
            </w:pPr>
            <w:r w:rsidRPr="00050FA4">
              <w:rPr>
                <w:rFonts w:ascii="Garamond" w:hAnsi="Garamond" w:cstheme="majorBidi"/>
                <w:color w:val="0D0D0D" w:themeColor="text1" w:themeTint="F2"/>
                <w:sz w:val="18"/>
                <w:szCs w:val="18"/>
              </w:rPr>
              <w:t>12,680,148</w:t>
            </w:r>
          </w:p>
        </w:tc>
        <w:tc>
          <w:tcPr>
            <w:tcW w:w="1414" w:type="dxa"/>
            <w:vAlign w:val="center"/>
          </w:tcPr>
          <w:p w14:paraId="14B84630"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18,852,459</w:t>
            </w:r>
          </w:p>
        </w:tc>
        <w:tc>
          <w:tcPr>
            <w:tcW w:w="1414" w:type="dxa"/>
            <w:vAlign w:val="center"/>
          </w:tcPr>
          <w:p w14:paraId="7C6960D9"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19,922,951</w:t>
            </w:r>
          </w:p>
        </w:tc>
        <w:tc>
          <w:tcPr>
            <w:tcW w:w="1414" w:type="dxa"/>
            <w:vAlign w:val="center"/>
          </w:tcPr>
          <w:p w14:paraId="71B5549F"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19,922,951</w:t>
            </w:r>
          </w:p>
        </w:tc>
        <w:tc>
          <w:tcPr>
            <w:tcW w:w="1414" w:type="dxa"/>
            <w:vAlign w:val="center"/>
          </w:tcPr>
          <w:p w14:paraId="547C5843"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r w:rsidR="00FA29AB" w:rsidRPr="00050FA4" w14:paraId="24D8C2E1" w14:textId="77777777" w:rsidTr="00D449A8">
        <w:trPr>
          <w:trHeight w:val="20"/>
          <w:jc w:val="center"/>
        </w:trPr>
        <w:tc>
          <w:tcPr>
            <w:tcW w:w="3381" w:type="dxa"/>
          </w:tcPr>
          <w:p w14:paraId="25CC803E" w14:textId="77777777" w:rsidR="007F2542" w:rsidRPr="00050FA4" w:rsidRDefault="007F2542" w:rsidP="003947C3">
            <w:pPr>
              <w:snapToGrid w:val="0"/>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Totali (pa shpenzime administrative)</w:t>
            </w:r>
          </w:p>
        </w:tc>
        <w:tc>
          <w:tcPr>
            <w:tcW w:w="1413" w:type="dxa"/>
            <w:vAlign w:val="center"/>
          </w:tcPr>
          <w:p w14:paraId="31609621" w14:textId="77777777" w:rsidR="007F2542" w:rsidRPr="00050FA4" w:rsidRDefault="007F2542" w:rsidP="003947C3">
            <w:pPr>
              <w:snapToGrid w:val="0"/>
              <w:jc w:val="right"/>
              <w:rPr>
                <w:rFonts w:ascii="Garamond" w:hAnsi="Garamond" w:cstheme="majorBidi"/>
                <w:b/>
                <w:bCs/>
                <w:color w:val="0D0D0D" w:themeColor="text1" w:themeTint="F2"/>
                <w:sz w:val="18"/>
                <w:szCs w:val="18"/>
              </w:rPr>
            </w:pPr>
            <w:r w:rsidRPr="00050FA4">
              <w:rPr>
                <w:rFonts w:ascii="Garamond" w:hAnsi="Garamond" w:cstheme="majorBidi"/>
                <w:color w:val="0D0D0D" w:themeColor="text1" w:themeTint="F2"/>
                <w:sz w:val="18"/>
                <w:szCs w:val="18"/>
              </w:rPr>
              <w:t>12,394,754</w:t>
            </w:r>
          </w:p>
        </w:tc>
        <w:tc>
          <w:tcPr>
            <w:tcW w:w="1414" w:type="dxa"/>
            <w:vAlign w:val="center"/>
          </w:tcPr>
          <w:p w14:paraId="616C2E07" w14:textId="77777777" w:rsidR="007F2542" w:rsidRPr="00050FA4" w:rsidRDefault="007F2542" w:rsidP="003947C3">
            <w:pPr>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18,319,672</w:t>
            </w:r>
          </w:p>
        </w:tc>
        <w:tc>
          <w:tcPr>
            <w:tcW w:w="1414" w:type="dxa"/>
            <w:vAlign w:val="center"/>
          </w:tcPr>
          <w:p w14:paraId="0E2EABAC"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19,259,016</w:t>
            </w:r>
          </w:p>
        </w:tc>
        <w:tc>
          <w:tcPr>
            <w:tcW w:w="1414" w:type="dxa"/>
            <w:vAlign w:val="center"/>
          </w:tcPr>
          <w:p w14:paraId="2F7C92E4" w14:textId="77777777" w:rsidR="007F2542" w:rsidRPr="00050FA4" w:rsidRDefault="007F2542" w:rsidP="003947C3">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19,259,016</w:t>
            </w:r>
          </w:p>
        </w:tc>
        <w:tc>
          <w:tcPr>
            <w:tcW w:w="1414" w:type="dxa"/>
            <w:vAlign w:val="center"/>
          </w:tcPr>
          <w:p w14:paraId="591C1183" w14:textId="77777777" w:rsidR="007F2542" w:rsidRPr="00050FA4" w:rsidRDefault="007F2542" w:rsidP="003947C3">
            <w:pPr>
              <w:snapToGrid w:val="0"/>
              <w:jc w:val="right"/>
              <w:rPr>
                <w:rFonts w:ascii="Garamond" w:hAnsi="Garamond" w:cstheme="majorBidi"/>
                <w:color w:val="0D0D0D" w:themeColor="text1" w:themeTint="F2"/>
                <w:sz w:val="18"/>
                <w:szCs w:val="18"/>
              </w:rPr>
            </w:pPr>
          </w:p>
        </w:tc>
      </w:tr>
    </w:tbl>
    <w:p w14:paraId="3FCB8E88" w14:textId="77777777" w:rsidR="007F2542" w:rsidRPr="00050FA4" w:rsidRDefault="007F2542" w:rsidP="003F1DA7">
      <w:pPr>
        <w:snapToGrid w:val="0"/>
        <w:ind w:firstLine="284"/>
        <w:rPr>
          <w:rFonts w:ascii="Garamond" w:hAnsi="Garamond" w:cstheme="majorBidi"/>
          <w:color w:val="0D0D0D" w:themeColor="text1" w:themeTint="F2"/>
          <w:sz w:val="20"/>
          <w:szCs w:val="20"/>
        </w:rPr>
      </w:pPr>
    </w:p>
    <w:p w14:paraId="2F3242D1" w14:textId="1A19FE2C" w:rsidR="00DB22AB" w:rsidRPr="00050FA4" w:rsidRDefault="002C3394" w:rsidP="003F1DA7">
      <w:pPr>
        <w:pStyle w:val="AAAAAAATEXXXX"/>
        <w:rPr>
          <w:lang w:val="sq-AL"/>
        </w:rPr>
      </w:pPr>
      <w:r w:rsidRPr="00050FA4">
        <w:rPr>
          <w:lang w:val="sq-AL"/>
        </w:rPr>
        <w:t xml:space="preserve">5. </w:t>
      </w:r>
      <w:r w:rsidR="00B2062A" w:rsidRPr="00050FA4">
        <w:rPr>
          <w:lang w:val="sq-AL"/>
        </w:rPr>
        <w:t>Ndikimi i pritshëm në përfundimet sociale</w:t>
      </w:r>
      <w:r w:rsidR="008A36DE" w:rsidRPr="00050FA4">
        <w:rPr>
          <w:lang w:val="sq-AL"/>
        </w:rPr>
        <w:t>,</w:t>
      </w:r>
      <w:r w:rsidR="00B2062A" w:rsidRPr="00050FA4">
        <w:rPr>
          <w:lang w:val="sq-AL"/>
        </w:rPr>
        <w:t xml:space="preserve"> si punësimi, ulja e varfërisë, barazia gjinore dhe aksesi në kujdesin shëndetësor</w:t>
      </w:r>
    </w:p>
    <w:p w14:paraId="3369DECC" w14:textId="58E30D53" w:rsidR="006D2AFB" w:rsidRPr="00050FA4" w:rsidRDefault="007F2542" w:rsidP="003F1DA7">
      <w:pPr>
        <w:pStyle w:val="AAAAAAATEXXXX"/>
        <w:rPr>
          <w:lang w:val="sq-AL"/>
        </w:rPr>
      </w:pPr>
      <w:r w:rsidRPr="00050FA4">
        <w:rPr>
          <w:lang w:val="sq-AL"/>
        </w:rPr>
        <w:t>Ulja e papunësisë dhe pasiviteti i lartë, veçanërisht në grupin e të rinjve dhe grave. Rritja e kënaqësisë së grave dhe vajzave të përfshira në programe aktive të tregut të punës. Promovoni një rritje ekonomike të qëndrueshme, gjithëpërfshirëse dhe të qëndrueshme, punësim të plotë dhe produktiv dhe punë të denjë për të gjithë (SDG 8)</w:t>
      </w:r>
      <w:r w:rsidR="006D2AFB" w:rsidRPr="00050FA4">
        <w:rPr>
          <w:lang w:val="sq-AL"/>
        </w:rPr>
        <w:t>.</w:t>
      </w:r>
    </w:p>
    <w:p w14:paraId="4B2A8E36" w14:textId="27CEF05A" w:rsidR="00DB22AB" w:rsidRPr="00050FA4" w:rsidRDefault="002C3394"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1B314966" w14:textId="114D624A" w:rsidR="006D2AFB" w:rsidRPr="00050FA4" w:rsidRDefault="007F2542" w:rsidP="003F1DA7">
      <w:pPr>
        <w:pStyle w:val="AAAAAAATEXXXX"/>
        <w:rPr>
          <w:lang w:val="sq-AL"/>
        </w:rPr>
      </w:pPr>
      <w:r w:rsidRPr="00050FA4">
        <w:rPr>
          <w:lang w:val="sq-AL"/>
        </w:rPr>
        <w:t>Masa është neutrale për sa i përket ndikimit mjedisor</w:t>
      </w:r>
      <w:r w:rsidR="006D2AFB" w:rsidRPr="00050FA4">
        <w:rPr>
          <w:lang w:val="sq-AL"/>
        </w:rPr>
        <w:t>.</w:t>
      </w:r>
    </w:p>
    <w:p w14:paraId="2DFECFBC" w14:textId="48E77CA5" w:rsidR="00DB22AB" w:rsidRPr="00050FA4" w:rsidRDefault="002C3394" w:rsidP="003F1DA7">
      <w:pPr>
        <w:pStyle w:val="AAAAAAATEXXXX"/>
        <w:rPr>
          <w:lang w:val="sq-AL"/>
        </w:rPr>
      </w:pPr>
      <w:r w:rsidRPr="00050FA4">
        <w:rPr>
          <w:lang w:val="sq-AL"/>
        </w:rPr>
        <w:t xml:space="preserve">7. </w:t>
      </w:r>
      <w:r w:rsidR="00B2062A" w:rsidRPr="00050FA4">
        <w:rPr>
          <w:lang w:val="sq-AL"/>
        </w:rPr>
        <w:t>Rreziqet e mundshme</w:t>
      </w:r>
    </w:p>
    <w:tbl>
      <w:tblPr>
        <w:tblStyle w:val="TableGrid2"/>
        <w:tblW w:w="0" w:type="auto"/>
        <w:jc w:val="center"/>
        <w:tblLook w:val="04A0" w:firstRow="1" w:lastRow="0" w:firstColumn="1" w:lastColumn="0" w:noHBand="0" w:noVBand="1"/>
      </w:tblPr>
      <w:tblGrid>
        <w:gridCol w:w="4427"/>
        <w:gridCol w:w="1266"/>
        <w:gridCol w:w="4423"/>
      </w:tblGrid>
      <w:tr w:rsidR="00FA29AB" w:rsidRPr="00050FA4" w14:paraId="0ED1EF7E" w14:textId="77777777" w:rsidTr="00DB4B15">
        <w:trPr>
          <w:jc w:val="center"/>
        </w:trPr>
        <w:tc>
          <w:tcPr>
            <w:tcW w:w="4531" w:type="dxa"/>
            <w:vAlign w:val="center"/>
          </w:tcPr>
          <w:p w14:paraId="6375FC26" w14:textId="77777777" w:rsidR="007F2542" w:rsidRPr="00050FA4" w:rsidRDefault="007F2542" w:rsidP="00DB4B1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Risku</w:t>
            </w:r>
          </w:p>
        </w:tc>
        <w:tc>
          <w:tcPr>
            <w:tcW w:w="1276" w:type="dxa"/>
            <w:vAlign w:val="center"/>
          </w:tcPr>
          <w:p w14:paraId="40573671" w14:textId="10D767D1" w:rsidR="007F2542" w:rsidRPr="00050FA4" w:rsidRDefault="007F2542" w:rsidP="00DB4B1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 (e ulët, e lartë)</w:t>
            </w:r>
          </w:p>
        </w:tc>
        <w:tc>
          <w:tcPr>
            <w:tcW w:w="4536" w:type="dxa"/>
            <w:vAlign w:val="center"/>
          </w:tcPr>
          <w:p w14:paraId="6CD05175" w14:textId="77777777" w:rsidR="007F2542" w:rsidRPr="00050FA4" w:rsidRDefault="007F2542" w:rsidP="00DB4B1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Veprime zbutëse të planifikuara</w:t>
            </w:r>
          </w:p>
        </w:tc>
      </w:tr>
      <w:tr w:rsidR="00FA29AB" w:rsidRPr="00050FA4" w14:paraId="1693E6D8" w14:textId="77777777" w:rsidTr="00DB4B15">
        <w:trPr>
          <w:jc w:val="center"/>
        </w:trPr>
        <w:tc>
          <w:tcPr>
            <w:tcW w:w="4531" w:type="dxa"/>
          </w:tcPr>
          <w:p w14:paraId="26DD5D29" w14:textId="350A5C87" w:rsidR="007F2542" w:rsidRPr="00050FA4" w:rsidRDefault="007F2542" w:rsidP="003F1DA7">
            <w:pPr>
              <w:snapToGrid w:val="0"/>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COVID-19 kufizon aftësinë e AKPA-s</w:t>
            </w:r>
            <w:r w:rsidR="0040564A" w:rsidRPr="00050FA4">
              <w:rPr>
                <w:rFonts w:ascii="Garamond" w:eastAsia="Arial Narrow" w:hAnsi="Garamond" w:cstheme="majorBidi"/>
                <w:color w:val="0D0D0D" w:themeColor="text1" w:themeTint="F2"/>
                <w:sz w:val="18"/>
                <w:szCs w:val="18"/>
              </w:rPr>
              <w:t>ë</w:t>
            </w:r>
            <w:r w:rsidRPr="00050FA4">
              <w:rPr>
                <w:rFonts w:ascii="Garamond" w:eastAsia="Arial Narrow" w:hAnsi="Garamond" w:cstheme="majorBidi"/>
                <w:color w:val="0D0D0D" w:themeColor="text1" w:themeTint="F2"/>
                <w:sz w:val="18"/>
                <w:szCs w:val="18"/>
              </w:rPr>
              <w:t xml:space="preserve"> për të zbatuar PNP</w:t>
            </w:r>
            <w:r w:rsidR="0040564A" w:rsidRPr="00050FA4">
              <w:rPr>
                <w:rFonts w:ascii="Garamond" w:eastAsia="Arial Narrow" w:hAnsi="Garamond" w:cstheme="majorBidi"/>
                <w:color w:val="0D0D0D" w:themeColor="text1" w:themeTint="F2"/>
                <w:sz w:val="18"/>
                <w:szCs w:val="18"/>
              </w:rPr>
              <w:t>-në</w:t>
            </w:r>
            <w:r w:rsidRPr="00050FA4">
              <w:rPr>
                <w:rFonts w:ascii="Garamond" w:eastAsia="Arial Narrow" w:hAnsi="Garamond" w:cstheme="majorBidi"/>
                <w:color w:val="0D0D0D" w:themeColor="text1" w:themeTint="F2"/>
                <w:sz w:val="18"/>
                <w:szCs w:val="18"/>
              </w:rPr>
              <w:t xml:space="preserve"> dhe shërbime të tjera punësimi/trajnimi.</w:t>
            </w:r>
          </w:p>
        </w:tc>
        <w:tc>
          <w:tcPr>
            <w:tcW w:w="1276" w:type="dxa"/>
          </w:tcPr>
          <w:p w14:paraId="154BC411"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ulët</w:t>
            </w:r>
          </w:p>
        </w:tc>
        <w:tc>
          <w:tcPr>
            <w:tcW w:w="4536" w:type="dxa"/>
          </w:tcPr>
          <w:p w14:paraId="16AD6F4F"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Të vazhdohet me thjeshtësimin e procedurave të aplikimit për të mundësuar pjesëmarrje të madhe të sektorit privat;</w:t>
            </w:r>
          </w:p>
        </w:tc>
      </w:tr>
      <w:tr w:rsidR="00FA29AB" w:rsidRPr="00050FA4" w14:paraId="58358209" w14:textId="77777777" w:rsidTr="00DB4B15">
        <w:trPr>
          <w:jc w:val="center"/>
        </w:trPr>
        <w:tc>
          <w:tcPr>
            <w:tcW w:w="4531" w:type="dxa"/>
          </w:tcPr>
          <w:p w14:paraId="430BA856" w14:textId="77777777" w:rsidR="007F2542" w:rsidRPr="00050FA4" w:rsidRDefault="007F2542" w:rsidP="003F1DA7">
            <w:pPr>
              <w:snapToGrid w:val="0"/>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Mungesa e bashkëpunimit ndërmjet aktorëve të ndryshëm të përfshirë në këtë proces është një nga vështirësitë e identifikuara në këtë sektor.</w:t>
            </w:r>
          </w:p>
        </w:tc>
        <w:tc>
          <w:tcPr>
            <w:tcW w:w="1276" w:type="dxa"/>
          </w:tcPr>
          <w:p w14:paraId="3145CA1A"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ulët</w:t>
            </w:r>
          </w:p>
        </w:tc>
        <w:tc>
          <w:tcPr>
            <w:tcW w:w="4536" w:type="dxa"/>
          </w:tcPr>
          <w:p w14:paraId="5D671FA2" w14:textId="14344E6B"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Duke pasur monitorim, raportim dhe bashkëpunim të ngushtë ndërmjet palëve përkatëse të interesuara (organizata e punëdhënësve, </w:t>
            </w:r>
            <w:r w:rsidR="0026453E" w:rsidRPr="00050FA4">
              <w:rPr>
                <w:rFonts w:ascii="Garamond" w:hAnsi="Garamond" w:cstheme="majorBidi"/>
                <w:color w:val="0D0D0D" w:themeColor="text1" w:themeTint="F2"/>
                <w:sz w:val="18"/>
                <w:szCs w:val="18"/>
              </w:rPr>
              <w:t>o</w:t>
            </w:r>
            <w:r w:rsidRPr="00050FA4">
              <w:rPr>
                <w:rFonts w:ascii="Garamond" w:hAnsi="Garamond" w:cstheme="majorBidi"/>
                <w:color w:val="0D0D0D" w:themeColor="text1" w:themeTint="F2"/>
                <w:sz w:val="18"/>
                <w:szCs w:val="18"/>
              </w:rPr>
              <w:t xml:space="preserve">rganizatat e </w:t>
            </w:r>
            <w:r w:rsidR="0026453E" w:rsidRPr="00050FA4">
              <w:rPr>
                <w:rFonts w:ascii="Garamond" w:hAnsi="Garamond" w:cstheme="majorBidi"/>
                <w:color w:val="0D0D0D" w:themeColor="text1" w:themeTint="F2"/>
                <w:sz w:val="18"/>
                <w:szCs w:val="18"/>
              </w:rPr>
              <w:t>shoqërisë</w:t>
            </w:r>
            <w:r w:rsidRPr="00050FA4">
              <w:rPr>
                <w:rFonts w:ascii="Garamond" w:hAnsi="Garamond" w:cstheme="majorBidi"/>
                <w:color w:val="0D0D0D" w:themeColor="text1" w:themeTint="F2"/>
                <w:sz w:val="18"/>
                <w:szCs w:val="18"/>
              </w:rPr>
              <w:t xml:space="preserve"> civile, pushteti vendor ministri të tjera etj.)</w:t>
            </w:r>
          </w:p>
        </w:tc>
      </w:tr>
      <w:tr w:rsidR="00FA29AB" w:rsidRPr="00050FA4" w14:paraId="021BA1A6" w14:textId="77777777" w:rsidTr="00DB4B15">
        <w:trPr>
          <w:jc w:val="center"/>
        </w:trPr>
        <w:tc>
          <w:tcPr>
            <w:tcW w:w="4531" w:type="dxa"/>
          </w:tcPr>
          <w:p w14:paraId="17CA7A99"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Rritja e besimit të qytetarëve në shërbimet e ofruara nga zyrat e punësimit, qendrat e formimit profesional.</w:t>
            </w:r>
          </w:p>
        </w:tc>
        <w:tc>
          <w:tcPr>
            <w:tcW w:w="1276" w:type="dxa"/>
          </w:tcPr>
          <w:p w14:paraId="4DCE0591"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ulët</w:t>
            </w:r>
          </w:p>
        </w:tc>
        <w:tc>
          <w:tcPr>
            <w:tcW w:w="4536" w:type="dxa"/>
          </w:tcPr>
          <w:p w14:paraId="73B8582D" w14:textId="4DBD9555" w:rsidR="007F2542" w:rsidRPr="00050FA4" w:rsidRDefault="007F2542" w:rsidP="0040564A">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Publikime të programeve aktive, si dhe raste të suksesshme me të gjitha mjetet e mundshme elektronike dhe nëpërmjet medi</w:t>
            </w:r>
            <w:r w:rsidR="0040564A" w:rsidRPr="00050FA4">
              <w:rPr>
                <w:rFonts w:ascii="Garamond" w:hAnsi="Garamond" w:cstheme="majorBidi"/>
                <w:color w:val="0D0D0D" w:themeColor="text1" w:themeTint="F2"/>
                <w:sz w:val="18"/>
                <w:szCs w:val="18"/>
              </w:rPr>
              <w:t>e</w:t>
            </w:r>
            <w:r w:rsidRPr="00050FA4">
              <w:rPr>
                <w:rFonts w:ascii="Garamond" w:hAnsi="Garamond" w:cstheme="majorBidi"/>
                <w:color w:val="0D0D0D" w:themeColor="text1" w:themeTint="F2"/>
                <w:sz w:val="18"/>
                <w:szCs w:val="18"/>
              </w:rPr>
              <w:t>s</w:t>
            </w:r>
          </w:p>
        </w:tc>
      </w:tr>
      <w:tr w:rsidR="00FA29AB" w:rsidRPr="00050FA4" w14:paraId="19B1B308" w14:textId="77777777" w:rsidTr="00DB4B15">
        <w:trPr>
          <w:jc w:val="center"/>
        </w:trPr>
        <w:tc>
          <w:tcPr>
            <w:tcW w:w="4531" w:type="dxa"/>
          </w:tcPr>
          <w:p w14:paraId="791514F9"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Mungesa e përmirësimit të cilësisë së shërbimeve në nivel rajonal dhe lokal, për shkak të trajnimit të pamjaftueshëm</w:t>
            </w:r>
          </w:p>
        </w:tc>
        <w:tc>
          <w:tcPr>
            <w:tcW w:w="1276" w:type="dxa"/>
          </w:tcPr>
          <w:p w14:paraId="38D29317"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ulët</w:t>
            </w:r>
          </w:p>
        </w:tc>
        <w:tc>
          <w:tcPr>
            <w:tcW w:w="4536" w:type="dxa"/>
          </w:tcPr>
          <w:p w14:paraId="0161A2DD" w14:textId="77777777" w:rsidR="007F2542" w:rsidRPr="00050FA4" w:rsidRDefault="007F2542" w:rsidP="003F1DA7">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Monitorimi nga afër i aktiviteteve trajnuese dhe rritja e numrit të trajnerëve në dispozicion.</w:t>
            </w:r>
          </w:p>
        </w:tc>
      </w:tr>
    </w:tbl>
    <w:p w14:paraId="40DC6E08" w14:textId="77777777" w:rsidR="007F2542" w:rsidRPr="00050FA4" w:rsidRDefault="007F2542" w:rsidP="003F1DA7">
      <w:pPr>
        <w:snapToGrid w:val="0"/>
        <w:ind w:firstLine="284"/>
        <w:jc w:val="both"/>
        <w:rPr>
          <w:rFonts w:ascii="Garamond" w:eastAsia="Times New Roman" w:hAnsi="Garamond" w:cstheme="majorBidi"/>
          <w:color w:val="0D0D0D" w:themeColor="text1" w:themeTint="F2"/>
        </w:rPr>
      </w:pPr>
    </w:p>
    <w:p w14:paraId="6F9ED520" w14:textId="41193F4F" w:rsidR="00DB22AB" w:rsidRPr="00050FA4" w:rsidRDefault="00B2062A" w:rsidP="003F1DA7">
      <w:pPr>
        <w:pStyle w:val="AAAAAAATEXXXX"/>
        <w:rPr>
          <w:b/>
          <w:i/>
          <w:lang w:val="sq-AL"/>
        </w:rPr>
      </w:pPr>
      <w:r w:rsidRPr="00050FA4">
        <w:rPr>
          <w:b/>
          <w:i/>
          <w:lang w:val="sq-AL"/>
        </w:rPr>
        <w:t>Masa e reformës</w:t>
      </w:r>
      <w:r w:rsidR="005358F8" w:rsidRPr="00050FA4">
        <w:rPr>
          <w:b/>
          <w:i/>
          <w:lang w:val="sq-AL"/>
        </w:rPr>
        <w:t xml:space="preserve"> 03</w:t>
      </w:r>
      <w:r w:rsidR="003276FB" w:rsidRPr="00050FA4">
        <w:rPr>
          <w:b/>
          <w:i/>
          <w:lang w:val="sq-AL"/>
        </w:rPr>
        <w:t>: Përmirësimi i kapaciteteve institucionale, financiare dhe njerëzore për kërkim dhe inovacion</w:t>
      </w:r>
    </w:p>
    <w:p w14:paraId="3B6325DD" w14:textId="2105A915" w:rsidR="00DB22AB" w:rsidRPr="00050FA4" w:rsidRDefault="00F7539C" w:rsidP="003F1DA7">
      <w:pPr>
        <w:pStyle w:val="AAAAAAATEXXXX"/>
        <w:rPr>
          <w:lang w:val="sq-AL"/>
        </w:rPr>
      </w:pPr>
      <w:r w:rsidRPr="00050FA4">
        <w:rPr>
          <w:lang w:val="sq-AL"/>
        </w:rPr>
        <w:t xml:space="preserve">1. </w:t>
      </w:r>
      <w:r w:rsidR="00B2062A" w:rsidRPr="00050FA4">
        <w:rPr>
          <w:lang w:val="sq-AL"/>
        </w:rPr>
        <w:t>Përshkrimi i masës</w:t>
      </w:r>
    </w:p>
    <w:p w14:paraId="76BEB597" w14:textId="7EFEF9DC" w:rsidR="00BC7829" w:rsidRPr="00050FA4" w:rsidRDefault="00BC7829" w:rsidP="003F1DA7">
      <w:pPr>
        <w:pStyle w:val="AAAAAAATEXXXX"/>
        <w:rPr>
          <w:lang w:val="sq-AL"/>
        </w:rPr>
      </w:pPr>
      <w:r w:rsidRPr="00050FA4">
        <w:rPr>
          <w:lang w:val="sq-AL"/>
        </w:rPr>
        <w:t>Masa e reformës, është në përputhje me Strategjinë për Shkencën, Teknologjinë dhe Inovacionin 2017</w:t>
      </w:r>
      <w:r w:rsidR="00C86F3F" w:rsidRPr="00050FA4">
        <w:rPr>
          <w:lang w:val="sq-AL"/>
        </w:rPr>
        <w:t xml:space="preserve">– </w:t>
      </w:r>
      <w:r w:rsidRPr="00050FA4">
        <w:rPr>
          <w:lang w:val="sq-AL"/>
        </w:rPr>
        <w:t>2022 (SKSHTI), Planin Kombëtar për Integrimin Evropian 2021</w:t>
      </w:r>
      <w:r w:rsidR="00C86F3F" w:rsidRPr="00050FA4">
        <w:rPr>
          <w:lang w:val="sq-AL"/>
        </w:rPr>
        <w:t>–‘</w:t>
      </w:r>
      <w:r w:rsidRPr="00050FA4">
        <w:rPr>
          <w:lang w:val="sq-AL"/>
        </w:rPr>
        <w:t xml:space="preserve">23, </w:t>
      </w:r>
      <w:r w:rsidR="00C86F3F" w:rsidRPr="00050FA4">
        <w:rPr>
          <w:lang w:val="sq-AL"/>
        </w:rPr>
        <w:t xml:space="preserve">kapitulli </w:t>
      </w:r>
      <w:r w:rsidRPr="00050FA4">
        <w:rPr>
          <w:lang w:val="sq-AL"/>
        </w:rPr>
        <w:t>25</w:t>
      </w:r>
      <w:r w:rsidR="00C86F3F" w:rsidRPr="00050FA4">
        <w:rPr>
          <w:lang w:val="sq-AL"/>
        </w:rPr>
        <w:t>, “</w:t>
      </w:r>
      <w:r w:rsidRPr="00050FA4">
        <w:rPr>
          <w:lang w:val="sq-AL"/>
        </w:rPr>
        <w:t xml:space="preserve">Shkenca dhe </w:t>
      </w:r>
      <w:r w:rsidR="00C86F3F" w:rsidRPr="00050FA4">
        <w:rPr>
          <w:lang w:val="sq-AL"/>
        </w:rPr>
        <w:t>kërkimi shkenc</w:t>
      </w:r>
      <w:r w:rsidRPr="00050FA4">
        <w:rPr>
          <w:lang w:val="sq-AL"/>
        </w:rPr>
        <w:t>or</w:t>
      </w:r>
      <w:r w:rsidR="00C86F3F" w:rsidRPr="00050FA4">
        <w:rPr>
          <w:lang w:val="sq-AL"/>
        </w:rPr>
        <w:t>”</w:t>
      </w:r>
      <w:r w:rsidRPr="00050FA4">
        <w:rPr>
          <w:lang w:val="sq-AL"/>
        </w:rPr>
        <w:t>, dhe rekomandimet e Komisionit Evropian për Shkencën dhe Kërkimit Shkencor. Ministria e Arsimit dhe Sportit (MAS) aktualisht është duke punuar për hartimin e raportit të dytë të moni</w:t>
      </w:r>
      <w:r w:rsidR="00E67ECA" w:rsidRPr="00050FA4">
        <w:rPr>
          <w:lang w:val="sq-AL"/>
        </w:rPr>
        <w:t>torimit të strategjisë. Për sa u</w:t>
      </w:r>
      <w:r w:rsidRPr="00050FA4">
        <w:rPr>
          <w:lang w:val="sq-AL"/>
        </w:rPr>
        <w:t xml:space="preserve"> përket programeve kuadër të BE-së, pjesëmarrja në Horizon 2021 është përmirësuar ndjeshëm dhe tregon një zhvillim të mirë për vitin 2021. Duke filluar nga shtatori 2021, Agjencia Kombëtare e Kërkimit Shkencor, Inovacionit dhe Teknologjisë (AKKSHI) me Projektin e Asistencës Teknike të BE-së për</w:t>
      </w:r>
      <w:r w:rsidR="00C86F3F" w:rsidRPr="00050FA4">
        <w:rPr>
          <w:lang w:val="sq-AL"/>
        </w:rPr>
        <w:t xml:space="preserve"> Programet e BE-së në Shqipëri</w:t>
      </w:r>
      <w:r w:rsidRPr="00050FA4">
        <w:rPr>
          <w:lang w:val="sq-AL"/>
        </w:rPr>
        <w:t>, ka ndërmarrë një turne informues në disa Universitete të Shqipërisë për t</w:t>
      </w:r>
      <w:r w:rsidR="00E67ECA" w:rsidRPr="00050FA4">
        <w:rPr>
          <w:lang w:val="sq-AL"/>
        </w:rPr>
        <w:t>’</w:t>
      </w:r>
      <w:r w:rsidRPr="00050FA4">
        <w:rPr>
          <w:lang w:val="sq-AL"/>
        </w:rPr>
        <w:t xml:space="preserve">i njohur ata me këto programe, me fokus </w:t>
      </w:r>
      <w:r w:rsidR="000C71F9" w:rsidRPr="00050FA4">
        <w:rPr>
          <w:i/>
          <w:lang w:val="sq-AL"/>
        </w:rPr>
        <w:t>Horizon Europe</w:t>
      </w:r>
      <w:r w:rsidRPr="00050FA4">
        <w:rPr>
          <w:lang w:val="sq-AL"/>
        </w:rPr>
        <w:t xml:space="preserve">. Gjatë vitit 2021 janë zhvilluar negociatat për Marrëveshjen e re </w:t>
      </w:r>
      <w:r w:rsidR="000C71F9" w:rsidRPr="00050FA4">
        <w:rPr>
          <w:i/>
          <w:lang w:val="sq-AL"/>
        </w:rPr>
        <w:t>Horizon Europe</w:t>
      </w:r>
      <w:r w:rsidR="00C86F3F" w:rsidRPr="00050FA4">
        <w:rPr>
          <w:i/>
          <w:lang w:val="sq-AL"/>
        </w:rPr>
        <w:t>,</w:t>
      </w:r>
      <w:r w:rsidRPr="00050FA4">
        <w:rPr>
          <w:lang w:val="sq-AL"/>
        </w:rPr>
        <w:t xml:space="preserve"> e cila ende nuk është nënshkruar zyrtarisht.</w:t>
      </w:r>
    </w:p>
    <w:p w14:paraId="51975E8A" w14:textId="56B6E232" w:rsidR="00BC7829" w:rsidRPr="00050FA4" w:rsidRDefault="00BC7829" w:rsidP="003F1DA7">
      <w:pPr>
        <w:pStyle w:val="AAAAAAATEXXXX"/>
        <w:rPr>
          <w:lang w:val="sq-AL"/>
        </w:rPr>
      </w:pPr>
      <w:r w:rsidRPr="00050FA4">
        <w:rPr>
          <w:lang w:val="sq-AL"/>
        </w:rPr>
        <w:t>AKKSHI dhe INSTAT</w:t>
      </w:r>
      <w:r w:rsidR="00DB4B15" w:rsidRPr="00050FA4">
        <w:rPr>
          <w:lang w:val="sq-AL"/>
        </w:rPr>
        <w:t>-i</w:t>
      </w:r>
      <w:r w:rsidRPr="00050FA4">
        <w:rPr>
          <w:lang w:val="sq-AL"/>
        </w:rPr>
        <w:t xml:space="preserve"> në qershor 2020, nënshkruan një memorandum bashkëpunimi, për futjen në programin zyrtar statistikor të një sërë treguesish në fushën e kërkimit dhe zhvillimit. Të dhënat e para pritet të publikohen në mars 2022.</w:t>
      </w:r>
    </w:p>
    <w:p w14:paraId="64B70376" w14:textId="6C6D2807" w:rsidR="00BC7829" w:rsidRPr="00050FA4" w:rsidRDefault="00BC7829" w:rsidP="003F1DA7">
      <w:pPr>
        <w:pStyle w:val="AAAAAAATEXXXX"/>
        <w:rPr>
          <w:lang w:val="sq-AL"/>
        </w:rPr>
      </w:pPr>
      <w:r w:rsidRPr="00050FA4">
        <w:rPr>
          <w:lang w:val="sq-AL"/>
        </w:rPr>
        <w:t xml:space="preserve">Referuar Raportit të Komisionit Evropian për Shqipërinë 2021, Shqipëria ka një nivel përgatitjeje në fushën e shkencës dhe </w:t>
      </w:r>
      <w:r w:rsidR="00C86F3F" w:rsidRPr="00050FA4">
        <w:rPr>
          <w:lang w:val="sq-AL"/>
        </w:rPr>
        <w:t xml:space="preserve">të </w:t>
      </w:r>
      <w:r w:rsidRPr="00050FA4">
        <w:rPr>
          <w:lang w:val="sq-AL"/>
        </w:rPr>
        <w:t xml:space="preserve">kërkimit. Është bërë progres i mirë gjatë periudhës raportuese, veçanërisht me përfundimin e fazës së analizës sasiore të Strategjisë së Specializimit të zgjuar (S3), në përmirësimin e mëtejshëm të pjesëmarrjes në Horizon 2020, në arritjen e diasporës dhe në bashkëpunimin e biznesit akademik. U hartua një udhërrëfyes për procesin S3, në bashkëpunim me Komisionin Evropian. Për sa </w:t>
      </w:r>
      <w:r w:rsidR="00E67ECA" w:rsidRPr="00050FA4">
        <w:rPr>
          <w:lang w:val="sq-AL"/>
        </w:rPr>
        <w:t>u</w:t>
      </w:r>
      <w:r w:rsidRPr="00050FA4">
        <w:rPr>
          <w:lang w:val="sq-AL"/>
        </w:rPr>
        <w:t xml:space="preserve"> përket programeve kuadër të BE-së, Shqipëria merr pjesë në Horizon 2020 si vend i asociuar. Pjesëmarrja </w:t>
      </w:r>
      <w:r w:rsidRPr="00050FA4">
        <w:rPr>
          <w:lang w:val="sq-AL"/>
        </w:rPr>
        <w:lastRenderedPageBreak/>
        <w:t xml:space="preserve">e saj në Horizon 2020 është përmirësuar dhe tregon një rezultat shumë të mirë për vitin 2020, megjithatë shkalla e përgjithshme e suksesit të saj vazhdon të jetë e ulët. Shkalla e suksesit të propozimeve me pjesëmarrjen shqiptare është 8,7 % (nga 7,8 % që ishte vitin e kaluar) krahasuar me 12,1 % përqindjen e suksesit të Horizon 2020. Agjencia Kombëtare e Kërkimit Shkencor dhe Inovacionit (NASRI) vazhdoi përpjekjet e saj për të rritur ndërgjegjësimin mbi mundësitë e financimit të Horizont. Duhet të zbatohen masa të shtuara për të rritur ndërgjegjësimin për pjesëmarrjen në </w:t>
      </w:r>
      <w:r w:rsidR="000C71F9" w:rsidRPr="00050FA4">
        <w:rPr>
          <w:i/>
          <w:lang w:val="sq-AL"/>
        </w:rPr>
        <w:t>Horizon Europe</w:t>
      </w:r>
      <w:r w:rsidRPr="00050FA4">
        <w:rPr>
          <w:lang w:val="sq-AL"/>
        </w:rPr>
        <w:t>.</w:t>
      </w:r>
    </w:p>
    <w:p w14:paraId="6D3D7E91" w14:textId="77777777" w:rsidR="00BC7829" w:rsidRPr="00050FA4" w:rsidRDefault="00BC7829" w:rsidP="003F1DA7">
      <w:pPr>
        <w:pStyle w:val="AAAAAAATEXXXX"/>
        <w:rPr>
          <w:lang w:val="sq-AL"/>
        </w:rPr>
      </w:pPr>
      <w:r w:rsidRPr="00050FA4">
        <w:rPr>
          <w:lang w:val="sq-AL"/>
        </w:rPr>
        <w:t>Megjithatë, rekomandimet e vitit të kaluar nuk janë adresuar plotësisht dhe për këtë arsye mbeten të vlefshme. Në vitin e ardhshëm, vendi duhet në veçanti:</w:t>
      </w:r>
    </w:p>
    <w:p w14:paraId="5A57552D" w14:textId="7134484B" w:rsidR="00BC7829" w:rsidRPr="00050FA4" w:rsidRDefault="00F7539C" w:rsidP="003F1DA7">
      <w:pPr>
        <w:pStyle w:val="AAAAAAATEXXXX"/>
        <w:rPr>
          <w:lang w:val="sq-AL"/>
        </w:rPr>
      </w:pPr>
      <w:r w:rsidRPr="00050FA4">
        <w:rPr>
          <w:lang w:val="sq-AL"/>
        </w:rPr>
        <w:t xml:space="preserve">- </w:t>
      </w:r>
      <w:r w:rsidR="00BC7829" w:rsidRPr="00050FA4">
        <w:rPr>
          <w:lang w:val="sq-AL"/>
        </w:rPr>
        <w:t>rritja e investimeve në kërkime, në përputhje me angazhimet e veta dhe prioritetet e zonës evropiane të kërkimit;</w:t>
      </w:r>
    </w:p>
    <w:p w14:paraId="73C4DA49" w14:textId="7DC651E4" w:rsidR="00BC7829" w:rsidRPr="00050FA4" w:rsidRDefault="00F7539C" w:rsidP="003F1DA7">
      <w:pPr>
        <w:pStyle w:val="AAAAAAATEXXXX"/>
        <w:rPr>
          <w:lang w:val="sq-AL"/>
        </w:rPr>
      </w:pPr>
      <w:r w:rsidRPr="00050FA4">
        <w:rPr>
          <w:lang w:val="sq-AL"/>
        </w:rPr>
        <w:t xml:space="preserve">- </w:t>
      </w:r>
      <w:r w:rsidR="00BC7829" w:rsidRPr="00050FA4">
        <w:rPr>
          <w:lang w:val="sq-AL"/>
        </w:rPr>
        <w:t xml:space="preserve">vazhdimi i zhvillimit të Strategjisë së Specializimit </w:t>
      </w:r>
      <w:r w:rsidR="00BC7829" w:rsidRPr="00050FA4">
        <w:rPr>
          <w:i/>
          <w:lang w:val="sq-AL"/>
        </w:rPr>
        <w:t>Smart</w:t>
      </w:r>
      <w:r w:rsidR="00BC7829" w:rsidRPr="00050FA4">
        <w:rPr>
          <w:lang w:val="sq-AL"/>
        </w:rPr>
        <w:t>;</w:t>
      </w:r>
    </w:p>
    <w:p w14:paraId="043871A6" w14:textId="4AF4338B" w:rsidR="00BC7829" w:rsidRPr="00050FA4" w:rsidRDefault="00F7539C" w:rsidP="003F1DA7">
      <w:pPr>
        <w:pStyle w:val="AAAAAAATEXXXX"/>
        <w:rPr>
          <w:lang w:val="sq-AL"/>
        </w:rPr>
      </w:pPr>
      <w:r w:rsidRPr="00050FA4">
        <w:rPr>
          <w:lang w:val="sq-AL"/>
        </w:rPr>
        <w:t xml:space="preserve">- </w:t>
      </w:r>
      <w:r w:rsidR="00BC7829" w:rsidRPr="00050FA4">
        <w:rPr>
          <w:lang w:val="sq-AL"/>
        </w:rPr>
        <w:t xml:space="preserve">siguron shoqërim dhe pjesëmarrje në kohë në </w:t>
      </w:r>
      <w:r w:rsidR="000C71F9" w:rsidRPr="00050FA4">
        <w:rPr>
          <w:i/>
          <w:lang w:val="sq-AL"/>
        </w:rPr>
        <w:t>Horizon Europe</w:t>
      </w:r>
      <w:r w:rsidR="00BC7829" w:rsidRPr="00050FA4">
        <w:rPr>
          <w:lang w:val="sq-AL"/>
        </w:rPr>
        <w:t>.</w:t>
      </w:r>
    </w:p>
    <w:p w14:paraId="2160EDC2" w14:textId="71C346A6" w:rsidR="00BC7829" w:rsidRPr="00050FA4" w:rsidRDefault="00F7539C" w:rsidP="003F1DA7">
      <w:pPr>
        <w:pStyle w:val="AAAAAAATEXXXX"/>
        <w:rPr>
          <w:lang w:val="sq-AL"/>
        </w:rPr>
      </w:pPr>
      <w:r w:rsidRPr="00050FA4">
        <w:rPr>
          <w:lang w:val="sq-AL"/>
        </w:rPr>
        <w:t xml:space="preserve">- </w:t>
      </w:r>
      <w:r w:rsidR="00BC7829" w:rsidRPr="00050FA4">
        <w:rPr>
          <w:lang w:val="sq-AL"/>
        </w:rPr>
        <w:t>Qëllimi i masës është zhvillimi i infrastrukturës së kërkimit dhe inovacionit, aktivizimi i burimeve financiare publike dhe private</w:t>
      </w:r>
      <w:r w:rsidR="00620FC3" w:rsidRPr="00050FA4">
        <w:rPr>
          <w:lang w:val="sq-AL"/>
        </w:rPr>
        <w:t>,</w:t>
      </w:r>
      <w:r w:rsidR="00BC7829" w:rsidRPr="00050FA4">
        <w:rPr>
          <w:lang w:val="sq-AL"/>
        </w:rPr>
        <w:t xml:space="preserve"> që mbështesin kërkimin shkencor dhe promovojnë kërkuesit shkencorë. Për më tepër, ai synon të rrisë bashkëpunimin midis studiuesve dhe komunitetit të biznesit që mbështesin krijimin e vendeve të punës dhe zhvillimin ekonomik të vendit. Masa përfshin nisma ligjore që do të zhvillohen gjatë periudhës 2022</w:t>
      </w:r>
      <w:r w:rsidR="00620FC3" w:rsidRPr="00050FA4">
        <w:rPr>
          <w:lang w:val="sq-AL"/>
        </w:rPr>
        <w:t>–</w:t>
      </w:r>
      <w:r w:rsidR="00BC7829" w:rsidRPr="00050FA4">
        <w:rPr>
          <w:lang w:val="sq-AL"/>
        </w:rPr>
        <w:t>2024; aktivitetet në lidhje me përmirësimin e infrastrukturës kërkimore; aktivitete promovuese për programet shkencore evropiane; investimet për të mbështetur kërkimin e lidhur ngushtë me zhvillimin ekonomik të vendit; aktivitetet e promovimit të kapitalit njerëzor</w:t>
      </w:r>
      <w:r w:rsidR="00577E94" w:rsidRPr="00050FA4">
        <w:rPr>
          <w:lang w:val="sq-AL"/>
        </w:rPr>
        <w:t xml:space="preserve"> etj</w:t>
      </w:r>
      <w:r w:rsidR="00BC7829" w:rsidRPr="00050FA4">
        <w:rPr>
          <w:lang w:val="sq-AL"/>
        </w:rPr>
        <w:t xml:space="preserve">. Kjo masë lidhet me </w:t>
      </w:r>
      <w:r w:rsidR="00AA14B6" w:rsidRPr="00050FA4">
        <w:rPr>
          <w:lang w:val="sq-AL"/>
        </w:rPr>
        <w:t>kriteret ekonomike</w:t>
      </w:r>
      <w:r w:rsidR="00BC7829" w:rsidRPr="00050FA4">
        <w:rPr>
          <w:lang w:val="sq-AL"/>
        </w:rPr>
        <w:t>, për të qenë konkurrues në BE, gjë që kërkon një sasi të mjaftueshme kapitali njerëzor, arsim, kërkim, inovacion dhe zhvillime të ardhshme në këtë fushë.</w:t>
      </w:r>
    </w:p>
    <w:p w14:paraId="330F6DB8" w14:textId="4BD9FD93" w:rsidR="00BC7829" w:rsidRPr="00050FA4" w:rsidRDefault="00F7539C" w:rsidP="003F1DA7">
      <w:pPr>
        <w:pStyle w:val="AAAAAAATEXXXX"/>
        <w:rPr>
          <w:lang w:val="sq-AL"/>
        </w:rPr>
      </w:pPr>
      <w:r w:rsidRPr="00050FA4">
        <w:rPr>
          <w:lang w:val="sq-AL"/>
        </w:rPr>
        <w:t xml:space="preserve">- </w:t>
      </w:r>
      <w:r w:rsidR="00BC7829" w:rsidRPr="00050FA4">
        <w:rPr>
          <w:lang w:val="sq-AL"/>
        </w:rPr>
        <w:t>një sasi dhe cilësi të mjaftueshme të kapitalit fizik dhe infrastrukturës.</w:t>
      </w:r>
    </w:p>
    <w:p w14:paraId="70F7218D" w14:textId="2046BB2F" w:rsidR="00BC7829" w:rsidRPr="00050FA4" w:rsidRDefault="00F7539C" w:rsidP="003F1DA7">
      <w:pPr>
        <w:pStyle w:val="AAAAAAATEXXXX"/>
        <w:rPr>
          <w:lang w:val="sq-AL"/>
        </w:rPr>
      </w:pPr>
      <w:r w:rsidRPr="00050FA4">
        <w:rPr>
          <w:lang w:val="sq-AL"/>
        </w:rPr>
        <w:t xml:space="preserve">- </w:t>
      </w:r>
      <w:r w:rsidR="00BC7829" w:rsidRPr="00050FA4">
        <w:rPr>
          <w:lang w:val="sq-AL"/>
        </w:rPr>
        <w:t>ndryshimet në strukturën e sektorit dhe të ndërmarrjeve në ekonomi, duke përfshirë rolin e NVM</w:t>
      </w:r>
      <w:r w:rsidR="00AA14B6" w:rsidRPr="00050FA4">
        <w:rPr>
          <w:lang w:val="sq-AL"/>
        </w:rPr>
        <w:t>-së</w:t>
      </w:r>
      <w:r w:rsidR="00BC7829" w:rsidRPr="00050FA4">
        <w:rPr>
          <w:lang w:val="sq-AL"/>
        </w:rPr>
        <w:t>.</w:t>
      </w:r>
    </w:p>
    <w:p w14:paraId="56DCFF35" w14:textId="3352E7DF" w:rsidR="00DB22AB" w:rsidRPr="00050FA4" w:rsidRDefault="00F7539C" w:rsidP="003F1DA7">
      <w:pPr>
        <w:pStyle w:val="AAAAAAATEXXXX"/>
        <w:rPr>
          <w:b/>
          <w:lang w:val="sq-AL"/>
        </w:rPr>
      </w:pPr>
      <w:r w:rsidRPr="00050FA4">
        <w:rPr>
          <w:b/>
          <w:lang w:val="sq-AL"/>
        </w:rPr>
        <w:t>a</w:t>
      </w:r>
      <w:r w:rsidR="00DB4B15" w:rsidRPr="00050FA4">
        <w:rPr>
          <w:b/>
          <w:lang w:val="sq-AL"/>
        </w:rPr>
        <w:t>)</w:t>
      </w:r>
      <w:r w:rsidRPr="00050FA4">
        <w:rPr>
          <w:b/>
          <w:lang w:val="sq-AL"/>
        </w:rPr>
        <w:t xml:space="preserve"> </w:t>
      </w:r>
      <w:r w:rsidR="00B2062A" w:rsidRPr="00050FA4">
        <w:rPr>
          <w:b/>
          <w:lang w:val="sq-AL"/>
        </w:rPr>
        <w:t xml:space="preserve">Aktivitete të planifikuara </w:t>
      </w:r>
      <w:r w:rsidR="00AA14B6" w:rsidRPr="00050FA4">
        <w:rPr>
          <w:b/>
          <w:lang w:val="sq-AL"/>
        </w:rPr>
        <w:t>m</w:t>
      </w:r>
      <w:r w:rsidR="00B2062A" w:rsidRPr="00050FA4">
        <w:rPr>
          <w:b/>
          <w:lang w:val="sq-AL"/>
        </w:rPr>
        <w:t>ë</w:t>
      </w:r>
      <w:r w:rsidR="00DB22AB" w:rsidRPr="00050FA4">
        <w:rPr>
          <w:b/>
          <w:lang w:val="sq-AL"/>
        </w:rPr>
        <w:t xml:space="preserve"> 2022</w:t>
      </w:r>
      <w:r w:rsidR="00AA14B6" w:rsidRPr="00050FA4">
        <w:rPr>
          <w:b/>
          <w:lang w:val="sq-AL"/>
        </w:rPr>
        <w:t>-shin</w:t>
      </w:r>
    </w:p>
    <w:p w14:paraId="72A6D5E5" w14:textId="33716776" w:rsidR="00BC7829" w:rsidRPr="00050FA4" w:rsidRDefault="00F7539C" w:rsidP="003F1DA7">
      <w:pPr>
        <w:pStyle w:val="AAAAAAATEXXXX"/>
        <w:rPr>
          <w:lang w:val="sq-AL"/>
        </w:rPr>
      </w:pPr>
      <w:r w:rsidRPr="00050FA4">
        <w:rPr>
          <w:lang w:val="sq-AL"/>
        </w:rPr>
        <w:t>a</w:t>
      </w:r>
      <w:r w:rsidR="00DB4B15" w:rsidRPr="00050FA4">
        <w:rPr>
          <w:lang w:val="sq-AL"/>
        </w:rPr>
        <w:t>)</w:t>
      </w:r>
      <w:r w:rsidRPr="00050FA4">
        <w:rPr>
          <w:lang w:val="sq-AL"/>
        </w:rPr>
        <w:t xml:space="preserve"> </w:t>
      </w:r>
      <w:r w:rsidR="00BC7829" w:rsidRPr="00050FA4">
        <w:rPr>
          <w:lang w:val="sq-AL"/>
        </w:rPr>
        <w:t>Vazhdoni zhvillimin e Strategjisë së Specializimit të zgjuar (S3) dhe siguroni fillimin e zbatimit të saj. (MAS dhe grupi ndërinstitucional)</w:t>
      </w:r>
      <w:r w:rsidR="00AA14B6" w:rsidRPr="00050FA4">
        <w:rPr>
          <w:lang w:val="sq-AL"/>
        </w:rPr>
        <w:t>;</w:t>
      </w:r>
    </w:p>
    <w:p w14:paraId="32CCEB04" w14:textId="738CD809" w:rsidR="00BC7829" w:rsidRPr="00050FA4" w:rsidRDefault="00F7539C" w:rsidP="003F1DA7">
      <w:pPr>
        <w:pStyle w:val="AAAAAAATEXXXX"/>
        <w:rPr>
          <w:lang w:val="sq-AL"/>
        </w:rPr>
      </w:pPr>
      <w:r w:rsidRPr="00050FA4">
        <w:rPr>
          <w:lang w:val="sq-AL"/>
        </w:rPr>
        <w:t>b</w:t>
      </w:r>
      <w:r w:rsidR="00DB4B15" w:rsidRPr="00050FA4">
        <w:rPr>
          <w:lang w:val="sq-AL"/>
        </w:rPr>
        <w:t>)</w:t>
      </w:r>
      <w:r w:rsidRPr="00050FA4">
        <w:rPr>
          <w:lang w:val="sq-AL"/>
        </w:rPr>
        <w:t xml:space="preserve"> </w:t>
      </w:r>
      <w:r w:rsidR="00BC7829" w:rsidRPr="00050FA4">
        <w:rPr>
          <w:lang w:val="sq-AL"/>
        </w:rPr>
        <w:t>Rritja e bashkëpunimit dypalësh në fushën e teknologjisë, kërkimit shkencor dhe inovacionit ndërmjet institucioneve të arsimit të lartë në Shqipëri dhe atyre të huaja</w:t>
      </w:r>
      <w:r w:rsidR="00AA14B6" w:rsidRPr="00050FA4">
        <w:rPr>
          <w:lang w:val="sq-AL"/>
        </w:rPr>
        <w:t>;</w:t>
      </w:r>
    </w:p>
    <w:p w14:paraId="010F0215" w14:textId="6BAD56BE" w:rsidR="00BC7829" w:rsidRPr="00050FA4" w:rsidRDefault="00F7539C" w:rsidP="003F1DA7">
      <w:pPr>
        <w:pStyle w:val="AAAAAAATEXXXX"/>
        <w:rPr>
          <w:lang w:val="sq-AL"/>
        </w:rPr>
      </w:pPr>
      <w:r w:rsidRPr="00050FA4">
        <w:rPr>
          <w:lang w:val="sq-AL"/>
        </w:rPr>
        <w:t>c</w:t>
      </w:r>
      <w:r w:rsidR="00DB4B15" w:rsidRPr="00050FA4">
        <w:rPr>
          <w:lang w:val="sq-AL"/>
        </w:rPr>
        <w:t>)</w:t>
      </w:r>
      <w:r w:rsidRPr="00050FA4">
        <w:rPr>
          <w:lang w:val="sq-AL"/>
        </w:rPr>
        <w:t xml:space="preserve"> </w:t>
      </w:r>
      <w:r w:rsidR="00BC7829" w:rsidRPr="00050FA4">
        <w:rPr>
          <w:lang w:val="sq-AL"/>
        </w:rPr>
        <w:t>Infrastruktura kërkimore do të vazhdojë të mbështetet bazuar në monitorimin e performancës. (MAS dhe NASRI)</w:t>
      </w:r>
      <w:r w:rsidR="00AA14B6" w:rsidRPr="00050FA4">
        <w:rPr>
          <w:lang w:val="sq-AL"/>
        </w:rPr>
        <w:t>;</w:t>
      </w:r>
    </w:p>
    <w:p w14:paraId="532D730D" w14:textId="4B04283C" w:rsidR="00BC7829" w:rsidRPr="00050FA4" w:rsidRDefault="00F7539C" w:rsidP="003F1DA7">
      <w:pPr>
        <w:pStyle w:val="AAAAAAATEXXXX"/>
        <w:rPr>
          <w:lang w:val="sq-AL"/>
        </w:rPr>
      </w:pPr>
      <w:r w:rsidRPr="00050FA4">
        <w:rPr>
          <w:lang w:val="sq-AL"/>
        </w:rPr>
        <w:t>d</w:t>
      </w:r>
      <w:r w:rsidR="00DB4B15" w:rsidRPr="00050FA4">
        <w:rPr>
          <w:lang w:val="sq-AL"/>
        </w:rPr>
        <w:t>)</w:t>
      </w:r>
      <w:r w:rsidRPr="00050FA4">
        <w:rPr>
          <w:lang w:val="sq-AL"/>
        </w:rPr>
        <w:t xml:space="preserve"> </w:t>
      </w:r>
      <w:r w:rsidR="00BC7829" w:rsidRPr="00050FA4">
        <w:rPr>
          <w:lang w:val="sq-AL"/>
        </w:rPr>
        <w:t>Zbatimi i platformës së studiuesve shqiptarë përfshirë diasporën dhe ndërgjegjësimi për të. Përgatitja e udhëzimeve se si studiuesit në vende të bashkëpunojnë me ata në diasporë</w:t>
      </w:r>
      <w:r w:rsidR="00AA14B6" w:rsidRPr="00050FA4">
        <w:rPr>
          <w:lang w:val="sq-AL"/>
        </w:rPr>
        <w:t>;</w:t>
      </w:r>
    </w:p>
    <w:p w14:paraId="6CE5E6AD" w14:textId="79886F38" w:rsidR="00BC7829" w:rsidRPr="00050FA4" w:rsidRDefault="00F7539C" w:rsidP="003F1DA7">
      <w:pPr>
        <w:pStyle w:val="AAAAAAATEXXXX"/>
        <w:rPr>
          <w:lang w:val="sq-AL"/>
        </w:rPr>
      </w:pPr>
      <w:r w:rsidRPr="00050FA4">
        <w:rPr>
          <w:lang w:val="sq-AL"/>
        </w:rPr>
        <w:t>e</w:t>
      </w:r>
      <w:r w:rsidR="00DB4B15" w:rsidRPr="00050FA4">
        <w:rPr>
          <w:lang w:val="sq-AL"/>
        </w:rPr>
        <w:t>)</w:t>
      </w:r>
      <w:r w:rsidRPr="00050FA4">
        <w:rPr>
          <w:lang w:val="sq-AL"/>
        </w:rPr>
        <w:t xml:space="preserve"> </w:t>
      </w:r>
      <w:r w:rsidR="00BC7829" w:rsidRPr="00050FA4">
        <w:rPr>
          <w:lang w:val="sq-AL"/>
        </w:rPr>
        <w:t>Vlerësoni punën e rrjetit NCP H2020 dhe mbështesni ata për pjesëmarrje në takime kombëtare/</w:t>
      </w:r>
      <w:r w:rsidR="00AA14B6" w:rsidRPr="00050FA4">
        <w:rPr>
          <w:lang w:val="sq-AL"/>
        </w:rPr>
        <w:t xml:space="preserve"> </w:t>
      </w:r>
      <w:r w:rsidR="00BC7829" w:rsidRPr="00050FA4">
        <w:rPr>
          <w:lang w:val="sq-AL"/>
        </w:rPr>
        <w:t>ndërkombëtare.</w:t>
      </w:r>
    </w:p>
    <w:p w14:paraId="0F21D4CE" w14:textId="0440DF50" w:rsidR="00BC7829" w:rsidRPr="00050FA4" w:rsidRDefault="00F7539C" w:rsidP="003F1DA7">
      <w:pPr>
        <w:pStyle w:val="AAAAAAATEXXXX"/>
        <w:rPr>
          <w:lang w:val="sq-AL"/>
        </w:rPr>
      </w:pPr>
      <w:r w:rsidRPr="00050FA4">
        <w:rPr>
          <w:lang w:val="sq-AL"/>
        </w:rPr>
        <w:t>f</w:t>
      </w:r>
      <w:r w:rsidR="00DB4B15" w:rsidRPr="00050FA4">
        <w:rPr>
          <w:lang w:val="sq-AL"/>
        </w:rPr>
        <w:t>)</w:t>
      </w:r>
      <w:r w:rsidRPr="00050FA4">
        <w:rPr>
          <w:lang w:val="sq-AL"/>
        </w:rPr>
        <w:t xml:space="preserve"> </w:t>
      </w:r>
      <w:r w:rsidR="00BC7829" w:rsidRPr="00050FA4">
        <w:rPr>
          <w:lang w:val="sq-AL"/>
        </w:rPr>
        <w:t xml:space="preserve">Mbështetni pjesëmarrjen në </w:t>
      </w:r>
      <w:r w:rsidR="00AA14B6" w:rsidRPr="00050FA4">
        <w:rPr>
          <w:lang w:val="sq-AL"/>
        </w:rPr>
        <w:t xml:space="preserve">komitetet </w:t>
      </w:r>
      <w:r w:rsidR="00BC7829" w:rsidRPr="00050FA4">
        <w:rPr>
          <w:lang w:val="sq-AL"/>
        </w:rPr>
        <w:t>e ERA-s dhe parashikoni ndryshimet e nevojshme ligjore për zbatimin e prioriteteve dhe parimeve të ERA-s (AKKSHI dhe MASH).</w:t>
      </w:r>
    </w:p>
    <w:p w14:paraId="7BB6F401" w14:textId="1EB1EE7A" w:rsidR="00BC7829" w:rsidRPr="00050FA4" w:rsidRDefault="00F7539C" w:rsidP="003F1DA7">
      <w:pPr>
        <w:pStyle w:val="AAAAAAATEXXXX"/>
        <w:rPr>
          <w:lang w:val="sq-AL"/>
        </w:rPr>
      </w:pPr>
      <w:r w:rsidRPr="00050FA4">
        <w:rPr>
          <w:lang w:val="sq-AL"/>
        </w:rPr>
        <w:t>g</w:t>
      </w:r>
      <w:r w:rsidR="00DB4B15" w:rsidRPr="00050FA4">
        <w:rPr>
          <w:lang w:val="sq-AL"/>
        </w:rPr>
        <w:t>)</w:t>
      </w:r>
      <w:r w:rsidRPr="00050FA4">
        <w:rPr>
          <w:lang w:val="sq-AL"/>
        </w:rPr>
        <w:t xml:space="preserve"> </w:t>
      </w:r>
      <w:r w:rsidR="00BC7829" w:rsidRPr="00050FA4">
        <w:rPr>
          <w:lang w:val="sq-AL"/>
        </w:rPr>
        <w:t xml:space="preserve">Të prodhojë statistika dhe të dhëna të besueshme për shkencën dhe teknologjinë, duke përfshirë treguesin mbi shpenzimet e brendshme bruto për </w:t>
      </w:r>
      <w:r w:rsidR="00AA14B6" w:rsidRPr="00050FA4">
        <w:rPr>
          <w:lang w:val="sq-AL"/>
        </w:rPr>
        <w:t xml:space="preserve">kërkimin dhe inovacionin </w:t>
      </w:r>
      <w:r w:rsidR="00BC7829" w:rsidRPr="00050FA4">
        <w:rPr>
          <w:lang w:val="sq-AL"/>
        </w:rPr>
        <w:t>(NASRI dhe Instituti i Statistikave).</w:t>
      </w:r>
    </w:p>
    <w:p w14:paraId="258CF4A0" w14:textId="5A2F993E" w:rsidR="00DB22AB" w:rsidRPr="00050FA4" w:rsidRDefault="00F7539C" w:rsidP="003F1DA7">
      <w:pPr>
        <w:pStyle w:val="AAAAAAATEXXXX"/>
        <w:rPr>
          <w:b/>
          <w:lang w:val="sq-AL"/>
        </w:rPr>
      </w:pPr>
      <w:r w:rsidRPr="00050FA4">
        <w:rPr>
          <w:b/>
          <w:lang w:val="sq-AL"/>
        </w:rPr>
        <w:t>b</w:t>
      </w:r>
      <w:r w:rsidR="00DB4B15" w:rsidRPr="00050FA4">
        <w:rPr>
          <w:b/>
          <w:lang w:val="sq-AL"/>
        </w:rPr>
        <w:t>)</w:t>
      </w:r>
      <w:r w:rsidRPr="00050FA4">
        <w:rPr>
          <w:b/>
          <w:lang w:val="sq-AL"/>
        </w:rPr>
        <w:t xml:space="preserve"> </w:t>
      </w:r>
      <w:r w:rsidR="00B2062A" w:rsidRPr="00050FA4">
        <w:rPr>
          <w:b/>
          <w:lang w:val="sq-AL"/>
        </w:rPr>
        <w:t xml:space="preserve">Aktivitete të planifikuara </w:t>
      </w:r>
      <w:r w:rsidR="00AA14B6" w:rsidRPr="00050FA4">
        <w:rPr>
          <w:b/>
          <w:lang w:val="sq-AL"/>
        </w:rPr>
        <w:t>m</w:t>
      </w:r>
      <w:r w:rsidR="00B2062A" w:rsidRPr="00050FA4">
        <w:rPr>
          <w:b/>
          <w:lang w:val="sq-AL"/>
        </w:rPr>
        <w:t>ë</w:t>
      </w:r>
      <w:r w:rsidR="00DB22AB" w:rsidRPr="00050FA4">
        <w:rPr>
          <w:b/>
          <w:lang w:val="sq-AL"/>
        </w:rPr>
        <w:t xml:space="preserve"> 2023</w:t>
      </w:r>
      <w:r w:rsidR="00AA14B6" w:rsidRPr="00050FA4">
        <w:rPr>
          <w:b/>
          <w:lang w:val="sq-AL"/>
        </w:rPr>
        <w:t>-shin</w:t>
      </w:r>
    </w:p>
    <w:p w14:paraId="7BD3E75F" w14:textId="2D57A958" w:rsidR="00BC7829" w:rsidRPr="00050FA4" w:rsidRDefault="00F7539C" w:rsidP="003F1DA7">
      <w:pPr>
        <w:pStyle w:val="AAAAAAATEXXXX"/>
        <w:rPr>
          <w:lang w:val="sq-AL"/>
        </w:rPr>
      </w:pPr>
      <w:r w:rsidRPr="00050FA4">
        <w:rPr>
          <w:lang w:val="sq-AL"/>
        </w:rPr>
        <w:t>a</w:t>
      </w:r>
      <w:r w:rsidR="00DB4B15" w:rsidRPr="00050FA4">
        <w:rPr>
          <w:lang w:val="sq-AL"/>
        </w:rPr>
        <w:t>)</w:t>
      </w:r>
      <w:r w:rsidRPr="00050FA4">
        <w:rPr>
          <w:lang w:val="sq-AL"/>
        </w:rPr>
        <w:t xml:space="preserve"> </w:t>
      </w:r>
      <w:r w:rsidR="00BC7829" w:rsidRPr="00050FA4">
        <w:rPr>
          <w:lang w:val="sq-AL"/>
        </w:rPr>
        <w:t xml:space="preserve">Miratimi dhe fillimi i zbatimit të Strategjisë së Specializimit </w:t>
      </w:r>
      <w:r w:rsidR="00BC7829" w:rsidRPr="00050FA4">
        <w:rPr>
          <w:i/>
          <w:lang w:val="sq-AL"/>
        </w:rPr>
        <w:t>Smart</w:t>
      </w:r>
      <w:r w:rsidR="00174974" w:rsidRPr="00050FA4">
        <w:rPr>
          <w:lang w:val="sq-AL"/>
        </w:rPr>
        <w:t>;</w:t>
      </w:r>
    </w:p>
    <w:p w14:paraId="15264E72" w14:textId="1CB33053" w:rsidR="00BC7829" w:rsidRPr="00050FA4" w:rsidRDefault="00F7539C" w:rsidP="003F1DA7">
      <w:pPr>
        <w:pStyle w:val="AAAAAAATEXXXX"/>
        <w:rPr>
          <w:lang w:val="sq-AL"/>
        </w:rPr>
      </w:pPr>
      <w:r w:rsidRPr="00050FA4">
        <w:rPr>
          <w:lang w:val="sq-AL"/>
        </w:rPr>
        <w:t>b</w:t>
      </w:r>
      <w:r w:rsidR="00DB4B15" w:rsidRPr="00050FA4">
        <w:rPr>
          <w:lang w:val="sq-AL"/>
        </w:rPr>
        <w:t>)</w:t>
      </w:r>
      <w:r w:rsidRPr="00050FA4">
        <w:rPr>
          <w:lang w:val="sq-AL"/>
        </w:rPr>
        <w:t xml:space="preserve"> </w:t>
      </w:r>
      <w:r w:rsidR="00BC7829" w:rsidRPr="00050FA4">
        <w:rPr>
          <w:lang w:val="sq-AL"/>
        </w:rPr>
        <w:t>Hartimi dhe miratimi i strategjisë së re kombëtare të teknologjisë, kërkimit dhe inovacionit;</w:t>
      </w:r>
    </w:p>
    <w:p w14:paraId="7458199A" w14:textId="17086838" w:rsidR="00BC7829" w:rsidRPr="00050FA4" w:rsidRDefault="00F7539C" w:rsidP="003F1DA7">
      <w:pPr>
        <w:pStyle w:val="AAAAAAATEXXXX"/>
        <w:rPr>
          <w:lang w:val="sq-AL"/>
        </w:rPr>
      </w:pPr>
      <w:r w:rsidRPr="00050FA4">
        <w:rPr>
          <w:lang w:val="sq-AL"/>
        </w:rPr>
        <w:t>c</w:t>
      </w:r>
      <w:r w:rsidR="00DB4B15" w:rsidRPr="00050FA4">
        <w:rPr>
          <w:lang w:val="sq-AL"/>
        </w:rPr>
        <w:t>)</w:t>
      </w:r>
      <w:r w:rsidRPr="00050FA4">
        <w:rPr>
          <w:lang w:val="sq-AL"/>
        </w:rPr>
        <w:t xml:space="preserve"> </w:t>
      </w:r>
      <w:r w:rsidR="00BC7829" w:rsidRPr="00050FA4">
        <w:rPr>
          <w:lang w:val="sq-AL"/>
        </w:rPr>
        <w:t>Hartimi dhe miratimi i ligjit të ri për kërkimin shkencor dhe inovacionin</w:t>
      </w:r>
      <w:r w:rsidR="00174974" w:rsidRPr="00050FA4">
        <w:rPr>
          <w:lang w:val="sq-AL"/>
        </w:rPr>
        <w:t>;</w:t>
      </w:r>
    </w:p>
    <w:p w14:paraId="778715D5" w14:textId="3892D841" w:rsidR="00BC7829" w:rsidRPr="00050FA4" w:rsidRDefault="00F7539C" w:rsidP="003F1DA7">
      <w:pPr>
        <w:pStyle w:val="AAAAAAATEXXXX"/>
        <w:rPr>
          <w:lang w:val="sq-AL"/>
        </w:rPr>
      </w:pPr>
      <w:r w:rsidRPr="00050FA4">
        <w:rPr>
          <w:lang w:val="sq-AL"/>
        </w:rPr>
        <w:t>d</w:t>
      </w:r>
      <w:r w:rsidR="00DB4B15" w:rsidRPr="00050FA4">
        <w:rPr>
          <w:lang w:val="sq-AL"/>
        </w:rPr>
        <w:t>)</w:t>
      </w:r>
      <w:r w:rsidRPr="00050FA4">
        <w:rPr>
          <w:lang w:val="sq-AL"/>
        </w:rPr>
        <w:t xml:space="preserve"> </w:t>
      </w:r>
      <w:r w:rsidR="00BC7829" w:rsidRPr="00050FA4">
        <w:rPr>
          <w:lang w:val="sq-AL"/>
        </w:rPr>
        <w:t>Zhvillimi i një metodologjie të qartë për krijimin e fondeve për kërkimin dhe shkencën</w:t>
      </w:r>
      <w:r w:rsidR="00174974" w:rsidRPr="00050FA4">
        <w:rPr>
          <w:lang w:val="sq-AL"/>
        </w:rPr>
        <w:t>;</w:t>
      </w:r>
    </w:p>
    <w:p w14:paraId="40961553" w14:textId="06C3505A" w:rsidR="00BC7829" w:rsidRPr="00050FA4" w:rsidRDefault="00F7539C" w:rsidP="003F1DA7">
      <w:pPr>
        <w:pStyle w:val="AAAAAAATEXXXX"/>
        <w:rPr>
          <w:i/>
          <w:lang w:val="sq-AL"/>
        </w:rPr>
      </w:pPr>
      <w:r w:rsidRPr="00050FA4">
        <w:rPr>
          <w:lang w:val="sq-AL"/>
        </w:rPr>
        <w:t>e</w:t>
      </w:r>
      <w:r w:rsidR="00DB4B15" w:rsidRPr="00050FA4">
        <w:rPr>
          <w:lang w:val="sq-AL"/>
        </w:rPr>
        <w:t>)</w:t>
      </w:r>
      <w:r w:rsidRPr="00050FA4">
        <w:rPr>
          <w:lang w:val="sq-AL"/>
        </w:rPr>
        <w:t xml:space="preserve"> </w:t>
      </w:r>
      <w:r w:rsidR="00BC7829" w:rsidRPr="00050FA4">
        <w:rPr>
          <w:lang w:val="sq-AL"/>
        </w:rPr>
        <w:t xml:space="preserve">Projektet e inovacionit do të mbështeten dhe financohen nëse në thelb kanë bashkëpunimin midis </w:t>
      </w:r>
      <w:r w:rsidR="00174974" w:rsidRPr="00050FA4">
        <w:rPr>
          <w:lang w:val="sq-AL"/>
        </w:rPr>
        <w:t xml:space="preserve">shkencës </w:t>
      </w:r>
      <w:r w:rsidR="00BC7829" w:rsidRPr="00050FA4">
        <w:rPr>
          <w:lang w:val="sq-AL"/>
        </w:rPr>
        <w:t>(</w:t>
      </w:r>
      <w:r w:rsidR="00DB4B15" w:rsidRPr="00050FA4">
        <w:rPr>
          <w:lang w:val="sq-AL"/>
        </w:rPr>
        <w:t>universiteteve</w:t>
      </w:r>
      <w:r w:rsidR="00BC7829" w:rsidRPr="00050FA4">
        <w:rPr>
          <w:lang w:val="sq-AL"/>
        </w:rPr>
        <w:t xml:space="preserve">) dhe </w:t>
      </w:r>
      <w:r w:rsidR="00174974" w:rsidRPr="00050FA4">
        <w:rPr>
          <w:lang w:val="sq-AL"/>
        </w:rPr>
        <w:t>biznesit</w:t>
      </w:r>
      <w:r w:rsidR="00BC7829" w:rsidRPr="00050FA4">
        <w:rPr>
          <w:lang w:val="sq-AL"/>
        </w:rPr>
        <w:t>, duke promovuar modele të reja</w:t>
      </w:r>
      <w:r w:rsidR="00D449A8" w:rsidRPr="00050FA4">
        <w:rPr>
          <w:lang w:val="sq-AL"/>
        </w:rPr>
        <w:t>,</w:t>
      </w:r>
      <w:r w:rsidR="00BC7829" w:rsidRPr="00050FA4">
        <w:rPr>
          <w:lang w:val="sq-AL"/>
        </w:rPr>
        <w:t xml:space="preserve"> si </w:t>
      </w:r>
      <w:r w:rsidR="00BC7829" w:rsidRPr="00050FA4">
        <w:rPr>
          <w:i/>
          <w:lang w:val="sq-AL"/>
        </w:rPr>
        <w:t>hackathons</w:t>
      </w:r>
      <w:r w:rsidR="00BC7829" w:rsidRPr="00050FA4">
        <w:rPr>
          <w:lang w:val="sq-AL"/>
        </w:rPr>
        <w:t xml:space="preserve"> dhe </w:t>
      </w:r>
      <w:r w:rsidR="00BC7829" w:rsidRPr="00050FA4">
        <w:rPr>
          <w:i/>
          <w:lang w:val="sq-AL"/>
        </w:rPr>
        <w:t>triple-helix</w:t>
      </w:r>
      <w:r w:rsidR="00174974" w:rsidRPr="00050FA4">
        <w:rPr>
          <w:i/>
          <w:lang w:val="sq-AL"/>
        </w:rPr>
        <w:t>;</w:t>
      </w:r>
    </w:p>
    <w:p w14:paraId="50A88A05" w14:textId="403FD50A" w:rsidR="00BC7829" w:rsidRPr="00050FA4" w:rsidRDefault="00F7539C" w:rsidP="003F1DA7">
      <w:pPr>
        <w:pStyle w:val="AAAAAAATEXXXX"/>
        <w:rPr>
          <w:lang w:val="sq-AL"/>
        </w:rPr>
      </w:pPr>
      <w:r w:rsidRPr="00050FA4">
        <w:rPr>
          <w:lang w:val="sq-AL"/>
        </w:rPr>
        <w:t>f</w:t>
      </w:r>
      <w:r w:rsidR="00DB4B15" w:rsidRPr="00050FA4">
        <w:rPr>
          <w:lang w:val="sq-AL"/>
        </w:rPr>
        <w:t>)</w:t>
      </w:r>
      <w:r w:rsidRPr="00050FA4">
        <w:rPr>
          <w:lang w:val="sq-AL"/>
        </w:rPr>
        <w:t xml:space="preserve"> </w:t>
      </w:r>
      <w:r w:rsidR="00BC7829" w:rsidRPr="00050FA4">
        <w:rPr>
          <w:lang w:val="sq-AL"/>
        </w:rPr>
        <w:t>Përgatitja e kornizës ligjore për të mbështetur komp</w:t>
      </w:r>
      <w:r w:rsidR="00174974" w:rsidRPr="00050FA4">
        <w:rPr>
          <w:lang w:val="sq-AL"/>
        </w:rPr>
        <w:t xml:space="preserve">anitë që investojnë në kërkime </w:t>
      </w:r>
      <w:r w:rsidR="00BC7829" w:rsidRPr="00050FA4">
        <w:rPr>
          <w:lang w:val="sq-AL"/>
        </w:rPr>
        <w:t>(MASH dhe MFE)</w:t>
      </w:r>
      <w:r w:rsidR="00174974" w:rsidRPr="00050FA4">
        <w:rPr>
          <w:lang w:val="sq-AL"/>
        </w:rPr>
        <w:t>;</w:t>
      </w:r>
    </w:p>
    <w:p w14:paraId="6FB53B0A" w14:textId="1738F812" w:rsidR="00BC7829" w:rsidRPr="00050FA4" w:rsidRDefault="00F7539C" w:rsidP="003F1DA7">
      <w:pPr>
        <w:pStyle w:val="AAAAAAATEXXXX"/>
        <w:rPr>
          <w:lang w:val="sq-AL"/>
        </w:rPr>
      </w:pPr>
      <w:r w:rsidRPr="00050FA4">
        <w:rPr>
          <w:lang w:val="sq-AL"/>
        </w:rPr>
        <w:t>g</w:t>
      </w:r>
      <w:r w:rsidR="00DB4B15" w:rsidRPr="00050FA4">
        <w:rPr>
          <w:lang w:val="sq-AL"/>
        </w:rPr>
        <w:t>)</w:t>
      </w:r>
      <w:r w:rsidRPr="00050FA4">
        <w:rPr>
          <w:lang w:val="sq-AL"/>
        </w:rPr>
        <w:t xml:space="preserve"> </w:t>
      </w:r>
      <w:r w:rsidR="00BC7829" w:rsidRPr="00050FA4">
        <w:rPr>
          <w:lang w:val="sq-AL"/>
        </w:rPr>
        <w:t>Krijimi i qendrës së parë rajonale të ekselencës në Shqipëri (MASH dhe ZKM)</w:t>
      </w:r>
      <w:r w:rsidR="00AF7C79" w:rsidRPr="00050FA4">
        <w:rPr>
          <w:lang w:val="sq-AL"/>
        </w:rPr>
        <w:t>;</w:t>
      </w:r>
    </w:p>
    <w:p w14:paraId="1D559426" w14:textId="0B79B2AE" w:rsidR="00BC7829" w:rsidRPr="00050FA4" w:rsidRDefault="00F7539C" w:rsidP="003F1DA7">
      <w:pPr>
        <w:pStyle w:val="AAAAAAATEXXXX"/>
        <w:rPr>
          <w:lang w:val="sq-AL"/>
        </w:rPr>
      </w:pPr>
      <w:r w:rsidRPr="00050FA4">
        <w:rPr>
          <w:lang w:val="sq-AL"/>
        </w:rPr>
        <w:t>h</w:t>
      </w:r>
      <w:r w:rsidR="00DB4B15" w:rsidRPr="00050FA4">
        <w:rPr>
          <w:lang w:val="sq-AL"/>
        </w:rPr>
        <w:t>)</w:t>
      </w:r>
      <w:r w:rsidRPr="00050FA4">
        <w:rPr>
          <w:lang w:val="sq-AL"/>
        </w:rPr>
        <w:t xml:space="preserve"> </w:t>
      </w:r>
      <w:r w:rsidR="00BC7829" w:rsidRPr="00050FA4">
        <w:rPr>
          <w:lang w:val="sq-AL"/>
        </w:rPr>
        <w:t>Rritja e bashkëpunimit dypalësh në fushën e teknologjisë, kërkimit shkencor dhe inovacionit ndërmjet institucioneve të arsimit të lartë në Shqipëri dhe atyre të huaja</w:t>
      </w:r>
      <w:r w:rsidR="00AF7C79" w:rsidRPr="00050FA4">
        <w:rPr>
          <w:lang w:val="sq-AL"/>
        </w:rPr>
        <w:t>;</w:t>
      </w:r>
    </w:p>
    <w:p w14:paraId="02308465" w14:textId="4B421146" w:rsidR="00DB22AB" w:rsidRPr="00050FA4" w:rsidRDefault="00F7539C" w:rsidP="003F1DA7">
      <w:pPr>
        <w:pStyle w:val="AAAAAAATEXXXX"/>
        <w:rPr>
          <w:b/>
          <w:lang w:val="sq-AL"/>
        </w:rPr>
      </w:pPr>
      <w:r w:rsidRPr="00050FA4">
        <w:rPr>
          <w:b/>
          <w:lang w:val="sq-AL"/>
        </w:rPr>
        <w:t>c</w:t>
      </w:r>
      <w:r w:rsidR="00DB4B15" w:rsidRPr="00050FA4">
        <w:rPr>
          <w:b/>
          <w:lang w:val="sq-AL"/>
        </w:rPr>
        <w:t>)</w:t>
      </w:r>
      <w:r w:rsidRPr="00050FA4">
        <w:rPr>
          <w:b/>
          <w:lang w:val="sq-AL"/>
        </w:rPr>
        <w:t xml:space="preserve"> </w:t>
      </w:r>
      <w:r w:rsidR="00B2062A" w:rsidRPr="00050FA4">
        <w:rPr>
          <w:b/>
          <w:lang w:val="sq-AL"/>
        </w:rPr>
        <w:t xml:space="preserve">Aktivitete të planifikuara </w:t>
      </w:r>
      <w:r w:rsidR="00AA14B6" w:rsidRPr="00050FA4">
        <w:rPr>
          <w:b/>
          <w:lang w:val="sq-AL"/>
        </w:rPr>
        <w:t>m</w:t>
      </w:r>
      <w:r w:rsidR="00B2062A" w:rsidRPr="00050FA4">
        <w:rPr>
          <w:b/>
          <w:lang w:val="sq-AL"/>
        </w:rPr>
        <w:t>ë</w:t>
      </w:r>
      <w:r w:rsidR="00DB22AB" w:rsidRPr="00050FA4">
        <w:rPr>
          <w:b/>
          <w:lang w:val="sq-AL"/>
        </w:rPr>
        <w:t xml:space="preserve"> 2024</w:t>
      </w:r>
      <w:r w:rsidR="00AA14B6" w:rsidRPr="00050FA4">
        <w:rPr>
          <w:b/>
          <w:lang w:val="sq-AL"/>
        </w:rPr>
        <w:t>-ën</w:t>
      </w:r>
    </w:p>
    <w:p w14:paraId="621F7468" w14:textId="6435CEFC" w:rsidR="00BC7829" w:rsidRPr="00050FA4" w:rsidRDefault="00F7539C" w:rsidP="003F1DA7">
      <w:pPr>
        <w:pStyle w:val="AAAAAAATEXXXX"/>
        <w:rPr>
          <w:lang w:val="sq-AL"/>
        </w:rPr>
      </w:pPr>
      <w:r w:rsidRPr="00050FA4">
        <w:rPr>
          <w:lang w:val="sq-AL"/>
        </w:rPr>
        <w:t>a</w:t>
      </w:r>
      <w:r w:rsidR="00DB4B15" w:rsidRPr="00050FA4">
        <w:rPr>
          <w:lang w:val="sq-AL"/>
        </w:rPr>
        <w:t>)</w:t>
      </w:r>
      <w:r w:rsidRPr="00050FA4">
        <w:rPr>
          <w:lang w:val="sq-AL"/>
        </w:rPr>
        <w:t xml:space="preserve"> </w:t>
      </w:r>
      <w:r w:rsidR="00BC7829" w:rsidRPr="00050FA4">
        <w:rPr>
          <w:lang w:val="sq-AL"/>
        </w:rPr>
        <w:t>Kuadri i ri ligjor i kërkimit shkencor dhe inovacionit do të plotësohet me akte të reja nënligjore</w:t>
      </w:r>
      <w:r w:rsidR="00AF7C79" w:rsidRPr="00050FA4">
        <w:rPr>
          <w:lang w:val="sq-AL"/>
        </w:rPr>
        <w:t>;</w:t>
      </w:r>
    </w:p>
    <w:p w14:paraId="1753E49B" w14:textId="1AC6EA7A" w:rsidR="0040068D" w:rsidRPr="00050FA4" w:rsidRDefault="00F7539C" w:rsidP="003F1DA7">
      <w:pPr>
        <w:pStyle w:val="AAAAAAATEXXXX"/>
        <w:rPr>
          <w:lang w:val="sq-AL"/>
        </w:rPr>
      </w:pPr>
      <w:r w:rsidRPr="00050FA4">
        <w:rPr>
          <w:lang w:val="sq-AL"/>
        </w:rPr>
        <w:t>b</w:t>
      </w:r>
      <w:r w:rsidR="00DB4B15" w:rsidRPr="00050FA4">
        <w:rPr>
          <w:lang w:val="sq-AL"/>
        </w:rPr>
        <w:t>)</w:t>
      </w:r>
      <w:r w:rsidRPr="00050FA4">
        <w:rPr>
          <w:lang w:val="sq-AL"/>
        </w:rPr>
        <w:t xml:space="preserve"> </w:t>
      </w:r>
      <w:r w:rsidR="00BC7829" w:rsidRPr="00050FA4">
        <w:rPr>
          <w:lang w:val="sq-AL"/>
        </w:rPr>
        <w:t xml:space="preserve">Projektet e inovacionit do të mbështeten dhe financohen nëse në thelb kanë bashkëpunimin midis </w:t>
      </w:r>
      <w:r w:rsidR="00AF7C79" w:rsidRPr="00050FA4">
        <w:rPr>
          <w:lang w:val="sq-AL"/>
        </w:rPr>
        <w:lastRenderedPageBreak/>
        <w:t>shkencës (universiteteve</w:t>
      </w:r>
      <w:r w:rsidR="00BC7829" w:rsidRPr="00050FA4">
        <w:rPr>
          <w:lang w:val="sq-AL"/>
        </w:rPr>
        <w:t xml:space="preserve">) dhe </w:t>
      </w:r>
      <w:r w:rsidR="00AF7C79" w:rsidRPr="00050FA4">
        <w:rPr>
          <w:lang w:val="sq-AL"/>
        </w:rPr>
        <w:t>biznesit</w:t>
      </w:r>
      <w:r w:rsidR="00BC7829" w:rsidRPr="00050FA4">
        <w:rPr>
          <w:lang w:val="sq-AL"/>
        </w:rPr>
        <w:t xml:space="preserve">, duke promovuar modele të reja si </w:t>
      </w:r>
      <w:r w:rsidR="00BC7829" w:rsidRPr="00050FA4">
        <w:rPr>
          <w:i/>
          <w:lang w:val="sq-AL"/>
        </w:rPr>
        <w:t>hackathons</w:t>
      </w:r>
      <w:r w:rsidR="00BC7829" w:rsidRPr="00050FA4">
        <w:rPr>
          <w:lang w:val="sq-AL"/>
        </w:rPr>
        <w:t xml:space="preserve"> dhe </w:t>
      </w:r>
      <w:r w:rsidR="00BC7829" w:rsidRPr="00050FA4">
        <w:rPr>
          <w:i/>
          <w:lang w:val="sq-AL"/>
        </w:rPr>
        <w:t>triple-helix</w:t>
      </w:r>
      <w:r w:rsidR="00AF7C79" w:rsidRPr="00050FA4">
        <w:rPr>
          <w:lang w:val="sq-AL"/>
        </w:rPr>
        <w:t>;</w:t>
      </w:r>
    </w:p>
    <w:p w14:paraId="73298504" w14:textId="20C0F563" w:rsidR="00DB22AB" w:rsidRPr="00050FA4" w:rsidRDefault="00F7539C" w:rsidP="003F1DA7">
      <w:pPr>
        <w:pStyle w:val="AAAAAAATEXXXX"/>
        <w:rPr>
          <w:lang w:val="sq-AL"/>
        </w:rPr>
      </w:pPr>
      <w:r w:rsidRPr="00050FA4">
        <w:rPr>
          <w:lang w:val="sq-AL"/>
        </w:rPr>
        <w:t xml:space="preserve">2. </w:t>
      </w:r>
      <w:r w:rsidR="00B2062A" w:rsidRPr="00050FA4">
        <w:rPr>
          <w:lang w:val="sq-AL"/>
        </w:rPr>
        <w:t>Treguesit e rezultateve</w:t>
      </w:r>
    </w:p>
    <w:p w14:paraId="5C1E1313" w14:textId="77777777" w:rsidR="00AF7C79" w:rsidRPr="00050FA4" w:rsidRDefault="00AF7C79" w:rsidP="003F1DA7">
      <w:pPr>
        <w:pStyle w:val="AAAAAAATEXXXX"/>
        <w:rPr>
          <w:lang w:val="sq-AL"/>
        </w:rPr>
      </w:pPr>
    </w:p>
    <w:tbl>
      <w:tblPr>
        <w:tblStyle w:val="TableGrid"/>
        <w:tblW w:w="9634" w:type="dxa"/>
        <w:jc w:val="center"/>
        <w:tblLook w:val="04A0" w:firstRow="1" w:lastRow="0" w:firstColumn="1" w:lastColumn="0" w:noHBand="0" w:noVBand="1"/>
      </w:tblPr>
      <w:tblGrid>
        <w:gridCol w:w="4673"/>
        <w:gridCol w:w="1701"/>
        <w:gridCol w:w="1701"/>
        <w:gridCol w:w="1559"/>
      </w:tblGrid>
      <w:tr w:rsidR="00FA29AB" w:rsidRPr="00050FA4" w14:paraId="0DA1528E" w14:textId="77777777" w:rsidTr="00D449A8">
        <w:trPr>
          <w:jc w:val="center"/>
        </w:trPr>
        <w:tc>
          <w:tcPr>
            <w:tcW w:w="4673" w:type="dxa"/>
            <w:vAlign w:val="center"/>
          </w:tcPr>
          <w:p w14:paraId="5ECBA23E" w14:textId="30AA3492" w:rsidR="0040068D" w:rsidRPr="00050FA4" w:rsidRDefault="00B2062A" w:rsidP="00D449A8">
            <w:pPr>
              <w:pStyle w:val="AAAAAAATEXXXX"/>
              <w:ind w:firstLine="0"/>
              <w:jc w:val="center"/>
              <w:rPr>
                <w:b/>
                <w:sz w:val="18"/>
                <w:szCs w:val="18"/>
                <w:lang w:val="sq-AL"/>
              </w:rPr>
            </w:pPr>
            <w:r w:rsidRPr="00050FA4">
              <w:rPr>
                <w:b/>
                <w:sz w:val="18"/>
                <w:szCs w:val="18"/>
                <w:lang w:val="sq-AL"/>
              </w:rPr>
              <w:t>Tregues</w:t>
            </w:r>
          </w:p>
        </w:tc>
        <w:tc>
          <w:tcPr>
            <w:tcW w:w="1701" w:type="dxa"/>
            <w:vAlign w:val="center"/>
          </w:tcPr>
          <w:p w14:paraId="451C0CD3" w14:textId="2B381AB3" w:rsidR="0040068D" w:rsidRPr="00050FA4" w:rsidRDefault="00B2062A" w:rsidP="00D449A8">
            <w:pPr>
              <w:pStyle w:val="AAAAAAATEXXXX"/>
              <w:ind w:firstLine="0"/>
              <w:jc w:val="center"/>
              <w:rPr>
                <w:b/>
                <w:sz w:val="18"/>
                <w:szCs w:val="18"/>
                <w:lang w:val="sq-AL"/>
              </w:rPr>
            </w:pPr>
            <w:r w:rsidRPr="00050FA4">
              <w:rPr>
                <w:b/>
                <w:sz w:val="18"/>
                <w:szCs w:val="18"/>
                <w:lang w:val="sq-AL"/>
              </w:rPr>
              <w:t>Bazë</w:t>
            </w:r>
            <w:r w:rsidR="0040068D" w:rsidRPr="00050FA4">
              <w:rPr>
                <w:b/>
                <w:sz w:val="18"/>
                <w:szCs w:val="18"/>
                <w:lang w:val="sq-AL"/>
              </w:rPr>
              <w:t xml:space="preserve"> (2022)</w:t>
            </w:r>
          </w:p>
        </w:tc>
        <w:tc>
          <w:tcPr>
            <w:tcW w:w="1701" w:type="dxa"/>
            <w:vAlign w:val="center"/>
          </w:tcPr>
          <w:p w14:paraId="6024CE7F" w14:textId="27754E02" w:rsidR="0040068D" w:rsidRPr="00050FA4" w:rsidRDefault="00B2062A" w:rsidP="00D449A8">
            <w:pPr>
              <w:pStyle w:val="AAAAAAATEXXXX"/>
              <w:ind w:firstLine="0"/>
              <w:jc w:val="center"/>
              <w:rPr>
                <w:b/>
                <w:sz w:val="18"/>
                <w:szCs w:val="18"/>
                <w:lang w:val="sq-AL"/>
              </w:rPr>
            </w:pPr>
            <w:r w:rsidRPr="00050FA4">
              <w:rPr>
                <w:b/>
                <w:sz w:val="18"/>
                <w:szCs w:val="18"/>
                <w:lang w:val="sq-AL"/>
              </w:rPr>
              <w:t>I ndërmjetëm</w:t>
            </w:r>
            <w:r w:rsidR="0040068D" w:rsidRPr="00050FA4">
              <w:rPr>
                <w:b/>
                <w:sz w:val="18"/>
                <w:szCs w:val="18"/>
                <w:lang w:val="sq-AL"/>
              </w:rPr>
              <w:t xml:space="preserve"> (2022)</w:t>
            </w:r>
          </w:p>
        </w:tc>
        <w:tc>
          <w:tcPr>
            <w:tcW w:w="1559" w:type="dxa"/>
            <w:vAlign w:val="center"/>
          </w:tcPr>
          <w:p w14:paraId="7F12C1CA" w14:textId="13E9A8D6" w:rsidR="0040068D" w:rsidRPr="00050FA4" w:rsidRDefault="00B2062A" w:rsidP="00D449A8">
            <w:pPr>
              <w:pStyle w:val="AAAAAAATEXXXX"/>
              <w:ind w:firstLine="0"/>
              <w:jc w:val="center"/>
              <w:rPr>
                <w:b/>
                <w:sz w:val="18"/>
                <w:szCs w:val="18"/>
                <w:lang w:val="sq-AL"/>
              </w:rPr>
            </w:pPr>
            <w:r w:rsidRPr="00050FA4">
              <w:rPr>
                <w:b/>
                <w:sz w:val="18"/>
                <w:szCs w:val="18"/>
                <w:lang w:val="sq-AL"/>
              </w:rPr>
              <w:t>Synimi</w:t>
            </w:r>
            <w:r w:rsidR="0040068D" w:rsidRPr="00050FA4">
              <w:rPr>
                <w:b/>
                <w:sz w:val="18"/>
                <w:szCs w:val="18"/>
                <w:lang w:val="sq-AL"/>
              </w:rPr>
              <w:t xml:space="preserve"> (2024)</w:t>
            </w:r>
          </w:p>
        </w:tc>
      </w:tr>
      <w:tr w:rsidR="00FA29AB" w:rsidRPr="00050FA4" w14:paraId="0A4D47CE" w14:textId="77777777" w:rsidTr="00DB4B15">
        <w:trPr>
          <w:jc w:val="center"/>
        </w:trPr>
        <w:tc>
          <w:tcPr>
            <w:tcW w:w="4673" w:type="dxa"/>
          </w:tcPr>
          <w:p w14:paraId="00E8C1EB" w14:textId="5534ACF1" w:rsidR="00BC7829" w:rsidRPr="00050FA4" w:rsidRDefault="000C71F9" w:rsidP="00DB4B15">
            <w:pPr>
              <w:pStyle w:val="AAAAAAATEXXXX"/>
              <w:ind w:firstLine="0"/>
              <w:rPr>
                <w:rFonts w:eastAsia="Times New Roman"/>
                <w:sz w:val="18"/>
                <w:szCs w:val="18"/>
                <w:lang w:val="sq-AL"/>
              </w:rPr>
            </w:pPr>
            <w:r w:rsidRPr="00050FA4">
              <w:rPr>
                <w:rFonts w:eastAsia="Times New Roman"/>
                <w:sz w:val="18"/>
                <w:szCs w:val="18"/>
                <w:lang w:val="sq-AL"/>
              </w:rPr>
              <w:t>Numri i projekteve të</w:t>
            </w:r>
            <w:r w:rsidR="00BC7829" w:rsidRPr="00050FA4">
              <w:rPr>
                <w:rFonts w:eastAsia="Times New Roman"/>
                <w:sz w:val="18"/>
                <w:szCs w:val="18"/>
                <w:lang w:val="sq-AL"/>
              </w:rPr>
              <w:t xml:space="preserve"> kërkim</w:t>
            </w:r>
            <w:r w:rsidRPr="00050FA4">
              <w:rPr>
                <w:rFonts w:eastAsia="Times New Roman"/>
                <w:sz w:val="18"/>
                <w:szCs w:val="18"/>
                <w:lang w:val="sq-AL"/>
              </w:rPr>
              <w:t>it</w:t>
            </w:r>
            <w:r w:rsidR="00BC7829" w:rsidRPr="00050FA4">
              <w:rPr>
                <w:rFonts w:eastAsia="Times New Roman"/>
                <w:sz w:val="18"/>
                <w:szCs w:val="18"/>
                <w:lang w:val="sq-AL"/>
              </w:rPr>
              <w:t xml:space="preserve"> dhe </w:t>
            </w:r>
            <w:r w:rsidRPr="00050FA4">
              <w:rPr>
                <w:rFonts w:eastAsia="Times New Roman"/>
                <w:sz w:val="18"/>
                <w:szCs w:val="18"/>
                <w:lang w:val="sq-AL"/>
              </w:rPr>
              <w:t xml:space="preserve">të </w:t>
            </w:r>
            <w:r w:rsidR="00BC7829" w:rsidRPr="00050FA4">
              <w:rPr>
                <w:rFonts w:eastAsia="Times New Roman"/>
                <w:sz w:val="18"/>
                <w:szCs w:val="18"/>
                <w:lang w:val="sq-AL"/>
              </w:rPr>
              <w:t>inovacion</w:t>
            </w:r>
            <w:r w:rsidRPr="00050FA4">
              <w:rPr>
                <w:rFonts w:eastAsia="Times New Roman"/>
                <w:sz w:val="18"/>
                <w:szCs w:val="18"/>
                <w:lang w:val="sq-AL"/>
              </w:rPr>
              <w:t>it të</w:t>
            </w:r>
            <w:r w:rsidR="00BC7829" w:rsidRPr="00050FA4">
              <w:rPr>
                <w:rFonts w:eastAsia="Times New Roman"/>
                <w:sz w:val="18"/>
                <w:szCs w:val="18"/>
                <w:lang w:val="sq-AL"/>
              </w:rPr>
              <w:t xml:space="preserve"> financuar</w:t>
            </w:r>
          </w:p>
        </w:tc>
        <w:tc>
          <w:tcPr>
            <w:tcW w:w="1701" w:type="dxa"/>
          </w:tcPr>
          <w:p w14:paraId="336CAF1D" w14:textId="489562C0" w:rsidR="00BC7829" w:rsidRPr="00050FA4" w:rsidRDefault="00BC7829" w:rsidP="000C71F9">
            <w:pPr>
              <w:pStyle w:val="AAAAAAATEXXXX"/>
              <w:ind w:firstLine="0"/>
              <w:rPr>
                <w:rFonts w:eastAsia="Times New Roman"/>
                <w:sz w:val="18"/>
                <w:szCs w:val="18"/>
                <w:lang w:val="sq-AL"/>
              </w:rPr>
            </w:pPr>
            <w:r w:rsidRPr="00050FA4">
              <w:rPr>
                <w:rFonts w:eastAsia="Times New Roman"/>
                <w:sz w:val="18"/>
                <w:szCs w:val="18"/>
                <w:lang w:val="sq-AL"/>
              </w:rPr>
              <w:t>10 (projekte K&amp;Zh)</w:t>
            </w:r>
          </w:p>
          <w:p w14:paraId="2576B708" w14:textId="35916EFE" w:rsidR="00BC7829" w:rsidRPr="00050FA4" w:rsidRDefault="00BC7829" w:rsidP="000C71F9">
            <w:pPr>
              <w:pStyle w:val="AAAAAAATEXXXX"/>
              <w:ind w:firstLine="0"/>
              <w:jc w:val="left"/>
              <w:rPr>
                <w:rFonts w:eastAsia="Times New Roman"/>
                <w:sz w:val="18"/>
                <w:szCs w:val="18"/>
                <w:lang w:val="sq-AL"/>
              </w:rPr>
            </w:pPr>
            <w:r w:rsidRPr="00050FA4">
              <w:rPr>
                <w:rFonts w:eastAsia="Times New Roman"/>
                <w:sz w:val="18"/>
                <w:szCs w:val="18"/>
                <w:lang w:val="sq-AL"/>
              </w:rPr>
              <w:t xml:space="preserve">20 (projekte </w:t>
            </w:r>
            <w:r w:rsidR="0026453E" w:rsidRPr="00050FA4">
              <w:rPr>
                <w:rFonts w:eastAsia="Times New Roman"/>
                <w:sz w:val="18"/>
                <w:szCs w:val="18"/>
                <w:lang w:val="sq-AL"/>
              </w:rPr>
              <w:t>për</w:t>
            </w:r>
            <w:r w:rsidRPr="00050FA4">
              <w:rPr>
                <w:rFonts w:eastAsia="Times New Roman"/>
                <w:sz w:val="18"/>
                <w:szCs w:val="18"/>
                <w:lang w:val="sq-AL"/>
              </w:rPr>
              <w:t xml:space="preserve"> </w:t>
            </w:r>
            <w:r w:rsidR="0026453E" w:rsidRPr="00050FA4">
              <w:rPr>
                <w:rFonts w:eastAsia="Times New Roman"/>
                <w:sz w:val="18"/>
                <w:szCs w:val="18"/>
                <w:lang w:val="sq-AL"/>
              </w:rPr>
              <w:t>infrastrukturën</w:t>
            </w:r>
            <w:r w:rsidRPr="00050FA4">
              <w:rPr>
                <w:rFonts w:eastAsia="Times New Roman"/>
                <w:sz w:val="18"/>
                <w:szCs w:val="18"/>
                <w:lang w:val="sq-AL"/>
              </w:rPr>
              <w:t xml:space="preserve"> e </w:t>
            </w:r>
            <w:r w:rsidR="0026453E" w:rsidRPr="00050FA4">
              <w:rPr>
                <w:rFonts w:eastAsia="Times New Roman"/>
                <w:sz w:val="18"/>
                <w:szCs w:val="18"/>
                <w:lang w:val="sq-AL"/>
              </w:rPr>
              <w:t>kërkimit</w:t>
            </w:r>
            <w:r w:rsidRPr="00050FA4">
              <w:rPr>
                <w:rFonts w:eastAsia="Times New Roman"/>
                <w:sz w:val="18"/>
                <w:szCs w:val="18"/>
                <w:lang w:val="sq-AL"/>
              </w:rPr>
              <w:t xml:space="preserve"> shkencor)</w:t>
            </w:r>
          </w:p>
        </w:tc>
        <w:tc>
          <w:tcPr>
            <w:tcW w:w="1701" w:type="dxa"/>
          </w:tcPr>
          <w:p w14:paraId="56587802" w14:textId="2888F101"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15/25</w:t>
            </w:r>
          </w:p>
        </w:tc>
        <w:tc>
          <w:tcPr>
            <w:tcW w:w="1559" w:type="dxa"/>
          </w:tcPr>
          <w:p w14:paraId="1B00D738" w14:textId="28926A23"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20/30</w:t>
            </w:r>
          </w:p>
        </w:tc>
      </w:tr>
      <w:tr w:rsidR="00FA29AB" w:rsidRPr="00050FA4" w14:paraId="24BB6739" w14:textId="77777777" w:rsidTr="00DB4B15">
        <w:trPr>
          <w:jc w:val="center"/>
        </w:trPr>
        <w:tc>
          <w:tcPr>
            <w:tcW w:w="4673" w:type="dxa"/>
          </w:tcPr>
          <w:p w14:paraId="51C84FC0" w14:textId="78D78A2B" w:rsidR="00BC7829" w:rsidRPr="00050FA4" w:rsidRDefault="00BC7829" w:rsidP="00DB4B15">
            <w:pPr>
              <w:pStyle w:val="AAAAAAATEXXXX"/>
              <w:ind w:firstLine="0"/>
              <w:rPr>
                <w:rFonts w:eastAsia="Times New Roman"/>
                <w:sz w:val="18"/>
                <w:szCs w:val="18"/>
                <w:lang w:val="sq-AL"/>
              </w:rPr>
            </w:pPr>
            <w:r w:rsidRPr="00050FA4">
              <w:rPr>
                <w:rFonts w:eastAsia="Times New Roman"/>
                <w:sz w:val="18"/>
                <w:szCs w:val="18"/>
                <w:lang w:val="sq-AL"/>
              </w:rPr>
              <w:t>% e fo</w:t>
            </w:r>
            <w:r w:rsidR="000C71F9" w:rsidRPr="00050FA4">
              <w:rPr>
                <w:rFonts w:eastAsia="Times New Roman"/>
                <w:sz w:val="18"/>
                <w:szCs w:val="18"/>
                <w:lang w:val="sq-AL"/>
              </w:rPr>
              <w:t>ndit për kërkim dhe inovacion në</w:t>
            </w:r>
            <w:r w:rsidRPr="00050FA4">
              <w:rPr>
                <w:rFonts w:eastAsia="Times New Roman"/>
                <w:sz w:val="18"/>
                <w:szCs w:val="18"/>
                <w:lang w:val="sq-AL"/>
              </w:rPr>
              <w:t xml:space="preserve"> raport me PBB</w:t>
            </w:r>
            <w:r w:rsidR="00AF7C79" w:rsidRPr="00050FA4">
              <w:rPr>
                <w:rFonts w:eastAsia="Times New Roman"/>
                <w:sz w:val="18"/>
                <w:szCs w:val="18"/>
                <w:lang w:val="sq-AL"/>
              </w:rPr>
              <w:t>-në</w:t>
            </w:r>
            <w:r w:rsidRPr="00050FA4">
              <w:rPr>
                <w:rFonts w:eastAsia="Times New Roman"/>
                <w:sz w:val="18"/>
                <w:szCs w:val="18"/>
                <w:lang w:val="sq-AL"/>
              </w:rPr>
              <w:t xml:space="preserve"> (GERD)</w:t>
            </w:r>
          </w:p>
        </w:tc>
        <w:tc>
          <w:tcPr>
            <w:tcW w:w="1701" w:type="dxa"/>
          </w:tcPr>
          <w:p w14:paraId="0CA84F25" w14:textId="13FE9217"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0.1</w:t>
            </w:r>
          </w:p>
        </w:tc>
        <w:tc>
          <w:tcPr>
            <w:tcW w:w="1701" w:type="dxa"/>
          </w:tcPr>
          <w:p w14:paraId="2FF1027A" w14:textId="283739E0"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0.15</w:t>
            </w:r>
          </w:p>
        </w:tc>
        <w:tc>
          <w:tcPr>
            <w:tcW w:w="1559" w:type="dxa"/>
          </w:tcPr>
          <w:p w14:paraId="4BF8D976" w14:textId="69B3FEB8"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0.2</w:t>
            </w:r>
          </w:p>
        </w:tc>
      </w:tr>
      <w:tr w:rsidR="00FA29AB" w:rsidRPr="00050FA4" w14:paraId="0863D2B1" w14:textId="77777777" w:rsidTr="00DB4B15">
        <w:trPr>
          <w:jc w:val="center"/>
        </w:trPr>
        <w:tc>
          <w:tcPr>
            <w:tcW w:w="4673" w:type="dxa"/>
          </w:tcPr>
          <w:p w14:paraId="4473CA00" w14:textId="3EE0E3B7" w:rsidR="00BC7829" w:rsidRPr="00050FA4" w:rsidRDefault="000C71F9" w:rsidP="00DB4B15">
            <w:pPr>
              <w:pStyle w:val="AAAAAAATEXXXX"/>
              <w:ind w:firstLine="0"/>
              <w:rPr>
                <w:rFonts w:eastAsia="Times New Roman"/>
                <w:sz w:val="18"/>
                <w:szCs w:val="18"/>
                <w:lang w:val="sq-AL"/>
              </w:rPr>
            </w:pPr>
            <w:r w:rsidRPr="00050FA4">
              <w:rPr>
                <w:rFonts w:eastAsia="Times New Roman"/>
                <w:sz w:val="18"/>
                <w:szCs w:val="18"/>
                <w:lang w:val="sq-AL"/>
              </w:rPr>
              <w:t>Numri i marrëveshjeve/</w:t>
            </w:r>
            <w:r w:rsidR="00BC7829" w:rsidRPr="00050FA4">
              <w:rPr>
                <w:rFonts w:eastAsia="Times New Roman"/>
                <w:sz w:val="18"/>
                <w:szCs w:val="18"/>
                <w:lang w:val="sq-AL"/>
              </w:rPr>
              <w:t>projekteve dypalësh dhe shumëpalësh</w:t>
            </w:r>
          </w:p>
        </w:tc>
        <w:tc>
          <w:tcPr>
            <w:tcW w:w="0" w:type="auto"/>
          </w:tcPr>
          <w:p w14:paraId="2919491A" w14:textId="393FC976"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5+</w:t>
            </w:r>
          </w:p>
        </w:tc>
        <w:tc>
          <w:tcPr>
            <w:tcW w:w="0" w:type="auto"/>
          </w:tcPr>
          <w:p w14:paraId="4A1641E3" w14:textId="5F208DEE"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10+</w:t>
            </w:r>
          </w:p>
        </w:tc>
        <w:tc>
          <w:tcPr>
            <w:tcW w:w="0" w:type="auto"/>
          </w:tcPr>
          <w:p w14:paraId="52EA7A54" w14:textId="7EF1CA09" w:rsidR="00BC7829" w:rsidRPr="00050FA4" w:rsidRDefault="00BC7829" w:rsidP="00DB4B15">
            <w:pPr>
              <w:pStyle w:val="AAAAAAATEXXXX"/>
              <w:ind w:firstLine="0"/>
              <w:jc w:val="right"/>
              <w:rPr>
                <w:rFonts w:eastAsia="Times New Roman"/>
                <w:sz w:val="18"/>
                <w:szCs w:val="18"/>
                <w:lang w:val="sq-AL"/>
              </w:rPr>
            </w:pPr>
            <w:r w:rsidRPr="00050FA4">
              <w:rPr>
                <w:rFonts w:eastAsia="Times New Roman"/>
                <w:sz w:val="18"/>
                <w:szCs w:val="18"/>
                <w:lang w:val="sq-AL"/>
              </w:rPr>
              <w:t>10+</w:t>
            </w:r>
          </w:p>
        </w:tc>
      </w:tr>
    </w:tbl>
    <w:p w14:paraId="695C0E27" w14:textId="77777777" w:rsidR="0040068D" w:rsidRPr="00050FA4" w:rsidRDefault="0040068D" w:rsidP="003F1DA7">
      <w:pPr>
        <w:pStyle w:val="AAAAAAATEXXXX"/>
        <w:rPr>
          <w:sz w:val="20"/>
          <w:szCs w:val="20"/>
          <w:lang w:val="sq-AL"/>
        </w:rPr>
      </w:pPr>
    </w:p>
    <w:p w14:paraId="4EFC0962" w14:textId="08523663" w:rsidR="00DB22AB" w:rsidRPr="00050FA4" w:rsidRDefault="00F7539C" w:rsidP="003F1DA7">
      <w:pPr>
        <w:pStyle w:val="AAAAAAATEXXXX"/>
        <w:rPr>
          <w:b/>
          <w:lang w:val="sq-AL"/>
        </w:rPr>
      </w:pPr>
      <w:r w:rsidRPr="00050FA4">
        <w:rPr>
          <w:b/>
          <w:lang w:val="sq-AL"/>
        </w:rPr>
        <w:t xml:space="preserve">3. </w:t>
      </w:r>
      <w:r w:rsidR="00B2062A" w:rsidRPr="00050FA4">
        <w:rPr>
          <w:b/>
          <w:lang w:val="sq-AL"/>
        </w:rPr>
        <w:t>Ndikimi i pritshëm në konkurrueshmëri</w:t>
      </w:r>
    </w:p>
    <w:p w14:paraId="40AC0713" w14:textId="6709A6C1" w:rsidR="00BC7829" w:rsidRPr="00050FA4" w:rsidRDefault="00BC7829" w:rsidP="003F1DA7">
      <w:pPr>
        <w:pStyle w:val="AAAAAAATEXXXX"/>
        <w:rPr>
          <w:lang w:val="sq-AL"/>
        </w:rPr>
      </w:pPr>
      <w:r w:rsidRPr="00050FA4">
        <w:rPr>
          <w:lang w:val="sq-AL"/>
        </w:rPr>
        <w:t xml:space="preserve">Forcimi i kapaciteteve kërkimore institucionale do të kontribuojë në përmirësimin e pjesëmarrjes në programet e </w:t>
      </w:r>
      <w:r w:rsidR="000C71F9" w:rsidRPr="00050FA4">
        <w:rPr>
          <w:i/>
          <w:lang w:val="sq-AL"/>
        </w:rPr>
        <w:t>Horizon Europe</w:t>
      </w:r>
      <w:r w:rsidRPr="00050FA4">
        <w:rPr>
          <w:lang w:val="sq-AL"/>
        </w:rPr>
        <w:t xml:space="preserve"> dhe do të forcojë lidhjet midis akademisë, biznesit dhe qeverisë në periudhën afatmesme dhe afatgjatë. Të ushqyerit e biznesit me kërkime dhe inovacione do të çojë në prodhimin e produkteve inovative në këto infrastruktura dhe do të krijojë vlerë të shtuar përmes komercializimit të këtyre produkteve.</w:t>
      </w:r>
    </w:p>
    <w:p w14:paraId="7CB02D57" w14:textId="07844A7F" w:rsidR="00BC7829" w:rsidRPr="00050FA4" w:rsidRDefault="00BC7829" w:rsidP="003F1DA7">
      <w:pPr>
        <w:pStyle w:val="AAAAAAATEXXXX"/>
        <w:rPr>
          <w:lang w:val="sq-AL"/>
        </w:rPr>
      </w:pPr>
      <w:r w:rsidRPr="00050FA4">
        <w:rPr>
          <w:lang w:val="sq-AL"/>
        </w:rPr>
        <w:t xml:space="preserve">Lidhur me konceptin S3, </w:t>
      </w:r>
      <w:r w:rsidRPr="003C6EE2">
        <w:rPr>
          <w:lang w:val="sq-AL"/>
        </w:rPr>
        <w:t>arsyetimi themelor pas</w:t>
      </w:r>
      <w:r w:rsidRPr="00050FA4">
        <w:rPr>
          <w:lang w:val="sq-AL"/>
        </w:rPr>
        <w:t xml:space="preserve"> është se duke përqendruar burimet e njohurive dhe duke i lidhur ato me një numër të kufizuar aktivitetesh prioritare ekonomike, vendet dhe rajonet mund të bëhen </w:t>
      </w:r>
      <w:r w:rsidR="008527C8" w:rsidRPr="00050FA4">
        <w:rPr>
          <w:lang w:val="sq-AL"/>
        </w:rPr>
        <w:t>–</w:t>
      </w:r>
      <w:r w:rsidRPr="00050FA4">
        <w:rPr>
          <w:lang w:val="sq-AL"/>
        </w:rPr>
        <w:t xml:space="preserve"> dhe të mbeten </w:t>
      </w:r>
      <w:r w:rsidR="008527C8" w:rsidRPr="00050FA4">
        <w:rPr>
          <w:lang w:val="sq-AL"/>
        </w:rPr>
        <w:t>–</w:t>
      </w:r>
      <w:r w:rsidRPr="00050FA4">
        <w:rPr>
          <w:lang w:val="sq-AL"/>
        </w:rPr>
        <w:t xml:space="preserve"> konkurrues në ekonominë globale. Ky lloj specializimi u mundëson rajoneve të përfitojnë nga shkalla, shtrirja dhe përhapja në prodhimin dhe përdorimin e njohurive, të cilat janë shtytës të rëndësishëm të produktivitetit. Shkurtimisht, Specializimi i zgjuar ka të bëjë me gjenerimin e aseteve dhe aftësive unike bazuar në strukturat e veçanta të industrisë dhe bazat e njohurive të rajonit.</w:t>
      </w:r>
    </w:p>
    <w:p w14:paraId="23723373" w14:textId="02FE03AB" w:rsidR="00DB22AB" w:rsidRPr="00050FA4" w:rsidRDefault="00F7539C" w:rsidP="003F1DA7">
      <w:pPr>
        <w:pStyle w:val="AAAAAAATEXXXX"/>
        <w:rPr>
          <w:b/>
          <w:lang w:val="sq-AL"/>
        </w:rPr>
      </w:pPr>
      <w:r w:rsidRPr="00050FA4">
        <w:rPr>
          <w:b/>
          <w:lang w:val="sq-AL"/>
        </w:rPr>
        <w:t xml:space="preserve">4. </w:t>
      </w:r>
      <w:r w:rsidR="00B2062A" w:rsidRPr="00050FA4">
        <w:rPr>
          <w:b/>
          <w:lang w:val="sq-AL"/>
        </w:rPr>
        <w:t>Kosto</w:t>
      </w:r>
      <w:r w:rsidR="00DB4B15" w:rsidRPr="00050FA4">
        <w:rPr>
          <w:b/>
          <w:lang w:val="sq-AL"/>
        </w:rPr>
        <w:t>ja</w:t>
      </w:r>
      <w:r w:rsidR="00B2062A" w:rsidRPr="00050FA4">
        <w:rPr>
          <w:b/>
          <w:lang w:val="sq-AL"/>
        </w:rPr>
        <w:t xml:space="preserve"> e parashikuar e aktiviteteve dhe burimi i financimit</w:t>
      </w:r>
    </w:p>
    <w:p w14:paraId="2A3C4588" w14:textId="74FE49E8" w:rsidR="00BC7829" w:rsidRPr="00050FA4" w:rsidRDefault="00BC7829" w:rsidP="003F1DA7">
      <w:pPr>
        <w:pStyle w:val="AAAAAAATEXXXX"/>
        <w:rPr>
          <w:lang w:val="sq-AL"/>
        </w:rPr>
      </w:pPr>
      <w:r w:rsidRPr="00050FA4">
        <w:rPr>
          <w:lang w:val="sq-AL"/>
        </w:rPr>
        <w:t>Buxheti tota</w:t>
      </w:r>
      <w:r w:rsidR="008527C8" w:rsidRPr="00050FA4">
        <w:rPr>
          <w:lang w:val="sq-AL"/>
        </w:rPr>
        <w:t>l i programit kërkimor në draft</w:t>
      </w:r>
      <w:r w:rsidRPr="00050FA4">
        <w:rPr>
          <w:lang w:val="sq-AL"/>
        </w:rPr>
        <w:t>buxhetin e planifikimit afatmesëm.</w:t>
      </w:r>
    </w:p>
    <w:p w14:paraId="01642C2E" w14:textId="2388371A" w:rsidR="00DB22AB" w:rsidRPr="00050FA4" w:rsidRDefault="00F7539C" w:rsidP="003F1DA7">
      <w:pPr>
        <w:pStyle w:val="AAAAAAATEXXXX"/>
        <w:rPr>
          <w:b/>
          <w:lang w:val="sq-AL"/>
        </w:rPr>
      </w:pPr>
      <w:r w:rsidRPr="00050FA4">
        <w:rPr>
          <w:b/>
          <w:lang w:val="sq-AL"/>
        </w:rPr>
        <w:t xml:space="preserve">5. </w:t>
      </w:r>
      <w:r w:rsidR="00B2062A" w:rsidRPr="00050FA4">
        <w:rPr>
          <w:b/>
          <w:lang w:val="sq-AL"/>
        </w:rPr>
        <w:t>Ndikimi i pritshëm në përfundimet sociale</w:t>
      </w:r>
      <w:r w:rsidR="00BD6D2F" w:rsidRPr="00050FA4">
        <w:rPr>
          <w:b/>
          <w:lang w:val="sq-AL"/>
        </w:rPr>
        <w:t>,</w:t>
      </w:r>
      <w:r w:rsidR="00B2062A" w:rsidRPr="00050FA4">
        <w:rPr>
          <w:b/>
          <w:lang w:val="sq-AL"/>
        </w:rPr>
        <w:t xml:space="preserve"> si</w:t>
      </w:r>
      <w:r w:rsidR="00BD6D2F" w:rsidRPr="00050FA4">
        <w:rPr>
          <w:b/>
          <w:lang w:val="sq-AL"/>
        </w:rPr>
        <w:t>:</w:t>
      </w:r>
      <w:r w:rsidR="00B2062A" w:rsidRPr="00050FA4">
        <w:rPr>
          <w:b/>
          <w:lang w:val="sq-AL"/>
        </w:rPr>
        <w:t xml:space="preserve"> punësimi, ulja e varfërisë, barazia gjinore dhe aksesi në kujdesin shëndetësor</w:t>
      </w:r>
    </w:p>
    <w:p w14:paraId="73EC45BF" w14:textId="4DB26A5D" w:rsidR="00BC7829" w:rsidRPr="00050FA4" w:rsidRDefault="00BC7829" w:rsidP="003F1DA7">
      <w:pPr>
        <w:pStyle w:val="AAAAAAATEXXXX"/>
        <w:rPr>
          <w:rFonts w:cstheme="majorBidi"/>
          <w:color w:val="0D0D0D" w:themeColor="text1" w:themeTint="F2"/>
          <w:lang w:val="sq-AL"/>
        </w:rPr>
      </w:pPr>
      <w:r w:rsidRPr="00050FA4">
        <w:rPr>
          <w:rFonts w:cstheme="majorBidi"/>
          <w:color w:val="0D0D0D" w:themeColor="text1" w:themeTint="F2"/>
          <w:lang w:val="sq-AL"/>
        </w:rPr>
        <w:t>Ndikimi pozitiv në punësim reflektohet në krijimin e një qëndrueshmërie afatgjatë për personelin e kualifikuar. Fondet e siguruara nga MAS</w:t>
      </w:r>
      <w:r w:rsidR="00F52EC9" w:rsidRPr="00050FA4">
        <w:rPr>
          <w:rFonts w:cstheme="majorBidi"/>
          <w:color w:val="0D0D0D" w:themeColor="text1" w:themeTint="F2"/>
          <w:lang w:val="sq-AL"/>
        </w:rPr>
        <w:t>-i</w:t>
      </w:r>
      <w:r w:rsidRPr="00050FA4">
        <w:rPr>
          <w:rFonts w:cstheme="majorBidi"/>
          <w:color w:val="0D0D0D" w:themeColor="text1" w:themeTint="F2"/>
          <w:lang w:val="sq-AL"/>
        </w:rPr>
        <w:t xml:space="preserve"> nëpërmjet instrumenteve </w:t>
      </w:r>
      <w:r w:rsidR="008A0E5B" w:rsidRPr="00050FA4">
        <w:rPr>
          <w:rFonts w:cstheme="majorBidi"/>
          <w:color w:val="0D0D0D" w:themeColor="text1" w:themeTint="F2"/>
          <w:lang w:val="sq-AL"/>
        </w:rPr>
        <w:t>“</w:t>
      </w:r>
      <w:r w:rsidRPr="00050FA4">
        <w:rPr>
          <w:rFonts w:cstheme="majorBidi"/>
          <w:color w:val="0D0D0D" w:themeColor="text1" w:themeTint="F2"/>
          <w:lang w:val="sq-AL"/>
        </w:rPr>
        <w:t xml:space="preserve">Projekte për </w:t>
      </w:r>
      <w:r w:rsidR="00F52EC9" w:rsidRPr="00050FA4">
        <w:rPr>
          <w:rFonts w:cstheme="majorBidi"/>
          <w:color w:val="0D0D0D" w:themeColor="text1" w:themeTint="F2"/>
          <w:lang w:val="sq-AL"/>
        </w:rPr>
        <w:t xml:space="preserve">përmirësimin </w:t>
      </w:r>
      <w:r w:rsidRPr="00050FA4">
        <w:rPr>
          <w:rFonts w:cstheme="majorBidi"/>
          <w:color w:val="0D0D0D" w:themeColor="text1" w:themeTint="F2"/>
          <w:lang w:val="sq-AL"/>
        </w:rPr>
        <w:t xml:space="preserve">e </w:t>
      </w:r>
      <w:r w:rsidR="00F52EC9" w:rsidRPr="00050FA4">
        <w:rPr>
          <w:rFonts w:cstheme="majorBidi"/>
          <w:color w:val="0D0D0D" w:themeColor="text1" w:themeTint="F2"/>
          <w:lang w:val="sq-AL"/>
        </w:rPr>
        <w:t>infrastrukturës</w:t>
      </w:r>
      <w:r w:rsidR="008A0E5B" w:rsidRPr="00050FA4">
        <w:rPr>
          <w:rFonts w:cstheme="majorBidi"/>
          <w:color w:val="0D0D0D" w:themeColor="text1" w:themeTint="F2"/>
          <w:lang w:val="sq-AL"/>
        </w:rPr>
        <w:t>”</w:t>
      </w:r>
      <w:r w:rsidRPr="00050FA4">
        <w:rPr>
          <w:rFonts w:cstheme="majorBidi"/>
          <w:color w:val="0D0D0D" w:themeColor="text1" w:themeTint="F2"/>
          <w:lang w:val="sq-AL"/>
        </w:rPr>
        <w:t xml:space="preserve">; </w:t>
      </w:r>
      <w:r w:rsidR="008A0E5B" w:rsidRPr="00050FA4">
        <w:rPr>
          <w:rFonts w:cstheme="majorBidi"/>
          <w:color w:val="0D0D0D" w:themeColor="text1" w:themeTint="F2"/>
          <w:lang w:val="sq-AL"/>
        </w:rPr>
        <w:t>“</w:t>
      </w:r>
      <w:r w:rsidRPr="00050FA4">
        <w:rPr>
          <w:rFonts w:cstheme="majorBidi"/>
          <w:color w:val="0D0D0D" w:themeColor="text1" w:themeTint="F2"/>
          <w:lang w:val="sq-AL"/>
        </w:rPr>
        <w:t>Projektet dypalëshe</w:t>
      </w:r>
      <w:r w:rsidR="008A0E5B" w:rsidRPr="00050FA4">
        <w:rPr>
          <w:rFonts w:cstheme="majorBidi"/>
          <w:color w:val="0D0D0D" w:themeColor="text1" w:themeTint="F2"/>
          <w:lang w:val="sq-AL"/>
        </w:rPr>
        <w:t>”</w:t>
      </w:r>
      <w:r w:rsidRPr="00050FA4">
        <w:rPr>
          <w:rFonts w:cstheme="majorBidi"/>
          <w:color w:val="0D0D0D" w:themeColor="text1" w:themeTint="F2"/>
          <w:lang w:val="sq-AL"/>
        </w:rPr>
        <w:t xml:space="preserve"> dhe </w:t>
      </w:r>
      <w:r w:rsidR="008A0E5B" w:rsidRPr="00050FA4">
        <w:rPr>
          <w:rFonts w:cstheme="majorBidi"/>
          <w:color w:val="0D0D0D" w:themeColor="text1" w:themeTint="F2"/>
          <w:lang w:val="sq-AL"/>
        </w:rPr>
        <w:t>“</w:t>
      </w:r>
      <w:r w:rsidRPr="00050FA4">
        <w:rPr>
          <w:rFonts w:cstheme="majorBidi"/>
          <w:color w:val="0D0D0D" w:themeColor="text1" w:themeTint="F2"/>
          <w:lang w:val="sq-AL"/>
        </w:rPr>
        <w:t>Projektet e kërkimit dhe zhvillimit</w:t>
      </w:r>
      <w:r w:rsidR="008A0E5B" w:rsidRPr="00050FA4">
        <w:rPr>
          <w:rFonts w:cstheme="majorBidi"/>
          <w:color w:val="0D0D0D" w:themeColor="text1" w:themeTint="F2"/>
          <w:lang w:val="sq-AL"/>
        </w:rPr>
        <w:t>”</w:t>
      </w:r>
      <w:r w:rsidRPr="00050FA4">
        <w:rPr>
          <w:rFonts w:cstheme="majorBidi"/>
          <w:color w:val="0D0D0D" w:themeColor="text1" w:themeTint="F2"/>
          <w:lang w:val="sq-AL"/>
        </w:rPr>
        <w:t>, ndër të tjera, mbështesin krijimin e vendeve të punës. Zhvillimet në inovacione pritet të kenë ndikim pozitiv në një gamë të gjerë aspektesh të aspekteve ekonomike dhe sociale dhe të zhvillimit.</w:t>
      </w:r>
    </w:p>
    <w:p w14:paraId="677A912B" w14:textId="5D7FBD56" w:rsidR="00BC7829" w:rsidRPr="00050FA4" w:rsidRDefault="00BC7829" w:rsidP="003F1DA7">
      <w:pPr>
        <w:pStyle w:val="AAAAAAATEXXXX"/>
        <w:rPr>
          <w:rFonts w:cstheme="majorBidi"/>
          <w:color w:val="0D0D0D" w:themeColor="text1" w:themeTint="F2"/>
          <w:lang w:val="sq-AL"/>
        </w:rPr>
      </w:pPr>
      <w:r w:rsidRPr="00050FA4">
        <w:rPr>
          <w:rFonts w:cstheme="majorBidi"/>
          <w:color w:val="0D0D0D" w:themeColor="text1" w:themeTint="F2"/>
          <w:lang w:val="sq-AL"/>
        </w:rPr>
        <w:t>Ad</w:t>
      </w:r>
      <w:r w:rsidR="00F52EC9" w:rsidRPr="00050FA4">
        <w:rPr>
          <w:rFonts w:cstheme="majorBidi"/>
          <w:color w:val="0D0D0D" w:themeColor="text1" w:themeTint="F2"/>
          <w:lang w:val="sq-AL"/>
        </w:rPr>
        <w:t>a</w:t>
      </w:r>
      <w:r w:rsidRPr="00050FA4">
        <w:rPr>
          <w:rFonts w:cstheme="majorBidi"/>
          <w:color w:val="0D0D0D" w:themeColor="text1" w:themeTint="F2"/>
          <w:lang w:val="sq-AL"/>
        </w:rPr>
        <w:t>ptimi</w:t>
      </w:r>
      <w:r w:rsidR="00F52EC9" w:rsidRPr="00050FA4">
        <w:rPr>
          <w:rFonts w:cstheme="majorBidi"/>
          <w:color w:val="0D0D0D" w:themeColor="text1" w:themeTint="F2"/>
          <w:lang w:val="sq-AL"/>
        </w:rPr>
        <w:t>,</w:t>
      </w:r>
      <w:r w:rsidRPr="00050FA4">
        <w:rPr>
          <w:rFonts w:cstheme="majorBidi"/>
          <w:color w:val="0D0D0D" w:themeColor="text1" w:themeTint="F2"/>
          <w:lang w:val="sq-AL"/>
        </w:rPr>
        <w:t xml:space="preserve"> si specializim i zgjuar</w:t>
      </w:r>
      <w:r w:rsidR="00F52EC9" w:rsidRPr="00050FA4">
        <w:rPr>
          <w:rFonts w:cstheme="majorBidi"/>
          <w:color w:val="0D0D0D" w:themeColor="text1" w:themeTint="F2"/>
          <w:lang w:val="sq-AL"/>
        </w:rPr>
        <w:t>,</w:t>
      </w:r>
      <w:r w:rsidRPr="00050FA4">
        <w:rPr>
          <w:rFonts w:cstheme="majorBidi"/>
          <w:color w:val="0D0D0D" w:themeColor="text1" w:themeTint="F2"/>
          <w:lang w:val="sq-AL"/>
        </w:rPr>
        <w:t xml:space="preserve"> synon të nxisë rritjen dhe vendet e punës</w:t>
      </w:r>
      <w:r w:rsidR="00F52EC9" w:rsidRPr="00050FA4">
        <w:rPr>
          <w:rFonts w:cstheme="majorBidi"/>
          <w:color w:val="0D0D0D" w:themeColor="text1" w:themeTint="F2"/>
          <w:lang w:val="sq-AL"/>
        </w:rPr>
        <w:t>,</w:t>
      </w:r>
      <w:r w:rsidRPr="00050FA4">
        <w:rPr>
          <w:rFonts w:cstheme="majorBidi"/>
          <w:color w:val="0D0D0D" w:themeColor="text1" w:themeTint="F2"/>
          <w:lang w:val="sq-AL"/>
        </w:rPr>
        <w:t xml:space="preserve"> duke i mundësuar vendit të identifikojë dhe zhvillojë avantazhet e veta konkurruese. Nëpërmjet partneritetit dhe qasjes nga poshtë-lart, specializimi i zgjuar bashkon autoritetet lokale, akademinë, sferat e biznesit dhe shoqërinë civile, duke punuar për zbatimin e strategjive afatgjata të rritjes të mbështetura nga fondet e BE-së.</w:t>
      </w:r>
    </w:p>
    <w:p w14:paraId="6DC7C2CE" w14:textId="5955F875" w:rsidR="00DB22AB" w:rsidRPr="00050FA4" w:rsidRDefault="00F7539C" w:rsidP="003F1DA7">
      <w:pPr>
        <w:pStyle w:val="AAAAAAATEXXXX"/>
        <w:rPr>
          <w:b/>
          <w:lang w:val="sq-AL"/>
        </w:rPr>
      </w:pPr>
      <w:r w:rsidRPr="00050FA4">
        <w:rPr>
          <w:b/>
          <w:lang w:val="sq-AL"/>
        </w:rPr>
        <w:t xml:space="preserve">6. </w:t>
      </w:r>
      <w:r w:rsidR="00B2062A" w:rsidRPr="00050FA4">
        <w:rPr>
          <w:b/>
          <w:lang w:val="sq-AL"/>
        </w:rPr>
        <w:t>Ndikimi i pritshëm në mjedis dhe ndryshimi i klimës</w:t>
      </w:r>
    </w:p>
    <w:p w14:paraId="559BACC0" w14:textId="088F7B37" w:rsidR="00BC7829" w:rsidRPr="00050FA4" w:rsidRDefault="00BC7829" w:rsidP="003F1DA7">
      <w:pPr>
        <w:pStyle w:val="AAAAAAATEXXXX"/>
        <w:rPr>
          <w:lang w:val="sq-AL"/>
        </w:rPr>
      </w:pPr>
      <w:r w:rsidRPr="00050FA4">
        <w:rPr>
          <w:lang w:val="sq-AL"/>
        </w:rPr>
        <w:t>Masat konsiderohen neutrale</w:t>
      </w:r>
      <w:r w:rsidR="00F52EC9" w:rsidRPr="00050FA4">
        <w:rPr>
          <w:lang w:val="sq-AL"/>
        </w:rPr>
        <w:t>,</w:t>
      </w:r>
      <w:r w:rsidRPr="00050FA4">
        <w:rPr>
          <w:lang w:val="sq-AL"/>
        </w:rPr>
        <w:t xml:space="preserve"> për sa i përket ndikimit në mjedis. Nuk parashikohen ndikime negative në mjedis; përkundrazi, projektet inovative kanë potencialin të sjellin rezultate pozitive.</w:t>
      </w:r>
    </w:p>
    <w:p w14:paraId="49EFDB3D" w14:textId="5229867B" w:rsidR="00DB22AB" w:rsidRPr="00050FA4" w:rsidRDefault="00F7539C" w:rsidP="003F1DA7">
      <w:pPr>
        <w:pStyle w:val="AAAAAAATEXXXX"/>
        <w:rPr>
          <w:b/>
          <w:lang w:val="sq-AL"/>
        </w:rPr>
      </w:pPr>
      <w:r w:rsidRPr="00050FA4">
        <w:rPr>
          <w:b/>
          <w:lang w:val="sq-AL"/>
        </w:rPr>
        <w:t xml:space="preserve">7. </w:t>
      </w:r>
      <w:r w:rsidR="00B2062A" w:rsidRPr="00050FA4">
        <w:rPr>
          <w:b/>
          <w:lang w:val="sq-AL"/>
        </w:rPr>
        <w:t>Rreziqet e mundshme</w:t>
      </w:r>
    </w:p>
    <w:p w14:paraId="5DF66294" w14:textId="61C6570C" w:rsidR="00BC7829" w:rsidRPr="00050FA4" w:rsidRDefault="00BC7829" w:rsidP="003F1DA7">
      <w:pPr>
        <w:pStyle w:val="AAAAAAATEXXXX"/>
        <w:rPr>
          <w:lang w:val="sq-AL" w:eastAsia="x-none"/>
        </w:rPr>
      </w:pPr>
      <w:r w:rsidRPr="00050FA4">
        <w:rPr>
          <w:lang w:val="sq-AL" w:eastAsia="x-none"/>
        </w:rPr>
        <w:t xml:space="preserve">Sfidat për zbatimin e masave të lartpërmendura në fushën e kërkimit dhe </w:t>
      </w:r>
      <w:r w:rsidR="00F52EC9" w:rsidRPr="00050FA4">
        <w:rPr>
          <w:lang w:val="sq-AL" w:eastAsia="x-none"/>
        </w:rPr>
        <w:t xml:space="preserve">të </w:t>
      </w:r>
      <w:r w:rsidRPr="00050FA4">
        <w:rPr>
          <w:lang w:val="sq-AL" w:eastAsia="x-none"/>
        </w:rPr>
        <w:t>inovacionit përfshijnë vështirësi në koordinimin ndërinstitucional si dhe kufizime buxhetore.</w:t>
      </w:r>
    </w:p>
    <w:p w14:paraId="74237F44" w14:textId="77777777" w:rsidR="00781735" w:rsidRPr="00050FA4" w:rsidRDefault="00781735" w:rsidP="003F1DA7">
      <w:pPr>
        <w:pStyle w:val="AAAAAAATEXXXX"/>
        <w:rPr>
          <w:lang w:val="sq-AL" w:eastAsia="x-none"/>
        </w:rPr>
      </w:pPr>
    </w:p>
    <w:tbl>
      <w:tblPr>
        <w:tblStyle w:val="TableGrid"/>
        <w:tblW w:w="10485" w:type="dxa"/>
        <w:tblLook w:val="04A0" w:firstRow="1" w:lastRow="0" w:firstColumn="1" w:lastColumn="0" w:noHBand="0" w:noVBand="1"/>
      </w:tblPr>
      <w:tblGrid>
        <w:gridCol w:w="4106"/>
        <w:gridCol w:w="1418"/>
        <w:gridCol w:w="4961"/>
      </w:tblGrid>
      <w:tr w:rsidR="00FA29AB" w:rsidRPr="00050FA4" w14:paraId="7488FBBB" w14:textId="77777777" w:rsidTr="00DB4B15">
        <w:tc>
          <w:tcPr>
            <w:tcW w:w="4106" w:type="dxa"/>
            <w:vAlign w:val="center"/>
          </w:tcPr>
          <w:p w14:paraId="5602366E" w14:textId="68D03EE5" w:rsidR="0030742B" w:rsidRPr="00050FA4" w:rsidRDefault="00B2062A" w:rsidP="00DB4B15">
            <w:pPr>
              <w:pStyle w:val="AAAAAAATEXXXX"/>
              <w:ind w:firstLine="0"/>
              <w:jc w:val="center"/>
              <w:rPr>
                <w:b/>
                <w:sz w:val="18"/>
                <w:szCs w:val="18"/>
                <w:lang w:val="sq-AL"/>
              </w:rPr>
            </w:pPr>
            <w:r w:rsidRPr="00050FA4">
              <w:rPr>
                <w:b/>
                <w:sz w:val="18"/>
                <w:szCs w:val="18"/>
                <w:lang w:val="sq-AL"/>
              </w:rPr>
              <w:t>Rreziku</w:t>
            </w:r>
          </w:p>
        </w:tc>
        <w:tc>
          <w:tcPr>
            <w:tcW w:w="1418" w:type="dxa"/>
            <w:vAlign w:val="center"/>
          </w:tcPr>
          <w:p w14:paraId="65DF5EC2" w14:textId="77777777" w:rsidR="00DB4B15" w:rsidRPr="00050FA4" w:rsidRDefault="00B2062A" w:rsidP="00DB4B15">
            <w:pPr>
              <w:pStyle w:val="AAAAAAATEXXXX"/>
              <w:ind w:firstLine="0"/>
              <w:jc w:val="center"/>
              <w:rPr>
                <w:b/>
                <w:sz w:val="18"/>
                <w:szCs w:val="18"/>
                <w:lang w:val="sq-AL"/>
              </w:rPr>
            </w:pPr>
            <w:r w:rsidRPr="00050FA4">
              <w:rPr>
                <w:b/>
                <w:sz w:val="18"/>
                <w:szCs w:val="18"/>
                <w:lang w:val="sq-AL"/>
              </w:rPr>
              <w:t>Mundësia</w:t>
            </w:r>
            <w:r w:rsidR="0030742B" w:rsidRPr="00050FA4">
              <w:rPr>
                <w:b/>
                <w:sz w:val="18"/>
                <w:szCs w:val="18"/>
                <w:lang w:val="sq-AL"/>
              </w:rPr>
              <w:t xml:space="preserve"> </w:t>
            </w:r>
          </w:p>
          <w:p w14:paraId="2DEEEFC1" w14:textId="454315B1" w:rsidR="0030742B" w:rsidRPr="00050FA4" w:rsidRDefault="0030742B" w:rsidP="00DB4B15">
            <w:pPr>
              <w:pStyle w:val="AAAAAAATEXXXX"/>
              <w:ind w:firstLine="0"/>
              <w:jc w:val="center"/>
              <w:rPr>
                <w:b/>
                <w:sz w:val="18"/>
                <w:szCs w:val="18"/>
                <w:lang w:val="sq-AL"/>
              </w:rPr>
            </w:pPr>
            <w:r w:rsidRPr="00050FA4">
              <w:rPr>
                <w:b/>
                <w:sz w:val="18"/>
                <w:szCs w:val="18"/>
                <w:lang w:val="sq-AL"/>
              </w:rPr>
              <w:t>(</w:t>
            </w:r>
            <w:r w:rsidR="00B2062A" w:rsidRPr="00050FA4">
              <w:rPr>
                <w:b/>
                <w:sz w:val="18"/>
                <w:szCs w:val="18"/>
                <w:lang w:val="sq-AL"/>
              </w:rPr>
              <w:t>e ulët, e lartë</w:t>
            </w:r>
            <w:r w:rsidRPr="00050FA4">
              <w:rPr>
                <w:b/>
                <w:sz w:val="18"/>
                <w:szCs w:val="18"/>
                <w:lang w:val="sq-AL"/>
              </w:rPr>
              <w:t>)</w:t>
            </w:r>
          </w:p>
        </w:tc>
        <w:tc>
          <w:tcPr>
            <w:tcW w:w="4961" w:type="dxa"/>
            <w:vAlign w:val="center"/>
          </w:tcPr>
          <w:p w14:paraId="42709821" w14:textId="5A8D9488" w:rsidR="0030742B" w:rsidRPr="00050FA4" w:rsidRDefault="00B2062A" w:rsidP="00DB4B15">
            <w:pPr>
              <w:pStyle w:val="AAAAAAATEXXXX"/>
              <w:ind w:firstLine="0"/>
              <w:jc w:val="center"/>
              <w:rPr>
                <w:b/>
                <w:sz w:val="18"/>
                <w:szCs w:val="18"/>
                <w:lang w:val="sq-AL"/>
              </w:rPr>
            </w:pPr>
            <w:r w:rsidRPr="00050FA4">
              <w:rPr>
                <w:b/>
                <w:sz w:val="18"/>
                <w:szCs w:val="18"/>
                <w:lang w:val="sq-AL"/>
              </w:rPr>
              <w:t>Veprimi zbutës i parashikuar</w:t>
            </w:r>
          </w:p>
        </w:tc>
      </w:tr>
      <w:tr w:rsidR="00FA29AB" w:rsidRPr="00050FA4" w14:paraId="48965685" w14:textId="77777777" w:rsidTr="00DB4B15">
        <w:tc>
          <w:tcPr>
            <w:tcW w:w="4106" w:type="dxa"/>
          </w:tcPr>
          <w:p w14:paraId="462E3BA8" w14:textId="38907342" w:rsidR="0030742B" w:rsidRPr="00050FA4" w:rsidRDefault="00BC7829" w:rsidP="003F1DA7">
            <w:pPr>
              <w:pStyle w:val="AAAAAAATEXXXX"/>
              <w:ind w:firstLine="0"/>
              <w:rPr>
                <w:sz w:val="18"/>
                <w:szCs w:val="18"/>
                <w:lang w:val="sq-AL"/>
              </w:rPr>
            </w:pPr>
            <w:r w:rsidRPr="00050FA4">
              <w:rPr>
                <w:sz w:val="18"/>
                <w:szCs w:val="18"/>
                <w:lang w:val="sq-AL"/>
              </w:rPr>
              <w:t>Kufizimet buxhetore</w:t>
            </w:r>
          </w:p>
        </w:tc>
        <w:tc>
          <w:tcPr>
            <w:tcW w:w="1418" w:type="dxa"/>
          </w:tcPr>
          <w:p w14:paraId="76B36648" w14:textId="6EC5B96B" w:rsidR="0030742B" w:rsidRPr="00050FA4" w:rsidRDefault="00781735" w:rsidP="003F1DA7">
            <w:pPr>
              <w:pStyle w:val="AAAAAAATEXXXX"/>
              <w:ind w:firstLine="0"/>
              <w:rPr>
                <w:sz w:val="18"/>
                <w:szCs w:val="18"/>
                <w:lang w:val="sq-AL"/>
              </w:rPr>
            </w:pPr>
            <w:r w:rsidRPr="00050FA4">
              <w:rPr>
                <w:sz w:val="18"/>
                <w:szCs w:val="18"/>
                <w:lang w:val="sq-AL"/>
              </w:rPr>
              <w:t>E u</w:t>
            </w:r>
            <w:r w:rsidR="00BC7829" w:rsidRPr="00050FA4">
              <w:rPr>
                <w:sz w:val="18"/>
                <w:szCs w:val="18"/>
                <w:lang w:val="sq-AL"/>
              </w:rPr>
              <w:t>lët</w:t>
            </w:r>
          </w:p>
        </w:tc>
        <w:tc>
          <w:tcPr>
            <w:tcW w:w="4961" w:type="dxa"/>
          </w:tcPr>
          <w:p w14:paraId="39ECB2DB" w14:textId="34F9210E" w:rsidR="0030742B" w:rsidRPr="00050FA4" w:rsidRDefault="005013E4" w:rsidP="005E6A97">
            <w:pPr>
              <w:pStyle w:val="AAAAAAATEXXXX"/>
              <w:ind w:firstLine="0"/>
              <w:rPr>
                <w:sz w:val="18"/>
                <w:szCs w:val="18"/>
                <w:lang w:val="sq-AL"/>
              </w:rPr>
            </w:pPr>
            <w:r w:rsidRPr="00050FA4">
              <w:rPr>
                <w:sz w:val="18"/>
                <w:szCs w:val="18"/>
                <w:lang w:val="sq-AL"/>
              </w:rPr>
              <w:t>Sipas kuadrit buxhetor afatmesëm, fondet e planifikuara për programet kombëtare për K&amp;Zh, infrastrukturën e kërkimit shkencor dhe projektet dypalëshe/shumëpalëshe do të rriten për tr</w:t>
            </w:r>
            <w:r w:rsidR="005E6A97" w:rsidRPr="00050FA4">
              <w:rPr>
                <w:sz w:val="18"/>
                <w:szCs w:val="18"/>
                <w:lang w:val="sq-AL"/>
              </w:rPr>
              <w:t>i</w:t>
            </w:r>
            <w:r w:rsidRPr="00050FA4">
              <w:rPr>
                <w:sz w:val="18"/>
                <w:szCs w:val="18"/>
                <w:lang w:val="sq-AL"/>
              </w:rPr>
              <w:t xml:space="preserve"> vitet e ardhshme.</w:t>
            </w:r>
          </w:p>
        </w:tc>
      </w:tr>
    </w:tbl>
    <w:p w14:paraId="10A9BD99" w14:textId="77777777" w:rsidR="00DB22AB" w:rsidRPr="00050FA4" w:rsidRDefault="00DB22AB" w:rsidP="003F1DA7">
      <w:pPr>
        <w:snapToGrid w:val="0"/>
        <w:ind w:firstLine="284"/>
        <w:jc w:val="both"/>
        <w:rPr>
          <w:rFonts w:ascii="Garamond" w:eastAsia="Times New Roman" w:hAnsi="Garamond" w:cstheme="majorBidi"/>
          <w:color w:val="0D0D0D" w:themeColor="text1" w:themeTint="F2"/>
        </w:rPr>
      </w:pPr>
    </w:p>
    <w:p w14:paraId="4463E617" w14:textId="739EA561" w:rsidR="00106240" w:rsidRPr="00050FA4" w:rsidRDefault="00B2062A" w:rsidP="003F1DA7">
      <w:pPr>
        <w:pStyle w:val="Heading3"/>
        <w:ind w:firstLine="284"/>
        <w:rPr>
          <w:rFonts w:ascii="Garamond" w:hAnsi="Garamond" w:cstheme="majorBidi"/>
          <w:b/>
          <w:bCs/>
          <w:color w:val="0D0D0D" w:themeColor="text1" w:themeTint="F2"/>
          <w:sz w:val="24"/>
          <w:szCs w:val="24"/>
        </w:rPr>
      </w:pPr>
      <w:bookmarkStart w:id="51" w:name="_Toc93325766"/>
      <w:r w:rsidRPr="00050FA4">
        <w:rPr>
          <w:rFonts w:ascii="Garamond" w:hAnsi="Garamond" w:cstheme="majorBidi"/>
          <w:b/>
          <w:bCs/>
          <w:color w:val="0D0D0D" w:themeColor="text1" w:themeTint="F2"/>
          <w:sz w:val="24"/>
          <w:szCs w:val="24"/>
        </w:rPr>
        <w:t xml:space="preserve">Sfida </w:t>
      </w:r>
      <w:r w:rsidR="00DB4B15" w:rsidRPr="00050FA4">
        <w:rPr>
          <w:rFonts w:ascii="Garamond" w:hAnsi="Garamond" w:cstheme="majorBidi"/>
          <w:b/>
          <w:bCs/>
          <w:color w:val="0D0D0D" w:themeColor="text1" w:themeTint="F2"/>
          <w:sz w:val="24"/>
          <w:szCs w:val="24"/>
        </w:rPr>
        <w:t xml:space="preserve">kyçe </w:t>
      </w:r>
      <w:r w:rsidR="00106240" w:rsidRPr="00050FA4">
        <w:rPr>
          <w:rFonts w:ascii="Garamond" w:hAnsi="Garamond" w:cstheme="majorBidi"/>
          <w:b/>
          <w:bCs/>
          <w:color w:val="0D0D0D" w:themeColor="text1" w:themeTint="F2"/>
          <w:sz w:val="24"/>
          <w:szCs w:val="24"/>
        </w:rPr>
        <w:t>#2</w:t>
      </w:r>
      <w:bookmarkEnd w:id="51"/>
    </w:p>
    <w:p w14:paraId="5D2EAD78" w14:textId="5B4190DC" w:rsidR="0089011F" w:rsidRPr="00050FA4" w:rsidRDefault="0089011F" w:rsidP="003F1DA7">
      <w:pPr>
        <w:ind w:firstLine="284"/>
        <w:jc w:val="both"/>
        <w:rPr>
          <w:rFonts w:ascii="Garamond" w:hAnsi="Garamond" w:cstheme="majorBidi"/>
          <w:b/>
          <w:bCs/>
          <w:color w:val="0D0D0D" w:themeColor="text1" w:themeTint="F2"/>
        </w:rPr>
      </w:pPr>
      <w:r w:rsidRPr="00050FA4">
        <w:rPr>
          <w:rFonts w:ascii="Garamond" w:hAnsi="Garamond"/>
          <w:b/>
          <w:bCs/>
          <w:color w:val="0D0D0D" w:themeColor="text1" w:themeTint="F2"/>
        </w:rPr>
        <w:t xml:space="preserve">Rritja e mbulimit dhe </w:t>
      </w:r>
      <w:r w:rsidR="00781735" w:rsidRPr="00050FA4">
        <w:rPr>
          <w:rFonts w:ascii="Garamond" w:hAnsi="Garamond"/>
          <w:b/>
          <w:bCs/>
          <w:color w:val="0D0D0D" w:themeColor="text1" w:themeTint="F2"/>
        </w:rPr>
        <w:t xml:space="preserve">e </w:t>
      </w:r>
      <w:r w:rsidRPr="00050FA4">
        <w:rPr>
          <w:rFonts w:ascii="Garamond" w:hAnsi="Garamond"/>
          <w:b/>
          <w:bCs/>
          <w:color w:val="0D0D0D" w:themeColor="text1" w:themeTint="F2"/>
        </w:rPr>
        <w:t xml:space="preserve">mjaftueshmërisë së mbrojtjes sociale dhe </w:t>
      </w:r>
      <w:r w:rsidR="00781735" w:rsidRPr="00050FA4">
        <w:rPr>
          <w:rFonts w:ascii="Garamond" w:hAnsi="Garamond"/>
          <w:b/>
          <w:bCs/>
          <w:color w:val="0D0D0D" w:themeColor="text1" w:themeTint="F2"/>
        </w:rPr>
        <w:t xml:space="preserve">e </w:t>
      </w:r>
      <w:r w:rsidRPr="00050FA4">
        <w:rPr>
          <w:rFonts w:ascii="Garamond" w:hAnsi="Garamond"/>
          <w:b/>
          <w:bCs/>
          <w:color w:val="0D0D0D" w:themeColor="text1" w:themeTint="F2"/>
        </w:rPr>
        <w:t>sigurimit shëndetësor për të reduktuar popullsisë që rrezikohet nga varfëria</w:t>
      </w:r>
    </w:p>
    <w:p w14:paraId="5ABC2310" w14:textId="0CD04662" w:rsidR="004F312A" w:rsidRPr="00050FA4" w:rsidRDefault="00792883" w:rsidP="003F1DA7">
      <w:pPr>
        <w:pStyle w:val="AAAAAAATEXXXX"/>
        <w:rPr>
          <w:lang w:val="sq-AL"/>
        </w:rPr>
      </w:pPr>
      <w:r w:rsidRPr="00050FA4">
        <w:rPr>
          <w:lang w:val="sq-AL"/>
        </w:rPr>
        <w:t>a</w:t>
      </w:r>
      <w:r w:rsidR="00DB4B15" w:rsidRPr="00050FA4">
        <w:rPr>
          <w:lang w:val="sq-AL"/>
        </w:rPr>
        <w:t>)</w:t>
      </w:r>
      <w:r w:rsidRPr="00050FA4">
        <w:rPr>
          <w:lang w:val="sq-AL"/>
        </w:rPr>
        <w:t xml:space="preserve"> </w:t>
      </w:r>
      <w:r w:rsidR="00B2062A" w:rsidRPr="00050FA4">
        <w:rPr>
          <w:lang w:val="sq-AL"/>
        </w:rPr>
        <w:t>Analiza e pengesave kryesore</w:t>
      </w:r>
    </w:p>
    <w:p w14:paraId="28CFF6A6" w14:textId="45B046BC" w:rsidR="0089011F" w:rsidRPr="00050FA4" w:rsidRDefault="0089011F" w:rsidP="003F1DA7">
      <w:pPr>
        <w:pStyle w:val="AAAAAAATEXXXX"/>
        <w:rPr>
          <w:lang w:val="sq-AL"/>
        </w:rPr>
      </w:pPr>
      <w:r w:rsidRPr="00050FA4">
        <w:rPr>
          <w:lang w:val="sq-AL"/>
        </w:rPr>
        <w:t>Sistemi i mbrojtjes sociale në Shqipëri mbizotërohet nga skemat e sigurimeve shoqërore (pensionet, përfitimet e papun</w:t>
      </w:r>
      <w:r w:rsidR="00D449A8" w:rsidRPr="00050FA4">
        <w:rPr>
          <w:lang w:val="sq-AL"/>
        </w:rPr>
        <w:t>ësisë)</w:t>
      </w:r>
      <w:r w:rsidR="00781735" w:rsidRPr="00050FA4">
        <w:rPr>
          <w:lang w:val="sq-AL"/>
        </w:rPr>
        <w:t>,</w:t>
      </w:r>
      <w:r w:rsidR="00D449A8" w:rsidRPr="00050FA4">
        <w:rPr>
          <w:lang w:val="sq-AL"/>
        </w:rPr>
        <w:t xml:space="preserve"> si edhe nga programet jo</w:t>
      </w:r>
      <w:r w:rsidRPr="00050FA4">
        <w:rPr>
          <w:lang w:val="sq-AL"/>
        </w:rPr>
        <w:t xml:space="preserve">kontributive të parave (ndihma ekonomike dhe </w:t>
      </w:r>
      <w:r w:rsidRPr="00050FA4">
        <w:rPr>
          <w:lang w:val="sq-AL"/>
        </w:rPr>
        <w:lastRenderedPageBreak/>
        <w:t>transfertat e aftësisë së kufizuar). Megjithëse është tejkaluar dyfishi që nga viti 2005, shpenzimi i përgjithshëm në Shqipëri për mbrojtjen sociale mbetet i ulët. Shqipëria shpenzoi 9.4% të PBB-së së saj për mbrojtjen sociale, që përkon me</w:t>
      </w:r>
      <w:r w:rsidR="009B1D6B" w:rsidRPr="00050FA4">
        <w:rPr>
          <w:lang w:val="sq-AL"/>
        </w:rPr>
        <w:t xml:space="preserve"> </w:t>
      </w:r>
      <w:r w:rsidRPr="00050FA4">
        <w:rPr>
          <w:lang w:val="sq-AL"/>
        </w:rPr>
        <w:t>gjysmën e mesatares së BE-27, 18.6%. Pjesa më e madhe e shpenzimeve për mbrojtjen sociale mbulon pensionet (82.4%), e ndjekur nga programet e asistencës në para jokontributive për personat me aftësi të kufizuara dhe personat e rrezikuar nga varfëria dhe skema e bonusit të bebes.</w:t>
      </w:r>
    </w:p>
    <w:p w14:paraId="4D35FC1F" w14:textId="1B0B1CAE" w:rsidR="0089011F" w:rsidRPr="00050FA4" w:rsidRDefault="0089011F" w:rsidP="003F1DA7">
      <w:pPr>
        <w:pStyle w:val="AAAAAAATEXXXX"/>
        <w:rPr>
          <w:lang w:val="sq-AL"/>
        </w:rPr>
      </w:pPr>
      <w:r w:rsidRPr="00050FA4">
        <w:rPr>
          <w:lang w:val="sq-AL"/>
        </w:rPr>
        <w:t xml:space="preserve">Shkalla e rrezikut nga varfëria në vitin 2019 është ulur me 0.4% krahasuar me vitin 2018. </w:t>
      </w:r>
      <w:r w:rsidR="005557AB" w:rsidRPr="00050FA4">
        <w:rPr>
          <w:lang w:val="sq-AL"/>
        </w:rPr>
        <w:t>Aktualisht</w:t>
      </w:r>
      <w:r w:rsidRPr="00050FA4">
        <w:rPr>
          <w:lang w:val="sq-AL"/>
        </w:rPr>
        <w:t xml:space="preserve"> është 23.0%. Gjithashtu,</w:t>
      </w:r>
      <w:r w:rsidR="009B1D6B" w:rsidRPr="00050FA4">
        <w:rPr>
          <w:lang w:val="sq-AL"/>
        </w:rPr>
        <w:t xml:space="preserve"> </w:t>
      </w:r>
      <w:r w:rsidRPr="00050FA4">
        <w:rPr>
          <w:lang w:val="sq-AL"/>
        </w:rPr>
        <w:t>treguesi i rrezikut nga varfëria apo përjashtimi social është ulur me 2.8%.</w:t>
      </w:r>
    </w:p>
    <w:p w14:paraId="2B16057C" w14:textId="77777777" w:rsidR="0089011F" w:rsidRPr="00050FA4" w:rsidRDefault="0089011F" w:rsidP="003F1DA7">
      <w:pPr>
        <w:pStyle w:val="AAAAAAATEXXXX"/>
        <w:rPr>
          <w:lang w:val="sq-AL"/>
        </w:rPr>
      </w:pPr>
      <w:r w:rsidRPr="00050FA4">
        <w:rPr>
          <w:lang w:val="sq-AL"/>
        </w:rPr>
        <w:t>46.2% e popullsisë ishte në rrezik të varfërisë ose përjashtimit social, shifër me e lartë se mesatarja e BE-27 prej 21.6%.</w:t>
      </w:r>
    </w:p>
    <w:p w14:paraId="06DD1FD2" w14:textId="1F1B8E74" w:rsidR="0089011F" w:rsidRPr="00050FA4" w:rsidRDefault="0089011F" w:rsidP="003F1DA7">
      <w:pPr>
        <w:pStyle w:val="AAAAAAATEXXXX"/>
        <w:rPr>
          <w:lang w:val="sq-AL"/>
        </w:rPr>
      </w:pPr>
      <w:r w:rsidRPr="00050FA4">
        <w:rPr>
          <w:lang w:val="sq-AL"/>
        </w:rPr>
        <w:t>Transfertat sociale, si pensionet e pleqërisë dhe ato familjare, të përfshira në të ardhurat e disponueshme të familjes, reduktojnë tendencën e rrezikut nga varfëria. Kur në nivelin e të ardhurave nuk përfshihen të gjitha transfertat sociale, rreziku i varfërisë në vitin 2019 vlerësohet</w:t>
      </w:r>
      <w:r w:rsidR="00D5373F" w:rsidRPr="00050FA4">
        <w:rPr>
          <w:lang w:val="sq-AL"/>
        </w:rPr>
        <w:t xml:space="preserve"> 38,1 %, ndërsa vlerësohet 26,1</w:t>
      </w:r>
      <w:r w:rsidRPr="00050FA4">
        <w:rPr>
          <w:lang w:val="sq-AL"/>
        </w:rPr>
        <w:t>%</w:t>
      </w:r>
      <w:r w:rsidR="00D5373F" w:rsidRPr="00050FA4">
        <w:rPr>
          <w:lang w:val="sq-AL"/>
        </w:rPr>
        <w:t>,</w:t>
      </w:r>
      <w:r w:rsidRPr="00050FA4">
        <w:rPr>
          <w:lang w:val="sq-AL"/>
        </w:rPr>
        <w:t xml:space="preserve"> kur në nivelin e të ardhurave përfshihen transfertat sociale vetëm nga pensionet e pleqërisë dhe ato familjare.</w:t>
      </w:r>
    </w:p>
    <w:p w14:paraId="6C1A707C" w14:textId="30D91260" w:rsidR="0089011F" w:rsidRPr="00050FA4" w:rsidRDefault="0089011F" w:rsidP="003F1DA7">
      <w:pPr>
        <w:pStyle w:val="AAAAAAATEXXXX"/>
        <w:rPr>
          <w:lang w:val="sq-AL"/>
        </w:rPr>
      </w:pPr>
      <w:r w:rsidRPr="00050FA4">
        <w:rPr>
          <w:lang w:val="sq-AL"/>
        </w:rPr>
        <w:t xml:space="preserve">Skema e </w:t>
      </w:r>
      <w:r w:rsidR="001656A4" w:rsidRPr="00050FA4">
        <w:rPr>
          <w:lang w:val="sq-AL"/>
        </w:rPr>
        <w:t xml:space="preserve">Ndihmës Ekonomike </w:t>
      </w:r>
      <w:r w:rsidRPr="00050FA4">
        <w:rPr>
          <w:lang w:val="sq-AL"/>
        </w:rPr>
        <w:t>është programi kryesor i transfertave në para për të varfrit në Shqipëri</w:t>
      </w:r>
      <w:r w:rsidR="001656A4" w:rsidRPr="00050FA4">
        <w:rPr>
          <w:lang w:val="sq-AL"/>
        </w:rPr>
        <w:t xml:space="preserve">, </w:t>
      </w:r>
      <w:r w:rsidRPr="00050FA4">
        <w:rPr>
          <w:lang w:val="sq-AL"/>
        </w:rPr>
        <w:t>që është përmirësuar rrënjësisht</w:t>
      </w:r>
      <w:r w:rsidR="009B1D6B" w:rsidRPr="00050FA4">
        <w:rPr>
          <w:lang w:val="sq-AL"/>
        </w:rPr>
        <w:t xml:space="preserve"> </w:t>
      </w:r>
      <w:r w:rsidRPr="00050FA4">
        <w:rPr>
          <w:lang w:val="sq-AL"/>
        </w:rPr>
        <w:t>gjatë viteve të fundit.</w:t>
      </w:r>
    </w:p>
    <w:p w14:paraId="4D5A43E6" w14:textId="46571BAC" w:rsidR="0089011F" w:rsidRPr="00050FA4" w:rsidRDefault="0089011F" w:rsidP="003F1DA7">
      <w:pPr>
        <w:pStyle w:val="AAAAAAATEXXXX"/>
        <w:rPr>
          <w:lang w:val="sq-AL"/>
        </w:rPr>
      </w:pPr>
      <w:r w:rsidRPr="00050FA4">
        <w:rPr>
          <w:lang w:val="sq-AL"/>
        </w:rPr>
        <w:t>Kjo skemë ende has në disa pengesa</w:t>
      </w:r>
      <w:r w:rsidR="00D449A8" w:rsidRPr="00050FA4">
        <w:rPr>
          <w:lang w:val="sq-AL"/>
        </w:rPr>
        <w:t xml:space="preserve">: </w:t>
      </w:r>
      <w:r w:rsidRPr="00050FA4">
        <w:rPr>
          <w:lang w:val="sq-AL"/>
        </w:rPr>
        <w:t>i</w:t>
      </w:r>
      <w:r w:rsidR="00D449A8" w:rsidRPr="00050FA4">
        <w:rPr>
          <w:lang w:val="sq-AL"/>
        </w:rPr>
        <w:t>.</w:t>
      </w:r>
      <w:r w:rsidRPr="00050FA4">
        <w:rPr>
          <w:lang w:val="sq-AL"/>
        </w:rPr>
        <w:t xml:space="preserve"> </w:t>
      </w:r>
      <w:r w:rsidR="001656A4" w:rsidRPr="00050FA4">
        <w:rPr>
          <w:lang w:val="sq-AL"/>
        </w:rPr>
        <w:t xml:space="preserve">niveli </w:t>
      </w:r>
      <w:r w:rsidRPr="00050FA4">
        <w:rPr>
          <w:lang w:val="sq-AL"/>
        </w:rPr>
        <w:t>i përfitimit mund të mos jetë adekuat krahasimisht me nevojat e popullsisë së targetuar nga ky</w:t>
      </w:r>
      <w:r w:rsidR="00D449A8" w:rsidRPr="00050FA4">
        <w:rPr>
          <w:lang w:val="sq-AL"/>
        </w:rPr>
        <w:t xml:space="preserve"> program; </w:t>
      </w:r>
      <w:r w:rsidRPr="00050FA4">
        <w:rPr>
          <w:lang w:val="sq-AL"/>
        </w:rPr>
        <w:t>ii</w:t>
      </w:r>
      <w:r w:rsidR="001656A4" w:rsidRPr="00050FA4">
        <w:rPr>
          <w:lang w:val="sq-AL"/>
        </w:rPr>
        <w:t>.</w:t>
      </w:r>
      <w:r w:rsidRPr="00050FA4">
        <w:rPr>
          <w:lang w:val="sq-AL"/>
        </w:rPr>
        <w:t xml:space="preserve"> </w:t>
      </w:r>
      <w:r w:rsidR="001656A4" w:rsidRPr="00050FA4">
        <w:rPr>
          <w:lang w:val="sq-AL"/>
        </w:rPr>
        <w:t xml:space="preserve">nuk </w:t>
      </w:r>
      <w:r w:rsidRPr="00050FA4">
        <w:rPr>
          <w:lang w:val="sq-AL"/>
        </w:rPr>
        <w:t>ka një mekanizëm nëpërmjet të cilit niveli i përfitimi</w:t>
      </w:r>
      <w:r w:rsidR="00D449A8" w:rsidRPr="00050FA4">
        <w:rPr>
          <w:lang w:val="sq-AL"/>
        </w:rPr>
        <w:t xml:space="preserve">t të përditësohet rregullisht; </w:t>
      </w:r>
      <w:r w:rsidRPr="00050FA4">
        <w:rPr>
          <w:lang w:val="sq-AL"/>
        </w:rPr>
        <w:t>iii</w:t>
      </w:r>
      <w:r w:rsidR="00D449A8" w:rsidRPr="00050FA4">
        <w:rPr>
          <w:lang w:val="sq-AL"/>
        </w:rPr>
        <w:t>.</w:t>
      </w:r>
      <w:r w:rsidRPr="00050FA4">
        <w:rPr>
          <w:lang w:val="sq-AL"/>
        </w:rPr>
        <w:t xml:space="preserve"> </w:t>
      </w:r>
      <w:r w:rsidR="001656A4" w:rsidRPr="00050FA4">
        <w:rPr>
          <w:lang w:val="sq-AL"/>
        </w:rPr>
        <w:t xml:space="preserve">formula </w:t>
      </w:r>
      <w:r w:rsidRPr="00050FA4">
        <w:rPr>
          <w:lang w:val="sq-AL"/>
        </w:rPr>
        <w:t>e targetimit mund të rishikohet, për arsye se Shqipëria ka shkuar drejt përdorimit të anketës EU-SILC për llogaritjen e treguesve të varfërisë, ndërsa</w:t>
      </w:r>
      <w:r w:rsidR="009B1D6B" w:rsidRPr="00050FA4">
        <w:rPr>
          <w:lang w:val="sq-AL"/>
        </w:rPr>
        <w:t xml:space="preserve"> </w:t>
      </w:r>
      <w:r w:rsidRPr="00050FA4">
        <w:rPr>
          <w:lang w:val="sq-AL"/>
        </w:rPr>
        <w:t>formula e përshtatshmërisë është llogaritur bazuar në A</w:t>
      </w:r>
      <w:r w:rsidR="00D449A8" w:rsidRPr="00050FA4">
        <w:rPr>
          <w:lang w:val="sq-AL"/>
        </w:rPr>
        <w:t xml:space="preserve">nketën e Buxhetit të Familjes; </w:t>
      </w:r>
      <w:r w:rsidRPr="00050FA4">
        <w:rPr>
          <w:lang w:val="sq-AL"/>
        </w:rPr>
        <w:t>iv</w:t>
      </w:r>
      <w:r w:rsidR="00D449A8" w:rsidRPr="00050FA4">
        <w:rPr>
          <w:lang w:val="sq-AL"/>
        </w:rPr>
        <w:t>.</w:t>
      </w:r>
      <w:r w:rsidRPr="00050FA4">
        <w:rPr>
          <w:lang w:val="sq-AL"/>
        </w:rPr>
        <w:t xml:space="preserve"> Mbulimi i programit mund të mos jetë adekuat për</w:t>
      </w:r>
      <w:r w:rsidR="00D449A8" w:rsidRPr="00050FA4">
        <w:rPr>
          <w:lang w:val="sq-AL"/>
        </w:rPr>
        <w:t xml:space="preserve"> </w:t>
      </w:r>
      <w:r w:rsidRPr="00050FA4">
        <w:rPr>
          <w:lang w:val="sq-AL"/>
        </w:rPr>
        <w:t>sa i përket madhësisë së popullsisë aktualisht në nevojë.</w:t>
      </w:r>
    </w:p>
    <w:p w14:paraId="1AEBBC54" w14:textId="64F7B502" w:rsidR="0089011F" w:rsidRPr="00050FA4" w:rsidRDefault="0089011F" w:rsidP="003F1DA7">
      <w:pPr>
        <w:pStyle w:val="AAAAAAATEXXXX"/>
        <w:rPr>
          <w:lang w:val="sq-AL"/>
        </w:rPr>
      </w:pPr>
      <w:r w:rsidRPr="00050FA4">
        <w:rPr>
          <w:lang w:val="sq-AL"/>
        </w:rPr>
        <w:t>Qeveria ka ndërmarrë masa të përkohshme për të rritur përshtatshmërinë e përfitimeve të asistencës social</w:t>
      </w:r>
      <w:r w:rsidR="001656A4" w:rsidRPr="00050FA4">
        <w:rPr>
          <w:lang w:val="sq-AL"/>
        </w:rPr>
        <w:t>e</w:t>
      </w:r>
      <w:r w:rsidRPr="00050FA4">
        <w:rPr>
          <w:lang w:val="sq-AL"/>
        </w:rPr>
        <w:t xml:space="preserve"> dhe për të zgjeruar mbështetjen e të ardhurave gjatë pandemisë. Për vitin 2021, buxheti për skemën u rrit</w:t>
      </w:r>
      <w:r w:rsidR="009B1D6B" w:rsidRPr="00050FA4">
        <w:rPr>
          <w:lang w:val="sq-AL"/>
        </w:rPr>
        <w:t xml:space="preserve"> </w:t>
      </w:r>
      <w:r w:rsidRPr="00050FA4">
        <w:rPr>
          <w:lang w:val="sq-AL"/>
        </w:rPr>
        <w:t>nga 4.6 miliardë lekë në 7.1 miliardë lekë dhe</w:t>
      </w:r>
      <w:r w:rsidR="009B1D6B" w:rsidRPr="00050FA4">
        <w:rPr>
          <w:lang w:val="sq-AL"/>
        </w:rPr>
        <w:t xml:space="preserve"> </w:t>
      </w:r>
      <w:r w:rsidRPr="00050FA4">
        <w:rPr>
          <w:lang w:val="sq-AL"/>
        </w:rPr>
        <w:t>përfitimet u dyfishuan në gjashtëmujorin e parë të 2021. Nga këto masa përfituan mesatarisht 69,700 familje.</w:t>
      </w:r>
    </w:p>
    <w:p w14:paraId="60A499F6" w14:textId="283BC8FC" w:rsidR="0089011F" w:rsidRPr="00050FA4" w:rsidRDefault="0089011F" w:rsidP="003F1DA7">
      <w:pPr>
        <w:pStyle w:val="AAAAAAATEXXXX"/>
        <w:rPr>
          <w:lang w:val="sq-AL"/>
        </w:rPr>
      </w:pPr>
      <w:r w:rsidRPr="00050FA4">
        <w:rPr>
          <w:lang w:val="sq-AL"/>
        </w:rPr>
        <w:t>Zbatimi i reformës së shërbimeve të kujdesit shoqëror u shoqërua me vënien në funksionim të Fondit Social. Fondi total i disbursuar për pushtetin vendor nga Fondi Social gjatë viteve 2020 dhe 2021 është përkatësisht 1,2 m</w:t>
      </w:r>
      <w:r w:rsidR="004B018E" w:rsidRPr="00050FA4">
        <w:rPr>
          <w:lang w:val="sq-AL"/>
        </w:rPr>
        <w:t>ilion</w:t>
      </w:r>
      <w:r w:rsidRPr="00050FA4">
        <w:rPr>
          <w:lang w:val="sq-AL"/>
        </w:rPr>
        <w:t xml:space="preserve"> euro dhe 1,5 m</w:t>
      </w:r>
      <w:r w:rsidR="004B018E" w:rsidRPr="00050FA4">
        <w:rPr>
          <w:lang w:val="sq-AL"/>
        </w:rPr>
        <w:t>ilion</w:t>
      </w:r>
      <w:r w:rsidRPr="00050FA4">
        <w:rPr>
          <w:lang w:val="sq-AL"/>
        </w:rPr>
        <w:t xml:space="preserve"> euro.</w:t>
      </w:r>
    </w:p>
    <w:p w14:paraId="6CE0C382" w14:textId="3AC71090" w:rsidR="0089011F" w:rsidRPr="00050FA4" w:rsidRDefault="0089011F" w:rsidP="003F1DA7">
      <w:pPr>
        <w:pStyle w:val="AAAAAAATEXXXX"/>
        <w:rPr>
          <w:lang w:val="sq-AL"/>
        </w:rPr>
      </w:pPr>
      <w:r w:rsidRPr="00050FA4">
        <w:rPr>
          <w:lang w:val="sq-AL"/>
        </w:rPr>
        <w:t xml:space="preserve">Në vitin 2020, shërbimet e kujdesit shoqëror të financuara nga </w:t>
      </w:r>
      <w:r w:rsidR="004B018E" w:rsidRPr="00050FA4">
        <w:rPr>
          <w:lang w:val="sq-AL"/>
        </w:rPr>
        <w:t xml:space="preserve">fondi social </w:t>
      </w:r>
      <w:r w:rsidRPr="00050FA4">
        <w:rPr>
          <w:lang w:val="sq-AL"/>
        </w:rPr>
        <w:t>funksionuan vetëm në 8 bashki.</w:t>
      </w:r>
    </w:p>
    <w:p w14:paraId="05B93450" w14:textId="57B1F7A2" w:rsidR="0089011F" w:rsidRPr="00050FA4" w:rsidRDefault="0089011F" w:rsidP="003F1DA7">
      <w:pPr>
        <w:pStyle w:val="AAAAAAATEXXXX"/>
        <w:rPr>
          <w:lang w:val="sq-AL"/>
        </w:rPr>
      </w:pPr>
      <w:r w:rsidRPr="00050FA4">
        <w:rPr>
          <w:lang w:val="sq-AL"/>
        </w:rPr>
        <w:t>Ndikimi i kësaj reforme është zgjerimi i hartës së shërbimeve (gjatë vitit 2021, 5 bashki (Kavajë, Krujë, Lezhë, Berati, Gjirokastër) së pari, kanë ofruar të paktën tr</w:t>
      </w:r>
      <w:r w:rsidR="005E6A97" w:rsidRPr="00050FA4">
        <w:rPr>
          <w:lang w:val="sq-AL"/>
        </w:rPr>
        <w:t>i</w:t>
      </w:r>
      <w:r w:rsidRPr="00050FA4">
        <w:rPr>
          <w:lang w:val="sq-AL"/>
        </w:rPr>
        <w:t xml:space="preserve"> lloje shërbime të mbrojtjes sociale); rritja e numrit të përfituesve (në vitin 2020</w:t>
      </w:r>
      <w:r w:rsidR="007808AC" w:rsidRPr="00050FA4">
        <w:rPr>
          <w:lang w:val="sq-AL"/>
        </w:rPr>
        <w:t xml:space="preserve"> </w:t>
      </w:r>
      <w:r w:rsidR="004B018E" w:rsidRPr="00050FA4">
        <w:rPr>
          <w:lang w:val="sq-AL"/>
        </w:rPr>
        <w:t>–</w:t>
      </w:r>
      <w:r w:rsidRPr="00050FA4">
        <w:rPr>
          <w:lang w:val="sq-AL"/>
        </w:rPr>
        <w:t xml:space="preserve"> 0.56% e popullsisë në krahasim me 0.35% në 2019).</w:t>
      </w:r>
    </w:p>
    <w:p w14:paraId="2D188BB3" w14:textId="37DF81DB" w:rsidR="0089011F" w:rsidRPr="00050FA4" w:rsidRDefault="0089011F" w:rsidP="003F1DA7">
      <w:pPr>
        <w:pStyle w:val="AAAAAAATEXXXX"/>
        <w:rPr>
          <w:lang w:val="sq-AL"/>
        </w:rPr>
      </w:pPr>
      <w:r w:rsidRPr="00050FA4">
        <w:rPr>
          <w:lang w:val="sq-AL"/>
        </w:rPr>
        <w:t>Programi i Përbashkët i OKB</w:t>
      </w:r>
      <w:r w:rsidR="004B018E" w:rsidRPr="00050FA4">
        <w:rPr>
          <w:lang w:val="sq-AL"/>
        </w:rPr>
        <w:t>-së,</w:t>
      </w:r>
      <w:r w:rsidRPr="00050FA4">
        <w:rPr>
          <w:lang w:val="sq-AL"/>
        </w:rPr>
        <w:t xml:space="preserve"> </w:t>
      </w:r>
      <w:r w:rsidR="008A0E5B" w:rsidRPr="00050FA4">
        <w:rPr>
          <w:lang w:val="sq-AL"/>
        </w:rPr>
        <w:t>“</w:t>
      </w:r>
      <w:r w:rsidRPr="00050FA4">
        <w:rPr>
          <w:lang w:val="sq-AL"/>
        </w:rPr>
        <w:t>Askush mos të mbetet pas</w:t>
      </w:r>
      <w:r w:rsidR="008A0E5B" w:rsidRPr="00050FA4">
        <w:rPr>
          <w:lang w:val="sq-AL"/>
        </w:rPr>
        <w:t>”</w:t>
      </w:r>
      <w:r w:rsidR="00E9667F" w:rsidRPr="00050FA4">
        <w:rPr>
          <w:lang w:val="sq-AL"/>
        </w:rPr>
        <w:t>,</w:t>
      </w:r>
      <w:r w:rsidRPr="00050FA4">
        <w:rPr>
          <w:lang w:val="sq-AL"/>
        </w:rPr>
        <w:t xml:space="preserve"> në bashkëpunim me SHSSH</w:t>
      </w:r>
      <w:r w:rsidR="00E9667F" w:rsidRPr="00050FA4">
        <w:rPr>
          <w:lang w:val="sq-AL"/>
        </w:rPr>
        <w:t>-në</w:t>
      </w:r>
      <w:r w:rsidRPr="00050FA4">
        <w:rPr>
          <w:lang w:val="sq-AL"/>
        </w:rPr>
        <w:t xml:space="preserve"> ka kontribuar në aftësimin e bashkive për të planifikuar, buxhetuar, ofruar dhe monitoruar shërbimet vendore të kujdesit social, bazuar në të drejtat, siç parashikohet në Strategjinë e Mbrojtjes Sociale dhe </w:t>
      </w:r>
      <w:r w:rsidR="00E9667F" w:rsidRPr="00050FA4">
        <w:rPr>
          <w:lang w:val="sq-AL"/>
        </w:rPr>
        <w:t xml:space="preserve">ligjin </w:t>
      </w:r>
      <w:r w:rsidRPr="00050FA4">
        <w:rPr>
          <w:lang w:val="sq-AL"/>
        </w:rPr>
        <w:t xml:space="preserve">për </w:t>
      </w:r>
      <w:r w:rsidR="00E9667F" w:rsidRPr="00050FA4">
        <w:rPr>
          <w:lang w:val="sq-AL"/>
        </w:rPr>
        <w:t>shërbimet e kujdesit shoqëror</w:t>
      </w:r>
      <w:r w:rsidRPr="00050FA4">
        <w:rPr>
          <w:lang w:val="sq-AL"/>
        </w:rPr>
        <w:t>. Bashkitë kanë forcuar kapacitetet e tyre për zbatim të politikave të përfshirjes sociale në nivel lokal duke zhvilluar dhe kostuar plane të kujdesit social</w:t>
      </w:r>
      <w:r w:rsidR="00E9667F" w:rsidRPr="00050FA4">
        <w:rPr>
          <w:lang w:val="sq-AL"/>
        </w:rPr>
        <w:t>,</w:t>
      </w:r>
      <w:r w:rsidRPr="00050FA4">
        <w:rPr>
          <w:lang w:val="sq-AL"/>
        </w:rPr>
        <w:t xml:space="preserve"> të cilat u përgjigjen nevojave të burrave dhe </w:t>
      </w:r>
      <w:r w:rsidR="00E9667F" w:rsidRPr="00050FA4">
        <w:rPr>
          <w:lang w:val="sq-AL"/>
        </w:rPr>
        <w:t xml:space="preserve">të </w:t>
      </w:r>
      <w:r w:rsidRPr="00050FA4">
        <w:rPr>
          <w:lang w:val="sq-AL"/>
        </w:rPr>
        <w:t>grave në</w:t>
      </w:r>
      <w:r w:rsidR="009B1D6B" w:rsidRPr="00050FA4">
        <w:rPr>
          <w:lang w:val="sq-AL"/>
        </w:rPr>
        <w:t xml:space="preserve"> </w:t>
      </w:r>
      <w:r w:rsidRPr="00050FA4">
        <w:rPr>
          <w:lang w:val="sq-AL"/>
        </w:rPr>
        <w:t>nevojë. 60 bashki kanë hartuar dhe miratuar tashmë plane të kujdesit social.</w:t>
      </w:r>
    </w:p>
    <w:p w14:paraId="21B41311" w14:textId="04D99C73" w:rsidR="0089011F" w:rsidRPr="00050FA4" w:rsidRDefault="0089011F" w:rsidP="003F1DA7">
      <w:pPr>
        <w:pStyle w:val="AAAAAAATEXXXX"/>
        <w:rPr>
          <w:lang w:val="sq-AL"/>
        </w:rPr>
      </w:pPr>
      <w:r w:rsidRPr="00050FA4">
        <w:rPr>
          <w:lang w:val="sq-AL"/>
        </w:rPr>
        <w:t>Buxheti afatmesëm për 2021</w:t>
      </w:r>
      <w:r w:rsidR="00E9667F" w:rsidRPr="00050FA4">
        <w:rPr>
          <w:lang w:val="sq-AL"/>
        </w:rPr>
        <w:t>–</w:t>
      </w:r>
      <w:r w:rsidRPr="00050FA4">
        <w:rPr>
          <w:lang w:val="sq-AL"/>
        </w:rPr>
        <w:t>2023 parashikon që vlera vjetore arrin në 1.61 milionë euro, pavarësisht rritjes së numrit të bashkie</w:t>
      </w:r>
      <w:r w:rsidR="00A47D2F" w:rsidRPr="00050FA4">
        <w:rPr>
          <w:lang w:val="sq-AL"/>
        </w:rPr>
        <w:t>,</w:t>
      </w:r>
      <w:r w:rsidRPr="00050FA4">
        <w:rPr>
          <w:lang w:val="sq-AL"/>
        </w:rPr>
        <w:t xml:space="preserve"> që kualifikohen dhe</w:t>
      </w:r>
      <w:r w:rsidR="009B1D6B" w:rsidRPr="00050FA4">
        <w:rPr>
          <w:lang w:val="sq-AL"/>
        </w:rPr>
        <w:t xml:space="preserve"> </w:t>
      </w:r>
      <w:r w:rsidRPr="00050FA4">
        <w:rPr>
          <w:lang w:val="sq-AL"/>
        </w:rPr>
        <w:t xml:space="preserve">rrjedhimisht në burimet e nevojshme. Masat për promovimin e përfshirjes sociale dhe </w:t>
      </w:r>
      <w:r w:rsidR="00A47D2F" w:rsidRPr="00050FA4">
        <w:rPr>
          <w:lang w:val="sq-AL"/>
        </w:rPr>
        <w:t xml:space="preserve">të </w:t>
      </w:r>
      <w:r w:rsidRPr="00050FA4">
        <w:rPr>
          <w:lang w:val="sq-AL"/>
        </w:rPr>
        <w:t>mundësive të barabarta për grupet vulnerabël fokusohen në gratë, të rinjtë, minoritetet rome dhe egjiptiane, personat me aftësi të kufizuara dhe të moshuarit. Fuqizimi dhe promovimi i të drejtave të barabarta dhe mosdiskriminimi përbëjnë çelësin për adresimin e pabarazive në kushtet e jetesës. Trajtimi i problemit të përjashtimit dhe diskriminimit në zonat urbane dhe rurale duhet të ketë një mbulim më të gjerë dhe aksesi në shërbime duke targetuar popullatën në nevojë për të mbështetur kohezionin social. Shqipëria ka bashkëpunuar me OKB-në për integrimin dhe përshpejtimin e OZHQ-ve në politikat dhe monitorimin e përfshirjes sociale dhe OZHQ-ve. Barazia gjinore, përfshirja sociale dhe planet kombëtare të veprimit për fëmijët, romët dhe egjiptianët dhe personat me aftësi të kufizuara përmbajnë një kornizë treguesish</w:t>
      </w:r>
      <w:r w:rsidR="00A47D2F" w:rsidRPr="00050FA4">
        <w:rPr>
          <w:lang w:val="sq-AL"/>
        </w:rPr>
        <w:t>,</w:t>
      </w:r>
      <w:r w:rsidRPr="00050FA4">
        <w:rPr>
          <w:lang w:val="sq-AL"/>
        </w:rPr>
        <w:t xml:space="preserve"> që duhet të monitorohen me efektivitet nga secili aktor për të rritur zbatueshmërinë e të drejtave sociale-ekonomike në nivel qendror dhe vendor.</w:t>
      </w:r>
    </w:p>
    <w:p w14:paraId="435C5A46" w14:textId="1628E8FD" w:rsidR="0089011F" w:rsidRPr="00050FA4" w:rsidRDefault="0089011F" w:rsidP="003F1DA7">
      <w:pPr>
        <w:snapToGrid w:val="0"/>
        <w:ind w:firstLine="284"/>
        <w:jc w:val="both"/>
        <w:rPr>
          <w:rFonts w:ascii="Garamond" w:hAnsi="Garamond" w:cstheme="majorBidi"/>
          <w:color w:val="0D0D0D" w:themeColor="text1" w:themeTint="F2"/>
        </w:rPr>
      </w:pPr>
      <w:r w:rsidRPr="00050FA4">
        <w:rPr>
          <w:rFonts w:ascii="Garamond" w:hAnsi="Garamond"/>
          <w:color w:val="0D0D0D" w:themeColor="text1" w:themeTint="F2"/>
        </w:rPr>
        <w:lastRenderedPageBreak/>
        <w:t xml:space="preserve">Përmirësimi i shtrirjes dhe </w:t>
      </w:r>
      <w:r w:rsidR="00A47D2F" w:rsidRPr="00050FA4">
        <w:rPr>
          <w:rFonts w:ascii="Garamond" w:hAnsi="Garamond"/>
          <w:color w:val="0D0D0D" w:themeColor="text1" w:themeTint="F2"/>
        </w:rPr>
        <w:t xml:space="preserve">i </w:t>
      </w:r>
      <w:r w:rsidRPr="00050FA4">
        <w:rPr>
          <w:rFonts w:ascii="Garamond" w:hAnsi="Garamond"/>
          <w:color w:val="0D0D0D" w:themeColor="text1" w:themeTint="F2"/>
        </w:rPr>
        <w:t>mbulimit të shërbimeve të kujdesit shoqëror,</w:t>
      </w:r>
      <w:r w:rsidR="009B1D6B" w:rsidRPr="00050FA4">
        <w:rPr>
          <w:rFonts w:ascii="Garamond" w:hAnsi="Garamond"/>
          <w:color w:val="0D0D0D" w:themeColor="text1" w:themeTint="F2"/>
        </w:rPr>
        <w:t xml:space="preserve"> </w:t>
      </w:r>
      <w:r w:rsidRPr="00050FA4">
        <w:rPr>
          <w:rFonts w:ascii="Garamond" w:hAnsi="Garamond"/>
          <w:color w:val="0D0D0D" w:themeColor="text1" w:themeTint="F2"/>
        </w:rPr>
        <w:t xml:space="preserve">si mjediset e kujdesit për fëmijët, mjediset për personat me aftësi të kufizuara ose të moshuarit, janë </w:t>
      </w:r>
      <w:r w:rsidR="00D24759" w:rsidRPr="00050FA4">
        <w:rPr>
          <w:rFonts w:ascii="Garamond" w:hAnsi="Garamond"/>
          <w:color w:val="0D0D0D" w:themeColor="text1" w:themeTint="F2"/>
        </w:rPr>
        <w:t>komponentë</w:t>
      </w:r>
      <w:r w:rsidRPr="00050FA4">
        <w:rPr>
          <w:rFonts w:ascii="Garamond" w:hAnsi="Garamond"/>
          <w:color w:val="0D0D0D" w:themeColor="text1" w:themeTint="F2"/>
        </w:rPr>
        <w:t xml:space="preserve"> thelbësor</w:t>
      </w:r>
      <w:r w:rsidR="00D24759" w:rsidRPr="00050FA4">
        <w:rPr>
          <w:rFonts w:ascii="Garamond" w:hAnsi="Garamond"/>
          <w:color w:val="0D0D0D" w:themeColor="text1" w:themeTint="F2"/>
        </w:rPr>
        <w:t>ë</w:t>
      </w:r>
      <w:r w:rsidRPr="00050FA4">
        <w:rPr>
          <w:rFonts w:ascii="Garamond" w:hAnsi="Garamond"/>
          <w:color w:val="0D0D0D" w:themeColor="text1" w:themeTint="F2"/>
        </w:rPr>
        <w:t xml:space="preserve"> që mungo</w:t>
      </w:r>
      <w:r w:rsidR="00A47D2F" w:rsidRPr="00050FA4">
        <w:rPr>
          <w:rFonts w:ascii="Garamond" w:hAnsi="Garamond"/>
          <w:color w:val="0D0D0D" w:themeColor="text1" w:themeTint="F2"/>
        </w:rPr>
        <w:t>j</w:t>
      </w:r>
      <w:r w:rsidRPr="00050FA4">
        <w:rPr>
          <w:rFonts w:ascii="Garamond" w:hAnsi="Garamond"/>
          <w:color w:val="0D0D0D" w:themeColor="text1" w:themeTint="F2"/>
        </w:rPr>
        <w:t>n</w:t>
      </w:r>
      <w:r w:rsidR="00A47D2F" w:rsidRPr="00050FA4">
        <w:rPr>
          <w:rFonts w:ascii="Garamond" w:hAnsi="Garamond"/>
          <w:color w:val="0D0D0D" w:themeColor="text1" w:themeTint="F2"/>
        </w:rPr>
        <w:t>ë</w:t>
      </w:r>
      <w:r w:rsidRPr="00050FA4">
        <w:rPr>
          <w:rFonts w:ascii="Garamond" w:hAnsi="Garamond"/>
          <w:color w:val="0D0D0D" w:themeColor="text1" w:themeTint="F2"/>
        </w:rPr>
        <w:t xml:space="preserve"> në sistemin e mbrojtjes sociale dhe do t</w:t>
      </w:r>
      <w:r w:rsidR="00E67ECA" w:rsidRPr="00050FA4">
        <w:rPr>
          <w:rFonts w:ascii="Garamond" w:hAnsi="Garamond"/>
          <w:color w:val="0D0D0D" w:themeColor="text1" w:themeTint="F2"/>
        </w:rPr>
        <w:t>’</w:t>
      </w:r>
      <w:r w:rsidRPr="00050FA4">
        <w:rPr>
          <w:rFonts w:ascii="Garamond" w:hAnsi="Garamond"/>
          <w:color w:val="0D0D0D" w:themeColor="text1" w:themeTint="F2"/>
        </w:rPr>
        <w:t>i ndihmojë këto kategori të rrisin pjesëmarrjen në tregun e punës dhe të zbutin varfërinë.</w:t>
      </w:r>
    </w:p>
    <w:p w14:paraId="7DA72E60" w14:textId="0DFA459C" w:rsidR="004F312A" w:rsidRPr="00050FA4" w:rsidRDefault="00792883" w:rsidP="003F1DA7">
      <w:pPr>
        <w:pStyle w:val="AAAAAAATEXXXX"/>
        <w:rPr>
          <w:lang w:val="sq-AL"/>
        </w:rPr>
      </w:pPr>
      <w:r w:rsidRPr="00050FA4">
        <w:rPr>
          <w:lang w:val="sq-AL"/>
        </w:rPr>
        <w:t>b</w:t>
      </w:r>
      <w:r w:rsidR="00DB4B15" w:rsidRPr="00050FA4">
        <w:rPr>
          <w:lang w:val="sq-AL"/>
        </w:rPr>
        <w:t>)</w:t>
      </w:r>
      <w:r w:rsidRPr="00050FA4">
        <w:rPr>
          <w:lang w:val="sq-AL"/>
        </w:rPr>
        <w:t xml:space="preserve"> </w:t>
      </w:r>
      <w:r w:rsidR="00B2062A" w:rsidRPr="00050FA4">
        <w:rPr>
          <w:lang w:val="sq-AL"/>
        </w:rPr>
        <w:t>Masat e reformës</w:t>
      </w:r>
    </w:p>
    <w:p w14:paraId="11AB1170" w14:textId="5CD961BA" w:rsidR="004F312A" w:rsidRPr="00050FA4" w:rsidRDefault="00B2062A" w:rsidP="00D24759">
      <w:pPr>
        <w:pStyle w:val="Heading5"/>
        <w:snapToGrid w:val="0"/>
        <w:ind w:left="0" w:firstLine="284"/>
        <w:jc w:val="both"/>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04</w:t>
      </w:r>
      <w:r w:rsidR="004F312A" w:rsidRPr="00050FA4">
        <w:rPr>
          <w:rFonts w:ascii="Garamond" w:hAnsi="Garamond" w:cstheme="majorBidi"/>
          <w:color w:val="0D0D0D" w:themeColor="text1" w:themeTint="F2"/>
          <w:sz w:val="24"/>
          <w:szCs w:val="24"/>
        </w:rPr>
        <w:t xml:space="preserve">: </w:t>
      </w:r>
      <w:r w:rsidR="0089011F" w:rsidRPr="00050FA4">
        <w:rPr>
          <w:rFonts w:ascii="Garamond" w:hAnsi="Garamond"/>
          <w:color w:val="0D0D0D" w:themeColor="text1" w:themeTint="F2"/>
          <w:sz w:val="24"/>
          <w:szCs w:val="24"/>
        </w:rPr>
        <w:t xml:space="preserve">Rritja e mbulimit dhe </w:t>
      </w:r>
      <w:r w:rsidR="00A47D2F" w:rsidRPr="00050FA4">
        <w:rPr>
          <w:rFonts w:ascii="Garamond" w:hAnsi="Garamond"/>
          <w:color w:val="0D0D0D" w:themeColor="text1" w:themeTint="F2"/>
          <w:sz w:val="24"/>
          <w:szCs w:val="24"/>
        </w:rPr>
        <w:t xml:space="preserve">e </w:t>
      </w:r>
      <w:r w:rsidR="0089011F" w:rsidRPr="00050FA4">
        <w:rPr>
          <w:rFonts w:ascii="Garamond" w:hAnsi="Garamond"/>
          <w:color w:val="0D0D0D" w:themeColor="text1" w:themeTint="F2"/>
          <w:sz w:val="24"/>
          <w:szCs w:val="24"/>
        </w:rPr>
        <w:t xml:space="preserve">përshtatshmërisë së mbrojtjes sociale dhe </w:t>
      </w:r>
      <w:r w:rsidR="00A47D2F" w:rsidRPr="00050FA4">
        <w:rPr>
          <w:rFonts w:ascii="Garamond" w:hAnsi="Garamond"/>
          <w:color w:val="0D0D0D" w:themeColor="text1" w:themeTint="F2"/>
          <w:sz w:val="24"/>
          <w:szCs w:val="24"/>
        </w:rPr>
        <w:t xml:space="preserve">e </w:t>
      </w:r>
      <w:r w:rsidR="0089011F" w:rsidRPr="00050FA4">
        <w:rPr>
          <w:rFonts w:ascii="Garamond" w:hAnsi="Garamond"/>
          <w:color w:val="0D0D0D" w:themeColor="text1" w:themeTint="F2"/>
          <w:sz w:val="24"/>
          <w:szCs w:val="24"/>
        </w:rPr>
        <w:t>sigurimeve shëndetësore</w:t>
      </w:r>
      <w:r w:rsidR="00A47D2F" w:rsidRPr="00050FA4">
        <w:rPr>
          <w:rFonts w:ascii="Garamond" w:hAnsi="Garamond"/>
          <w:color w:val="0D0D0D" w:themeColor="text1" w:themeTint="F2"/>
          <w:sz w:val="24"/>
          <w:szCs w:val="24"/>
        </w:rPr>
        <w:t>,</w:t>
      </w:r>
      <w:r w:rsidR="0089011F" w:rsidRPr="00050FA4">
        <w:rPr>
          <w:rFonts w:ascii="Garamond" w:hAnsi="Garamond"/>
          <w:color w:val="0D0D0D" w:themeColor="text1" w:themeTint="F2"/>
          <w:sz w:val="24"/>
          <w:szCs w:val="24"/>
        </w:rPr>
        <w:t xml:space="preserve"> për të ulur përqindjen e popullsisë së rrezikuar nga varfëria</w:t>
      </w:r>
    </w:p>
    <w:p w14:paraId="308FB09A" w14:textId="1E790168" w:rsidR="004F312A" w:rsidRPr="00050FA4" w:rsidRDefault="00792883" w:rsidP="003F1DA7">
      <w:pPr>
        <w:pStyle w:val="AAAAAAATEXXXX"/>
        <w:rPr>
          <w:lang w:val="sq-AL"/>
        </w:rPr>
      </w:pPr>
      <w:r w:rsidRPr="00050FA4">
        <w:rPr>
          <w:lang w:val="sq-AL"/>
        </w:rPr>
        <w:t xml:space="preserve">1. </w:t>
      </w:r>
      <w:r w:rsidR="00B2062A" w:rsidRPr="00050FA4">
        <w:rPr>
          <w:lang w:val="sq-AL"/>
        </w:rPr>
        <w:t>Përshkrimi i masës</w:t>
      </w:r>
    </w:p>
    <w:p w14:paraId="5AD230BB" w14:textId="1F029885" w:rsidR="0089011F" w:rsidRPr="00050FA4" w:rsidRDefault="0089011F" w:rsidP="003F1DA7">
      <w:pPr>
        <w:pStyle w:val="AAAAAAATEXXXX"/>
        <w:rPr>
          <w:lang w:val="sq-AL"/>
        </w:rPr>
      </w:pPr>
      <w:r w:rsidRPr="00050FA4">
        <w:rPr>
          <w:lang w:val="sq-AL"/>
        </w:rPr>
        <w:t>Qëllimi i përgjithshëm i kësaj mase është zgjerimi i mbulimit, gjithëpërfshirjes, efektivitetit dhe shënjestrimit më të mirë të individëve në nevojë</w:t>
      </w:r>
      <w:r w:rsidR="0084515D" w:rsidRPr="00050FA4">
        <w:rPr>
          <w:lang w:val="sq-AL"/>
        </w:rPr>
        <w:t>,</w:t>
      </w:r>
      <w:r w:rsidRPr="00050FA4">
        <w:rPr>
          <w:lang w:val="sq-AL"/>
        </w:rPr>
        <w:t xml:space="preserve"> me shërbime të integruara sociale dhe mekanizmave financiarë: fondit social dhe ndërmarrjeve sociale.</w:t>
      </w:r>
    </w:p>
    <w:p w14:paraId="5A2187BC" w14:textId="5C55DBDA" w:rsidR="0089011F" w:rsidRPr="00050FA4" w:rsidRDefault="0089011F" w:rsidP="003F1DA7">
      <w:pPr>
        <w:pStyle w:val="AAAAAAATEXXXX"/>
        <w:rPr>
          <w:lang w:val="sq-AL"/>
        </w:rPr>
      </w:pPr>
      <w:r w:rsidRPr="00050FA4">
        <w:rPr>
          <w:lang w:val="sq-AL"/>
        </w:rPr>
        <w:t>Vëmendje e veçantë do t</w:t>
      </w:r>
      <w:r w:rsidR="00F56E92" w:rsidRPr="00050FA4">
        <w:rPr>
          <w:lang w:val="sq-AL"/>
        </w:rPr>
        <w:t>’</w:t>
      </w:r>
      <w:r w:rsidRPr="00050FA4">
        <w:rPr>
          <w:lang w:val="sq-AL"/>
        </w:rPr>
        <w:t>u kushtohet: i</w:t>
      </w:r>
      <w:r w:rsidR="00D24759" w:rsidRPr="00050FA4">
        <w:rPr>
          <w:lang w:val="sq-AL"/>
        </w:rPr>
        <w:t>.</w:t>
      </w:r>
      <w:r w:rsidRPr="00050FA4">
        <w:rPr>
          <w:lang w:val="sq-AL"/>
        </w:rPr>
        <w:t xml:space="preserve"> shërbimeve të integruara shëndetësore dhe sociale; ii</w:t>
      </w:r>
      <w:r w:rsidR="0084515D" w:rsidRPr="00050FA4">
        <w:rPr>
          <w:lang w:val="sq-AL"/>
        </w:rPr>
        <w:t>.</w:t>
      </w:r>
      <w:r w:rsidRPr="00050FA4">
        <w:rPr>
          <w:lang w:val="sq-AL"/>
        </w:rPr>
        <w:t xml:space="preserve"> të fuqizohen njësitë e qeverisjes vendore për të përfshirë shërbimet dhe mekanizmat e duhur të kujdesit social në planet e tyre të politikave sociale; iii</w:t>
      </w:r>
      <w:r w:rsidR="00D24759" w:rsidRPr="00050FA4">
        <w:rPr>
          <w:lang w:val="sq-AL"/>
        </w:rPr>
        <w:t>.</w:t>
      </w:r>
      <w:r w:rsidRPr="00050FA4">
        <w:rPr>
          <w:lang w:val="sq-AL"/>
        </w:rPr>
        <w:t xml:space="preserve"> vazhdimësisë së zbatimit të planit kombëtar të veprimit për deinstitucionalizimin; iv</w:t>
      </w:r>
      <w:r w:rsidR="00D24759" w:rsidRPr="00050FA4">
        <w:rPr>
          <w:lang w:val="sq-AL"/>
        </w:rPr>
        <w:t>.</w:t>
      </w:r>
      <w:r w:rsidRPr="00050FA4">
        <w:rPr>
          <w:lang w:val="sq-AL"/>
        </w:rPr>
        <w:t xml:space="preserve"> rishikimit të standardeve minimale ekzistuese për 17 shërbime të kujdesit social dhe identifikimi i standardeve të reja funksionale dhe strukturore sipas nevojës; v</w:t>
      </w:r>
      <w:r w:rsidR="00D24759" w:rsidRPr="00050FA4">
        <w:rPr>
          <w:lang w:val="sq-AL"/>
        </w:rPr>
        <w:t>.</w:t>
      </w:r>
      <w:r w:rsidRPr="00050FA4">
        <w:rPr>
          <w:lang w:val="sq-AL"/>
        </w:rPr>
        <w:t xml:space="preserve"> hartimit të një metodologjie dhe përcaktimit të kostos për njësi për shërbimet e kujdesit social</w:t>
      </w:r>
      <w:r w:rsidR="0084515D" w:rsidRPr="00050FA4">
        <w:rPr>
          <w:lang w:val="sq-AL"/>
        </w:rPr>
        <w:t>,</w:t>
      </w:r>
      <w:r w:rsidRPr="00050FA4">
        <w:rPr>
          <w:lang w:val="sq-AL"/>
        </w:rPr>
        <w:t xml:space="preserve"> bazuar në standardet minimale strukturore dhe të funksionimit; vi</w:t>
      </w:r>
      <w:r w:rsidR="00D24759" w:rsidRPr="00050FA4">
        <w:rPr>
          <w:lang w:val="sq-AL"/>
        </w:rPr>
        <w:t>.</w:t>
      </w:r>
      <w:r w:rsidRPr="00050FA4">
        <w:rPr>
          <w:lang w:val="sq-AL"/>
        </w:rPr>
        <w:t xml:space="preserve"> zhvillimit të metodologjisë për vlerësimin dhe shpërndarjen e </w:t>
      </w:r>
      <w:r w:rsidR="0084515D" w:rsidRPr="00050FA4">
        <w:rPr>
          <w:lang w:val="sq-AL"/>
        </w:rPr>
        <w:t>fondit social kombëtar,</w:t>
      </w:r>
      <w:r w:rsidRPr="00050FA4">
        <w:rPr>
          <w:lang w:val="sq-AL"/>
        </w:rPr>
        <w:t xml:space="preserve"> duke marrë parasysh masat që adresojnë përmirësimin e transparencës dhe barazisë vertikale dhe horizontale.</w:t>
      </w:r>
    </w:p>
    <w:p w14:paraId="4E1A7A8A" w14:textId="77777777" w:rsidR="0089011F" w:rsidRPr="00050FA4" w:rsidRDefault="0089011F" w:rsidP="003F1DA7">
      <w:pPr>
        <w:pStyle w:val="AAAAAAATEXXXX"/>
        <w:rPr>
          <w:lang w:val="sq-AL"/>
        </w:rPr>
      </w:pPr>
      <w:r w:rsidRPr="00050FA4">
        <w:rPr>
          <w:lang w:val="sq-AL"/>
        </w:rPr>
        <w:t>Bazuar në vlerësimin e ecurisë së nivelit të përfitimit të ndihmës ekonomike, do të vendoset një mekanizëm transparent për rishikimin e rregullt të saj</w:t>
      </w:r>
    </w:p>
    <w:p w14:paraId="58DDCDBE" w14:textId="64E01382" w:rsidR="0089011F" w:rsidRPr="00050FA4" w:rsidRDefault="0089011F" w:rsidP="003F1DA7">
      <w:pPr>
        <w:pStyle w:val="AAAAAAATEXXXX"/>
        <w:rPr>
          <w:lang w:val="sq-AL"/>
        </w:rPr>
      </w:pPr>
      <w:r w:rsidRPr="00050FA4">
        <w:rPr>
          <w:lang w:val="sq-AL"/>
        </w:rPr>
        <w:t>Është ngritur një mekanizëm koordinues ndërinstitucional në nivel qendror, me ekipe pune në nivel rajonal dhe vendor për referimin dhe punësimin e individëve dhe anëtarëve në moshë pune të familjeve që përfitojnë ndihmë sociale. Këto struktura do të sigurojnë riintegrimin social, nëpërmjet koordinimit dhe zbatimit të një programi të daljes nga skema e ndihmës ekonomike. Është miratuar programi i daljes dhe plani i veprimit</w:t>
      </w:r>
      <w:r w:rsidR="0084515D" w:rsidRPr="00050FA4">
        <w:rPr>
          <w:lang w:val="sq-AL"/>
        </w:rPr>
        <w:t>,</w:t>
      </w:r>
      <w:r w:rsidRPr="00050FA4">
        <w:rPr>
          <w:lang w:val="sq-AL"/>
        </w:rPr>
        <w:t xml:space="preserve"> me qëllimin për të nxitur integrimin shoqëror të familjeve nëpërmjet programeve të nxitjes së punësimit, në mënyrë që kjo skemë të mos përdoret si mjet përfitimi që mund të çojë drejt papunësisë së zgjatur të familjeve përfituese të ndihmës ekonomike dhe ta kthejë atë në një skemë aktive.</w:t>
      </w:r>
    </w:p>
    <w:p w14:paraId="502AE364" w14:textId="1713B255" w:rsidR="0089011F" w:rsidRPr="00050FA4" w:rsidRDefault="0089011F" w:rsidP="003F1DA7">
      <w:pPr>
        <w:pStyle w:val="AAAAAAATEXXXX"/>
        <w:rPr>
          <w:lang w:val="sq-AL"/>
        </w:rPr>
      </w:pPr>
      <w:r w:rsidRPr="00050FA4">
        <w:rPr>
          <w:lang w:val="sq-AL"/>
        </w:rPr>
        <w:t xml:space="preserve">Aktualisht, është përgatitur udhërrëfyesi me hapat dhe afatet kohore për rregullimin e përfitimeve të ndihmës ekonomike dhe vendosjen e një mekanizmi transparent për rishikimin e rregullt vjetor të tyre, në përputhje me kushtin e </w:t>
      </w:r>
      <w:r w:rsidR="0084515D" w:rsidRPr="00050FA4">
        <w:rPr>
          <w:lang w:val="sq-AL"/>
        </w:rPr>
        <w:t xml:space="preserve">asistencës makrofinanciare </w:t>
      </w:r>
      <w:r w:rsidRPr="00050FA4">
        <w:rPr>
          <w:lang w:val="sq-AL"/>
        </w:rPr>
        <w:t>të BE-së për Shqipërinë.</w:t>
      </w:r>
    </w:p>
    <w:p w14:paraId="1862465A" w14:textId="156A4AF5" w:rsidR="0089011F" w:rsidRPr="00050FA4" w:rsidRDefault="0089011F" w:rsidP="003F1DA7">
      <w:pPr>
        <w:pStyle w:val="AAAAAAATEXXXX"/>
        <w:rPr>
          <w:lang w:val="sq-AL"/>
        </w:rPr>
      </w:pPr>
      <w:r w:rsidRPr="00050FA4">
        <w:rPr>
          <w:lang w:val="sq-AL"/>
        </w:rPr>
        <w:t>Hapat e udhërrëfyesit</w:t>
      </w:r>
      <w:r w:rsidR="00F51067" w:rsidRPr="00050FA4">
        <w:rPr>
          <w:lang w:val="sq-AL"/>
        </w:rPr>
        <w:t>,</w:t>
      </w:r>
      <w:r w:rsidRPr="00050FA4">
        <w:rPr>
          <w:lang w:val="sq-AL"/>
        </w:rPr>
        <w:t xml:space="preserve"> sipas angazhimit</w:t>
      </w:r>
      <w:r w:rsidR="00F51067" w:rsidRPr="00050FA4">
        <w:rPr>
          <w:lang w:val="sq-AL"/>
        </w:rPr>
        <w:t>,</w:t>
      </w:r>
      <w:r w:rsidRPr="00050FA4">
        <w:rPr>
          <w:lang w:val="sq-AL"/>
        </w:rPr>
        <w:t xml:space="preserve"> do të zbatohen deri në fund të vitit 2024. Hapat përfshijnë analizën e performancës së përfitimit të ndihmës ekonomike</w:t>
      </w:r>
      <w:r w:rsidR="00F51067" w:rsidRPr="00050FA4">
        <w:rPr>
          <w:lang w:val="sq-AL"/>
        </w:rPr>
        <w:t>,</w:t>
      </w:r>
      <w:r w:rsidRPr="00050FA4">
        <w:rPr>
          <w:lang w:val="sq-AL"/>
        </w:rPr>
        <w:t xml:space="preserve"> duke përdorur të dhënat më të fundit të HBS</w:t>
      </w:r>
      <w:r w:rsidR="00F51067" w:rsidRPr="00050FA4">
        <w:rPr>
          <w:lang w:val="sq-AL"/>
        </w:rPr>
        <w:t>-së</w:t>
      </w:r>
      <w:r w:rsidRPr="00050FA4">
        <w:rPr>
          <w:lang w:val="sq-AL"/>
        </w:rPr>
        <w:t xml:space="preserve"> dhe EU-SILC dhe krijimin e një mekanizmi për të përditësuar rregullisht nivelin e përfitimit të ndihmës ekonomike. </w:t>
      </w:r>
    </w:p>
    <w:p w14:paraId="45093E96" w14:textId="75682601" w:rsidR="0089011F" w:rsidRPr="00050FA4" w:rsidRDefault="0089011F" w:rsidP="003F1DA7">
      <w:pPr>
        <w:pStyle w:val="AAAAAAATEXXXX"/>
        <w:rPr>
          <w:lang w:val="sq-AL"/>
        </w:rPr>
      </w:pPr>
      <w:r w:rsidRPr="00050FA4">
        <w:rPr>
          <w:lang w:val="sq-AL"/>
        </w:rPr>
        <w:t>Me ligjin 57/2019</w:t>
      </w:r>
      <w:r w:rsidR="00F51067" w:rsidRPr="00050FA4">
        <w:rPr>
          <w:lang w:val="sq-AL"/>
        </w:rPr>
        <w:t>,</w:t>
      </w:r>
      <w:r w:rsidRPr="00050FA4">
        <w:rPr>
          <w:lang w:val="sq-AL"/>
        </w:rPr>
        <w:t xml:space="preserve"> </w:t>
      </w:r>
      <w:r w:rsidR="008A0E5B" w:rsidRPr="00050FA4">
        <w:rPr>
          <w:lang w:val="sq-AL"/>
        </w:rPr>
        <w:t>“</w:t>
      </w:r>
      <w:r w:rsidRPr="00050FA4">
        <w:rPr>
          <w:lang w:val="sq-AL"/>
        </w:rPr>
        <w:t xml:space="preserve">Për </w:t>
      </w:r>
      <w:r w:rsidR="00D24759" w:rsidRPr="00050FA4">
        <w:rPr>
          <w:lang w:val="sq-AL"/>
        </w:rPr>
        <w:t>asistencën</w:t>
      </w:r>
      <w:r w:rsidRPr="00050FA4">
        <w:rPr>
          <w:lang w:val="sq-AL"/>
        </w:rPr>
        <w:t xml:space="preserve"> sociale në Republikën e Shqipërisë</w:t>
      </w:r>
      <w:r w:rsidR="008A0E5B" w:rsidRPr="00050FA4">
        <w:rPr>
          <w:lang w:val="sq-AL"/>
        </w:rPr>
        <w:t>”</w:t>
      </w:r>
      <w:r w:rsidRPr="00050FA4">
        <w:rPr>
          <w:lang w:val="sq-AL"/>
        </w:rPr>
        <w:t>, u hoq një kufizim i mëparshëm</w:t>
      </w:r>
      <w:r w:rsidR="00F51067" w:rsidRPr="00050FA4">
        <w:rPr>
          <w:lang w:val="sq-AL"/>
        </w:rPr>
        <w:t xml:space="preserve">, </w:t>
      </w:r>
      <w:r w:rsidRPr="00050FA4">
        <w:rPr>
          <w:lang w:val="sq-AL"/>
        </w:rPr>
        <w:t>për të garantuar që përfitimet e fituara për shkak të aftësisë së kufizuar të mos ndërpriteshin</w:t>
      </w:r>
      <w:r w:rsidR="00F51067" w:rsidRPr="00050FA4">
        <w:rPr>
          <w:lang w:val="sq-AL"/>
        </w:rPr>
        <w:t>,</w:t>
      </w:r>
      <w:r w:rsidRPr="00050FA4">
        <w:rPr>
          <w:lang w:val="sq-AL"/>
        </w:rPr>
        <w:t xml:space="preserve"> në rast punësimi për personat me aftësi të kufizuar</w:t>
      </w:r>
      <w:r w:rsidR="00F51067" w:rsidRPr="00050FA4">
        <w:rPr>
          <w:lang w:val="sq-AL"/>
        </w:rPr>
        <w:t>a</w:t>
      </w:r>
      <w:r w:rsidRPr="00050FA4">
        <w:rPr>
          <w:lang w:val="sq-AL"/>
        </w:rPr>
        <w:t>, një hap drejt përfshirjes dhe integrimit social.</w:t>
      </w:r>
    </w:p>
    <w:p w14:paraId="7D550D39" w14:textId="0559EB55" w:rsidR="0089011F" w:rsidRPr="00050FA4" w:rsidRDefault="0089011F" w:rsidP="003F1DA7">
      <w:pPr>
        <w:pStyle w:val="AAAAAAATEXXXX"/>
        <w:rPr>
          <w:lang w:val="sq-AL"/>
        </w:rPr>
      </w:pPr>
      <w:r w:rsidRPr="00050FA4">
        <w:rPr>
          <w:lang w:val="sq-AL"/>
        </w:rPr>
        <w:t xml:space="preserve">Në kuadër të barazisë gjinore dhe përfshirjes sociale, </w:t>
      </w:r>
      <w:r w:rsidR="00F51067" w:rsidRPr="00050FA4">
        <w:rPr>
          <w:lang w:val="sq-AL"/>
        </w:rPr>
        <w:t xml:space="preserve">qeveria </w:t>
      </w:r>
      <w:r w:rsidRPr="00050FA4">
        <w:rPr>
          <w:lang w:val="sq-AL"/>
        </w:rPr>
        <w:t>ka miratuar dokumentet strategjike: Strategjia për Barazinë Gjinore 2021</w:t>
      </w:r>
      <w:r w:rsidR="00D24759" w:rsidRPr="00050FA4">
        <w:rPr>
          <w:lang w:val="sq-AL"/>
        </w:rPr>
        <w:t>–</w:t>
      </w:r>
      <w:r w:rsidRPr="00050FA4">
        <w:rPr>
          <w:lang w:val="sq-AL"/>
        </w:rPr>
        <w:t>2030; Plani Kombëtar për Personat LGBTI; Plani Kombëtar i Veprimit për Aftësinë e Kufizuar 2021</w:t>
      </w:r>
      <w:r w:rsidR="00D24759" w:rsidRPr="00050FA4">
        <w:rPr>
          <w:lang w:val="sq-AL"/>
        </w:rPr>
        <w:t>–</w:t>
      </w:r>
      <w:r w:rsidRPr="00050FA4">
        <w:rPr>
          <w:lang w:val="sq-AL"/>
        </w:rPr>
        <w:t>2025; Plani Kombëtar për Barazinë, Përfshirjen dhe Pjesëmarrjen e Romëve dhe Egjiptianëve 2021</w:t>
      </w:r>
      <w:r w:rsidR="00D24759" w:rsidRPr="00050FA4">
        <w:rPr>
          <w:lang w:val="sq-AL"/>
        </w:rPr>
        <w:t>–</w:t>
      </w:r>
      <w:r w:rsidRPr="00050FA4">
        <w:rPr>
          <w:lang w:val="sq-AL"/>
        </w:rPr>
        <w:t>2025 dhe A</w:t>
      </w:r>
      <w:r w:rsidR="00D24759" w:rsidRPr="00050FA4">
        <w:rPr>
          <w:lang w:val="sq-AL"/>
        </w:rPr>
        <w:t>gj</w:t>
      </w:r>
      <w:r w:rsidRPr="00050FA4">
        <w:rPr>
          <w:lang w:val="sq-AL"/>
        </w:rPr>
        <w:t>enda Kombëtare për të Drejtat e Fëmijëve 2021</w:t>
      </w:r>
      <w:r w:rsidR="00D24759" w:rsidRPr="00050FA4">
        <w:rPr>
          <w:lang w:val="sq-AL"/>
        </w:rPr>
        <w:t>–</w:t>
      </w:r>
      <w:r w:rsidRPr="00050FA4">
        <w:rPr>
          <w:lang w:val="sq-AL"/>
        </w:rPr>
        <w:t>2026.</w:t>
      </w:r>
    </w:p>
    <w:p w14:paraId="42E93154" w14:textId="77777777" w:rsidR="0089011F" w:rsidRPr="00050FA4" w:rsidRDefault="0089011F" w:rsidP="003F1DA7">
      <w:pPr>
        <w:pStyle w:val="AAAAAAATEXXXX"/>
        <w:rPr>
          <w:lang w:val="sq-AL"/>
        </w:rPr>
      </w:pPr>
      <w:r w:rsidRPr="00050FA4">
        <w:rPr>
          <w:lang w:val="sq-AL"/>
        </w:rPr>
        <w:t>Ndërhyrjet konkrete synojnë:</w:t>
      </w:r>
    </w:p>
    <w:p w14:paraId="07163378" w14:textId="788503FE" w:rsidR="0089011F" w:rsidRPr="00050FA4" w:rsidRDefault="0089011F" w:rsidP="003F1DA7">
      <w:pPr>
        <w:pStyle w:val="AAAAAAATEXXXX"/>
        <w:rPr>
          <w:lang w:val="sq-AL"/>
        </w:rPr>
      </w:pPr>
      <w:r w:rsidRPr="00050FA4">
        <w:rPr>
          <w:lang w:val="sq-AL"/>
        </w:rPr>
        <w:t>i</w:t>
      </w:r>
      <w:r w:rsidR="00DB4B15" w:rsidRPr="00050FA4">
        <w:rPr>
          <w:lang w:val="sq-AL"/>
        </w:rPr>
        <w:t>.</w:t>
      </w:r>
      <w:r w:rsidRPr="00050FA4">
        <w:rPr>
          <w:lang w:val="sq-AL"/>
        </w:rPr>
        <w:t xml:space="preserve"> krijimin e një mekanizmi për të rishikuar masën e përfitimit të ndihmës ekonomike</w:t>
      </w:r>
      <w:r w:rsidR="00F51067" w:rsidRPr="00050FA4">
        <w:rPr>
          <w:lang w:val="sq-AL"/>
        </w:rPr>
        <w:t>;</w:t>
      </w:r>
    </w:p>
    <w:p w14:paraId="79C12ECC" w14:textId="1F5F3FC4" w:rsidR="0089011F" w:rsidRPr="00050FA4" w:rsidRDefault="0089011F" w:rsidP="003F1DA7">
      <w:pPr>
        <w:pStyle w:val="AAAAAAATEXXXX"/>
        <w:rPr>
          <w:lang w:val="sq-AL"/>
        </w:rPr>
      </w:pPr>
      <w:r w:rsidRPr="00050FA4">
        <w:rPr>
          <w:lang w:val="sq-AL"/>
        </w:rPr>
        <w:t>ii</w:t>
      </w:r>
      <w:r w:rsidR="00DB4B15" w:rsidRPr="00050FA4">
        <w:rPr>
          <w:lang w:val="sq-AL"/>
        </w:rPr>
        <w:t>.</w:t>
      </w:r>
      <w:r w:rsidRPr="00050FA4">
        <w:rPr>
          <w:lang w:val="sq-AL"/>
        </w:rPr>
        <w:t xml:space="preserve"> forcimin</w:t>
      </w:r>
      <w:r w:rsidR="009B1D6B" w:rsidRPr="00050FA4">
        <w:rPr>
          <w:lang w:val="sq-AL"/>
        </w:rPr>
        <w:t xml:space="preserve"> </w:t>
      </w:r>
      <w:r w:rsidRPr="00050FA4">
        <w:rPr>
          <w:lang w:val="sq-AL"/>
        </w:rPr>
        <w:t>e kapaciteteve administrative të qeverisje</w:t>
      </w:r>
      <w:r w:rsidR="0026453E" w:rsidRPr="00050FA4">
        <w:rPr>
          <w:lang w:val="sq-AL"/>
        </w:rPr>
        <w:t xml:space="preserve">s vendore për sektorin social, </w:t>
      </w:r>
      <w:r w:rsidRPr="00050FA4">
        <w:rPr>
          <w:lang w:val="sq-AL"/>
        </w:rPr>
        <w:t xml:space="preserve">veçanërisht për të aplikuar për mbështetje nga </w:t>
      </w:r>
      <w:r w:rsidR="00F51067" w:rsidRPr="00050FA4">
        <w:rPr>
          <w:lang w:val="sq-AL"/>
        </w:rPr>
        <w:t xml:space="preserve">fondi social </w:t>
      </w:r>
      <w:r w:rsidRPr="00050FA4">
        <w:rPr>
          <w:lang w:val="sq-AL"/>
        </w:rPr>
        <w:t>dhe për të planifikuar, administruar dhe ofruar shërbime të reja të kujdesit social. Bazuar në një metodologji të re</w:t>
      </w:r>
      <w:r w:rsidR="00F51067" w:rsidRPr="00050FA4">
        <w:rPr>
          <w:lang w:val="sq-AL"/>
        </w:rPr>
        <w:t>,</w:t>
      </w:r>
      <w:r w:rsidRPr="00050FA4">
        <w:rPr>
          <w:lang w:val="sq-AL"/>
        </w:rPr>
        <w:t xml:space="preserve"> në lidhje me vlerësimin dhe shpërndarjen </w:t>
      </w:r>
      <w:r w:rsidR="00F51067" w:rsidRPr="00050FA4">
        <w:rPr>
          <w:lang w:val="sq-AL"/>
        </w:rPr>
        <w:t>e fondit social kombët</w:t>
      </w:r>
      <w:r w:rsidRPr="00050FA4">
        <w:rPr>
          <w:lang w:val="sq-AL"/>
        </w:rPr>
        <w:t>ar, shërbimet sociale në territor duhet t</w:t>
      </w:r>
      <w:r w:rsidR="00F51067" w:rsidRPr="00050FA4">
        <w:rPr>
          <w:lang w:val="sq-AL"/>
        </w:rPr>
        <w:t>’</w:t>
      </w:r>
      <w:r w:rsidRPr="00050FA4">
        <w:rPr>
          <w:lang w:val="sq-AL"/>
        </w:rPr>
        <w:t>u përgjigjen më mirë nevojave të grupeve vulnerabël</w:t>
      </w:r>
      <w:r w:rsidR="00F51067" w:rsidRPr="00050FA4">
        <w:rPr>
          <w:lang w:val="sq-AL"/>
        </w:rPr>
        <w:t>;</w:t>
      </w:r>
    </w:p>
    <w:p w14:paraId="032D4EC2" w14:textId="2DB17703" w:rsidR="0089011F" w:rsidRPr="00050FA4" w:rsidRDefault="0089011F" w:rsidP="003F1DA7">
      <w:pPr>
        <w:pStyle w:val="AAAAAAATEXXXX"/>
        <w:rPr>
          <w:lang w:val="sq-AL"/>
        </w:rPr>
      </w:pPr>
      <w:r w:rsidRPr="00050FA4">
        <w:rPr>
          <w:lang w:val="sq-AL"/>
        </w:rPr>
        <w:t>iii</w:t>
      </w:r>
      <w:r w:rsidR="00DB4B15" w:rsidRPr="00050FA4">
        <w:rPr>
          <w:lang w:val="sq-AL"/>
        </w:rPr>
        <w:t>.</w:t>
      </w:r>
      <w:r w:rsidRPr="00050FA4">
        <w:rPr>
          <w:lang w:val="sq-AL"/>
        </w:rPr>
        <w:t xml:space="preserve"> mbështetjen e personave nga grupet e pafavorizuara me punësim në ndërmarrjet sociale</w:t>
      </w:r>
      <w:r w:rsidR="00F51067" w:rsidRPr="00050FA4">
        <w:rPr>
          <w:lang w:val="sq-AL"/>
        </w:rPr>
        <w:t>,</w:t>
      </w:r>
      <w:r w:rsidRPr="00050FA4">
        <w:rPr>
          <w:lang w:val="sq-AL"/>
        </w:rPr>
        <w:t xml:space="preserve"> në zbatim të legjislacionit për ndërmarrjet sociale dhe akteve nënligjore, si mjet për riintegrimin e personave nga grupet vulnerabël. Nga kjo masë kanë përfituar statusin e ndërmarrjeve sociale 8 organizata, të cilat janë parashikuar të punësojnë 80 persona nga grupet vulnerabël</w:t>
      </w:r>
      <w:r w:rsidR="00F51067" w:rsidRPr="00050FA4">
        <w:rPr>
          <w:lang w:val="sq-AL"/>
        </w:rPr>
        <w:t>;</w:t>
      </w:r>
    </w:p>
    <w:p w14:paraId="6AC2D78A" w14:textId="3C7B30F9" w:rsidR="0089011F" w:rsidRPr="00050FA4" w:rsidRDefault="0089011F" w:rsidP="003F1DA7">
      <w:pPr>
        <w:pStyle w:val="AAAAAAATEXXXX"/>
        <w:rPr>
          <w:rFonts w:cstheme="majorBidi"/>
          <w:lang w:val="sq-AL"/>
        </w:rPr>
      </w:pPr>
      <w:r w:rsidRPr="00050FA4">
        <w:rPr>
          <w:lang w:val="sq-AL"/>
        </w:rPr>
        <w:t>iv</w:t>
      </w:r>
      <w:r w:rsidR="00DB4B15" w:rsidRPr="00050FA4">
        <w:rPr>
          <w:lang w:val="sq-AL"/>
        </w:rPr>
        <w:t>.</w:t>
      </w:r>
      <w:r w:rsidRPr="00050FA4">
        <w:rPr>
          <w:lang w:val="sq-AL"/>
        </w:rPr>
        <w:t xml:space="preserve"> mbështetjen për të vazhduar aksesin në shërbimet e mbështetjes sociale edhe në rrethanat e reja të </w:t>
      </w:r>
      <w:r w:rsidR="00201BB0" w:rsidRPr="00050FA4">
        <w:rPr>
          <w:lang w:val="sq-AL"/>
        </w:rPr>
        <w:lastRenderedPageBreak/>
        <w:t>krijuara nga COVID-</w:t>
      </w:r>
      <w:r w:rsidRPr="00050FA4">
        <w:rPr>
          <w:lang w:val="sq-AL"/>
        </w:rPr>
        <w:t>19 për gratë, burrat, vajzat, djemtë dhe fëmijët vulnerabël</w:t>
      </w:r>
      <w:r w:rsidR="00201BB0" w:rsidRPr="00050FA4">
        <w:rPr>
          <w:lang w:val="sq-AL"/>
        </w:rPr>
        <w:t>,</w:t>
      </w:r>
      <w:r w:rsidRPr="00050FA4">
        <w:rPr>
          <w:lang w:val="sq-AL"/>
        </w:rPr>
        <w:t xml:space="preserve"> që rrezikojnë të mbeten pas.</w:t>
      </w:r>
    </w:p>
    <w:p w14:paraId="4FD15497" w14:textId="0CAA9F2C" w:rsidR="004F312A" w:rsidRPr="00050FA4" w:rsidRDefault="00792883" w:rsidP="003F1DA7">
      <w:pPr>
        <w:pStyle w:val="AAAAAAATEXXXX"/>
        <w:rPr>
          <w:b/>
          <w:lang w:val="sq-AL"/>
        </w:rPr>
      </w:pPr>
      <w:r w:rsidRPr="00050FA4">
        <w:rPr>
          <w:b/>
          <w:lang w:val="sq-AL"/>
        </w:rPr>
        <w:t>a</w:t>
      </w:r>
      <w:r w:rsidR="00DB4B15" w:rsidRPr="00050FA4">
        <w:rPr>
          <w:b/>
          <w:lang w:val="sq-AL"/>
        </w:rPr>
        <w:t>)</w:t>
      </w:r>
      <w:r w:rsidRPr="00050FA4">
        <w:rPr>
          <w:b/>
          <w:lang w:val="sq-AL"/>
        </w:rPr>
        <w:t xml:space="preserve"> </w:t>
      </w:r>
      <w:r w:rsidR="00B2062A" w:rsidRPr="00050FA4">
        <w:rPr>
          <w:b/>
          <w:lang w:val="sq-AL"/>
        </w:rPr>
        <w:t xml:space="preserve">Aktivitete të planifikuara </w:t>
      </w:r>
      <w:r w:rsidR="00D24759" w:rsidRPr="00050FA4">
        <w:rPr>
          <w:b/>
          <w:lang w:val="sq-AL"/>
        </w:rPr>
        <w:t>m</w:t>
      </w:r>
      <w:r w:rsidR="00B2062A" w:rsidRPr="00050FA4">
        <w:rPr>
          <w:b/>
          <w:lang w:val="sq-AL"/>
        </w:rPr>
        <w:t>ë</w:t>
      </w:r>
      <w:r w:rsidR="004F312A" w:rsidRPr="00050FA4">
        <w:rPr>
          <w:b/>
          <w:lang w:val="sq-AL"/>
        </w:rPr>
        <w:t xml:space="preserve"> 2022</w:t>
      </w:r>
      <w:r w:rsidR="00D24759" w:rsidRPr="00050FA4">
        <w:rPr>
          <w:b/>
          <w:lang w:val="sq-AL"/>
        </w:rPr>
        <w:t>-shin</w:t>
      </w:r>
    </w:p>
    <w:p w14:paraId="5540039C" w14:textId="0893DEA4" w:rsidR="0089011F" w:rsidRPr="00050FA4" w:rsidRDefault="00792883" w:rsidP="003F1DA7">
      <w:pPr>
        <w:pStyle w:val="AAAAAAATEXXXX"/>
        <w:rPr>
          <w:lang w:val="sq-AL"/>
        </w:rPr>
      </w:pPr>
      <w:r w:rsidRPr="00050FA4">
        <w:rPr>
          <w:lang w:val="sq-AL"/>
        </w:rPr>
        <w:t>a</w:t>
      </w:r>
      <w:r w:rsidR="00DB4B15" w:rsidRPr="00050FA4">
        <w:rPr>
          <w:lang w:val="sq-AL"/>
        </w:rPr>
        <w:t>)</w:t>
      </w:r>
      <w:r w:rsidRPr="00050FA4">
        <w:rPr>
          <w:lang w:val="sq-AL"/>
        </w:rPr>
        <w:t xml:space="preserve"> </w:t>
      </w:r>
      <w:r w:rsidR="0089011F" w:rsidRPr="00050FA4">
        <w:rPr>
          <w:lang w:val="sq-AL"/>
        </w:rPr>
        <w:t>Krijimi i mekanizmit për përditësimin e rregullt të nivelit të përfitimit të NE</w:t>
      </w:r>
      <w:r w:rsidR="00201BB0" w:rsidRPr="00050FA4">
        <w:rPr>
          <w:lang w:val="sq-AL"/>
        </w:rPr>
        <w:t>-së;</w:t>
      </w:r>
    </w:p>
    <w:p w14:paraId="193B40CC" w14:textId="096520C9" w:rsidR="0089011F" w:rsidRPr="00050FA4" w:rsidRDefault="00792883" w:rsidP="003F1DA7">
      <w:pPr>
        <w:pStyle w:val="AAAAAAATEXXXX"/>
        <w:rPr>
          <w:lang w:val="sq-AL"/>
        </w:rPr>
      </w:pPr>
      <w:r w:rsidRPr="00050FA4">
        <w:rPr>
          <w:lang w:val="sq-AL"/>
        </w:rPr>
        <w:t>b</w:t>
      </w:r>
      <w:r w:rsidR="00DB4B15" w:rsidRPr="00050FA4">
        <w:rPr>
          <w:lang w:val="sq-AL"/>
        </w:rPr>
        <w:t>)</w:t>
      </w:r>
      <w:r w:rsidRPr="00050FA4">
        <w:rPr>
          <w:lang w:val="sq-AL"/>
        </w:rPr>
        <w:t xml:space="preserve"> </w:t>
      </w:r>
      <w:r w:rsidR="0089011F" w:rsidRPr="00050FA4">
        <w:rPr>
          <w:lang w:val="sq-AL"/>
        </w:rPr>
        <w:t>Zbatimi i sistemit të vlerësimit biopsikosocial për personat me aftësi të kufizuara me mbështetje në para dhe kujdes shoqëror në katër qarqe</w:t>
      </w:r>
      <w:r w:rsidR="00201BB0" w:rsidRPr="00050FA4">
        <w:rPr>
          <w:lang w:val="sq-AL"/>
        </w:rPr>
        <w:t>;</w:t>
      </w:r>
    </w:p>
    <w:p w14:paraId="60B06204" w14:textId="40DA018A" w:rsidR="0089011F" w:rsidRPr="00050FA4" w:rsidRDefault="00792883" w:rsidP="003F1DA7">
      <w:pPr>
        <w:pStyle w:val="AAAAAAATEXXXX"/>
        <w:rPr>
          <w:lang w:val="sq-AL"/>
        </w:rPr>
      </w:pPr>
      <w:r w:rsidRPr="00050FA4">
        <w:rPr>
          <w:lang w:val="sq-AL"/>
        </w:rPr>
        <w:t>c</w:t>
      </w:r>
      <w:r w:rsidR="00DB4B15" w:rsidRPr="00050FA4">
        <w:rPr>
          <w:lang w:val="sq-AL"/>
        </w:rPr>
        <w:t>)</w:t>
      </w:r>
      <w:r w:rsidRPr="00050FA4">
        <w:rPr>
          <w:lang w:val="sq-AL"/>
        </w:rPr>
        <w:t xml:space="preserve"> </w:t>
      </w:r>
      <w:r w:rsidR="0089011F" w:rsidRPr="00050FA4">
        <w:rPr>
          <w:lang w:val="sq-AL"/>
        </w:rPr>
        <w:t>Mbështetje për personat nga shtresat e disavantazhuara, veçanërisht përfituesit e ndihmës ekonomike dhe personat me aftësi të kufizuara drejt punësimit në ndërmarrjet sociale. Financimi i 5 ndërmarrjeve sociale</w:t>
      </w:r>
      <w:r w:rsidR="00201BB0" w:rsidRPr="00050FA4">
        <w:rPr>
          <w:lang w:val="sq-AL"/>
        </w:rPr>
        <w:t>;</w:t>
      </w:r>
    </w:p>
    <w:p w14:paraId="6D20112E" w14:textId="70BBC398" w:rsidR="0089011F" w:rsidRPr="00050FA4" w:rsidRDefault="00792883" w:rsidP="003F1DA7">
      <w:pPr>
        <w:pStyle w:val="AAAAAAATEXXXX"/>
        <w:rPr>
          <w:lang w:val="sq-AL"/>
        </w:rPr>
      </w:pPr>
      <w:r w:rsidRPr="00050FA4">
        <w:rPr>
          <w:lang w:val="sq-AL"/>
        </w:rPr>
        <w:t>d</w:t>
      </w:r>
      <w:r w:rsidR="00DB4B15" w:rsidRPr="00050FA4">
        <w:rPr>
          <w:lang w:val="sq-AL"/>
        </w:rPr>
        <w:t>)</w:t>
      </w:r>
      <w:r w:rsidRPr="00050FA4">
        <w:rPr>
          <w:lang w:val="sq-AL"/>
        </w:rPr>
        <w:t xml:space="preserve"> </w:t>
      </w:r>
      <w:r w:rsidR="0089011F" w:rsidRPr="00050FA4">
        <w:rPr>
          <w:lang w:val="sq-AL"/>
        </w:rPr>
        <w:t xml:space="preserve">Përmirësimi dhe zgjerimi i ofrimit të shërbimeve sociale të integruara me bazë komunitare nga njësitë e qeverisjes vendore për të gjitha kategoritë në nevojë në kuadër </w:t>
      </w:r>
      <w:r w:rsidR="00201BB0" w:rsidRPr="00050FA4">
        <w:rPr>
          <w:lang w:val="sq-AL"/>
        </w:rPr>
        <w:t>të fondit social;</w:t>
      </w:r>
    </w:p>
    <w:p w14:paraId="3468F875" w14:textId="63A5229A" w:rsidR="0089011F" w:rsidRPr="00050FA4" w:rsidRDefault="00792883" w:rsidP="003F1DA7">
      <w:pPr>
        <w:pStyle w:val="AAAAAAATEXXXX"/>
        <w:rPr>
          <w:lang w:val="sq-AL"/>
        </w:rPr>
      </w:pPr>
      <w:r w:rsidRPr="00050FA4">
        <w:rPr>
          <w:lang w:val="sq-AL"/>
        </w:rPr>
        <w:t>e</w:t>
      </w:r>
      <w:r w:rsidR="00DB4B15" w:rsidRPr="00050FA4">
        <w:rPr>
          <w:lang w:val="sq-AL"/>
        </w:rPr>
        <w:t>)</w:t>
      </w:r>
      <w:r w:rsidRPr="00050FA4">
        <w:rPr>
          <w:lang w:val="sq-AL"/>
        </w:rPr>
        <w:t xml:space="preserve"> </w:t>
      </w:r>
      <w:r w:rsidR="0089011F" w:rsidRPr="00050FA4">
        <w:rPr>
          <w:lang w:val="sq-AL"/>
        </w:rPr>
        <w:t>Vlerësim i gjithë institucioneve publike të kujdesit rezidencial dhe zhvillimi i planit të transformimit të tyre</w:t>
      </w:r>
      <w:r w:rsidR="00201BB0" w:rsidRPr="00050FA4">
        <w:rPr>
          <w:lang w:val="sq-AL"/>
        </w:rPr>
        <w:t>;</w:t>
      </w:r>
    </w:p>
    <w:p w14:paraId="698AF7BB" w14:textId="5280AC2C" w:rsidR="0089011F" w:rsidRPr="00050FA4" w:rsidRDefault="00792883" w:rsidP="003F1DA7">
      <w:pPr>
        <w:pStyle w:val="AAAAAAATEXXXX"/>
        <w:rPr>
          <w:lang w:val="sq-AL"/>
        </w:rPr>
      </w:pPr>
      <w:r w:rsidRPr="00050FA4">
        <w:rPr>
          <w:lang w:val="sq-AL"/>
        </w:rPr>
        <w:t>f</w:t>
      </w:r>
      <w:r w:rsidR="00DB4B15" w:rsidRPr="00050FA4">
        <w:rPr>
          <w:lang w:val="sq-AL"/>
        </w:rPr>
        <w:t>)</w:t>
      </w:r>
      <w:r w:rsidRPr="00050FA4">
        <w:rPr>
          <w:lang w:val="sq-AL"/>
        </w:rPr>
        <w:t xml:space="preserve"> </w:t>
      </w:r>
      <w:r w:rsidR="0089011F" w:rsidRPr="00050FA4">
        <w:rPr>
          <w:lang w:val="sq-AL"/>
        </w:rPr>
        <w:t>Krijimi i një qendre mbështetëse dhe miqësore për fëmijët në Tiranë, Shkodër dhe Durrës, bazuar në pilotimin aktual në Korçë dhe Vlorë</w:t>
      </w:r>
      <w:r w:rsidR="00201BB0" w:rsidRPr="00050FA4">
        <w:rPr>
          <w:lang w:val="sq-AL"/>
        </w:rPr>
        <w:t>;</w:t>
      </w:r>
    </w:p>
    <w:p w14:paraId="4988010F" w14:textId="6362B36B" w:rsidR="0089011F" w:rsidRPr="00050FA4" w:rsidRDefault="00792883" w:rsidP="003F1DA7">
      <w:pPr>
        <w:pStyle w:val="AAAAAAATEXXXX"/>
        <w:rPr>
          <w:lang w:val="sq-AL"/>
        </w:rPr>
      </w:pPr>
      <w:r w:rsidRPr="00050FA4">
        <w:rPr>
          <w:lang w:val="sq-AL"/>
        </w:rPr>
        <w:t>g</w:t>
      </w:r>
      <w:r w:rsidR="00DB4B15" w:rsidRPr="00050FA4">
        <w:rPr>
          <w:lang w:val="sq-AL"/>
        </w:rPr>
        <w:t>)</w:t>
      </w:r>
      <w:r w:rsidRPr="00050FA4">
        <w:rPr>
          <w:lang w:val="sq-AL"/>
        </w:rPr>
        <w:t xml:space="preserve"> </w:t>
      </w:r>
      <w:r w:rsidR="0089011F" w:rsidRPr="00050FA4">
        <w:rPr>
          <w:lang w:val="sq-AL"/>
        </w:rPr>
        <w:t>Zbatimi i Planeve Kombëtare të Veprimit për përfshirjen sociale dhe reduktimin e varfërisë nëpërmjet politikëbërjes dhe treguesve të përmirësuar.</w:t>
      </w:r>
    </w:p>
    <w:p w14:paraId="1F6E6E5A" w14:textId="6F32BD13" w:rsidR="004F312A" w:rsidRPr="00050FA4" w:rsidRDefault="00D24759" w:rsidP="003F1DA7">
      <w:pPr>
        <w:pStyle w:val="AAAAAAATEXXXX"/>
        <w:rPr>
          <w:b/>
          <w:lang w:val="sq-AL"/>
        </w:rPr>
      </w:pPr>
      <w:r w:rsidRPr="00050FA4">
        <w:rPr>
          <w:b/>
          <w:lang w:val="sq-AL"/>
        </w:rPr>
        <w:t>b</w:t>
      </w:r>
      <w:r w:rsidR="00DB4B15" w:rsidRPr="00050FA4">
        <w:rPr>
          <w:b/>
          <w:lang w:val="sq-AL"/>
        </w:rPr>
        <w:t>)</w:t>
      </w:r>
      <w:r w:rsidR="00792883" w:rsidRPr="00050FA4">
        <w:rPr>
          <w:b/>
          <w:lang w:val="sq-AL"/>
        </w:rPr>
        <w:t xml:space="preserve"> </w:t>
      </w:r>
      <w:r w:rsidR="00B2062A" w:rsidRPr="00050FA4">
        <w:rPr>
          <w:b/>
          <w:lang w:val="sq-AL"/>
        </w:rPr>
        <w:t xml:space="preserve">Aktivitete të planifikuara </w:t>
      </w:r>
      <w:r w:rsidR="00201BB0" w:rsidRPr="00050FA4">
        <w:rPr>
          <w:b/>
          <w:lang w:val="sq-AL"/>
        </w:rPr>
        <w:t>m</w:t>
      </w:r>
      <w:r w:rsidR="00B2062A" w:rsidRPr="00050FA4">
        <w:rPr>
          <w:b/>
          <w:lang w:val="sq-AL"/>
        </w:rPr>
        <w:t>ë</w:t>
      </w:r>
      <w:r w:rsidR="004F312A" w:rsidRPr="00050FA4">
        <w:rPr>
          <w:b/>
          <w:lang w:val="sq-AL"/>
        </w:rPr>
        <w:t xml:space="preserve"> 2023</w:t>
      </w:r>
      <w:r w:rsidR="00201BB0" w:rsidRPr="00050FA4">
        <w:rPr>
          <w:b/>
          <w:lang w:val="sq-AL"/>
        </w:rPr>
        <w:t>-shin</w:t>
      </w:r>
    </w:p>
    <w:p w14:paraId="6E1D8A08" w14:textId="499383E3" w:rsidR="0089011F" w:rsidRPr="00050FA4" w:rsidRDefault="00792883" w:rsidP="003F1DA7">
      <w:pPr>
        <w:pStyle w:val="AAAAAAATEXXXX"/>
        <w:rPr>
          <w:lang w:val="sq-AL"/>
        </w:rPr>
      </w:pPr>
      <w:r w:rsidRPr="00050FA4">
        <w:rPr>
          <w:rFonts w:eastAsia="Calibri"/>
          <w:lang w:val="sq-AL"/>
        </w:rPr>
        <w:t>a</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Rregullimi i përfitimeve të ndihmës ekonomike</w:t>
      </w:r>
      <w:r w:rsidR="00F64BB8" w:rsidRPr="00050FA4">
        <w:rPr>
          <w:rFonts w:eastAsia="Calibri"/>
          <w:lang w:val="sq-AL"/>
        </w:rPr>
        <w:t>;</w:t>
      </w:r>
    </w:p>
    <w:p w14:paraId="75F830A3" w14:textId="1A1896BA" w:rsidR="0089011F" w:rsidRPr="00050FA4" w:rsidRDefault="00792883" w:rsidP="003F1DA7">
      <w:pPr>
        <w:pStyle w:val="AAAAAAATEXXXX"/>
        <w:rPr>
          <w:lang w:val="sq-AL"/>
        </w:rPr>
      </w:pPr>
      <w:r w:rsidRPr="00050FA4">
        <w:rPr>
          <w:rFonts w:eastAsia="Calibri"/>
          <w:lang w:val="sq-AL"/>
        </w:rPr>
        <w:t>b</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Zgjerimi i zbatimit të sistemit të vlerësimit biopsikosocial për të mbështetur personat me aftësi të kufizuara</w:t>
      </w:r>
      <w:r w:rsidR="00F64BB8" w:rsidRPr="00050FA4">
        <w:rPr>
          <w:rFonts w:eastAsia="Calibri"/>
          <w:lang w:val="sq-AL"/>
        </w:rPr>
        <w:t>,</w:t>
      </w:r>
      <w:r w:rsidR="0089011F" w:rsidRPr="00050FA4">
        <w:rPr>
          <w:rFonts w:eastAsia="Calibri"/>
          <w:lang w:val="sq-AL"/>
        </w:rPr>
        <w:t xml:space="preserve"> me mbështetje të kombinuar në para dhe kujdes social në rajone të tjera</w:t>
      </w:r>
      <w:r w:rsidR="00F64BB8" w:rsidRPr="00050FA4">
        <w:rPr>
          <w:rFonts w:eastAsia="Calibri"/>
          <w:lang w:val="sq-AL"/>
        </w:rPr>
        <w:t>;</w:t>
      </w:r>
    </w:p>
    <w:p w14:paraId="218EAC98" w14:textId="4775D886" w:rsidR="0089011F" w:rsidRPr="00050FA4" w:rsidRDefault="00792883" w:rsidP="003F1DA7">
      <w:pPr>
        <w:pStyle w:val="AAAAAAATEXXXX"/>
        <w:rPr>
          <w:lang w:val="sq-AL"/>
        </w:rPr>
      </w:pPr>
      <w:r w:rsidRPr="00050FA4">
        <w:rPr>
          <w:rFonts w:eastAsia="Calibri"/>
          <w:lang w:val="sq-AL"/>
        </w:rPr>
        <w:t>c</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Mbështetje për personat nga shtresat në nevojë</w:t>
      </w:r>
      <w:r w:rsidR="00F64BB8" w:rsidRPr="00050FA4">
        <w:rPr>
          <w:rFonts w:eastAsia="Calibri"/>
          <w:lang w:val="sq-AL"/>
        </w:rPr>
        <w:t>,</w:t>
      </w:r>
      <w:r w:rsidR="0089011F" w:rsidRPr="00050FA4">
        <w:rPr>
          <w:rFonts w:eastAsia="Calibri"/>
          <w:lang w:val="sq-AL"/>
        </w:rPr>
        <w:t xml:space="preserve"> veçanërisht përfituesit e ndihmës ekonomike dhe personat me aftësi të kufizuara</w:t>
      </w:r>
      <w:r w:rsidR="00F64BB8" w:rsidRPr="00050FA4">
        <w:rPr>
          <w:rFonts w:eastAsia="Calibri"/>
          <w:lang w:val="sq-AL"/>
        </w:rPr>
        <w:t>,</w:t>
      </w:r>
      <w:r w:rsidR="0089011F" w:rsidRPr="00050FA4">
        <w:rPr>
          <w:rFonts w:eastAsia="Calibri"/>
          <w:lang w:val="sq-AL"/>
        </w:rPr>
        <w:t xml:space="preserve"> drejt punësimit në ndërmarrjet sociale. Financimi i ndërmarrjeve sociale</w:t>
      </w:r>
      <w:r w:rsidR="00F64BB8" w:rsidRPr="00050FA4">
        <w:rPr>
          <w:rFonts w:eastAsia="Calibri"/>
          <w:lang w:val="sq-AL"/>
        </w:rPr>
        <w:t>.</w:t>
      </w:r>
    </w:p>
    <w:p w14:paraId="21CE878D" w14:textId="7E81BE88" w:rsidR="004F312A" w:rsidRPr="00050FA4" w:rsidRDefault="00792883" w:rsidP="003F1DA7">
      <w:pPr>
        <w:pStyle w:val="AAAAAAATEXXXX"/>
        <w:rPr>
          <w:b/>
          <w:lang w:val="sq-AL"/>
        </w:rPr>
      </w:pPr>
      <w:r w:rsidRPr="00050FA4">
        <w:rPr>
          <w:b/>
          <w:lang w:val="sq-AL"/>
        </w:rPr>
        <w:t>c</w:t>
      </w:r>
      <w:r w:rsidR="00DB4B15" w:rsidRPr="00050FA4">
        <w:rPr>
          <w:b/>
          <w:lang w:val="sq-AL"/>
        </w:rPr>
        <w:t>)</w:t>
      </w:r>
      <w:r w:rsidRPr="00050FA4">
        <w:rPr>
          <w:b/>
          <w:lang w:val="sq-AL"/>
        </w:rPr>
        <w:t xml:space="preserve"> </w:t>
      </w:r>
      <w:r w:rsidR="00F64BB8" w:rsidRPr="00050FA4">
        <w:rPr>
          <w:b/>
          <w:lang w:val="sq-AL"/>
        </w:rPr>
        <w:t>Aktivitete të planifikuara m</w:t>
      </w:r>
      <w:r w:rsidR="00B2062A" w:rsidRPr="00050FA4">
        <w:rPr>
          <w:b/>
          <w:lang w:val="sq-AL"/>
        </w:rPr>
        <w:t>ë</w:t>
      </w:r>
      <w:r w:rsidR="004F312A" w:rsidRPr="00050FA4">
        <w:rPr>
          <w:b/>
          <w:lang w:val="sq-AL"/>
        </w:rPr>
        <w:t xml:space="preserve"> 2024</w:t>
      </w:r>
      <w:r w:rsidR="00F64BB8" w:rsidRPr="00050FA4">
        <w:rPr>
          <w:b/>
          <w:lang w:val="sq-AL"/>
        </w:rPr>
        <w:t>-ën</w:t>
      </w:r>
    </w:p>
    <w:p w14:paraId="46DDF563" w14:textId="3E33FCCE" w:rsidR="0089011F" w:rsidRPr="00050FA4" w:rsidRDefault="00792883" w:rsidP="003F1DA7">
      <w:pPr>
        <w:pStyle w:val="AAAAAAATEXXXX"/>
        <w:rPr>
          <w:lang w:val="sq-AL"/>
        </w:rPr>
      </w:pPr>
      <w:r w:rsidRPr="00050FA4">
        <w:rPr>
          <w:rFonts w:eastAsia="Calibri"/>
          <w:lang w:val="sq-AL"/>
        </w:rPr>
        <w:t>a</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Zgjerimi i zbatimit të skemës së vlerësimit biopsikosocial për të mbështetur personat me aftësi të kufizuara me mbështetje të kombinuar në para dhe kujdes social në qarqe të tjera</w:t>
      </w:r>
      <w:r w:rsidR="00582A3E" w:rsidRPr="00050FA4">
        <w:rPr>
          <w:rFonts w:eastAsia="Calibri"/>
          <w:lang w:val="sq-AL"/>
        </w:rPr>
        <w:t>;</w:t>
      </w:r>
    </w:p>
    <w:p w14:paraId="2A94F0E9" w14:textId="7B6E7679" w:rsidR="0089011F" w:rsidRPr="00050FA4" w:rsidRDefault="00792883" w:rsidP="003F1DA7">
      <w:pPr>
        <w:pStyle w:val="AAAAAAATEXXXX"/>
        <w:rPr>
          <w:lang w:val="sq-AL"/>
        </w:rPr>
      </w:pPr>
      <w:r w:rsidRPr="00050FA4">
        <w:rPr>
          <w:rFonts w:eastAsia="Calibri"/>
          <w:lang w:val="sq-AL"/>
        </w:rPr>
        <w:t>b</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Mbështetje për personat nga shtresat e pafavorizuara, veçanërisht përfituesit e ndihmës ekonomike dhe personat me aftësi të kufizuara</w:t>
      </w:r>
      <w:r w:rsidR="00582A3E" w:rsidRPr="00050FA4">
        <w:rPr>
          <w:rFonts w:eastAsia="Calibri"/>
          <w:lang w:val="sq-AL"/>
        </w:rPr>
        <w:t>,</w:t>
      </w:r>
      <w:r w:rsidR="0089011F" w:rsidRPr="00050FA4">
        <w:rPr>
          <w:rFonts w:eastAsia="Calibri"/>
          <w:lang w:val="sq-AL"/>
        </w:rPr>
        <w:t xml:space="preserve"> drejt punësimit në ndërmarrjet sociale. Financimi i ndërmarrjeve sociale</w:t>
      </w:r>
      <w:r w:rsidR="00582A3E" w:rsidRPr="00050FA4">
        <w:rPr>
          <w:rFonts w:eastAsia="Calibri"/>
          <w:lang w:val="sq-AL"/>
        </w:rPr>
        <w:t>;</w:t>
      </w:r>
    </w:p>
    <w:p w14:paraId="47F44F8D" w14:textId="75DA58F1" w:rsidR="0089011F" w:rsidRPr="00050FA4" w:rsidRDefault="00792883" w:rsidP="003F1DA7">
      <w:pPr>
        <w:pStyle w:val="AAAAAAATEXXXX"/>
        <w:rPr>
          <w:lang w:val="sq-AL"/>
        </w:rPr>
      </w:pPr>
      <w:r w:rsidRPr="00050FA4">
        <w:rPr>
          <w:rFonts w:eastAsia="Calibri"/>
          <w:lang w:val="sq-AL"/>
        </w:rPr>
        <w:t>c</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Përmirësimi i ofrimit të shërbimeve sociale me bazë komunitare nga njësitë e qeverisjes vendore</w:t>
      </w:r>
      <w:r w:rsidR="00582A3E" w:rsidRPr="00050FA4">
        <w:rPr>
          <w:rFonts w:eastAsia="Calibri"/>
          <w:lang w:val="sq-AL"/>
        </w:rPr>
        <w:t>,</w:t>
      </w:r>
      <w:r w:rsidR="0089011F" w:rsidRPr="00050FA4">
        <w:rPr>
          <w:rFonts w:eastAsia="Calibri"/>
          <w:lang w:val="sq-AL"/>
        </w:rPr>
        <w:t xml:space="preserve"> për të gjitha kategoritë në nevojë</w:t>
      </w:r>
      <w:r w:rsidR="00582A3E" w:rsidRPr="00050FA4">
        <w:rPr>
          <w:rFonts w:eastAsia="Calibri"/>
          <w:lang w:val="sq-AL"/>
        </w:rPr>
        <w:t>,</w:t>
      </w:r>
      <w:r w:rsidR="0089011F" w:rsidRPr="00050FA4">
        <w:rPr>
          <w:rFonts w:eastAsia="Calibri"/>
          <w:lang w:val="sq-AL"/>
        </w:rPr>
        <w:t xml:space="preserve"> në kuadër të </w:t>
      </w:r>
      <w:r w:rsidR="00582A3E" w:rsidRPr="00050FA4">
        <w:rPr>
          <w:rFonts w:eastAsia="Calibri"/>
          <w:lang w:val="sq-AL"/>
        </w:rPr>
        <w:t>fondit social;</w:t>
      </w:r>
    </w:p>
    <w:p w14:paraId="4AAB14D1" w14:textId="42866B50" w:rsidR="0089011F" w:rsidRPr="00050FA4" w:rsidRDefault="00792883" w:rsidP="003F1DA7">
      <w:pPr>
        <w:pStyle w:val="AAAAAAATEXXXX"/>
        <w:rPr>
          <w:lang w:val="sq-AL"/>
        </w:rPr>
      </w:pPr>
      <w:r w:rsidRPr="00050FA4">
        <w:rPr>
          <w:rFonts w:eastAsia="Calibri"/>
          <w:lang w:val="sq-AL"/>
        </w:rPr>
        <w:t>d</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Finalizimi i transformimit për</w:t>
      </w:r>
      <w:r w:rsidR="00582A3E" w:rsidRPr="00050FA4">
        <w:rPr>
          <w:rFonts w:eastAsia="Calibri"/>
          <w:lang w:val="sq-AL"/>
        </w:rPr>
        <w:t xml:space="preserve"> të</w:t>
      </w:r>
      <w:r w:rsidR="0089011F" w:rsidRPr="00050FA4">
        <w:rPr>
          <w:rFonts w:eastAsia="Calibri"/>
          <w:lang w:val="sq-AL"/>
        </w:rPr>
        <w:t xml:space="preserve"> gjith</w:t>
      </w:r>
      <w:r w:rsidR="00582A3E" w:rsidRPr="00050FA4">
        <w:rPr>
          <w:rFonts w:eastAsia="Calibri"/>
          <w:lang w:val="sq-AL"/>
        </w:rPr>
        <w:t xml:space="preserve">a </w:t>
      </w:r>
      <w:r w:rsidR="0089011F" w:rsidRPr="00050FA4">
        <w:rPr>
          <w:rFonts w:eastAsia="Calibri"/>
          <w:lang w:val="sq-AL"/>
        </w:rPr>
        <w:t>shërbime</w:t>
      </w:r>
      <w:r w:rsidR="00582A3E" w:rsidRPr="00050FA4">
        <w:rPr>
          <w:rFonts w:eastAsia="Calibri"/>
          <w:lang w:val="sq-AL"/>
        </w:rPr>
        <w:t>t</w:t>
      </w:r>
      <w:r w:rsidR="0089011F" w:rsidRPr="00050FA4">
        <w:rPr>
          <w:rFonts w:eastAsia="Calibri"/>
          <w:lang w:val="sq-AL"/>
        </w:rPr>
        <w:t xml:space="preserve"> rezidenciale, njëkohësisht transformimi i avancuar i institucioneve rezidenciale jopublike</w:t>
      </w:r>
      <w:r w:rsidR="00582A3E" w:rsidRPr="00050FA4">
        <w:rPr>
          <w:rFonts w:eastAsia="Calibri"/>
          <w:lang w:val="sq-AL"/>
        </w:rPr>
        <w:t>;</w:t>
      </w:r>
    </w:p>
    <w:p w14:paraId="3D96892F" w14:textId="61084772" w:rsidR="0089011F" w:rsidRPr="00050FA4" w:rsidRDefault="00792883" w:rsidP="003F1DA7">
      <w:pPr>
        <w:pStyle w:val="AAAAAAATEXXXX"/>
        <w:rPr>
          <w:lang w:val="sq-AL"/>
        </w:rPr>
      </w:pPr>
      <w:r w:rsidRPr="00050FA4">
        <w:rPr>
          <w:rFonts w:eastAsia="Calibri"/>
          <w:lang w:val="sq-AL"/>
        </w:rPr>
        <w:t>e</w:t>
      </w:r>
      <w:r w:rsidR="00DB4B15" w:rsidRPr="00050FA4">
        <w:rPr>
          <w:rFonts w:eastAsia="Calibri"/>
          <w:lang w:val="sq-AL"/>
        </w:rPr>
        <w:t>)</w:t>
      </w:r>
      <w:r w:rsidRPr="00050FA4">
        <w:rPr>
          <w:rFonts w:eastAsia="Calibri"/>
          <w:lang w:val="sq-AL"/>
        </w:rPr>
        <w:t xml:space="preserve"> </w:t>
      </w:r>
      <w:r w:rsidR="0089011F" w:rsidRPr="00050FA4">
        <w:rPr>
          <w:rFonts w:eastAsia="Calibri"/>
          <w:lang w:val="sq-AL"/>
        </w:rPr>
        <w:t>Zbatimi i Planeve Kombëtare të Veprimit për përfshirjen sociale dhe reduktimin e varfërisë nëpërmjet politikëbërjes dhe treguesve të përmirësuar.</w:t>
      </w:r>
    </w:p>
    <w:p w14:paraId="1D5421E3" w14:textId="61C790D8" w:rsidR="004F312A" w:rsidRPr="00050FA4" w:rsidRDefault="00B35F6F" w:rsidP="003F1DA7">
      <w:pPr>
        <w:pStyle w:val="AAAAAAATEXXXX"/>
        <w:jc w:val="left"/>
        <w:rPr>
          <w:lang w:val="sq-AL"/>
        </w:rPr>
      </w:pPr>
      <w:r w:rsidRPr="00050FA4">
        <w:rPr>
          <w:lang w:val="sq-AL"/>
        </w:rPr>
        <w:t xml:space="preserve">2. </w:t>
      </w:r>
      <w:r w:rsidR="00B2062A" w:rsidRPr="00050FA4">
        <w:rPr>
          <w:lang w:val="sq-AL"/>
        </w:rPr>
        <w:t>Treguesit e rezultateve</w:t>
      </w:r>
    </w:p>
    <w:p w14:paraId="0B60EE98" w14:textId="77777777" w:rsidR="00670918" w:rsidRPr="00050FA4" w:rsidRDefault="00670918" w:rsidP="003F1DA7">
      <w:pPr>
        <w:pStyle w:val="AAAAAAATEXXXX"/>
        <w:jc w:val="left"/>
        <w:rPr>
          <w:lang w:val="sq-AL"/>
        </w:rPr>
      </w:pPr>
    </w:p>
    <w:tbl>
      <w:tblPr>
        <w:tblStyle w:val="TableGrid"/>
        <w:tblW w:w="0" w:type="auto"/>
        <w:jc w:val="center"/>
        <w:tblLook w:val="04A0" w:firstRow="1" w:lastRow="0" w:firstColumn="1" w:lastColumn="0" w:noHBand="0" w:noVBand="1"/>
      </w:tblPr>
      <w:tblGrid>
        <w:gridCol w:w="5380"/>
        <w:gridCol w:w="1134"/>
        <w:gridCol w:w="1665"/>
        <w:gridCol w:w="1443"/>
      </w:tblGrid>
      <w:tr w:rsidR="00FA29AB" w:rsidRPr="00050FA4" w14:paraId="5938DEEF" w14:textId="77777777" w:rsidTr="00DB4B15">
        <w:trPr>
          <w:jc w:val="center"/>
        </w:trPr>
        <w:tc>
          <w:tcPr>
            <w:tcW w:w="5380" w:type="dxa"/>
            <w:vAlign w:val="center"/>
          </w:tcPr>
          <w:p w14:paraId="2CB29654" w14:textId="43EB6366" w:rsidR="00CF7FC1" w:rsidRPr="00050FA4" w:rsidRDefault="00B2062A" w:rsidP="00DB4B15">
            <w:pPr>
              <w:pStyle w:val="AAAAAAATEXXXX"/>
              <w:ind w:firstLine="0"/>
              <w:jc w:val="center"/>
              <w:rPr>
                <w:b/>
                <w:sz w:val="18"/>
                <w:szCs w:val="18"/>
                <w:lang w:val="sq-AL"/>
              </w:rPr>
            </w:pPr>
            <w:r w:rsidRPr="00050FA4">
              <w:rPr>
                <w:b/>
                <w:sz w:val="18"/>
                <w:szCs w:val="18"/>
                <w:lang w:val="sq-AL"/>
              </w:rPr>
              <w:t>Tregues</w:t>
            </w:r>
          </w:p>
        </w:tc>
        <w:tc>
          <w:tcPr>
            <w:tcW w:w="1134" w:type="dxa"/>
            <w:vAlign w:val="center"/>
          </w:tcPr>
          <w:p w14:paraId="5A3DD21B" w14:textId="1CB15893" w:rsidR="00CF7FC1" w:rsidRPr="00050FA4" w:rsidRDefault="00B2062A" w:rsidP="00DB4B15">
            <w:pPr>
              <w:pStyle w:val="AAAAAAATEXXXX"/>
              <w:ind w:firstLine="0"/>
              <w:jc w:val="center"/>
              <w:rPr>
                <w:b/>
                <w:sz w:val="18"/>
                <w:szCs w:val="18"/>
                <w:lang w:val="sq-AL"/>
              </w:rPr>
            </w:pPr>
            <w:r w:rsidRPr="00050FA4">
              <w:rPr>
                <w:b/>
                <w:sz w:val="18"/>
                <w:szCs w:val="18"/>
                <w:lang w:val="sq-AL"/>
              </w:rPr>
              <w:t>Bazë</w:t>
            </w:r>
            <w:r w:rsidR="00CF7FC1" w:rsidRPr="00050FA4">
              <w:rPr>
                <w:b/>
                <w:sz w:val="18"/>
                <w:szCs w:val="18"/>
                <w:lang w:val="sq-AL"/>
              </w:rPr>
              <w:t xml:space="preserve"> (2021)</w:t>
            </w:r>
          </w:p>
        </w:tc>
        <w:tc>
          <w:tcPr>
            <w:tcW w:w="1665" w:type="dxa"/>
            <w:vAlign w:val="center"/>
          </w:tcPr>
          <w:p w14:paraId="10B23B7D" w14:textId="254CD141" w:rsidR="00CF7FC1" w:rsidRPr="00050FA4" w:rsidRDefault="00B2062A" w:rsidP="00DB4B15">
            <w:pPr>
              <w:pStyle w:val="AAAAAAATEXXXX"/>
              <w:ind w:firstLine="0"/>
              <w:jc w:val="center"/>
              <w:rPr>
                <w:b/>
                <w:sz w:val="18"/>
                <w:szCs w:val="18"/>
                <w:lang w:val="sq-AL"/>
              </w:rPr>
            </w:pPr>
            <w:r w:rsidRPr="00050FA4">
              <w:rPr>
                <w:b/>
                <w:sz w:val="18"/>
                <w:szCs w:val="18"/>
                <w:lang w:val="sq-AL"/>
              </w:rPr>
              <w:t>I ndërmjetëm</w:t>
            </w:r>
            <w:r w:rsidR="00CF7FC1" w:rsidRPr="00050FA4">
              <w:rPr>
                <w:b/>
                <w:sz w:val="18"/>
                <w:szCs w:val="18"/>
                <w:lang w:val="sq-AL"/>
              </w:rPr>
              <w:t xml:space="preserve"> (2023)</w:t>
            </w:r>
          </w:p>
        </w:tc>
        <w:tc>
          <w:tcPr>
            <w:tcW w:w="1443" w:type="dxa"/>
            <w:vAlign w:val="center"/>
          </w:tcPr>
          <w:p w14:paraId="20A0F08C" w14:textId="1A13DA87" w:rsidR="00CF7FC1" w:rsidRPr="00050FA4" w:rsidRDefault="00B2062A" w:rsidP="00DB4B15">
            <w:pPr>
              <w:pStyle w:val="AAAAAAATEXXXX"/>
              <w:ind w:firstLine="0"/>
              <w:jc w:val="center"/>
              <w:rPr>
                <w:b/>
                <w:sz w:val="18"/>
                <w:szCs w:val="18"/>
                <w:lang w:val="sq-AL"/>
              </w:rPr>
            </w:pPr>
            <w:r w:rsidRPr="00050FA4">
              <w:rPr>
                <w:b/>
                <w:sz w:val="18"/>
                <w:szCs w:val="18"/>
                <w:lang w:val="sq-AL"/>
              </w:rPr>
              <w:t>Synimi</w:t>
            </w:r>
            <w:r w:rsidR="00CF7FC1" w:rsidRPr="00050FA4">
              <w:rPr>
                <w:b/>
                <w:sz w:val="18"/>
                <w:szCs w:val="18"/>
                <w:lang w:val="sq-AL"/>
              </w:rPr>
              <w:t xml:space="preserve"> (2024)</w:t>
            </w:r>
          </w:p>
        </w:tc>
      </w:tr>
      <w:tr w:rsidR="00FA29AB" w:rsidRPr="00050FA4" w14:paraId="603573C3" w14:textId="77777777" w:rsidTr="00DB4B15">
        <w:trPr>
          <w:jc w:val="center"/>
        </w:trPr>
        <w:tc>
          <w:tcPr>
            <w:tcW w:w="5380" w:type="dxa"/>
          </w:tcPr>
          <w:p w14:paraId="75CD59E0" w14:textId="2426C30F" w:rsidR="0089011F" w:rsidRPr="00050FA4" w:rsidRDefault="0089011F" w:rsidP="00A95D23">
            <w:pPr>
              <w:pStyle w:val="AAAAAAATEXXXX"/>
              <w:ind w:firstLine="0"/>
              <w:jc w:val="left"/>
              <w:rPr>
                <w:sz w:val="18"/>
                <w:szCs w:val="18"/>
                <w:lang w:val="sq-AL"/>
              </w:rPr>
            </w:pPr>
            <w:r w:rsidRPr="00050FA4">
              <w:rPr>
                <w:sz w:val="18"/>
                <w:szCs w:val="18"/>
                <w:lang w:val="sq-AL"/>
              </w:rPr>
              <w:t>% e popullsisë të rrezikuar nga varfëria dhe përjashtimi social</w:t>
            </w:r>
          </w:p>
        </w:tc>
        <w:tc>
          <w:tcPr>
            <w:tcW w:w="1134" w:type="dxa"/>
          </w:tcPr>
          <w:p w14:paraId="61FDEB85" w14:textId="7E15D589" w:rsidR="0089011F" w:rsidRPr="00050FA4" w:rsidRDefault="0089011F" w:rsidP="00DB4B15">
            <w:pPr>
              <w:pStyle w:val="AAAAAAATEXXXX"/>
              <w:ind w:firstLine="0"/>
              <w:jc w:val="right"/>
              <w:rPr>
                <w:sz w:val="18"/>
                <w:szCs w:val="18"/>
                <w:lang w:val="sq-AL"/>
              </w:rPr>
            </w:pPr>
            <w:r w:rsidRPr="00050FA4">
              <w:rPr>
                <w:sz w:val="18"/>
                <w:szCs w:val="18"/>
                <w:lang w:val="sq-AL"/>
              </w:rPr>
              <w:t>46.2% (2019)</w:t>
            </w:r>
          </w:p>
        </w:tc>
        <w:tc>
          <w:tcPr>
            <w:tcW w:w="1665" w:type="dxa"/>
          </w:tcPr>
          <w:p w14:paraId="654144FA" w14:textId="26ADE6BA" w:rsidR="0089011F" w:rsidRPr="00050FA4" w:rsidRDefault="0089011F" w:rsidP="00DB4B15">
            <w:pPr>
              <w:pStyle w:val="AAAAAAATEXXXX"/>
              <w:ind w:firstLine="0"/>
              <w:jc w:val="right"/>
              <w:rPr>
                <w:sz w:val="18"/>
                <w:szCs w:val="18"/>
                <w:lang w:val="sq-AL"/>
              </w:rPr>
            </w:pPr>
            <w:r w:rsidRPr="00050FA4">
              <w:rPr>
                <w:sz w:val="18"/>
                <w:szCs w:val="18"/>
                <w:lang w:val="sq-AL"/>
              </w:rPr>
              <w:t>45%</w:t>
            </w:r>
          </w:p>
        </w:tc>
        <w:tc>
          <w:tcPr>
            <w:tcW w:w="1443" w:type="dxa"/>
          </w:tcPr>
          <w:p w14:paraId="140007BC" w14:textId="78792E15" w:rsidR="0089011F" w:rsidRPr="00050FA4" w:rsidRDefault="0089011F" w:rsidP="00DB4B15">
            <w:pPr>
              <w:pStyle w:val="AAAAAAATEXXXX"/>
              <w:ind w:firstLine="0"/>
              <w:jc w:val="right"/>
              <w:rPr>
                <w:sz w:val="18"/>
                <w:szCs w:val="18"/>
                <w:lang w:val="sq-AL"/>
              </w:rPr>
            </w:pPr>
            <w:r w:rsidRPr="00050FA4">
              <w:rPr>
                <w:sz w:val="18"/>
                <w:szCs w:val="18"/>
                <w:lang w:val="sq-AL"/>
              </w:rPr>
              <w:t>44%</w:t>
            </w:r>
          </w:p>
        </w:tc>
      </w:tr>
      <w:tr w:rsidR="00FA29AB" w:rsidRPr="00050FA4" w14:paraId="6002FCF9" w14:textId="77777777" w:rsidTr="00DB4B15">
        <w:trPr>
          <w:jc w:val="center"/>
        </w:trPr>
        <w:tc>
          <w:tcPr>
            <w:tcW w:w="5380" w:type="dxa"/>
          </w:tcPr>
          <w:p w14:paraId="7DA6F014" w14:textId="5BE9C487" w:rsidR="0089011F" w:rsidRPr="00050FA4" w:rsidRDefault="0089011F" w:rsidP="00A95D23">
            <w:pPr>
              <w:pStyle w:val="AAAAAAATEXXXX"/>
              <w:ind w:firstLine="0"/>
              <w:jc w:val="left"/>
              <w:rPr>
                <w:sz w:val="18"/>
                <w:szCs w:val="18"/>
                <w:lang w:val="sq-AL"/>
              </w:rPr>
            </w:pPr>
            <w:r w:rsidRPr="00050FA4">
              <w:rPr>
                <w:sz w:val="18"/>
                <w:szCs w:val="18"/>
                <w:lang w:val="sq-AL"/>
              </w:rPr>
              <w:t>Numri i shërbimeve të reja sociale për grupet e pafavorizuara të ofruara nëpërmjet njësive të qeverisjes vendore duke përdorur burime nga fondi social</w:t>
            </w:r>
          </w:p>
        </w:tc>
        <w:tc>
          <w:tcPr>
            <w:tcW w:w="1134" w:type="dxa"/>
          </w:tcPr>
          <w:p w14:paraId="08553338" w14:textId="32255446" w:rsidR="0089011F" w:rsidRPr="00050FA4" w:rsidRDefault="0089011F" w:rsidP="00DB4B15">
            <w:pPr>
              <w:pStyle w:val="AAAAAAATEXXXX"/>
              <w:ind w:firstLine="0"/>
              <w:jc w:val="right"/>
              <w:rPr>
                <w:sz w:val="18"/>
                <w:szCs w:val="18"/>
                <w:lang w:val="sq-AL"/>
              </w:rPr>
            </w:pPr>
            <w:r w:rsidRPr="00050FA4">
              <w:rPr>
                <w:sz w:val="18"/>
                <w:szCs w:val="18"/>
                <w:lang w:val="sq-AL"/>
              </w:rPr>
              <w:t>19</w:t>
            </w:r>
          </w:p>
        </w:tc>
        <w:tc>
          <w:tcPr>
            <w:tcW w:w="1665" w:type="dxa"/>
          </w:tcPr>
          <w:p w14:paraId="5D1EC41D" w14:textId="77777777" w:rsidR="0089011F" w:rsidRPr="00050FA4" w:rsidRDefault="0089011F" w:rsidP="00DB4B15">
            <w:pPr>
              <w:pStyle w:val="AAAAAAATEXXXX"/>
              <w:ind w:firstLine="0"/>
              <w:jc w:val="right"/>
              <w:rPr>
                <w:sz w:val="18"/>
                <w:szCs w:val="18"/>
                <w:lang w:val="sq-AL"/>
              </w:rPr>
            </w:pPr>
            <w:r w:rsidRPr="00050FA4">
              <w:rPr>
                <w:sz w:val="18"/>
                <w:szCs w:val="18"/>
                <w:lang w:val="sq-AL"/>
              </w:rPr>
              <w:t>30</w:t>
            </w:r>
          </w:p>
          <w:p w14:paraId="479A99E0" w14:textId="00567FB4" w:rsidR="0089011F" w:rsidRPr="00050FA4" w:rsidRDefault="0089011F" w:rsidP="00DB4B15">
            <w:pPr>
              <w:pStyle w:val="AAAAAAATEXXXX"/>
              <w:ind w:firstLine="0"/>
              <w:jc w:val="right"/>
              <w:rPr>
                <w:sz w:val="18"/>
                <w:szCs w:val="18"/>
                <w:lang w:val="sq-AL"/>
              </w:rPr>
            </w:pPr>
            <w:r w:rsidRPr="00050FA4">
              <w:rPr>
                <w:sz w:val="18"/>
                <w:szCs w:val="18"/>
                <w:lang w:val="sq-AL"/>
              </w:rPr>
              <w:t>(kumulative)</w:t>
            </w:r>
          </w:p>
        </w:tc>
        <w:tc>
          <w:tcPr>
            <w:tcW w:w="1443" w:type="dxa"/>
          </w:tcPr>
          <w:p w14:paraId="116DD6D6" w14:textId="77777777" w:rsidR="0089011F" w:rsidRPr="00050FA4" w:rsidRDefault="0089011F" w:rsidP="00DB4B15">
            <w:pPr>
              <w:pStyle w:val="AAAAAAATEXXXX"/>
              <w:ind w:firstLine="0"/>
              <w:jc w:val="right"/>
              <w:rPr>
                <w:sz w:val="18"/>
                <w:szCs w:val="18"/>
                <w:lang w:val="sq-AL"/>
              </w:rPr>
            </w:pPr>
            <w:r w:rsidRPr="00050FA4">
              <w:rPr>
                <w:sz w:val="18"/>
                <w:szCs w:val="18"/>
                <w:lang w:val="sq-AL"/>
              </w:rPr>
              <w:t>45</w:t>
            </w:r>
          </w:p>
          <w:p w14:paraId="110DF880" w14:textId="3DD79D4B" w:rsidR="0089011F" w:rsidRPr="00050FA4" w:rsidRDefault="0089011F" w:rsidP="00DB4B15">
            <w:pPr>
              <w:pStyle w:val="AAAAAAATEXXXX"/>
              <w:ind w:firstLine="0"/>
              <w:jc w:val="right"/>
              <w:rPr>
                <w:sz w:val="18"/>
                <w:szCs w:val="18"/>
                <w:lang w:val="sq-AL"/>
              </w:rPr>
            </w:pPr>
            <w:r w:rsidRPr="00050FA4">
              <w:rPr>
                <w:sz w:val="18"/>
                <w:szCs w:val="18"/>
                <w:lang w:val="sq-AL"/>
              </w:rPr>
              <w:t>(kumulative)</w:t>
            </w:r>
          </w:p>
        </w:tc>
      </w:tr>
      <w:tr w:rsidR="00FA29AB" w:rsidRPr="00050FA4" w14:paraId="0FDDD79A" w14:textId="77777777" w:rsidTr="00DB4B15">
        <w:trPr>
          <w:jc w:val="center"/>
        </w:trPr>
        <w:tc>
          <w:tcPr>
            <w:tcW w:w="5380" w:type="dxa"/>
          </w:tcPr>
          <w:p w14:paraId="6DAFB851" w14:textId="13BA2E61" w:rsidR="0089011F" w:rsidRPr="00050FA4" w:rsidRDefault="0089011F" w:rsidP="00A95D23">
            <w:pPr>
              <w:pStyle w:val="AAAAAAATEXXXX"/>
              <w:ind w:firstLine="0"/>
              <w:jc w:val="left"/>
              <w:rPr>
                <w:sz w:val="18"/>
                <w:szCs w:val="18"/>
                <w:lang w:val="sq-AL"/>
              </w:rPr>
            </w:pPr>
            <w:r w:rsidRPr="00050FA4">
              <w:rPr>
                <w:sz w:val="18"/>
                <w:szCs w:val="18"/>
                <w:lang w:val="sq-AL"/>
              </w:rPr>
              <w:t>Numri i personave vulnerabël të punësuar në ndërmarrjet sociale</w:t>
            </w:r>
          </w:p>
        </w:tc>
        <w:tc>
          <w:tcPr>
            <w:tcW w:w="1134" w:type="dxa"/>
          </w:tcPr>
          <w:p w14:paraId="093EEFCB" w14:textId="68920D03" w:rsidR="0089011F" w:rsidRPr="00050FA4" w:rsidRDefault="0089011F" w:rsidP="00DB4B15">
            <w:pPr>
              <w:pStyle w:val="AAAAAAATEXXXX"/>
              <w:ind w:firstLine="0"/>
              <w:jc w:val="right"/>
              <w:rPr>
                <w:sz w:val="18"/>
                <w:szCs w:val="18"/>
                <w:lang w:val="sq-AL"/>
              </w:rPr>
            </w:pPr>
            <w:r w:rsidRPr="00050FA4">
              <w:rPr>
                <w:sz w:val="18"/>
                <w:szCs w:val="18"/>
                <w:lang w:val="sq-AL"/>
              </w:rPr>
              <w:t>N/A</w:t>
            </w:r>
          </w:p>
        </w:tc>
        <w:tc>
          <w:tcPr>
            <w:tcW w:w="1665" w:type="dxa"/>
          </w:tcPr>
          <w:p w14:paraId="4E81F5AB" w14:textId="460A1AC2" w:rsidR="0089011F" w:rsidRPr="00050FA4" w:rsidRDefault="0089011F" w:rsidP="00DB4B15">
            <w:pPr>
              <w:pStyle w:val="AAAAAAATEXXXX"/>
              <w:ind w:firstLine="0"/>
              <w:jc w:val="right"/>
              <w:rPr>
                <w:sz w:val="18"/>
                <w:szCs w:val="18"/>
                <w:lang w:val="sq-AL"/>
              </w:rPr>
            </w:pPr>
            <w:r w:rsidRPr="00050FA4">
              <w:rPr>
                <w:sz w:val="18"/>
                <w:szCs w:val="18"/>
                <w:lang w:val="sq-AL"/>
              </w:rPr>
              <w:t>100 (kumulative)</w:t>
            </w:r>
          </w:p>
        </w:tc>
        <w:tc>
          <w:tcPr>
            <w:tcW w:w="1443" w:type="dxa"/>
          </w:tcPr>
          <w:p w14:paraId="6ABA806D" w14:textId="0CB1692F" w:rsidR="0089011F" w:rsidRPr="00050FA4" w:rsidRDefault="0089011F" w:rsidP="00DB4B15">
            <w:pPr>
              <w:pStyle w:val="AAAAAAATEXXXX"/>
              <w:ind w:firstLine="0"/>
              <w:jc w:val="right"/>
              <w:rPr>
                <w:sz w:val="18"/>
                <w:szCs w:val="18"/>
                <w:lang w:val="sq-AL"/>
              </w:rPr>
            </w:pPr>
            <w:r w:rsidRPr="00050FA4">
              <w:rPr>
                <w:sz w:val="18"/>
                <w:szCs w:val="18"/>
                <w:lang w:val="sq-AL"/>
              </w:rPr>
              <w:t>150 (kumulative)</w:t>
            </w:r>
          </w:p>
        </w:tc>
      </w:tr>
    </w:tbl>
    <w:p w14:paraId="584A1272" w14:textId="77777777" w:rsidR="00CF7FC1" w:rsidRPr="00050FA4" w:rsidRDefault="00CF7FC1" w:rsidP="003F1DA7">
      <w:pPr>
        <w:pStyle w:val="AAAAAAATEXXXX"/>
        <w:jc w:val="left"/>
        <w:rPr>
          <w:lang w:val="sq-AL"/>
        </w:rPr>
      </w:pPr>
    </w:p>
    <w:p w14:paraId="7822962D" w14:textId="15A9DDEC" w:rsidR="004F312A" w:rsidRPr="00050FA4" w:rsidRDefault="00B35F6F" w:rsidP="003F1DA7">
      <w:pPr>
        <w:pStyle w:val="AAAAAAATEXXXX"/>
        <w:rPr>
          <w:lang w:val="sq-AL"/>
        </w:rPr>
      </w:pPr>
      <w:r w:rsidRPr="00050FA4">
        <w:rPr>
          <w:lang w:val="sq-AL"/>
        </w:rPr>
        <w:t xml:space="preserve">3. </w:t>
      </w:r>
      <w:r w:rsidR="00B2062A" w:rsidRPr="00050FA4">
        <w:rPr>
          <w:lang w:val="sq-AL"/>
        </w:rPr>
        <w:t>Kosto</w:t>
      </w:r>
      <w:r w:rsidR="00DB4B15" w:rsidRPr="00050FA4">
        <w:rPr>
          <w:lang w:val="sq-AL"/>
        </w:rPr>
        <w:t>ja</w:t>
      </w:r>
      <w:r w:rsidR="00B2062A" w:rsidRPr="00050FA4">
        <w:rPr>
          <w:lang w:val="sq-AL"/>
        </w:rPr>
        <w:t xml:space="preserve"> e parashikuar e aktiviteteve dhe burimi i financimit</w:t>
      </w:r>
    </w:p>
    <w:p w14:paraId="53734B29" w14:textId="2F06FE9A" w:rsidR="0089011F" w:rsidRPr="00050FA4" w:rsidRDefault="0089011F" w:rsidP="003F1DA7">
      <w:pPr>
        <w:pStyle w:val="AAAAAAATEXXXX"/>
        <w:rPr>
          <w:lang w:val="sq-AL"/>
        </w:rPr>
      </w:pPr>
      <w:r w:rsidRPr="00050FA4">
        <w:rPr>
          <w:lang w:val="sq-AL"/>
        </w:rPr>
        <w:t xml:space="preserve">Buxheti i </w:t>
      </w:r>
      <w:r w:rsidR="00560567" w:rsidRPr="00050FA4">
        <w:rPr>
          <w:lang w:val="sq-AL"/>
        </w:rPr>
        <w:t xml:space="preserve">mbrojtjes dhe përfshirjes sociale </w:t>
      </w:r>
      <w:r w:rsidRPr="00050FA4">
        <w:rPr>
          <w:lang w:val="sq-AL"/>
        </w:rPr>
        <w:t xml:space="preserve">për vitin 2022 është 209,584,879 </w:t>
      </w:r>
      <w:r w:rsidR="00560567" w:rsidRPr="00050FA4">
        <w:rPr>
          <w:lang w:val="sq-AL"/>
        </w:rPr>
        <w:t>euro;</w:t>
      </w:r>
    </w:p>
    <w:p w14:paraId="09174707" w14:textId="535BE7B0" w:rsidR="0089011F" w:rsidRPr="00050FA4" w:rsidRDefault="0089011F" w:rsidP="003F1DA7">
      <w:pPr>
        <w:pStyle w:val="AAAAAAATEXXXX"/>
        <w:rPr>
          <w:lang w:val="sq-AL"/>
        </w:rPr>
      </w:pPr>
      <w:r w:rsidRPr="00050FA4">
        <w:rPr>
          <w:lang w:val="sq-AL"/>
        </w:rPr>
        <w:t xml:space="preserve">Buxheti i </w:t>
      </w:r>
      <w:r w:rsidR="00560567" w:rsidRPr="00050FA4">
        <w:rPr>
          <w:lang w:val="sq-AL"/>
        </w:rPr>
        <w:t xml:space="preserve">mbrojtjes dhe përfshirjes sociale </w:t>
      </w:r>
      <w:r w:rsidRPr="00050FA4">
        <w:rPr>
          <w:lang w:val="sq-AL"/>
        </w:rPr>
        <w:t xml:space="preserve">për vitin 2023 është 216,679,174 </w:t>
      </w:r>
      <w:r w:rsidR="00DB4B15" w:rsidRPr="00050FA4">
        <w:rPr>
          <w:lang w:val="sq-AL"/>
        </w:rPr>
        <w:t>euro</w:t>
      </w:r>
      <w:r w:rsidR="00560567" w:rsidRPr="00050FA4">
        <w:rPr>
          <w:lang w:val="sq-AL"/>
        </w:rPr>
        <w:t>;</w:t>
      </w:r>
    </w:p>
    <w:p w14:paraId="5D0C96EE" w14:textId="4C546ACF" w:rsidR="0089011F" w:rsidRPr="00050FA4" w:rsidRDefault="0089011F" w:rsidP="003F1DA7">
      <w:pPr>
        <w:pStyle w:val="AAAAAAATEXXXX"/>
        <w:rPr>
          <w:lang w:val="sq-AL"/>
        </w:rPr>
      </w:pPr>
      <w:r w:rsidRPr="00050FA4">
        <w:rPr>
          <w:lang w:val="sq-AL"/>
        </w:rPr>
        <w:t xml:space="preserve">Buxheti i </w:t>
      </w:r>
      <w:r w:rsidR="00560567" w:rsidRPr="00050FA4">
        <w:rPr>
          <w:lang w:val="sq-AL"/>
        </w:rPr>
        <w:t xml:space="preserve">mbrojtjes dhe përfshirjes sociale </w:t>
      </w:r>
      <w:r w:rsidRPr="00050FA4">
        <w:rPr>
          <w:lang w:val="sq-AL"/>
        </w:rPr>
        <w:t>për vitin 2024 është</w:t>
      </w:r>
      <w:r w:rsidR="009B1D6B" w:rsidRPr="00050FA4">
        <w:rPr>
          <w:lang w:val="sq-AL"/>
        </w:rPr>
        <w:t xml:space="preserve"> </w:t>
      </w:r>
      <w:r w:rsidRPr="00050FA4">
        <w:rPr>
          <w:lang w:val="sq-AL"/>
        </w:rPr>
        <w:t xml:space="preserve">216,499,794 </w:t>
      </w:r>
      <w:r w:rsidR="00DB4B15" w:rsidRPr="00050FA4">
        <w:rPr>
          <w:lang w:val="sq-AL"/>
        </w:rPr>
        <w:t>euro.</w:t>
      </w:r>
    </w:p>
    <w:p w14:paraId="47071BED" w14:textId="3162BB9B" w:rsidR="0089011F" w:rsidRPr="00050FA4" w:rsidRDefault="0089011F" w:rsidP="003F1DA7">
      <w:pPr>
        <w:pStyle w:val="AAAAAAATEXXXX"/>
        <w:rPr>
          <w:lang w:val="sq-AL"/>
        </w:rPr>
      </w:pPr>
      <w:r w:rsidRPr="00050FA4">
        <w:rPr>
          <w:lang w:val="sq-AL"/>
        </w:rPr>
        <w:t>Nga ky buxhet,</w:t>
      </w:r>
      <w:r w:rsidR="009B1D6B" w:rsidRPr="00050FA4">
        <w:rPr>
          <w:lang w:val="sq-AL"/>
        </w:rPr>
        <w:t xml:space="preserve"> </w:t>
      </w:r>
      <w:r w:rsidRPr="00050FA4">
        <w:rPr>
          <w:lang w:val="sq-AL"/>
        </w:rPr>
        <w:t>për vitin 2022</w:t>
      </w:r>
      <w:r w:rsidR="00560567" w:rsidRPr="00050FA4">
        <w:rPr>
          <w:lang w:val="sq-AL"/>
        </w:rPr>
        <w:t>,</w:t>
      </w:r>
      <w:r w:rsidRPr="00050FA4">
        <w:rPr>
          <w:lang w:val="sq-AL"/>
        </w:rPr>
        <w:t xml:space="preserve"> fondi për pagesën e ndihmës ekonomike dhe </w:t>
      </w:r>
      <w:r w:rsidR="00560567" w:rsidRPr="00050FA4">
        <w:rPr>
          <w:lang w:val="sq-AL"/>
        </w:rPr>
        <w:t xml:space="preserve">të </w:t>
      </w:r>
      <w:r w:rsidRPr="00050FA4">
        <w:rPr>
          <w:lang w:val="sq-AL"/>
        </w:rPr>
        <w:t xml:space="preserve">aftësisë së kufizuar vlerësohet në 177 920 686 </w:t>
      </w:r>
      <w:r w:rsidR="00DB4B15" w:rsidRPr="00050FA4">
        <w:rPr>
          <w:lang w:val="sq-AL"/>
        </w:rPr>
        <w:t>euro</w:t>
      </w:r>
      <w:r w:rsidRPr="00050FA4">
        <w:rPr>
          <w:lang w:val="sq-AL"/>
        </w:rPr>
        <w:t>.</w:t>
      </w:r>
    </w:p>
    <w:p w14:paraId="76C72969" w14:textId="404E13A3" w:rsidR="0089011F" w:rsidRPr="00050FA4" w:rsidRDefault="0089011F" w:rsidP="003F1DA7">
      <w:pPr>
        <w:pStyle w:val="AAAAAAATEXXXX"/>
        <w:rPr>
          <w:lang w:val="sq-AL"/>
        </w:rPr>
      </w:pPr>
      <w:r w:rsidRPr="00050FA4">
        <w:rPr>
          <w:lang w:val="sq-AL"/>
        </w:rPr>
        <w:t xml:space="preserve">Financimi për </w:t>
      </w:r>
      <w:r w:rsidR="00560567" w:rsidRPr="00050FA4">
        <w:rPr>
          <w:lang w:val="sq-AL"/>
        </w:rPr>
        <w:t xml:space="preserve">fondin social </w:t>
      </w:r>
      <w:r w:rsidRPr="00050FA4">
        <w:rPr>
          <w:lang w:val="sq-AL"/>
        </w:rPr>
        <w:t xml:space="preserve">përllogaritet në 1,6 milionë </w:t>
      </w:r>
      <w:r w:rsidR="00DB4B15" w:rsidRPr="00050FA4">
        <w:rPr>
          <w:lang w:val="sq-AL"/>
        </w:rPr>
        <w:t xml:space="preserve">euro </w:t>
      </w:r>
      <w:r w:rsidRPr="00050FA4">
        <w:rPr>
          <w:lang w:val="sq-AL"/>
        </w:rPr>
        <w:t xml:space="preserve">dhe për ndërmarrjet sociale 1 milionë </w:t>
      </w:r>
      <w:r w:rsidR="00560567" w:rsidRPr="00050FA4">
        <w:rPr>
          <w:lang w:val="sq-AL"/>
        </w:rPr>
        <w:t>euro</w:t>
      </w:r>
      <w:r w:rsidRPr="00050FA4">
        <w:rPr>
          <w:lang w:val="sq-AL"/>
        </w:rPr>
        <w:t>.</w:t>
      </w:r>
    </w:p>
    <w:p w14:paraId="45F8DAE6" w14:textId="11B0889C" w:rsidR="0089011F" w:rsidRPr="00050FA4" w:rsidRDefault="0089011F" w:rsidP="003F1DA7">
      <w:pPr>
        <w:pStyle w:val="AAAAAAATEXXXX"/>
        <w:rPr>
          <w:lang w:val="sq-AL"/>
        </w:rPr>
      </w:pPr>
      <w:r w:rsidRPr="00050FA4">
        <w:rPr>
          <w:lang w:val="sq-AL"/>
        </w:rPr>
        <w:t>Nga IPA (IPA 2019/04 l-203/Shqipëri</w:t>
      </w:r>
      <w:r w:rsidR="00535FB4" w:rsidRPr="00050FA4">
        <w:rPr>
          <w:lang w:val="sq-AL"/>
        </w:rPr>
        <w:t>/</w:t>
      </w:r>
      <w:r w:rsidRPr="00050FA4">
        <w:rPr>
          <w:lang w:val="sq-AL"/>
        </w:rPr>
        <w:t xml:space="preserve">BE për </w:t>
      </w:r>
      <w:r w:rsidR="00560567" w:rsidRPr="00050FA4">
        <w:rPr>
          <w:lang w:val="sq-AL"/>
        </w:rPr>
        <w:t xml:space="preserve">përfshirjen sociale </w:t>
      </w:r>
      <w:r w:rsidRPr="00050FA4">
        <w:rPr>
          <w:lang w:val="sq-AL"/>
        </w:rPr>
        <w:t>është vlerësuar një fond për F</w:t>
      </w:r>
      <w:r w:rsidR="00560567" w:rsidRPr="00050FA4">
        <w:rPr>
          <w:lang w:val="sq-AL"/>
        </w:rPr>
        <w:t xml:space="preserve">ondin social 1 milionë euro </w:t>
      </w:r>
      <w:r w:rsidRPr="00050FA4">
        <w:rPr>
          <w:lang w:val="sq-AL"/>
        </w:rPr>
        <w:t>për vitin 2022 dhe 1.5 milion</w:t>
      </w:r>
      <w:r w:rsidR="00D24759" w:rsidRPr="00050FA4">
        <w:rPr>
          <w:lang w:val="sq-AL"/>
        </w:rPr>
        <w:t>ë</w:t>
      </w:r>
      <w:r w:rsidRPr="00050FA4">
        <w:rPr>
          <w:lang w:val="sq-AL"/>
        </w:rPr>
        <w:t xml:space="preserve"> për 2023</w:t>
      </w:r>
      <w:r w:rsidR="00D24759" w:rsidRPr="00050FA4">
        <w:rPr>
          <w:lang w:val="sq-AL"/>
        </w:rPr>
        <w:t>-shin</w:t>
      </w:r>
    </w:p>
    <w:p w14:paraId="2D7E5195" w14:textId="0F49E36E" w:rsidR="004F312A" w:rsidRPr="00050FA4" w:rsidRDefault="00B35F6F" w:rsidP="003F1DA7">
      <w:pPr>
        <w:pStyle w:val="AAAAAAATEXXXX"/>
        <w:rPr>
          <w:lang w:val="sq-AL"/>
        </w:rPr>
      </w:pPr>
      <w:r w:rsidRPr="00050FA4">
        <w:rPr>
          <w:lang w:val="sq-AL"/>
        </w:rPr>
        <w:lastRenderedPageBreak/>
        <w:t xml:space="preserve">4. </w:t>
      </w:r>
      <w:r w:rsidR="00B2062A" w:rsidRPr="00050FA4">
        <w:rPr>
          <w:lang w:val="sq-AL"/>
        </w:rPr>
        <w:t>Ndikimi i pritshëm në përfundimet sociale si punësimi, ulja e varfërisë, barazia gjinore dhe aksesi në kujdesin shëndetësor</w:t>
      </w:r>
    </w:p>
    <w:p w14:paraId="2F88C714" w14:textId="19C91CB6" w:rsidR="0089011F" w:rsidRPr="00050FA4" w:rsidRDefault="0089011F" w:rsidP="003F1DA7">
      <w:pPr>
        <w:pStyle w:val="AAAAAAATEXXXX"/>
        <w:rPr>
          <w:rFonts w:cstheme="majorBidi"/>
          <w:color w:val="0D0D0D" w:themeColor="text1" w:themeTint="F2"/>
          <w:lang w:val="sq-AL"/>
        </w:rPr>
      </w:pPr>
      <w:r w:rsidRPr="00050FA4">
        <w:rPr>
          <w:color w:val="0D0D0D" w:themeColor="text1" w:themeTint="F2"/>
          <w:lang w:val="sq-AL"/>
        </w:rPr>
        <w:t>Përmirësimi i situatës socio-ekonomike të kategorive në nevojë, ndikimi i drejtpërdrejtë në zbutjen e varfërisë</w:t>
      </w:r>
      <w:r w:rsidR="005179AC" w:rsidRPr="00050FA4">
        <w:rPr>
          <w:color w:val="0D0D0D" w:themeColor="text1" w:themeTint="F2"/>
          <w:lang w:val="sq-AL"/>
        </w:rPr>
        <w:t>,</w:t>
      </w:r>
      <w:r w:rsidRPr="00050FA4">
        <w:rPr>
          <w:color w:val="0D0D0D" w:themeColor="text1" w:themeTint="F2"/>
          <w:lang w:val="sq-AL"/>
        </w:rPr>
        <w:t xml:space="preserve"> duke rritur nivelin e përfitimit të ndihmës ekonomike. Rritja e aksesit në paketën bazë të shërbimeve sociale dhe shëndetësore.</w:t>
      </w:r>
    </w:p>
    <w:p w14:paraId="7F9DF22E" w14:textId="20A69DD2" w:rsidR="004F312A" w:rsidRPr="00050FA4" w:rsidRDefault="00B35F6F" w:rsidP="003F1DA7">
      <w:pPr>
        <w:pStyle w:val="AAAAAAATEXXXX"/>
        <w:rPr>
          <w:lang w:val="sq-AL"/>
        </w:rPr>
      </w:pPr>
      <w:r w:rsidRPr="00050FA4">
        <w:rPr>
          <w:lang w:val="sq-AL"/>
        </w:rPr>
        <w:t xml:space="preserve">5. </w:t>
      </w:r>
      <w:r w:rsidR="00B2062A" w:rsidRPr="00050FA4">
        <w:rPr>
          <w:lang w:val="sq-AL"/>
        </w:rPr>
        <w:t>Ndikimi i pritshëm në mjedis dhe ndryshimi i klimës</w:t>
      </w:r>
    </w:p>
    <w:p w14:paraId="25B15C1C" w14:textId="0084D367" w:rsidR="0089011F" w:rsidRPr="00050FA4" w:rsidRDefault="0089011F" w:rsidP="003F1DA7">
      <w:pPr>
        <w:pStyle w:val="AAAAAAATEXXXX"/>
        <w:rPr>
          <w:lang w:val="sq-AL"/>
        </w:rPr>
      </w:pPr>
      <w:r w:rsidRPr="00050FA4">
        <w:rPr>
          <w:lang w:val="sq-AL"/>
        </w:rPr>
        <w:t>Masa e reformës nuk pritet të ketë ndikim në mjedis.</w:t>
      </w:r>
    </w:p>
    <w:p w14:paraId="50A45245" w14:textId="3301573C" w:rsidR="004F312A" w:rsidRPr="00050FA4" w:rsidRDefault="00B35F6F" w:rsidP="003F1DA7">
      <w:pPr>
        <w:pStyle w:val="AAAAAAATEXXXX"/>
        <w:rPr>
          <w:lang w:val="sq-AL"/>
        </w:rPr>
      </w:pPr>
      <w:r w:rsidRPr="00050FA4">
        <w:rPr>
          <w:lang w:val="sq-AL"/>
        </w:rPr>
        <w:t xml:space="preserve">6. </w:t>
      </w:r>
      <w:r w:rsidR="00B2062A" w:rsidRPr="00050FA4">
        <w:rPr>
          <w:lang w:val="sq-AL"/>
        </w:rPr>
        <w:t>Rreziqet e mundshme</w:t>
      </w:r>
    </w:p>
    <w:p w14:paraId="148BBBEC" w14:textId="77777777" w:rsidR="00674C8D" w:rsidRPr="00050FA4" w:rsidRDefault="00674C8D" w:rsidP="003F1DA7">
      <w:pPr>
        <w:pStyle w:val="AAAAAAATEXXXX"/>
        <w:rPr>
          <w:lang w:val="sq-AL"/>
        </w:rPr>
      </w:pPr>
    </w:p>
    <w:tbl>
      <w:tblPr>
        <w:tblStyle w:val="TableGrid"/>
        <w:tblW w:w="0" w:type="auto"/>
        <w:jc w:val="center"/>
        <w:tblLook w:val="04A0" w:firstRow="1" w:lastRow="0" w:firstColumn="1" w:lastColumn="0" w:noHBand="0" w:noVBand="1"/>
      </w:tblPr>
      <w:tblGrid>
        <w:gridCol w:w="3964"/>
        <w:gridCol w:w="1560"/>
        <w:gridCol w:w="4098"/>
      </w:tblGrid>
      <w:tr w:rsidR="00FA29AB" w:rsidRPr="00050FA4" w14:paraId="567B2FF9" w14:textId="77777777" w:rsidTr="00DB4B15">
        <w:trPr>
          <w:jc w:val="center"/>
        </w:trPr>
        <w:tc>
          <w:tcPr>
            <w:tcW w:w="3964" w:type="dxa"/>
          </w:tcPr>
          <w:p w14:paraId="6307F27F" w14:textId="378F43FD" w:rsidR="00A01BB6" w:rsidRPr="00050FA4" w:rsidRDefault="00B2062A" w:rsidP="00DB4B15">
            <w:pPr>
              <w:pStyle w:val="AAAAAAATEXXXX"/>
              <w:ind w:firstLine="0"/>
              <w:jc w:val="center"/>
              <w:rPr>
                <w:b/>
                <w:sz w:val="18"/>
                <w:szCs w:val="18"/>
                <w:lang w:val="sq-AL"/>
              </w:rPr>
            </w:pPr>
            <w:r w:rsidRPr="00050FA4">
              <w:rPr>
                <w:b/>
                <w:sz w:val="18"/>
                <w:szCs w:val="18"/>
                <w:lang w:val="sq-AL"/>
              </w:rPr>
              <w:t>Rreziku</w:t>
            </w:r>
          </w:p>
        </w:tc>
        <w:tc>
          <w:tcPr>
            <w:tcW w:w="1560" w:type="dxa"/>
          </w:tcPr>
          <w:p w14:paraId="42EEE4C7" w14:textId="3EC0CFC1" w:rsidR="00A01BB6" w:rsidRPr="00050FA4" w:rsidRDefault="00B2062A" w:rsidP="00DB4B15">
            <w:pPr>
              <w:pStyle w:val="AAAAAAATEXXXX"/>
              <w:ind w:firstLine="0"/>
              <w:jc w:val="center"/>
              <w:rPr>
                <w:b/>
                <w:sz w:val="18"/>
                <w:szCs w:val="18"/>
                <w:lang w:val="sq-AL"/>
              </w:rPr>
            </w:pPr>
            <w:r w:rsidRPr="00050FA4">
              <w:rPr>
                <w:b/>
                <w:sz w:val="18"/>
                <w:szCs w:val="18"/>
                <w:lang w:val="sq-AL"/>
              </w:rPr>
              <w:t>Mundësia</w:t>
            </w:r>
            <w:r w:rsidR="00A01BB6" w:rsidRPr="00050FA4">
              <w:rPr>
                <w:b/>
                <w:sz w:val="18"/>
                <w:szCs w:val="18"/>
                <w:lang w:val="sq-AL"/>
              </w:rPr>
              <w:t xml:space="preserve"> (</w:t>
            </w:r>
            <w:r w:rsidRPr="00050FA4">
              <w:rPr>
                <w:b/>
                <w:sz w:val="18"/>
                <w:szCs w:val="18"/>
                <w:lang w:val="sq-AL"/>
              </w:rPr>
              <w:t>e ulët, e lartë</w:t>
            </w:r>
            <w:r w:rsidR="00A01BB6" w:rsidRPr="00050FA4">
              <w:rPr>
                <w:b/>
                <w:sz w:val="18"/>
                <w:szCs w:val="18"/>
                <w:lang w:val="sq-AL"/>
              </w:rPr>
              <w:t>)</w:t>
            </w:r>
          </w:p>
        </w:tc>
        <w:tc>
          <w:tcPr>
            <w:tcW w:w="4098" w:type="dxa"/>
          </w:tcPr>
          <w:p w14:paraId="61CB7CAF" w14:textId="71045DCC" w:rsidR="00A01BB6" w:rsidRPr="00050FA4" w:rsidRDefault="00B2062A" w:rsidP="00DB4B15">
            <w:pPr>
              <w:pStyle w:val="AAAAAAATEXXXX"/>
              <w:ind w:firstLine="0"/>
              <w:jc w:val="center"/>
              <w:rPr>
                <w:b/>
                <w:sz w:val="18"/>
                <w:szCs w:val="18"/>
                <w:lang w:val="sq-AL"/>
              </w:rPr>
            </w:pPr>
            <w:r w:rsidRPr="00050FA4">
              <w:rPr>
                <w:b/>
                <w:sz w:val="18"/>
                <w:szCs w:val="18"/>
                <w:lang w:val="sq-AL"/>
              </w:rPr>
              <w:t>Veprimi zbutës i parashikuar</w:t>
            </w:r>
          </w:p>
        </w:tc>
      </w:tr>
      <w:tr w:rsidR="00FA29AB" w:rsidRPr="00050FA4" w14:paraId="0F9686CA" w14:textId="77777777" w:rsidTr="00DB4B15">
        <w:trPr>
          <w:jc w:val="center"/>
        </w:trPr>
        <w:tc>
          <w:tcPr>
            <w:tcW w:w="3964" w:type="dxa"/>
          </w:tcPr>
          <w:p w14:paraId="4EEC3A99" w14:textId="5D445070" w:rsidR="0089011F" w:rsidRPr="00050FA4" w:rsidRDefault="0089011F" w:rsidP="00A95D23">
            <w:pPr>
              <w:pStyle w:val="AAAAAAATEXXXX"/>
              <w:ind w:firstLine="0"/>
              <w:rPr>
                <w:sz w:val="18"/>
                <w:szCs w:val="18"/>
                <w:lang w:val="sq-AL"/>
              </w:rPr>
            </w:pPr>
            <w:r w:rsidRPr="00050FA4">
              <w:rPr>
                <w:sz w:val="18"/>
                <w:szCs w:val="18"/>
                <w:lang w:val="sq-AL"/>
              </w:rPr>
              <w:t xml:space="preserve">Kapacitete të munguara apo të ulëta në nivel vendor për hartimin e planeve të detajuara sociale. </w:t>
            </w:r>
          </w:p>
        </w:tc>
        <w:tc>
          <w:tcPr>
            <w:tcW w:w="1560" w:type="dxa"/>
          </w:tcPr>
          <w:p w14:paraId="5790E2F0" w14:textId="7DF4C62E" w:rsidR="0089011F" w:rsidRPr="00050FA4" w:rsidRDefault="00DB4B15" w:rsidP="00A95D23">
            <w:pPr>
              <w:pStyle w:val="AAAAAAATEXXXX"/>
              <w:ind w:firstLine="0"/>
              <w:rPr>
                <w:sz w:val="18"/>
                <w:szCs w:val="18"/>
                <w:lang w:val="sq-AL"/>
              </w:rPr>
            </w:pPr>
            <w:r w:rsidRPr="00050FA4">
              <w:rPr>
                <w:sz w:val="18"/>
                <w:szCs w:val="18"/>
                <w:lang w:val="sq-AL"/>
              </w:rPr>
              <w:t xml:space="preserve">I </w:t>
            </w:r>
            <w:r w:rsidR="0089011F" w:rsidRPr="00050FA4">
              <w:rPr>
                <w:sz w:val="18"/>
                <w:szCs w:val="18"/>
                <w:lang w:val="sq-AL"/>
              </w:rPr>
              <w:t>ulët</w:t>
            </w:r>
          </w:p>
        </w:tc>
        <w:tc>
          <w:tcPr>
            <w:tcW w:w="4098" w:type="dxa"/>
          </w:tcPr>
          <w:p w14:paraId="6C5EE57B" w14:textId="0ED7D187" w:rsidR="0089011F" w:rsidRPr="00050FA4" w:rsidRDefault="0089011F" w:rsidP="00A95D23">
            <w:pPr>
              <w:pStyle w:val="AAAAAAATEXXXX"/>
              <w:ind w:firstLine="0"/>
              <w:rPr>
                <w:sz w:val="18"/>
                <w:szCs w:val="18"/>
                <w:lang w:val="sq-AL"/>
              </w:rPr>
            </w:pPr>
            <w:r w:rsidRPr="00050FA4">
              <w:rPr>
                <w:sz w:val="18"/>
                <w:szCs w:val="18"/>
                <w:lang w:val="sq-AL"/>
              </w:rPr>
              <w:t>Bashkëpunimi me aktorët lokalë për ngritjen e</w:t>
            </w:r>
            <w:r w:rsidR="005179AC" w:rsidRPr="00050FA4">
              <w:rPr>
                <w:sz w:val="18"/>
                <w:szCs w:val="18"/>
                <w:lang w:val="sq-AL"/>
              </w:rPr>
              <w:t xml:space="preserve"> kapaciteteve për plane sociale</w:t>
            </w:r>
          </w:p>
        </w:tc>
      </w:tr>
      <w:tr w:rsidR="00FA29AB" w:rsidRPr="00050FA4" w14:paraId="7E075768" w14:textId="77777777" w:rsidTr="00DB4B15">
        <w:trPr>
          <w:jc w:val="center"/>
        </w:trPr>
        <w:tc>
          <w:tcPr>
            <w:tcW w:w="3964" w:type="dxa"/>
          </w:tcPr>
          <w:p w14:paraId="1CBDA477" w14:textId="16FF17A6" w:rsidR="0089011F" w:rsidRPr="00050FA4" w:rsidRDefault="0089011F" w:rsidP="00A95D23">
            <w:pPr>
              <w:pStyle w:val="AAAAAAATEXXXX"/>
              <w:ind w:firstLine="0"/>
              <w:rPr>
                <w:sz w:val="18"/>
                <w:szCs w:val="18"/>
                <w:lang w:val="sq-AL"/>
              </w:rPr>
            </w:pPr>
            <w:r w:rsidRPr="00050FA4">
              <w:rPr>
                <w:sz w:val="18"/>
                <w:szCs w:val="18"/>
                <w:lang w:val="sq-AL"/>
              </w:rPr>
              <w:t>Rritja e nivelit të varfërisë përtej parashikimeve për shkak të krizave të COVID-19</w:t>
            </w:r>
          </w:p>
        </w:tc>
        <w:tc>
          <w:tcPr>
            <w:tcW w:w="1560" w:type="dxa"/>
          </w:tcPr>
          <w:p w14:paraId="325B1BBC" w14:textId="05A1F957" w:rsidR="0089011F" w:rsidRPr="00050FA4" w:rsidRDefault="005179AC" w:rsidP="00A95D23">
            <w:pPr>
              <w:pStyle w:val="AAAAAAATEXXXX"/>
              <w:ind w:firstLine="0"/>
              <w:rPr>
                <w:sz w:val="18"/>
                <w:szCs w:val="18"/>
                <w:lang w:val="sq-AL"/>
              </w:rPr>
            </w:pPr>
            <w:r w:rsidRPr="00050FA4">
              <w:rPr>
                <w:sz w:val="18"/>
                <w:szCs w:val="18"/>
                <w:lang w:val="sq-AL"/>
              </w:rPr>
              <w:t>I</w:t>
            </w:r>
            <w:r w:rsidR="0089011F" w:rsidRPr="00050FA4">
              <w:rPr>
                <w:sz w:val="18"/>
                <w:szCs w:val="18"/>
                <w:lang w:val="sq-AL"/>
              </w:rPr>
              <w:t xml:space="preserve"> lartë</w:t>
            </w:r>
          </w:p>
        </w:tc>
        <w:tc>
          <w:tcPr>
            <w:tcW w:w="4098" w:type="dxa"/>
          </w:tcPr>
          <w:p w14:paraId="169F6390" w14:textId="77777777" w:rsidR="0089011F" w:rsidRPr="00050FA4" w:rsidRDefault="0089011F" w:rsidP="00A95D23">
            <w:pPr>
              <w:pStyle w:val="AAAAAAATEXXXX"/>
              <w:ind w:firstLine="0"/>
              <w:rPr>
                <w:sz w:val="18"/>
                <w:szCs w:val="18"/>
                <w:lang w:val="sq-AL"/>
              </w:rPr>
            </w:pPr>
            <w:r w:rsidRPr="00050FA4">
              <w:rPr>
                <w:sz w:val="18"/>
                <w:szCs w:val="18"/>
                <w:lang w:val="sq-AL"/>
              </w:rPr>
              <w:t>Rishikimi i përfitimeve të ndihmës sociale</w:t>
            </w:r>
          </w:p>
          <w:p w14:paraId="6C43BF1B" w14:textId="5A02328C" w:rsidR="0089011F" w:rsidRPr="00050FA4" w:rsidRDefault="0089011F" w:rsidP="00A95D23">
            <w:pPr>
              <w:pStyle w:val="AAAAAAATEXXXX"/>
              <w:ind w:firstLine="0"/>
              <w:rPr>
                <w:sz w:val="18"/>
                <w:szCs w:val="18"/>
                <w:lang w:val="sq-AL"/>
              </w:rPr>
            </w:pPr>
          </w:p>
        </w:tc>
      </w:tr>
    </w:tbl>
    <w:p w14:paraId="3B55BB87" w14:textId="77777777" w:rsidR="00A01BB6" w:rsidRPr="00050FA4" w:rsidRDefault="00A01BB6" w:rsidP="003F1DA7">
      <w:pPr>
        <w:snapToGrid w:val="0"/>
        <w:ind w:firstLine="284"/>
        <w:rPr>
          <w:rFonts w:ascii="Garamond" w:hAnsi="Garamond" w:cstheme="majorBidi"/>
          <w:color w:val="0D0D0D" w:themeColor="text1" w:themeTint="F2"/>
        </w:rPr>
      </w:pPr>
    </w:p>
    <w:p w14:paraId="49D0A416" w14:textId="1633F773" w:rsidR="00E43B82"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05</w:t>
      </w:r>
      <w:r w:rsidR="00E43B82" w:rsidRPr="00050FA4">
        <w:rPr>
          <w:rFonts w:ascii="Garamond" w:hAnsi="Garamond" w:cstheme="majorBidi"/>
          <w:color w:val="0D0D0D" w:themeColor="text1" w:themeTint="F2"/>
          <w:sz w:val="24"/>
          <w:szCs w:val="24"/>
        </w:rPr>
        <w:t xml:space="preserve">: </w:t>
      </w:r>
      <w:r w:rsidR="00C12939" w:rsidRPr="00050FA4">
        <w:rPr>
          <w:rFonts w:ascii="Garamond" w:hAnsi="Garamond" w:cstheme="majorBidi"/>
          <w:color w:val="0D0D0D" w:themeColor="text1" w:themeTint="F2"/>
          <w:sz w:val="24"/>
          <w:szCs w:val="24"/>
        </w:rPr>
        <w:t>Rritja e aksesit në kujdesin shëndetësor</w:t>
      </w:r>
    </w:p>
    <w:p w14:paraId="6433B5B5" w14:textId="0E7CB61D" w:rsidR="00E43B82" w:rsidRPr="00050FA4" w:rsidRDefault="00B35F6F" w:rsidP="003F1DA7">
      <w:pPr>
        <w:pStyle w:val="AAAAAAATEXXXX"/>
        <w:rPr>
          <w:lang w:val="sq-AL"/>
        </w:rPr>
      </w:pPr>
      <w:r w:rsidRPr="00050FA4">
        <w:rPr>
          <w:lang w:val="sq-AL"/>
        </w:rPr>
        <w:t xml:space="preserve">1. </w:t>
      </w:r>
      <w:r w:rsidR="00B2062A" w:rsidRPr="00050FA4">
        <w:rPr>
          <w:lang w:val="sq-AL"/>
        </w:rPr>
        <w:t>Përshkrimi i masës</w:t>
      </w:r>
    </w:p>
    <w:p w14:paraId="510B1F5B" w14:textId="55681FD7" w:rsidR="00C12939" w:rsidRPr="00050FA4" w:rsidRDefault="00C12939" w:rsidP="003F1DA7">
      <w:pPr>
        <w:pStyle w:val="AAAAAAATEXXXX"/>
        <w:rPr>
          <w:rFonts w:eastAsia="Times New Roman"/>
          <w:bCs/>
          <w:lang w:val="sq-AL"/>
        </w:rPr>
      </w:pPr>
      <w:r w:rsidRPr="00050FA4">
        <w:rPr>
          <w:rFonts w:eastAsia="Times New Roman"/>
          <w:bCs/>
          <w:lang w:val="sq-AL"/>
        </w:rPr>
        <w:t>Shëndeti për të gjithë mbetet synimi ynë kryesor. Rritja e aksesit në kujdesin shëndetësor dhe ofrimi i një kujdesi shëndetësor të sigurt dhe të barabartë në të gjitha nivelet e sistemit publik dhe jo vetëm, mbetet një nga objektivat kryesor</w:t>
      </w:r>
      <w:r w:rsidR="00E80EE3" w:rsidRPr="00050FA4">
        <w:rPr>
          <w:rFonts w:eastAsia="Times New Roman"/>
          <w:bCs/>
          <w:lang w:val="sq-AL"/>
        </w:rPr>
        <w:t>ë</w:t>
      </w:r>
      <w:r w:rsidRPr="00050FA4">
        <w:rPr>
          <w:rFonts w:eastAsia="Times New Roman"/>
          <w:bCs/>
          <w:lang w:val="sq-AL"/>
        </w:rPr>
        <w:t xml:space="preserve"> të qeverisë shqiptare. Ky objektiv është në përmbajtje të gjithë dokumenteve e politikave që janë në proces zbatimi, hartimi dhe buxhetimi të Ministrisë së Shëndetësisë dhe Mbrojtjes Sociale nga viti 2013 e në vazhdim.</w:t>
      </w:r>
    </w:p>
    <w:p w14:paraId="32BECAB0" w14:textId="472252D9" w:rsidR="00C12939" w:rsidRPr="00050FA4" w:rsidRDefault="00C12939" w:rsidP="003F1DA7">
      <w:pPr>
        <w:pStyle w:val="AAAAAAATEXXXX"/>
        <w:rPr>
          <w:lang w:val="sq-AL"/>
        </w:rPr>
      </w:pPr>
      <w:r w:rsidRPr="00050FA4">
        <w:rPr>
          <w:lang w:val="sq-AL"/>
        </w:rPr>
        <w:t xml:space="preserve">Ka pasur rritje progresive të buxhetit të dedikuar për shëndetësinë. Në vitin 2021 buxheti i dedikuar për shëndetësinë është 63.7 miliardë lekë ose 10.6% e buxhetit të shtetit dhe 3.6% e PBB-së (krahasuar me vitin 2020 ka një rritje prej 0.3% të PBB-së). Buxheti për vitin 2021 është 20.8% më i lartë se buxheti i shëndetësisë për vitin 2020 dhe 79.1% rritje krahasuar me vitin 2013. Shpenzimet për shëndetësi për frymë janë rritur nga 12,295 lekë </w:t>
      </w:r>
      <w:r w:rsidR="00444C24" w:rsidRPr="00050FA4">
        <w:rPr>
          <w:lang w:val="sq-AL"/>
        </w:rPr>
        <w:t>m</w:t>
      </w:r>
      <w:r w:rsidRPr="00050FA4">
        <w:rPr>
          <w:lang w:val="sq-AL"/>
        </w:rPr>
        <w:t>ë 2013</w:t>
      </w:r>
      <w:r w:rsidR="00444C24" w:rsidRPr="00050FA4">
        <w:rPr>
          <w:lang w:val="sq-AL"/>
        </w:rPr>
        <w:t>-ën</w:t>
      </w:r>
      <w:r w:rsidRPr="00050FA4">
        <w:rPr>
          <w:lang w:val="sq-AL"/>
        </w:rPr>
        <w:t xml:space="preserve"> në 22,410 </w:t>
      </w:r>
      <w:r w:rsidR="00444C24" w:rsidRPr="00050FA4">
        <w:rPr>
          <w:lang w:val="sq-AL"/>
        </w:rPr>
        <w:t>m</w:t>
      </w:r>
      <w:r w:rsidRPr="00050FA4">
        <w:rPr>
          <w:lang w:val="sq-AL"/>
        </w:rPr>
        <w:t>ë 2021</w:t>
      </w:r>
      <w:r w:rsidR="00444C24" w:rsidRPr="00050FA4">
        <w:rPr>
          <w:lang w:val="sq-AL"/>
        </w:rPr>
        <w:t>-shin</w:t>
      </w:r>
      <w:r w:rsidRPr="00050FA4">
        <w:rPr>
          <w:lang w:val="sq-AL"/>
        </w:rPr>
        <w:t xml:space="preserve"> me një rritje prej 82.3%. </w:t>
      </w:r>
    </w:p>
    <w:p w14:paraId="5C72999A" w14:textId="06709C5C" w:rsidR="00C12939" w:rsidRPr="00050FA4" w:rsidRDefault="00C12939" w:rsidP="003F1DA7">
      <w:pPr>
        <w:pStyle w:val="AAAAAAATEXXXX"/>
        <w:rPr>
          <w:lang w:val="sq-AL"/>
        </w:rPr>
      </w:pPr>
      <w:r w:rsidRPr="00050FA4">
        <w:rPr>
          <w:lang w:val="sq-AL"/>
        </w:rPr>
        <w:t>Kontributet e kujdesit shëndetësor në vitin 2021 arrijnë në 14,084 milionë lekë dhe projeksioni për tr</w:t>
      </w:r>
      <w:r w:rsidR="007808AC" w:rsidRPr="00050FA4">
        <w:rPr>
          <w:lang w:val="sq-AL"/>
        </w:rPr>
        <w:t>i</w:t>
      </w:r>
      <w:r w:rsidRPr="00050FA4">
        <w:rPr>
          <w:lang w:val="sq-AL"/>
        </w:rPr>
        <w:t xml:space="preserve"> vitet e ardhshme është një rritje progresive vjetore të kontributeve shëndetësore mesatarisht 7%. Projeksioni është që në vitin 2022 kontributet shëndetësore të jenë 15,096 milionë lekë, në vitin 2023 kontributet 15,151 milionë lekë dhe në vitin 2024 do të jenë në masën 17,172 milionë lekë ose një rritje prej 21,78% krahasuar me vitin 2021.</w:t>
      </w:r>
    </w:p>
    <w:p w14:paraId="337B96B7" w14:textId="77777777" w:rsidR="00C12939" w:rsidRPr="00050FA4" w:rsidRDefault="00C12939" w:rsidP="003F1DA7">
      <w:pPr>
        <w:pStyle w:val="AAAAAAATEXXXX"/>
        <w:rPr>
          <w:lang w:val="sq-AL"/>
        </w:rPr>
      </w:pPr>
      <w:r w:rsidRPr="00050FA4">
        <w:rPr>
          <w:lang w:val="sq-AL"/>
        </w:rPr>
        <w:t>Kujdesi shëndetësor në Shqipëri është tashmë në procesin e transformimit dhe modernizimit të vazhdueshëm. Objektivi ynë është të ofrojmë një ofertë shëndetësore të barabartë, të aksesueshme dhe të qëndrueshme pavarësisht nga statusi social dhe ekonomik, mosha, duke filluar nga lindja e deri tek të moshuarit.</w:t>
      </w:r>
    </w:p>
    <w:p w14:paraId="2751C84B" w14:textId="4A9660C9" w:rsidR="00C12939" w:rsidRPr="00050FA4" w:rsidRDefault="00C12939" w:rsidP="003F1DA7">
      <w:pPr>
        <w:pStyle w:val="AAAAAAATEXXXX"/>
        <w:rPr>
          <w:lang w:val="sq-AL"/>
        </w:rPr>
      </w:pPr>
      <w:r w:rsidRPr="00050FA4">
        <w:rPr>
          <w:lang w:val="sq-AL"/>
        </w:rPr>
        <w:t>Nga viti 2017</w:t>
      </w:r>
      <w:r w:rsidR="00444C24" w:rsidRPr="00050FA4">
        <w:rPr>
          <w:lang w:val="sq-AL"/>
        </w:rPr>
        <w:t>,</w:t>
      </w:r>
      <w:r w:rsidRPr="00050FA4">
        <w:rPr>
          <w:lang w:val="sq-AL"/>
        </w:rPr>
        <w:t xml:space="preserve"> </w:t>
      </w:r>
      <w:r w:rsidR="00444C24" w:rsidRPr="00050FA4">
        <w:rPr>
          <w:lang w:val="sq-AL"/>
        </w:rPr>
        <w:t xml:space="preserve">qeveria </w:t>
      </w:r>
      <w:r w:rsidRPr="00050FA4">
        <w:rPr>
          <w:lang w:val="sq-AL"/>
        </w:rPr>
        <w:t xml:space="preserve">shqiptare ka zhvilluar një Program Kombëtar për Rindërtimin e të gjitha objekteve të kujdesit shëndetësor. Deri në vitin 2021, përmes këtij programi, 300 objekte të kujdesit parësor shëndetësor jo </w:t>
      </w:r>
      <w:r w:rsidR="00E67ECA" w:rsidRPr="00050FA4">
        <w:rPr>
          <w:lang w:val="sq-AL"/>
        </w:rPr>
        <w:t>vetëm që u transformuan për sa u</w:t>
      </w:r>
      <w:r w:rsidRPr="00050FA4">
        <w:rPr>
          <w:lang w:val="sq-AL"/>
        </w:rPr>
        <w:t xml:space="preserve"> përket punimeve civile, por edhe u pajisën me pajisje të reja mjekësore. Programi do të vijojë të zbatohet edhe gjatë viteve në vazhdim</w:t>
      </w:r>
      <w:r w:rsidR="00BD2DDE" w:rsidRPr="00050FA4">
        <w:rPr>
          <w:lang w:val="sq-AL"/>
        </w:rPr>
        <w:t>,</w:t>
      </w:r>
      <w:r w:rsidRPr="00050FA4">
        <w:rPr>
          <w:lang w:val="sq-AL"/>
        </w:rPr>
        <w:t xml:space="preserve"> duke synuar transformimin e të gjitha objekteve të kujdesit shëndetësor parësor në vend brenda vitit 2025.</w:t>
      </w:r>
    </w:p>
    <w:p w14:paraId="077DA89C" w14:textId="2741AC21"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Parandalimi dhe diagnostikimi i hershëm i sëmundjeve tumorale do të vazhdojë të mbetet prioritet në fushën e shëndetit publik. Synimi është zgjerimi i tr</w:t>
      </w:r>
      <w:r w:rsidR="007808AC" w:rsidRPr="00050FA4">
        <w:rPr>
          <w:rFonts w:eastAsia="Times New Roman"/>
          <w:bCs/>
          <w:color w:val="0D0D0D" w:themeColor="text1" w:themeTint="F2"/>
          <w:lang w:val="sq-AL"/>
        </w:rPr>
        <w:t>i</w:t>
      </w:r>
      <w:r w:rsidRPr="00050FA4">
        <w:rPr>
          <w:rFonts w:eastAsia="Times New Roman"/>
          <w:bCs/>
          <w:color w:val="0D0D0D" w:themeColor="text1" w:themeTint="F2"/>
          <w:lang w:val="sq-AL"/>
        </w:rPr>
        <w:t xml:space="preserve"> programeve ekzistuese </w:t>
      </w:r>
      <w:r w:rsidRPr="00050FA4">
        <w:rPr>
          <w:rFonts w:eastAsia="Times New Roman"/>
          <w:bCs/>
          <w:i/>
          <w:color w:val="0D0D0D" w:themeColor="text1" w:themeTint="F2"/>
          <w:lang w:val="sq-AL"/>
        </w:rPr>
        <w:t>Check Up,</w:t>
      </w:r>
      <w:r w:rsidRPr="00050FA4">
        <w:rPr>
          <w:rFonts w:eastAsia="Times New Roman"/>
          <w:bCs/>
          <w:color w:val="0D0D0D" w:themeColor="text1" w:themeTint="F2"/>
          <w:lang w:val="sq-AL"/>
        </w:rPr>
        <w:t xml:space="preserve"> Programet e Kancerit të Gjirit dhe Kancerit të Qafës së </w:t>
      </w:r>
      <w:r w:rsidR="00BD2DDE" w:rsidRPr="00050FA4">
        <w:rPr>
          <w:rFonts w:eastAsia="Times New Roman"/>
          <w:bCs/>
          <w:color w:val="0D0D0D" w:themeColor="text1" w:themeTint="F2"/>
          <w:lang w:val="sq-AL"/>
        </w:rPr>
        <w:t>Mitrës</w:t>
      </w:r>
      <w:r w:rsidRPr="00050FA4">
        <w:rPr>
          <w:rFonts w:eastAsia="Times New Roman"/>
          <w:bCs/>
          <w:color w:val="0D0D0D" w:themeColor="text1" w:themeTint="F2"/>
          <w:lang w:val="sq-AL"/>
        </w:rPr>
        <w:t>, jo vetëm për kategoritë e grup</w:t>
      </w:r>
      <w:r w:rsidR="00674C8D" w:rsidRPr="00050FA4">
        <w:rPr>
          <w:rFonts w:eastAsia="Times New Roman"/>
          <w:bCs/>
          <w:color w:val="0D0D0D" w:themeColor="text1" w:themeTint="F2"/>
          <w:lang w:val="sq-AL"/>
        </w:rPr>
        <w:t>-</w:t>
      </w:r>
      <w:r w:rsidRPr="00050FA4">
        <w:rPr>
          <w:rFonts w:eastAsia="Times New Roman"/>
          <w:bCs/>
          <w:color w:val="0D0D0D" w:themeColor="text1" w:themeTint="F2"/>
          <w:lang w:val="sq-AL"/>
        </w:rPr>
        <w:t>moshave, por edhe në lidhje me terapitë e trajtimit</w:t>
      </w:r>
      <w:r w:rsidR="00BD2DDE" w:rsidRPr="00050FA4">
        <w:rPr>
          <w:rFonts w:eastAsia="Times New Roman"/>
          <w:bCs/>
          <w:color w:val="0D0D0D" w:themeColor="text1" w:themeTint="F2"/>
          <w:lang w:val="sq-AL"/>
        </w:rPr>
        <w:t>,</w:t>
      </w:r>
      <w:r w:rsidRPr="00050FA4">
        <w:rPr>
          <w:rFonts w:eastAsia="Times New Roman"/>
          <w:bCs/>
          <w:color w:val="0D0D0D" w:themeColor="text1" w:themeTint="F2"/>
          <w:lang w:val="sq-AL"/>
        </w:rPr>
        <w:t xml:space="preserve"> sipas standardeve më të mira ndërkombëtare. Synimi është që brenda vitit 2025 vaksina HPV të jetë pjesë e Programit Kombëtar për Kancerin e Qafës së Mitrës, aktivitet ky që do të bëhet i mundur nëpërmjet bashkëpunimit të ngushtë me Institutin e Shëndetit Publik dhe Organizatën Botërore të Shëndetësisë.</w:t>
      </w:r>
    </w:p>
    <w:p w14:paraId="7ABA2775" w14:textId="35B9340D"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Nga viti 2013 e deri më tani është përfshirë në listën e barnave me rimbursim 214 barna të reja dhe është rritur me 25% fondet e dedikuara rimbursimin e barnave nga lista, duke garantuar jo vetëm një paketë të plotë barnash që ofrohet falas për të gjithë qytetarët me sëmundje kronike</w:t>
      </w:r>
      <w:r w:rsidR="00BD2DDE" w:rsidRPr="00050FA4">
        <w:rPr>
          <w:rFonts w:eastAsia="Times New Roman"/>
          <w:bCs/>
          <w:color w:val="0D0D0D" w:themeColor="text1" w:themeTint="F2"/>
          <w:lang w:val="sq-AL"/>
        </w:rPr>
        <w:t>,</w:t>
      </w:r>
      <w:r w:rsidRPr="00050FA4">
        <w:rPr>
          <w:rFonts w:eastAsia="Times New Roman"/>
          <w:bCs/>
          <w:color w:val="0D0D0D" w:themeColor="text1" w:themeTint="F2"/>
          <w:lang w:val="sq-AL"/>
        </w:rPr>
        <w:t xml:space="preserve"> por edhe një listë me te</w:t>
      </w:r>
      <w:r w:rsidR="00674C8D" w:rsidRPr="00050FA4">
        <w:rPr>
          <w:rFonts w:eastAsia="Times New Roman"/>
          <w:bCs/>
          <w:color w:val="0D0D0D" w:themeColor="text1" w:themeTint="F2"/>
          <w:lang w:val="sq-AL"/>
        </w:rPr>
        <w:t>rapi inovative</w:t>
      </w:r>
      <w:r w:rsidR="00BD2DDE" w:rsidRPr="00050FA4">
        <w:rPr>
          <w:rFonts w:eastAsia="Times New Roman"/>
          <w:bCs/>
          <w:color w:val="0D0D0D" w:themeColor="text1" w:themeTint="F2"/>
          <w:lang w:val="sq-AL"/>
        </w:rPr>
        <w:t>,</w:t>
      </w:r>
      <w:r w:rsidR="00674C8D" w:rsidRPr="00050FA4">
        <w:rPr>
          <w:rFonts w:eastAsia="Times New Roman"/>
          <w:bCs/>
          <w:color w:val="0D0D0D" w:themeColor="text1" w:themeTint="F2"/>
          <w:lang w:val="sq-AL"/>
        </w:rPr>
        <w:t xml:space="preserve"> për të cilat 8 vjet</w:t>
      </w:r>
      <w:r w:rsidRPr="00050FA4">
        <w:rPr>
          <w:rFonts w:eastAsia="Times New Roman"/>
          <w:bCs/>
          <w:color w:val="0D0D0D" w:themeColor="text1" w:themeTint="F2"/>
          <w:lang w:val="sq-AL"/>
        </w:rPr>
        <w:t xml:space="preserve"> më parë qytetarët kishin koston nga buxheti i tyre familjar.</w:t>
      </w:r>
    </w:p>
    <w:p w14:paraId="5288BBF3" w14:textId="77777777"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Është trefishuar financimi i barnave për trajtimin e pacientëve me kancer dhe tashmë garantojmë trajtim 100% falas me barna për pacientët me kancer gjiri dhe kancer malinj të gjakut.</w:t>
      </w:r>
    </w:p>
    <w:p w14:paraId="629F2A46" w14:textId="1D0EB9DB"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lastRenderedPageBreak/>
        <w:t>Brenda vitit 2023 synohet ndryshimi i hartimit të Listës së Rimbursimit të Barnave</w:t>
      </w:r>
      <w:r w:rsidR="00BD2DDE" w:rsidRPr="00050FA4">
        <w:rPr>
          <w:rFonts w:eastAsia="Times New Roman"/>
          <w:bCs/>
          <w:color w:val="0D0D0D" w:themeColor="text1" w:themeTint="F2"/>
          <w:lang w:val="sq-AL"/>
        </w:rPr>
        <w:t>,</w:t>
      </w:r>
      <w:r w:rsidRPr="00050FA4">
        <w:rPr>
          <w:rFonts w:eastAsia="Times New Roman"/>
          <w:bCs/>
          <w:color w:val="0D0D0D" w:themeColor="text1" w:themeTint="F2"/>
          <w:lang w:val="sq-AL"/>
        </w:rPr>
        <w:t xml:space="preserve"> duke zhvendosur fokusin nga rimbursimi i barit si produkt në rimbursimin e protokollit të</w:t>
      </w:r>
      <w:r w:rsidR="00E67ECA" w:rsidRPr="00050FA4">
        <w:rPr>
          <w:rFonts w:eastAsia="Times New Roman"/>
          <w:bCs/>
          <w:color w:val="0D0D0D" w:themeColor="text1" w:themeTint="F2"/>
          <w:lang w:val="sq-AL"/>
        </w:rPr>
        <w:t xml:space="preserve"> trajtimit të diagnozave, për t’</w:t>
      </w:r>
      <w:r w:rsidRPr="00050FA4">
        <w:rPr>
          <w:rFonts w:eastAsia="Times New Roman"/>
          <w:bCs/>
          <w:color w:val="0D0D0D" w:themeColor="text1" w:themeTint="F2"/>
          <w:lang w:val="sq-AL"/>
        </w:rPr>
        <w:t>iu përgjigjur më mirë nevojave të pacientëve, teknologjitë dhe risitë në Shërbimin Farmaceutik.</w:t>
      </w:r>
    </w:p>
    <w:p w14:paraId="0F25A6D6" w14:textId="7BA46287"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 xml:space="preserve">Sistemi i gjurmueshmërisë </w:t>
      </w:r>
      <w:r w:rsidR="00373850" w:rsidRPr="00050FA4">
        <w:rPr>
          <w:rFonts w:eastAsia="Times New Roman"/>
          <w:bCs/>
          <w:color w:val="0D0D0D" w:themeColor="text1" w:themeTint="F2"/>
          <w:lang w:val="sq-AL"/>
        </w:rPr>
        <w:t>s</w:t>
      </w:r>
      <w:r w:rsidRPr="00050FA4">
        <w:rPr>
          <w:rFonts w:eastAsia="Times New Roman"/>
          <w:bCs/>
          <w:color w:val="0D0D0D" w:themeColor="text1" w:themeTint="F2"/>
          <w:lang w:val="sq-AL"/>
        </w:rPr>
        <w:t>ë barnave do të jetë një tjetër aktivitet që do të zhvillohet brenda vitit 2023 me synim rritjen e disponueshmërisë së barnave dhe garantimin e një monitorimi të plotë të barnave që qarkullojnë në Republikën e Shqipërisë.</w:t>
      </w:r>
    </w:p>
    <w:p w14:paraId="327E0655" w14:textId="735B635F" w:rsidR="00C12939" w:rsidRPr="00050FA4" w:rsidRDefault="00C12939" w:rsidP="003F1DA7">
      <w:pPr>
        <w:pStyle w:val="AAAAAAATEXXXX"/>
        <w:rPr>
          <w:lang w:val="sq-AL"/>
        </w:rPr>
      </w:pPr>
      <w:r w:rsidRPr="00050FA4">
        <w:rPr>
          <w:lang w:val="sq-AL"/>
        </w:rPr>
        <w:t>Për herë të parë në vitin 2018 është përfshirë në skemën e rimbursimit edhe rimbursimin e pajisjeve mjekësore. Dhe</w:t>
      </w:r>
      <w:r w:rsidR="00373850" w:rsidRPr="00050FA4">
        <w:rPr>
          <w:lang w:val="sq-AL"/>
        </w:rPr>
        <w:t>,</w:t>
      </w:r>
      <w:r w:rsidRPr="00050FA4">
        <w:rPr>
          <w:lang w:val="sq-AL"/>
        </w:rPr>
        <w:t xml:space="preserve"> që nga viti 2018</w:t>
      </w:r>
      <w:r w:rsidR="00373850" w:rsidRPr="00050FA4">
        <w:rPr>
          <w:lang w:val="sq-AL"/>
        </w:rPr>
        <w:t>,</w:t>
      </w:r>
      <w:r w:rsidRPr="00050FA4">
        <w:rPr>
          <w:lang w:val="sq-AL"/>
        </w:rPr>
        <w:t xml:space="preserve"> të gjithë fëmijët dhe të rinjtë deri në moshën 25 vjeç përfitojnë falas fishat e diabetit.</w:t>
      </w:r>
    </w:p>
    <w:p w14:paraId="27C5B343" w14:textId="668AEB73" w:rsidR="00C12939" w:rsidRPr="00050FA4" w:rsidRDefault="00C12939" w:rsidP="003F1DA7">
      <w:pPr>
        <w:pStyle w:val="AAAAAAATEXXXX"/>
        <w:rPr>
          <w:lang w:val="sq-AL"/>
        </w:rPr>
      </w:pPr>
      <w:r w:rsidRPr="00050FA4">
        <w:rPr>
          <w:lang w:val="sq-AL"/>
        </w:rPr>
        <w:t xml:space="preserve">Me synimin e mbulimit universal për fëmijët 0–18 vjeç </w:t>
      </w:r>
      <w:r w:rsidR="00373850" w:rsidRPr="00050FA4">
        <w:rPr>
          <w:lang w:val="sq-AL"/>
        </w:rPr>
        <w:t>m</w:t>
      </w:r>
      <w:r w:rsidRPr="00050FA4">
        <w:rPr>
          <w:lang w:val="sq-AL"/>
        </w:rPr>
        <w:t>ë 2019</w:t>
      </w:r>
      <w:r w:rsidR="00373850" w:rsidRPr="00050FA4">
        <w:rPr>
          <w:lang w:val="sq-AL"/>
        </w:rPr>
        <w:t>ën</w:t>
      </w:r>
      <w:r w:rsidRPr="00050FA4">
        <w:rPr>
          <w:lang w:val="sq-AL"/>
        </w:rPr>
        <w:t xml:space="preserve"> u zgjerua numri i vaksinave në Programin Kombëtar të Imunizimit dhe Vaksinimit</w:t>
      </w:r>
      <w:r w:rsidR="00373850" w:rsidRPr="00050FA4">
        <w:rPr>
          <w:lang w:val="sq-AL"/>
        </w:rPr>
        <w:t>,</w:t>
      </w:r>
      <w:r w:rsidRPr="00050FA4">
        <w:rPr>
          <w:lang w:val="sq-AL"/>
        </w:rPr>
        <w:t xml:space="preserve"> duke përfshirë vaksinën e Rotavirusit dhe synimin për të vazhduar mbështetjen për forcimin e </w:t>
      </w:r>
      <w:r w:rsidR="00373850" w:rsidRPr="00050FA4">
        <w:rPr>
          <w:lang w:val="sq-AL"/>
        </w:rPr>
        <w:t xml:space="preserve">programit </w:t>
      </w:r>
      <w:r w:rsidRPr="00050FA4">
        <w:rPr>
          <w:lang w:val="sq-AL"/>
        </w:rPr>
        <w:t>për të mbrojtur mbulimin me vaksinim në 98%.</w:t>
      </w:r>
    </w:p>
    <w:p w14:paraId="667AD6A6" w14:textId="7A777B22" w:rsidR="00C12939" w:rsidRPr="00050FA4" w:rsidRDefault="00C12939" w:rsidP="003F1DA7">
      <w:pPr>
        <w:pStyle w:val="AAAAAAATEXXXX"/>
        <w:rPr>
          <w:lang w:val="sq-AL"/>
        </w:rPr>
      </w:pPr>
      <w:r w:rsidRPr="00050FA4">
        <w:rPr>
          <w:lang w:val="sq-AL"/>
        </w:rPr>
        <w:t>Për më tepër</w:t>
      </w:r>
      <w:r w:rsidR="00373850" w:rsidRPr="00050FA4">
        <w:rPr>
          <w:lang w:val="sq-AL"/>
        </w:rPr>
        <w:t>,</w:t>
      </w:r>
      <w:r w:rsidRPr="00050FA4">
        <w:rPr>
          <w:lang w:val="sq-AL"/>
        </w:rPr>
        <w:t xml:space="preserve"> do të vazhdohet mbështetja financiare për çdo familje që sjell në jetë një fëmijë me programin dedikuar të </w:t>
      </w:r>
      <w:r w:rsidRPr="00050FA4">
        <w:rPr>
          <w:i/>
          <w:lang w:val="sq-AL"/>
        </w:rPr>
        <w:t>Baby Bonus,</w:t>
      </w:r>
      <w:r w:rsidRPr="00050FA4">
        <w:rPr>
          <w:lang w:val="sq-AL"/>
        </w:rPr>
        <w:t xml:space="preserve"> nga i cili që nga fillimi i programit në 2019 janë rreth 100 mijë familje që kanë përfituar bonusin financiar të tremujorin e parë të jetës së të porsalindurit.</w:t>
      </w:r>
    </w:p>
    <w:p w14:paraId="118978D2" w14:textId="54BBB7D1" w:rsidR="00C12939" w:rsidRPr="00050FA4" w:rsidRDefault="00C12939" w:rsidP="003F1DA7">
      <w:pPr>
        <w:pStyle w:val="AAAAAAATEXXXX"/>
        <w:rPr>
          <w:lang w:val="sq-AL"/>
        </w:rPr>
      </w:pPr>
      <w:r w:rsidRPr="00050FA4">
        <w:rPr>
          <w:lang w:val="sq-AL"/>
        </w:rPr>
        <w:t>Në drejtim të përmirësimit të shëndetit të popullatës do të vazhdohet financimi dhe shtimi i paketave shëndetësore</w:t>
      </w:r>
      <w:r w:rsidR="00373850" w:rsidRPr="00050FA4">
        <w:rPr>
          <w:lang w:val="sq-AL"/>
        </w:rPr>
        <w:t>,</w:t>
      </w:r>
      <w:r w:rsidRPr="00050FA4">
        <w:rPr>
          <w:lang w:val="sq-AL"/>
        </w:rPr>
        <w:t xml:space="preserve"> me synim rritjen e aksesit në trajtime mjekësore dhe ofrimin e shërbimeve shëndetësore të shtuara</w:t>
      </w:r>
      <w:r w:rsidR="009B1D6B" w:rsidRPr="00050FA4">
        <w:rPr>
          <w:lang w:val="sq-AL"/>
        </w:rPr>
        <w:t xml:space="preserve"> </w:t>
      </w:r>
      <w:r w:rsidRPr="00050FA4">
        <w:rPr>
          <w:lang w:val="sq-AL"/>
        </w:rPr>
        <w:t>pranë vendbanimit.</w:t>
      </w:r>
    </w:p>
    <w:p w14:paraId="61ECD3F3" w14:textId="4087BF7E" w:rsidR="00C12939" w:rsidRPr="00050FA4" w:rsidRDefault="00C12939" w:rsidP="003F1DA7">
      <w:pPr>
        <w:pStyle w:val="AAAAAAATEXXXX"/>
        <w:rPr>
          <w:lang w:val="sq-AL"/>
        </w:rPr>
      </w:pPr>
      <w:r w:rsidRPr="00050FA4">
        <w:rPr>
          <w:lang w:val="sq-AL"/>
        </w:rPr>
        <w:t>Nga buxheti i shtetit mbulohen plotësisht mbi 85% e nevojave të popullsisë për trajtimin e diagnozave kardiovaskulare dhe veshkave dhe synohet rritja e mbulimit me 5% deri në fund të vitit 2024</w:t>
      </w:r>
      <w:r w:rsidR="00373850" w:rsidRPr="00050FA4">
        <w:rPr>
          <w:lang w:val="sq-AL"/>
        </w:rPr>
        <w:t>,</w:t>
      </w:r>
      <w:r w:rsidRPr="00050FA4">
        <w:rPr>
          <w:lang w:val="sq-AL"/>
        </w:rPr>
        <w:t xml:space="preserve"> duke zgjeruar paketat me paketat e dedikuara shëndetësore për rehabilitimin, kujdesi paliativ dhe geriatrik.</w:t>
      </w:r>
    </w:p>
    <w:p w14:paraId="558BEBF1" w14:textId="7C0121E1" w:rsidR="00C12939" w:rsidRPr="00050FA4" w:rsidRDefault="00C12939" w:rsidP="003F1DA7">
      <w:pPr>
        <w:pStyle w:val="AAAAAAATEXXXX"/>
        <w:rPr>
          <w:lang w:val="sq-AL"/>
        </w:rPr>
      </w:pPr>
      <w:r w:rsidRPr="00050FA4">
        <w:rPr>
          <w:lang w:val="sq-AL"/>
        </w:rPr>
        <w:t xml:space="preserve">Gjatë këtyre 8 viteve është investuar në modernizimin e rrjetit të </w:t>
      </w:r>
      <w:r w:rsidR="00373850" w:rsidRPr="00050FA4">
        <w:rPr>
          <w:lang w:val="sq-AL"/>
        </w:rPr>
        <w:t xml:space="preserve">Spitalit </w:t>
      </w:r>
      <w:r w:rsidRPr="00050FA4">
        <w:rPr>
          <w:lang w:val="sq-AL"/>
        </w:rPr>
        <w:t xml:space="preserve">Obstetrik Gjinekolog, duke filluar me punimet civile dhe pajisjet e reja mjekësore në SUOGJ </w:t>
      </w:r>
      <w:r w:rsidR="00373850" w:rsidRPr="00050FA4">
        <w:rPr>
          <w:lang w:val="sq-AL"/>
        </w:rPr>
        <w:t>“</w:t>
      </w:r>
      <w:r w:rsidRPr="00050FA4">
        <w:rPr>
          <w:lang w:val="sq-AL"/>
        </w:rPr>
        <w:t>Koço Gliozheni</w:t>
      </w:r>
      <w:r w:rsidR="00373850" w:rsidRPr="00050FA4">
        <w:rPr>
          <w:lang w:val="sq-AL"/>
        </w:rPr>
        <w:t>”</w:t>
      </w:r>
      <w:r w:rsidRPr="00050FA4">
        <w:rPr>
          <w:lang w:val="sq-AL"/>
        </w:rPr>
        <w:t xml:space="preserve">, SUOGJ </w:t>
      </w:r>
      <w:r w:rsidR="00373850" w:rsidRPr="00050FA4">
        <w:rPr>
          <w:lang w:val="sq-AL"/>
        </w:rPr>
        <w:t>“</w:t>
      </w:r>
      <w:r w:rsidR="003C6EE2">
        <w:rPr>
          <w:lang w:val="sq-AL"/>
        </w:rPr>
        <w:t>Mbretë</w:t>
      </w:r>
      <w:r w:rsidRPr="00050FA4">
        <w:rPr>
          <w:lang w:val="sq-AL"/>
        </w:rPr>
        <w:t xml:space="preserve">resha </w:t>
      </w:r>
      <w:r w:rsidR="003C6EE2">
        <w:rPr>
          <w:lang w:val="sq-AL"/>
        </w:rPr>
        <w:t>Geral</w:t>
      </w:r>
      <w:r w:rsidRPr="003C6EE2">
        <w:rPr>
          <w:lang w:val="sq-AL"/>
        </w:rPr>
        <w:t>din</w:t>
      </w:r>
      <w:r w:rsidR="00373850" w:rsidRPr="003C6EE2">
        <w:rPr>
          <w:lang w:val="sq-AL"/>
        </w:rPr>
        <w:t>ë</w:t>
      </w:r>
      <w:r w:rsidR="00373850" w:rsidRPr="00050FA4">
        <w:rPr>
          <w:lang w:val="sq-AL"/>
        </w:rPr>
        <w:t>”</w:t>
      </w:r>
      <w:r w:rsidRPr="00050FA4">
        <w:rPr>
          <w:lang w:val="sq-AL"/>
        </w:rPr>
        <w:t xml:space="preserve">, </w:t>
      </w:r>
      <w:r w:rsidR="00373850" w:rsidRPr="00050FA4">
        <w:rPr>
          <w:lang w:val="sq-AL"/>
        </w:rPr>
        <w:t xml:space="preserve">spitalet </w:t>
      </w:r>
      <w:r w:rsidRPr="00050FA4">
        <w:rPr>
          <w:lang w:val="sq-AL"/>
        </w:rPr>
        <w:t xml:space="preserve">e reja </w:t>
      </w:r>
      <w:r w:rsidR="00373850" w:rsidRPr="00050FA4">
        <w:rPr>
          <w:lang w:val="sq-AL"/>
        </w:rPr>
        <w:t xml:space="preserve">obstetrike dhe gjinekologe </w:t>
      </w:r>
      <w:r w:rsidRPr="00050FA4">
        <w:rPr>
          <w:lang w:val="sq-AL"/>
        </w:rPr>
        <w:t>në Berat, Kukës, Sarandë, Lezhë. Në Korçë kanë vijuar investime të mëdha dhe në Spitalet Pediatrike Nënë Tereza, Durrës dhe Elbasan.</w:t>
      </w:r>
    </w:p>
    <w:p w14:paraId="73E74E25" w14:textId="01557770"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 xml:space="preserve">Synimi është që brenda vitit 2024 të jenë ngritur 4 pole spitalore rajonale që do të krijohen në </w:t>
      </w:r>
      <w:r w:rsidR="00373850" w:rsidRPr="00050FA4">
        <w:rPr>
          <w:rFonts w:eastAsia="Times New Roman"/>
          <w:bCs/>
          <w:color w:val="0D0D0D" w:themeColor="text1" w:themeTint="F2"/>
          <w:lang w:val="sq-AL"/>
        </w:rPr>
        <w:t xml:space="preserve">qendrat referuese të diagnostifikimit dhe të trajtimit, </w:t>
      </w:r>
      <w:r w:rsidRPr="00050FA4">
        <w:rPr>
          <w:rFonts w:eastAsia="Times New Roman"/>
          <w:bCs/>
          <w:color w:val="0D0D0D" w:themeColor="text1" w:themeTint="F2"/>
          <w:lang w:val="sq-AL"/>
        </w:rPr>
        <w:t>si dhe të krijohet dhe të funksionojnë plotësisht 10 qendra të mjekësisë familjare që do të ofrojnë shërbime të integruara sociale dhe shëndetësore me fokus në shëndeti mendor, shërbimet për fëmijët dhe të rinjtë si dhe kujdesi paliativ.</w:t>
      </w:r>
    </w:p>
    <w:p w14:paraId="0BADDA3B" w14:textId="3191950E"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Pandemia e COVID 19 testoi të gjitha nivelet e sistemit. Me mbështetjen e OBSH-së u përgatitën 4 dokumente strategjike</w:t>
      </w:r>
      <w:r w:rsidR="002F47E7" w:rsidRPr="00050FA4">
        <w:rPr>
          <w:rFonts w:eastAsia="Times New Roman"/>
          <w:bCs/>
          <w:color w:val="0D0D0D" w:themeColor="text1" w:themeTint="F2"/>
          <w:lang w:val="sq-AL"/>
        </w:rPr>
        <w:t>,</w:t>
      </w:r>
      <w:r w:rsidRPr="00050FA4">
        <w:rPr>
          <w:rFonts w:eastAsia="Times New Roman"/>
          <w:bCs/>
          <w:color w:val="0D0D0D" w:themeColor="text1" w:themeTint="F2"/>
          <w:lang w:val="sq-AL"/>
        </w:rPr>
        <w:t>si udhërrëfyes i qasjes sonë të integruar për të menaxhuar pandeminë dhe për t</w:t>
      </w:r>
      <w:r w:rsidR="002F47E7" w:rsidRPr="00050FA4">
        <w:rPr>
          <w:rFonts w:eastAsia="Times New Roman"/>
          <w:bCs/>
          <w:color w:val="0D0D0D" w:themeColor="text1" w:themeTint="F2"/>
          <w:lang w:val="sq-AL"/>
        </w:rPr>
        <w:t>’</w:t>
      </w:r>
      <w:r w:rsidRPr="00050FA4">
        <w:rPr>
          <w:rFonts w:eastAsia="Times New Roman"/>
          <w:bCs/>
          <w:color w:val="0D0D0D" w:themeColor="text1" w:themeTint="F2"/>
          <w:lang w:val="sq-AL"/>
        </w:rPr>
        <w:t xml:space="preserve">u siguruar që sistemi </w:t>
      </w:r>
      <w:r w:rsidR="0026453E" w:rsidRPr="00050FA4">
        <w:rPr>
          <w:rFonts w:eastAsia="Times New Roman"/>
          <w:bCs/>
          <w:color w:val="0D0D0D" w:themeColor="text1" w:themeTint="F2"/>
          <w:lang w:val="sq-AL"/>
        </w:rPr>
        <w:t>ynë shëndetësor publik të ofroj</w:t>
      </w:r>
      <w:r w:rsidRPr="00050FA4">
        <w:rPr>
          <w:rFonts w:eastAsia="Times New Roman"/>
          <w:bCs/>
          <w:color w:val="0D0D0D" w:themeColor="text1" w:themeTint="F2"/>
          <w:lang w:val="sq-AL"/>
        </w:rPr>
        <w:t>ë akses në kohë për shërbimin e kujdesit shëndetësor duke filluar nga parandalimi, diagnostikimi, trajtimi dhe vaksinimi.</w:t>
      </w:r>
    </w:p>
    <w:p w14:paraId="2799B56B" w14:textId="6C7CBE55"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Në kohë rekord u transformuan 4 spitale në spitale COVID–19, nga këto dy u krijuan për herë të parë si spitale. Është dyfishuar numri i ventilatorëve dhe njësive të ICU</w:t>
      </w:r>
      <w:r w:rsidR="003410B6" w:rsidRPr="00050FA4">
        <w:rPr>
          <w:rFonts w:eastAsia="Times New Roman"/>
          <w:bCs/>
          <w:color w:val="0D0D0D" w:themeColor="text1" w:themeTint="F2"/>
          <w:lang w:val="sq-AL"/>
        </w:rPr>
        <w:t>-së</w:t>
      </w:r>
      <w:r w:rsidRPr="00050FA4">
        <w:rPr>
          <w:rFonts w:eastAsia="Times New Roman"/>
          <w:bCs/>
          <w:color w:val="0D0D0D" w:themeColor="text1" w:themeTint="F2"/>
          <w:lang w:val="sq-AL"/>
        </w:rPr>
        <w:t>, si dhe u rritën katër herë kapacitetet laboratorike për testim. Mbështetje e veçantë financiare është ofruar nëpërmjet mekanizmit të bonusit prej 1000 euro</w:t>
      </w:r>
      <w:r w:rsidR="00C86C06" w:rsidRPr="00050FA4">
        <w:rPr>
          <w:rFonts w:eastAsia="Times New Roman"/>
          <w:bCs/>
          <w:color w:val="0D0D0D" w:themeColor="text1" w:themeTint="F2"/>
          <w:lang w:val="sq-AL"/>
        </w:rPr>
        <w:t>sh</w:t>
      </w:r>
      <w:r w:rsidRPr="00050FA4">
        <w:rPr>
          <w:rFonts w:eastAsia="Times New Roman"/>
          <w:bCs/>
          <w:color w:val="0D0D0D" w:themeColor="text1" w:themeTint="F2"/>
          <w:lang w:val="sq-AL"/>
        </w:rPr>
        <w:t xml:space="preserve"> mbi pagën për të gjithë personelin mjekësor dhe 500 euro mbi pagën për personelin ndihmës.</w:t>
      </w:r>
    </w:p>
    <w:p w14:paraId="4ED19540" w14:textId="77777777"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Nga marsi i vitit të kaluar e deri më tani rreth 4000 personel mjekësor kanë përfituar 1000 euro bonus dhe mbi 1200 staf ndihmës kanë përfituar 500 euro bonus mbi pagën.</w:t>
      </w:r>
    </w:p>
    <w:p w14:paraId="595787BF" w14:textId="1EE09C05" w:rsidR="00C12939" w:rsidRPr="00050FA4" w:rsidRDefault="00C12939" w:rsidP="003F1DA7">
      <w:pPr>
        <w:pStyle w:val="AAAAAAATEXXXX"/>
        <w:rPr>
          <w:rFonts w:eastAsia="Times New Roman"/>
          <w:bCs/>
          <w:color w:val="0D0D0D" w:themeColor="text1" w:themeTint="F2"/>
          <w:lang w:val="sq-AL"/>
        </w:rPr>
      </w:pPr>
      <w:r w:rsidRPr="00050FA4">
        <w:rPr>
          <w:rFonts w:eastAsia="Times New Roman"/>
          <w:bCs/>
          <w:color w:val="0D0D0D" w:themeColor="text1" w:themeTint="F2"/>
          <w:lang w:val="sq-AL"/>
        </w:rPr>
        <w:t xml:space="preserve">Mbështetja financiare për personelin mjekësor dhe </w:t>
      </w:r>
      <w:r w:rsidR="003410B6" w:rsidRPr="00050FA4">
        <w:rPr>
          <w:rFonts w:eastAsia="Times New Roman"/>
          <w:bCs/>
          <w:color w:val="0D0D0D" w:themeColor="text1" w:themeTint="F2"/>
          <w:lang w:val="sq-AL"/>
        </w:rPr>
        <w:t xml:space="preserve">për </w:t>
      </w:r>
      <w:r w:rsidRPr="00050FA4">
        <w:rPr>
          <w:rFonts w:eastAsia="Times New Roman"/>
          <w:bCs/>
          <w:color w:val="0D0D0D" w:themeColor="text1" w:themeTint="F2"/>
          <w:lang w:val="sq-AL"/>
        </w:rPr>
        <w:t>personelin ndihmës do të vazhdojë të ofrohet deri në përfundimin e pandemisë së COVID-19.</w:t>
      </w:r>
    </w:p>
    <w:p w14:paraId="0DFF9FE1" w14:textId="488B0A0B" w:rsidR="00C12939" w:rsidRPr="00050FA4" w:rsidRDefault="00C12939" w:rsidP="003F1DA7">
      <w:pPr>
        <w:pStyle w:val="AAAAAAATEXXXX"/>
        <w:rPr>
          <w:lang w:val="sq-AL"/>
        </w:rPr>
      </w:pPr>
      <w:r w:rsidRPr="00050FA4">
        <w:rPr>
          <w:lang w:val="sq-AL"/>
        </w:rPr>
        <w:t xml:space="preserve">Gjatë këtij viti të pandemisë, kemi investuar dhe përgatitur njësitë e kujdesit të kujdesit shëndetësor dhe </w:t>
      </w:r>
      <w:r w:rsidR="0026453E" w:rsidRPr="00050FA4">
        <w:rPr>
          <w:lang w:val="sq-AL"/>
        </w:rPr>
        <w:t>pavijonet</w:t>
      </w:r>
      <w:r w:rsidRPr="00050FA4">
        <w:rPr>
          <w:lang w:val="sq-AL"/>
        </w:rPr>
        <w:t xml:space="preserve"> e sëmundjeve infektive në 11 spitalet rajonale për të qenë gati për çdo lloj emergjence.</w:t>
      </w:r>
    </w:p>
    <w:p w14:paraId="22A52706" w14:textId="6D8AC09C" w:rsidR="00C12939" w:rsidRPr="00050FA4" w:rsidRDefault="00C12939" w:rsidP="003F1DA7">
      <w:pPr>
        <w:pStyle w:val="AAAAAAATEXXXX"/>
        <w:rPr>
          <w:lang w:val="sq-AL"/>
        </w:rPr>
      </w:pPr>
      <w:r w:rsidRPr="00050FA4">
        <w:rPr>
          <w:lang w:val="sq-AL"/>
        </w:rPr>
        <w:t>Gjatë këtij katërvjeçari do të vazhdohet të garantohen dhe ofrohen shërbime shëndetësore që mbulohen 100% nga buxheti i shtetit, duke filluar nga diagnozat e deri te fuqizimi i rrjetit laboratorik publik me pajisje dhe pajisje të reja mjekësore për të garantuar në sektorin spitalor publik të gjitha analizat mjekësore. Trajtimi nëpërmjet paketës së dedikuar të Listës së Rimbursimit të Barnave për të gjithë pacientë</w:t>
      </w:r>
      <w:r w:rsidR="00DB4B15" w:rsidRPr="00050FA4">
        <w:rPr>
          <w:lang w:val="sq-AL"/>
        </w:rPr>
        <w:t>t që janë të infektuar nga SARS–COV–</w:t>
      </w:r>
      <w:r w:rsidRPr="00050FA4">
        <w:rPr>
          <w:lang w:val="sq-AL"/>
        </w:rPr>
        <w:t>2</w:t>
      </w:r>
      <w:r w:rsidR="00DB4B15" w:rsidRPr="00050FA4">
        <w:rPr>
          <w:lang w:val="sq-AL"/>
        </w:rPr>
        <w:t>,</w:t>
      </w:r>
      <w:r w:rsidRPr="00050FA4">
        <w:rPr>
          <w:lang w:val="sq-AL"/>
        </w:rPr>
        <w:t xml:space="preserve"> si dhe një paketë të plotë trajtimi sipas praktikave dhe protokolleve më të mira ndërkombëtare për të gjithë pacientët tanë që do të kenë nevojë për trajtim spitalor.</w:t>
      </w:r>
    </w:p>
    <w:p w14:paraId="34D6D212" w14:textId="5CDE097C" w:rsidR="00C12939" w:rsidRPr="00050FA4" w:rsidRDefault="00C12939" w:rsidP="003F1DA7">
      <w:pPr>
        <w:pStyle w:val="AAAAAAATEXXXX"/>
        <w:rPr>
          <w:lang w:val="sq-AL"/>
        </w:rPr>
      </w:pPr>
      <w:r w:rsidRPr="00050FA4">
        <w:rPr>
          <w:lang w:val="sq-AL"/>
        </w:rPr>
        <w:t xml:space="preserve">Brenda vitit 2022 do të jetë përfunduar modernizimi i infrastrukturës së </w:t>
      </w:r>
      <w:r w:rsidR="003410B6" w:rsidRPr="00050FA4">
        <w:rPr>
          <w:lang w:val="sq-AL"/>
        </w:rPr>
        <w:t xml:space="preserve">Spitalit </w:t>
      </w:r>
      <w:r w:rsidRPr="00050FA4">
        <w:rPr>
          <w:lang w:val="sq-AL"/>
        </w:rPr>
        <w:t xml:space="preserve">tonë të Sëmundjeve Infektive në Qendrën Spitalore </w:t>
      </w:r>
      <w:r w:rsidR="003410B6" w:rsidRPr="00050FA4">
        <w:rPr>
          <w:lang w:val="sq-AL"/>
        </w:rPr>
        <w:t>“</w:t>
      </w:r>
      <w:r w:rsidRPr="00050FA4">
        <w:rPr>
          <w:lang w:val="sq-AL"/>
        </w:rPr>
        <w:t>Nënë Tereza</w:t>
      </w:r>
      <w:r w:rsidR="003410B6" w:rsidRPr="00050FA4">
        <w:rPr>
          <w:lang w:val="sq-AL"/>
        </w:rPr>
        <w:t>”</w:t>
      </w:r>
      <w:r w:rsidRPr="00050FA4">
        <w:rPr>
          <w:lang w:val="sq-AL"/>
        </w:rPr>
        <w:t xml:space="preserve"> në Tiranë</w:t>
      </w:r>
      <w:r w:rsidR="003410B6" w:rsidRPr="00050FA4">
        <w:rPr>
          <w:lang w:val="sq-AL"/>
        </w:rPr>
        <w:t>,</w:t>
      </w:r>
      <w:r w:rsidRPr="00050FA4">
        <w:rPr>
          <w:lang w:val="sq-AL"/>
        </w:rPr>
        <w:t xml:space="preserve"> që do të garantojë jo vetëm një transformim të plotë të kujdesit spitalor për qytetarët tanë, por edhe dyfishimin e njësive të ICU</w:t>
      </w:r>
      <w:r w:rsidR="003410B6" w:rsidRPr="00050FA4">
        <w:rPr>
          <w:lang w:val="sq-AL"/>
        </w:rPr>
        <w:t>-së</w:t>
      </w:r>
      <w:r w:rsidRPr="00050FA4">
        <w:rPr>
          <w:lang w:val="sq-AL"/>
        </w:rPr>
        <w:t>.</w:t>
      </w:r>
    </w:p>
    <w:p w14:paraId="3045BB8E" w14:textId="1E89D0D1" w:rsidR="00C12939" w:rsidRPr="00050FA4" w:rsidRDefault="00C12939" w:rsidP="003F1DA7">
      <w:pPr>
        <w:pStyle w:val="AAAAAAATEXXXX"/>
        <w:rPr>
          <w:lang w:val="sq-AL"/>
        </w:rPr>
      </w:pPr>
      <w:r w:rsidRPr="00050FA4">
        <w:rPr>
          <w:lang w:val="sq-AL"/>
        </w:rPr>
        <w:t xml:space="preserve">Në një kohë rekord është arritur të të garantohen rreth 3 milionë doza vaksinash dhe deri në fund të </w:t>
      </w:r>
      <w:r w:rsidRPr="00050FA4">
        <w:rPr>
          <w:lang w:val="sq-AL"/>
        </w:rPr>
        <w:lastRenderedPageBreak/>
        <w:t>pranverës</w:t>
      </w:r>
      <w:r w:rsidR="001E7CC6" w:rsidRPr="00050FA4">
        <w:rPr>
          <w:lang w:val="sq-AL"/>
        </w:rPr>
        <w:t>,</w:t>
      </w:r>
      <w:r w:rsidRPr="00050FA4">
        <w:rPr>
          <w:lang w:val="sq-AL"/>
        </w:rPr>
        <w:t xml:space="preserve"> përmes mekanizmit COVAX dhe kontraktimit të drejtpërdrejtë me prodhuesit dhe shpërndarësit e autorizuar do të garantohen 5 milionë doza për të nisur edhe aplikimin e dozës së tretë dhe doza dhe për fëmijët nën 18 vjeç sipas rekomandimeve të OBSH</w:t>
      </w:r>
      <w:r w:rsidR="001E7CC6" w:rsidRPr="00050FA4">
        <w:rPr>
          <w:lang w:val="sq-AL"/>
        </w:rPr>
        <w:t>-së</w:t>
      </w:r>
      <w:r w:rsidRPr="00050FA4">
        <w:rPr>
          <w:lang w:val="sq-AL"/>
        </w:rPr>
        <w:t xml:space="preserve"> dhe ICDC</w:t>
      </w:r>
      <w:r w:rsidR="001E7CC6" w:rsidRPr="00050FA4">
        <w:rPr>
          <w:lang w:val="sq-AL"/>
        </w:rPr>
        <w:t>-së</w:t>
      </w:r>
      <w:r w:rsidRPr="00050FA4">
        <w:rPr>
          <w:lang w:val="sq-AL"/>
        </w:rPr>
        <w:t>.</w:t>
      </w:r>
    </w:p>
    <w:p w14:paraId="7E390735" w14:textId="77C3F6DC" w:rsidR="00C12939" w:rsidRPr="00050FA4" w:rsidRDefault="00C12939" w:rsidP="003F1DA7">
      <w:pPr>
        <w:pStyle w:val="AAAAAAATEXXXX"/>
        <w:rPr>
          <w:lang w:val="sq-AL"/>
        </w:rPr>
      </w:pPr>
      <w:r w:rsidRPr="00050FA4">
        <w:rPr>
          <w:lang w:val="sq-AL"/>
        </w:rPr>
        <w:t>Shëndeti do të vazhdojë të mbetet një e mirë publike dhe për këtë arsye deri në vitin 2030 synohet rritja e financimit publik për shëndetësinë në 70%</w:t>
      </w:r>
      <w:r w:rsidR="00DB4B15" w:rsidRPr="00050FA4">
        <w:rPr>
          <w:lang w:val="sq-AL"/>
        </w:rPr>
        <w:t>,</w:t>
      </w:r>
      <w:r w:rsidRPr="00050FA4">
        <w:rPr>
          <w:lang w:val="sq-AL"/>
        </w:rPr>
        <w:t xml:space="preserve"> duke garantuar që asnjë familje shqiptare të mos bjerë në varfëri për shkak të kostove shëndetësore.</w:t>
      </w:r>
    </w:p>
    <w:p w14:paraId="6CD6672D" w14:textId="30A24F8F" w:rsidR="00C12939" w:rsidRPr="00050FA4" w:rsidRDefault="00C12939" w:rsidP="003F1DA7">
      <w:pPr>
        <w:pStyle w:val="AAAAAAATEXXXX"/>
        <w:rPr>
          <w:lang w:val="sq-AL"/>
        </w:rPr>
      </w:pPr>
      <w:r w:rsidRPr="00050FA4">
        <w:rPr>
          <w:lang w:val="sq-AL"/>
        </w:rPr>
        <w:t>Gjatë këtyre 8 v</w:t>
      </w:r>
      <w:r w:rsidR="001A2AA1" w:rsidRPr="00050FA4">
        <w:rPr>
          <w:lang w:val="sq-AL"/>
        </w:rPr>
        <w:t>jetëve</w:t>
      </w:r>
      <w:r w:rsidRPr="00050FA4">
        <w:rPr>
          <w:lang w:val="sq-AL"/>
        </w:rPr>
        <w:t xml:space="preserve"> i është kthyer dinjiteti i personelit mjekësor. Sot një mjek ose një infermier që është i punësuar në një spital publik ka një pagë 63% më të lartë se në vitin 2013. Një mjek i përgjithshëm ose një infermier në qendrën e kujdesit shëndetësor parësor ka një pagë 68% më të lartë se në vitin 2013. Do të vazhdohet edhe gjatë këtij katërvjeçari për të zbatuar politikën për rritjen e pagave deri në 40% për personelin mjekësor.</w:t>
      </w:r>
    </w:p>
    <w:p w14:paraId="0598D93C" w14:textId="0744D968" w:rsidR="00C12939" w:rsidRPr="00050FA4" w:rsidRDefault="00C12939" w:rsidP="003F1DA7">
      <w:pPr>
        <w:pStyle w:val="AAAAAAATEXXXX"/>
        <w:rPr>
          <w:rFonts w:cstheme="majorBidi"/>
          <w:lang w:val="sq-AL"/>
        </w:rPr>
      </w:pPr>
      <w:r w:rsidRPr="00050FA4">
        <w:rPr>
          <w:lang w:val="sq-AL"/>
        </w:rPr>
        <w:t>Brenda vitit 2025 do të përfundohet testimi dhe modernizimi i rrjetit laboratorik publik në 10 spitale rajonale dhe bashkiake</w:t>
      </w:r>
      <w:r w:rsidR="007F695A" w:rsidRPr="00050FA4">
        <w:rPr>
          <w:lang w:val="sq-AL"/>
        </w:rPr>
        <w:t>,</w:t>
      </w:r>
      <w:r w:rsidRPr="00050FA4">
        <w:rPr>
          <w:lang w:val="sq-AL"/>
        </w:rPr>
        <w:t xml:space="preserve"> duke garantuar një rritje prej 20% të qytetarëve</w:t>
      </w:r>
      <w:r w:rsidR="007F695A" w:rsidRPr="00050FA4">
        <w:rPr>
          <w:lang w:val="sq-AL"/>
        </w:rPr>
        <w:t>,</w:t>
      </w:r>
      <w:r w:rsidRPr="00050FA4">
        <w:rPr>
          <w:lang w:val="sq-AL"/>
        </w:rPr>
        <w:t xml:space="preserve"> që do të përfitojnë nga ekzaminimet laboratorike, rritjen e kapaciteteve diagnostikuese në 10 spitale bashkiake, rajonale dhe universitare, nëpërmjet investimit në pajisje mjekësore, ngritja e 3 </w:t>
      </w:r>
      <w:r w:rsidR="000D67FC" w:rsidRPr="00050FA4">
        <w:rPr>
          <w:lang w:val="sq-AL"/>
        </w:rPr>
        <w:t xml:space="preserve">qendrave rajonale të ekselencës </w:t>
      </w:r>
      <w:r w:rsidRPr="00050FA4">
        <w:rPr>
          <w:lang w:val="sq-AL"/>
        </w:rPr>
        <w:t>në ofrimin e kujdesit për sëmundjet akute ishemike</w:t>
      </w:r>
      <w:r w:rsidR="007F695A" w:rsidRPr="00050FA4">
        <w:rPr>
          <w:lang w:val="sq-AL"/>
        </w:rPr>
        <w:t>,</w:t>
      </w:r>
      <w:r w:rsidRPr="00050FA4">
        <w:rPr>
          <w:lang w:val="sq-AL"/>
        </w:rPr>
        <w:t xml:space="preserve"> si dhe investime të mëdha do të bëhen edhe në modernizimin e institucioneve</w:t>
      </w:r>
      <w:r w:rsidR="009B1D6B" w:rsidRPr="00050FA4">
        <w:rPr>
          <w:lang w:val="sq-AL"/>
        </w:rPr>
        <w:t xml:space="preserve"> </w:t>
      </w:r>
      <w:r w:rsidRPr="00050FA4">
        <w:rPr>
          <w:lang w:val="sq-AL"/>
        </w:rPr>
        <w:t>të shëndetit mendor.</w:t>
      </w:r>
    </w:p>
    <w:p w14:paraId="2588099C" w14:textId="179ED9D7" w:rsidR="00E43B82" w:rsidRPr="00050FA4" w:rsidRDefault="00B35F6F" w:rsidP="003F1DA7">
      <w:pPr>
        <w:pStyle w:val="AAAAAAATEXXXX"/>
        <w:rPr>
          <w:b/>
          <w:lang w:val="sq-AL"/>
        </w:rPr>
      </w:pPr>
      <w:r w:rsidRPr="00050FA4">
        <w:rPr>
          <w:b/>
          <w:lang w:val="sq-AL"/>
        </w:rPr>
        <w:t>a</w:t>
      </w:r>
      <w:r w:rsidR="00DB4B15" w:rsidRPr="00050FA4">
        <w:rPr>
          <w:b/>
          <w:lang w:val="sq-AL"/>
        </w:rPr>
        <w:t>)</w:t>
      </w:r>
      <w:r w:rsidRPr="00050FA4">
        <w:rPr>
          <w:b/>
          <w:lang w:val="sq-AL"/>
        </w:rPr>
        <w:t xml:space="preserve"> </w:t>
      </w:r>
      <w:r w:rsidR="00B2062A" w:rsidRPr="00050FA4">
        <w:rPr>
          <w:b/>
          <w:lang w:val="sq-AL"/>
        </w:rPr>
        <w:t xml:space="preserve">Aktivitete të planifikuara </w:t>
      </w:r>
      <w:r w:rsidR="007F695A" w:rsidRPr="00050FA4">
        <w:rPr>
          <w:b/>
          <w:lang w:val="sq-AL"/>
        </w:rPr>
        <w:t>m</w:t>
      </w:r>
      <w:r w:rsidR="00B2062A" w:rsidRPr="00050FA4">
        <w:rPr>
          <w:b/>
          <w:lang w:val="sq-AL"/>
        </w:rPr>
        <w:t>ë</w:t>
      </w:r>
      <w:r w:rsidR="00E43B82" w:rsidRPr="00050FA4">
        <w:rPr>
          <w:b/>
          <w:lang w:val="sq-AL"/>
        </w:rPr>
        <w:t xml:space="preserve"> 2022</w:t>
      </w:r>
      <w:r w:rsidR="003E6B26" w:rsidRPr="00050FA4">
        <w:rPr>
          <w:b/>
          <w:lang w:val="sq-AL"/>
        </w:rPr>
        <w:t>–</w:t>
      </w:r>
      <w:r w:rsidR="009A0B10" w:rsidRPr="00050FA4">
        <w:rPr>
          <w:b/>
          <w:lang w:val="sq-AL"/>
        </w:rPr>
        <w:t>2024</w:t>
      </w:r>
    </w:p>
    <w:p w14:paraId="64D8B5B4" w14:textId="2824EB55" w:rsidR="00C12939" w:rsidRPr="00050FA4" w:rsidRDefault="00DB4B15" w:rsidP="003F1DA7">
      <w:pPr>
        <w:pStyle w:val="AAAAAAATEXXXX"/>
        <w:rPr>
          <w:lang w:val="sq-AL"/>
        </w:rPr>
      </w:pPr>
      <w:r w:rsidRPr="00050FA4">
        <w:rPr>
          <w:lang w:val="sq-AL"/>
        </w:rPr>
        <w:t>a)</w:t>
      </w:r>
      <w:r w:rsidR="00B35F6F" w:rsidRPr="00050FA4">
        <w:rPr>
          <w:lang w:val="sq-AL"/>
        </w:rPr>
        <w:t xml:space="preserve"> </w:t>
      </w:r>
      <w:r w:rsidR="00C12939" w:rsidRPr="00050FA4">
        <w:rPr>
          <w:lang w:val="sq-AL"/>
        </w:rPr>
        <w:t>Financimi i këtij lloji të kujdesit shëndetësor (të tr</w:t>
      </w:r>
      <w:r w:rsidR="007808AC" w:rsidRPr="00050FA4">
        <w:rPr>
          <w:lang w:val="sq-AL"/>
        </w:rPr>
        <w:t>i</w:t>
      </w:r>
      <w:r w:rsidR="00C12939" w:rsidRPr="00050FA4">
        <w:rPr>
          <w:lang w:val="sq-AL"/>
        </w:rPr>
        <w:t xml:space="preserve"> nivelet e sistemit primar, sekondar dhe terciar)</w:t>
      </w:r>
      <w:r w:rsidR="00202300" w:rsidRPr="00050FA4">
        <w:rPr>
          <w:lang w:val="sq-AL"/>
        </w:rPr>
        <w:t>;</w:t>
      </w:r>
    </w:p>
    <w:p w14:paraId="68BF97AD" w14:textId="5A6A2E91" w:rsidR="00C12939" w:rsidRPr="00050FA4" w:rsidRDefault="00B35F6F" w:rsidP="003F1DA7">
      <w:pPr>
        <w:pStyle w:val="AAAAAAATEXXXX"/>
        <w:rPr>
          <w:lang w:val="sq-AL"/>
        </w:rPr>
      </w:pPr>
      <w:r w:rsidRPr="00050FA4">
        <w:rPr>
          <w:lang w:val="sq-AL"/>
        </w:rPr>
        <w:t>b</w:t>
      </w:r>
      <w:r w:rsidR="00DB4B15" w:rsidRPr="00050FA4">
        <w:rPr>
          <w:lang w:val="sq-AL"/>
        </w:rPr>
        <w:t>)</w:t>
      </w:r>
      <w:r w:rsidRPr="00050FA4">
        <w:rPr>
          <w:lang w:val="sq-AL"/>
        </w:rPr>
        <w:t xml:space="preserve"> </w:t>
      </w:r>
      <w:r w:rsidR="00C12939" w:rsidRPr="00050FA4">
        <w:rPr>
          <w:lang w:val="sq-AL"/>
        </w:rPr>
        <w:t>Rritja e kostos – efikasitetit të listës së barnave të rimbursimit dhe rishikimi i legjislacionit kombëtar për barnat dhe shërbimet farmaceutike</w:t>
      </w:r>
      <w:r w:rsidR="00202300" w:rsidRPr="00050FA4">
        <w:rPr>
          <w:lang w:val="sq-AL"/>
        </w:rPr>
        <w:t>;</w:t>
      </w:r>
    </w:p>
    <w:p w14:paraId="192AA729" w14:textId="4EE7DA00" w:rsidR="00C12939" w:rsidRPr="00050FA4" w:rsidRDefault="00B35F6F" w:rsidP="003F1DA7">
      <w:pPr>
        <w:pStyle w:val="AAAAAAATEXXXX"/>
        <w:rPr>
          <w:lang w:val="sq-AL"/>
        </w:rPr>
      </w:pPr>
      <w:r w:rsidRPr="00050FA4">
        <w:rPr>
          <w:lang w:val="sq-AL"/>
        </w:rPr>
        <w:t>c</w:t>
      </w:r>
      <w:r w:rsidR="00DB4B15" w:rsidRPr="00050FA4">
        <w:rPr>
          <w:lang w:val="sq-AL"/>
        </w:rPr>
        <w:t>)</w:t>
      </w:r>
      <w:r w:rsidRPr="00050FA4">
        <w:rPr>
          <w:lang w:val="sq-AL"/>
        </w:rPr>
        <w:t xml:space="preserve"> </w:t>
      </w:r>
      <w:r w:rsidR="00C12939" w:rsidRPr="00050FA4">
        <w:rPr>
          <w:lang w:val="sq-AL"/>
        </w:rPr>
        <w:t>Vazhdimi i financimit të 12 paketave të kujdesit shëndetësor të ofruara në spitalet publike dhe private dhe rritja e numrit të përfituesve me 5% në bazë vjetore</w:t>
      </w:r>
      <w:r w:rsidR="00202300" w:rsidRPr="00050FA4">
        <w:rPr>
          <w:lang w:val="sq-AL"/>
        </w:rPr>
        <w:t>;</w:t>
      </w:r>
    </w:p>
    <w:p w14:paraId="145B852C" w14:textId="1D6044E6" w:rsidR="00C12939" w:rsidRPr="00050FA4" w:rsidRDefault="00B35F6F" w:rsidP="003F1DA7">
      <w:pPr>
        <w:pStyle w:val="AAAAAAATEXXXX"/>
        <w:rPr>
          <w:lang w:val="sq-AL"/>
        </w:rPr>
      </w:pPr>
      <w:r w:rsidRPr="00050FA4">
        <w:rPr>
          <w:lang w:val="sq-AL"/>
        </w:rPr>
        <w:t>d</w:t>
      </w:r>
      <w:r w:rsidR="00DB4B15" w:rsidRPr="00050FA4">
        <w:rPr>
          <w:lang w:val="sq-AL"/>
        </w:rPr>
        <w:t>)</w:t>
      </w:r>
      <w:r w:rsidRPr="00050FA4">
        <w:rPr>
          <w:lang w:val="sq-AL"/>
        </w:rPr>
        <w:t xml:space="preserve"> </w:t>
      </w:r>
      <w:r w:rsidR="00C12939" w:rsidRPr="00050FA4">
        <w:rPr>
          <w:lang w:val="sq-AL"/>
        </w:rPr>
        <w:t>Rishikimi i ligjit për spitalet dhe metodologjia e kostos së shërbimeve të kujdesit shëndetësor me qëllim përmirësimin e mekanizmit të financimit të institucioneve të kujdesit shëndetësor</w:t>
      </w:r>
      <w:r w:rsidR="00202300" w:rsidRPr="00050FA4">
        <w:rPr>
          <w:lang w:val="sq-AL"/>
        </w:rPr>
        <w:t>;</w:t>
      </w:r>
    </w:p>
    <w:p w14:paraId="1610A215" w14:textId="5EC2D4E1" w:rsidR="00C12939" w:rsidRPr="00050FA4" w:rsidRDefault="00B35F6F" w:rsidP="003F1DA7">
      <w:pPr>
        <w:pStyle w:val="AAAAAAATEXXXX"/>
        <w:rPr>
          <w:lang w:val="sq-AL"/>
        </w:rPr>
      </w:pPr>
      <w:r w:rsidRPr="00050FA4">
        <w:rPr>
          <w:lang w:val="sq-AL"/>
        </w:rPr>
        <w:t>e</w:t>
      </w:r>
      <w:r w:rsidR="00DB4B15" w:rsidRPr="00050FA4">
        <w:rPr>
          <w:lang w:val="sq-AL"/>
        </w:rPr>
        <w:t>)</w:t>
      </w:r>
      <w:r w:rsidRPr="00050FA4">
        <w:rPr>
          <w:lang w:val="sq-AL"/>
        </w:rPr>
        <w:t xml:space="preserve"> </w:t>
      </w:r>
      <w:r w:rsidR="00C12939" w:rsidRPr="00050FA4">
        <w:rPr>
          <w:lang w:val="sq-AL"/>
        </w:rPr>
        <w:t>Vazhdimi i financimit të program</w:t>
      </w:r>
      <w:r w:rsidR="00655282" w:rsidRPr="00050FA4">
        <w:rPr>
          <w:lang w:val="sq-AL"/>
        </w:rPr>
        <w:t xml:space="preserve">eve të depistimit parandalues </w:t>
      </w:r>
      <w:r w:rsidR="00C12939" w:rsidRPr="00050FA4">
        <w:rPr>
          <w:lang w:val="sq-AL"/>
        </w:rPr>
        <w:t>dhe rritja deri në 10% të numrit të përfituesve</w:t>
      </w:r>
      <w:r w:rsidR="00202300" w:rsidRPr="00050FA4">
        <w:rPr>
          <w:lang w:val="sq-AL"/>
        </w:rPr>
        <w:t>;</w:t>
      </w:r>
    </w:p>
    <w:p w14:paraId="1726C2D8" w14:textId="337F64E0" w:rsidR="00C12939" w:rsidRPr="00050FA4" w:rsidRDefault="00B35F6F" w:rsidP="003F1DA7">
      <w:pPr>
        <w:pStyle w:val="AAAAAAATEXXXX"/>
        <w:rPr>
          <w:lang w:val="sq-AL"/>
        </w:rPr>
      </w:pPr>
      <w:r w:rsidRPr="00050FA4">
        <w:rPr>
          <w:lang w:val="sq-AL"/>
        </w:rPr>
        <w:t>f</w:t>
      </w:r>
      <w:r w:rsidR="00DB4B15" w:rsidRPr="00050FA4">
        <w:rPr>
          <w:lang w:val="sq-AL"/>
        </w:rPr>
        <w:t>)</w:t>
      </w:r>
      <w:r w:rsidRPr="00050FA4">
        <w:rPr>
          <w:lang w:val="sq-AL"/>
        </w:rPr>
        <w:t xml:space="preserve"> </w:t>
      </w:r>
      <w:r w:rsidR="00C12939" w:rsidRPr="00050FA4">
        <w:rPr>
          <w:lang w:val="sq-AL"/>
        </w:rPr>
        <w:t>Politikat e dedikuara për profesionistët e kujdesit shëndetësor parashikojnë praktikën e dyfishtë dhe klasifikimin e pagave</w:t>
      </w:r>
      <w:r w:rsidR="00202300" w:rsidRPr="00050FA4">
        <w:rPr>
          <w:lang w:val="sq-AL"/>
        </w:rPr>
        <w:t>,</w:t>
      </w:r>
      <w:r w:rsidR="00C12939" w:rsidRPr="00050FA4">
        <w:rPr>
          <w:lang w:val="sq-AL"/>
        </w:rPr>
        <w:t xml:space="preserve"> sipas treguesve të performancës</w:t>
      </w:r>
      <w:r w:rsidR="00202300" w:rsidRPr="00050FA4">
        <w:rPr>
          <w:lang w:val="sq-AL"/>
        </w:rPr>
        <w:t>;</w:t>
      </w:r>
    </w:p>
    <w:p w14:paraId="450D8952" w14:textId="77348C92" w:rsidR="00C12939" w:rsidRPr="00050FA4" w:rsidRDefault="00B35F6F" w:rsidP="003F1DA7">
      <w:pPr>
        <w:pStyle w:val="AAAAAAATEXXXX"/>
        <w:rPr>
          <w:lang w:val="sq-AL"/>
        </w:rPr>
      </w:pPr>
      <w:r w:rsidRPr="00050FA4">
        <w:rPr>
          <w:lang w:val="sq-AL"/>
        </w:rPr>
        <w:t>g</w:t>
      </w:r>
      <w:r w:rsidR="00DB4B15" w:rsidRPr="00050FA4">
        <w:rPr>
          <w:lang w:val="sq-AL"/>
        </w:rPr>
        <w:t>)</w:t>
      </w:r>
      <w:r w:rsidRPr="00050FA4">
        <w:rPr>
          <w:lang w:val="sq-AL"/>
        </w:rPr>
        <w:t xml:space="preserve"> </w:t>
      </w:r>
      <w:r w:rsidR="00C12939" w:rsidRPr="00050FA4">
        <w:rPr>
          <w:lang w:val="sq-AL"/>
        </w:rPr>
        <w:t>Krijimi i Shërbimit Shëndetësor Kombëtar, si një pagues i vetëm dhe transformimi gradual i financimit të spitaleve nga buxheti historik në paketat e shërbimit shëndetësor</w:t>
      </w:r>
      <w:r w:rsidR="00202300" w:rsidRPr="00050FA4">
        <w:rPr>
          <w:lang w:val="sq-AL"/>
        </w:rPr>
        <w:t>;</w:t>
      </w:r>
    </w:p>
    <w:p w14:paraId="1C053DC5" w14:textId="67B03C67" w:rsidR="00C12939" w:rsidRPr="00050FA4" w:rsidRDefault="00B35F6F" w:rsidP="003F1DA7">
      <w:pPr>
        <w:pStyle w:val="AAAAAAATEXXXX"/>
        <w:rPr>
          <w:lang w:val="sq-AL"/>
        </w:rPr>
      </w:pPr>
      <w:r w:rsidRPr="00050FA4">
        <w:rPr>
          <w:lang w:val="sq-AL"/>
        </w:rPr>
        <w:t>h</w:t>
      </w:r>
      <w:r w:rsidR="00DB4B15" w:rsidRPr="00050FA4">
        <w:rPr>
          <w:lang w:val="sq-AL"/>
        </w:rPr>
        <w:t>)</w:t>
      </w:r>
      <w:r w:rsidRPr="00050FA4">
        <w:rPr>
          <w:lang w:val="sq-AL"/>
        </w:rPr>
        <w:t xml:space="preserve"> </w:t>
      </w:r>
      <w:r w:rsidR="00C12939" w:rsidRPr="00050FA4">
        <w:rPr>
          <w:lang w:val="sq-AL"/>
        </w:rPr>
        <w:t xml:space="preserve">Strategjia </w:t>
      </w:r>
      <w:r w:rsidR="00DB4B15" w:rsidRPr="00050FA4">
        <w:rPr>
          <w:lang w:val="sq-AL"/>
        </w:rPr>
        <w:t>Kombëtare e Shëndetësisë 2021–</w:t>
      </w:r>
      <w:r w:rsidR="00C12939" w:rsidRPr="00050FA4">
        <w:rPr>
          <w:lang w:val="sq-AL"/>
        </w:rPr>
        <w:t xml:space="preserve">2025 dhe </w:t>
      </w:r>
      <w:r w:rsidR="000D67FC" w:rsidRPr="00050FA4">
        <w:rPr>
          <w:lang w:val="sq-AL"/>
        </w:rPr>
        <w:t xml:space="preserve">plani i veprimit </w:t>
      </w:r>
      <w:r w:rsidR="00C12939" w:rsidRPr="00050FA4">
        <w:rPr>
          <w:lang w:val="sq-AL"/>
        </w:rPr>
        <w:t>i buxhetuar.</w:t>
      </w:r>
    </w:p>
    <w:p w14:paraId="46A27A2D" w14:textId="31874C32" w:rsidR="00E43B82" w:rsidRPr="00050FA4" w:rsidRDefault="00B35F6F" w:rsidP="003F1DA7">
      <w:pPr>
        <w:pStyle w:val="AAAAAAATEXXXX"/>
        <w:rPr>
          <w:lang w:val="sq-AL"/>
        </w:rPr>
      </w:pPr>
      <w:r w:rsidRPr="00050FA4">
        <w:rPr>
          <w:lang w:val="sq-AL"/>
        </w:rPr>
        <w:t xml:space="preserve">2. </w:t>
      </w:r>
      <w:r w:rsidR="00B2062A" w:rsidRPr="00050FA4">
        <w:rPr>
          <w:lang w:val="sq-AL"/>
        </w:rPr>
        <w:t>Treguesit e rezultateve</w:t>
      </w:r>
    </w:p>
    <w:p w14:paraId="3601BAEB" w14:textId="77777777" w:rsidR="00202300" w:rsidRPr="00050FA4" w:rsidRDefault="00202300" w:rsidP="003F1DA7">
      <w:pPr>
        <w:pStyle w:val="AAAAAAATEXXXX"/>
        <w:rPr>
          <w:lang w:val="sq-AL"/>
        </w:rPr>
      </w:pPr>
    </w:p>
    <w:tbl>
      <w:tblPr>
        <w:tblStyle w:val="TableGrid"/>
        <w:tblW w:w="0" w:type="auto"/>
        <w:jc w:val="center"/>
        <w:tblLook w:val="04A0" w:firstRow="1" w:lastRow="0" w:firstColumn="1" w:lastColumn="0" w:noHBand="0" w:noVBand="1"/>
      </w:tblPr>
      <w:tblGrid>
        <w:gridCol w:w="5665"/>
        <w:gridCol w:w="1265"/>
        <w:gridCol w:w="1429"/>
        <w:gridCol w:w="1263"/>
      </w:tblGrid>
      <w:tr w:rsidR="00FA29AB" w:rsidRPr="00050FA4" w14:paraId="282361E6" w14:textId="77777777" w:rsidTr="000D67FC">
        <w:trPr>
          <w:jc w:val="center"/>
        </w:trPr>
        <w:tc>
          <w:tcPr>
            <w:tcW w:w="5665" w:type="dxa"/>
          </w:tcPr>
          <w:p w14:paraId="208383F3" w14:textId="1B582C7C" w:rsidR="009A0B10" w:rsidRPr="00050FA4" w:rsidRDefault="00B2062A" w:rsidP="000D67FC">
            <w:pPr>
              <w:pStyle w:val="AAAAAAATEXXXX"/>
              <w:ind w:firstLine="0"/>
              <w:jc w:val="center"/>
              <w:rPr>
                <w:b/>
                <w:sz w:val="18"/>
                <w:szCs w:val="18"/>
                <w:lang w:val="sq-AL"/>
              </w:rPr>
            </w:pPr>
            <w:r w:rsidRPr="00050FA4">
              <w:rPr>
                <w:b/>
                <w:sz w:val="18"/>
                <w:szCs w:val="18"/>
                <w:lang w:val="sq-AL"/>
              </w:rPr>
              <w:t>Tregues</w:t>
            </w:r>
          </w:p>
        </w:tc>
        <w:tc>
          <w:tcPr>
            <w:tcW w:w="1265" w:type="dxa"/>
          </w:tcPr>
          <w:p w14:paraId="7069D4D2" w14:textId="1FBEEFE9" w:rsidR="009A0B10" w:rsidRPr="00050FA4" w:rsidRDefault="00B2062A" w:rsidP="000D67FC">
            <w:pPr>
              <w:pStyle w:val="AAAAAAATEXXXX"/>
              <w:ind w:firstLine="0"/>
              <w:jc w:val="center"/>
              <w:rPr>
                <w:b/>
                <w:sz w:val="18"/>
                <w:szCs w:val="18"/>
                <w:lang w:val="sq-AL"/>
              </w:rPr>
            </w:pPr>
            <w:r w:rsidRPr="00050FA4">
              <w:rPr>
                <w:b/>
                <w:sz w:val="18"/>
                <w:szCs w:val="18"/>
                <w:lang w:val="sq-AL"/>
              </w:rPr>
              <w:t>Bazë</w:t>
            </w:r>
          </w:p>
        </w:tc>
        <w:tc>
          <w:tcPr>
            <w:tcW w:w="1429" w:type="dxa"/>
          </w:tcPr>
          <w:p w14:paraId="27166A6F" w14:textId="279D6F44" w:rsidR="009A0B10" w:rsidRPr="00050FA4" w:rsidRDefault="00B2062A" w:rsidP="000D67FC">
            <w:pPr>
              <w:pStyle w:val="AAAAAAATEXXXX"/>
              <w:ind w:firstLine="0"/>
              <w:jc w:val="center"/>
              <w:rPr>
                <w:b/>
                <w:sz w:val="18"/>
                <w:szCs w:val="18"/>
                <w:lang w:val="sq-AL"/>
              </w:rPr>
            </w:pPr>
            <w:r w:rsidRPr="00050FA4">
              <w:rPr>
                <w:b/>
                <w:sz w:val="18"/>
                <w:szCs w:val="18"/>
                <w:lang w:val="sq-AL"/>
              </w:rPr>
              <w:t>I ndërmjetëm</w:t>
            </w:r>
          </w:p>
        </w:tc>
        <w:tc>
          <w:tcPr>
            <w:tcW w:w="1263" w:type="dxa"/>
          </w:tcPr>
          <w:p w14:paraId="21FDFEC4" w14:textId="61BDAC9C" w:rsidR="009A0B10" w:rsidRPr="00050FA4" w:rsidRDefault="00B2062A" w:rsidP="000D67FC">
            <w:pPr>
              <w:pStyle w:val="AAAAAAATEXXXX"/>
              <w:ind w:firstLine="0"/>
              <w:jc w:val="center"/>
              <w:rPr>
                <w:b/>
                <w:sz w:val="18"/>
                <w:szCs w:val="18"/>
                <w:lang w:val="sq-AL"/>
              </w:rPr>
            </w:pPr>
            <w:r w:rsidRPr="00050FA4">
              <w:rPr>
                <w:b/>
                <w:sz w:val="18"/>
                <w:szCs w:val="18"/>
                <w:lang w:val="sq-AL"/>
              </w:rPr>
              <w:t>Synimi</w:t>
            </w:r>
          </w:p>
        </w:tc>
      </w:tr>
      <w:tr w:rsidR="00FA29AB" w:rsidRPr="00050FA4" w14:paraId="389DDB74" w14:textId="77777777" w:rsidTr="000D67FC">
        <w:trPr>
          <w:jc w:val="center"/>
        </w:trPr>
        <w:tc>
          <w:tcPr>
            <w:tcW w:w="5665" w:type="dxa"/>
          </w:tcPr>
          <w:p w14:paraId="706F6CF9" w14:textId="069A20EB" w:rsidR="00C12939" w:rsidRPr="00050FA4" w:rsidRDefault="00C12939" w:rsidP="00A95D23">
            <w:pPr>
              <w:pStyle w:val="AAAAAAATEXXXX"/>
              <w:ind w:firstLine="0"/>
              <w:rPr>
                <w:sz w:val="18"/>
                <w:szCs w:val="18"/>
                <w:lang w:val="sq-AL"/>
              </w:rPr>
            </w:pPr>
            <w:r w:rsidRPr="00050FA4">
              <w:rPr>
                <w:sz w:val="18"/>
                <w:szCs w:val="18"/>
                <w:lang w:val="sq-AL"/>
              </w:rPr>
              <w:t>Numri i qytetarëve që përfitojnë nga shërbimet e kujdesit shëndetësor publik</w:t>
            </w:r>
          </w:p>
        </w:tc>
        <w:tc>
          <w:tcPr>
            <w:tcW w:w="1265" w:type="dxa"/>
          </w:tcPr>
          <w:p w14:paraId="7DB4840A" w14:textId="61ED8BF8" w:rsidR="00C12939" w:rsidRPr="00050FA4" w:rsidRDefault="00C12939" w:rsidP="000D67FC">
            <w:pPr>
              <w:pStyle w:val="AAAAAAATEXXXX"/>
              <w:ind w:firstLine="0"/>
              <w:jc w:val="right"/>
              <w:rPr>
                <w:sz w:val="18"/>
                <w:szCs w:val="18"/>
                <w:lang w:val="sq-AL"/>
              </w:rPr>
            </w:pPr>
            <w:r w:rsidRPr="00050FA4">
              <w:rPr>
                <w:sz w:val="18"/>
                <w:szCs w:val="18"/>
                <w:lang w:val="sq-AL"/>
              </w:rPr>
              <w:t>93%</w:t>
            </w:r>
          </w:p>
        </w:tc>
        <w:tc>
          <w:tcPr>
            <w:tcW w:w="1429" w:type="dxa"/>
          </w:tcPr>
          <w:p w14:paraId="113A6FF1" w14:textId="711F9690" w:rsidR="00C12939" w:rsidRPr="00050FA4" w:rsidRDefault="00C12939" w:rsidP="000D67FC">
            <w:pPr>
              <w:pStyle w:val="AAAAAAATEXXXX"/>
              <w:ind w:firstLine="0"/>
              <w:jc w:val="right"/>
              <w:rPr>
                <w:sz w:val="18"/>
                <w:szCs w:val="18"/>
                <w:lang w:val="sq-AL"/>
              </w:rPr>
            </w:pPr>
            <w:r w:rsidRPr="00050FA4">
              <w:rPr>
                <w:sz w:val="18"/>
                <w:szCs w:val="18"/>
                <w:lang w:val="sq-AL"/>
              </w:rPr>
              <w:t>95%</w:t>
            </w:r>
          </w:p>
        </w:tc>
        <w:tc>
          <w:tcPr>
            <w:tcW w:w="1263" w:type="dxa"/>
          </w:tcPr>
          <w:p w14:paraId="09E53138" w14:textId="63DFFA9C" w:rsidR="00C12939" w:rsidRPr="00050FA4" w:rsidRDefault="00C12939" w:rsidP="000D67FC">
            <w:pPr>
              <w:pStyle w:val="AAAAAAATEXXXX"/>
              <w:ind w:firstLine="0"/>
              <w:jc w:val="right"/>
              <w:rPr>
                <w:sz w:val="18"/>
                <w:szCs w:val="18"/>
                <w:lang w:val="sq-AL"/>
              </w:rPr>
            </w:pPr>
            <w:r w:rsidRPr="00050FA4">
              <w:rPr>
                <w:sz w:val="18"/>
                <w:szCs w:val="18"/>
                <w:lang w:val="sq-AL"/>
              </w:rPr>
              <w:t>97%</w:t>
            </w:r>
          </w:p>
        </w:tc>
      </w:tr>
      <w:tr w:rsidR="00FA29AB" w:rsidRPr="00050FA4" w14:paraId="3A60581D" w14:textId="77777777" w:rsidTr="00202300">
        <w:trPr>
          <w:jc w:val="center"/>
        </w:trPr>
        <w:tc>
          <w:tcPr>
            <w:tcW w:w="5665" w:type="dxa"/>
          </w:tcPr>
          <w:p w14:paraId="1AF8CE21" w14:textId="12A415F2" w:rsidR="00C12939" w:rsidRPr="00050FA4" w:rsidRDefault="00C12939" w:rsidP="00A95D23">
            <w:pPr>
              <w:pStyle w:val="AAAAAAATEXXXX"/>
              <w:ind w:firstLine="0"/>
              <w:rPr>
                <w:sz w:val="18"/>
                <w:szCs w:val="18"/>
                <w:lang w:val="sq-AL"/>
              </w:rPr>
            </w:pPr>
            <w:r w:rsidRPr="00050FA4">
              <w:rPr>
                <w:sz w:val="18"/>
                <w:szCs w:val="18"/>
                <w:lang w:val="sq-AL"/>
              </w:rPr>
              <w:t>Numri i qytetarëve që përfitojnë nga 12 paketat e kujdesit shëndetësor dhe 3 programet kombëtare të depistimit të financ</w:t>
            </w:r>
            <w:r w:rsidR="00202300" w:rsidRPr="00050FA4">
              <w:rPr>
                <w:sz w:val="18"/>
                <w:szCs w:val="18"/>
                <w:lang w:val="sq-AL"/>
              </w:rPr>
              <w:t>uara 100% nga buxheti i shtetit</w:t>
            </w:r>
          </w:p>
        </w:tc>
        <w:tc>
          <w:tcPr>
            <w:tcW w:w="1265" w:type="dxa"/>
            <w:vAlign w:val="bottom"/>
          </w:tcPr>
          <w:p w14:paraId="56088B6C" w14:textId="292C9765" w:rsidR="00C12939" w:rsidRPr="00050FA4" w:rsidRDefault="00C12939" w:rsidP="00202300">
            <w:pPr>
              <w:pStyle w:val="AAAAAAATEXXXX"/>
              <w:ind w:firstLine="0"/>
              <w:jc w:val="right"/>
              <w:rPr>
                <w:sz w:val="18"/>
                <w:szCs w:val="18"/>
                <w:lang w:val="sq-AL"/>
              </w:rPr>
            </w:pPr>
            <w:r w:rsidRPr="00050FA4">
              <w:rPr>
                <w:sz w:val="18"/>
                <w:szCs w:val="18"/>
                <w:lang w:val="sq-AL"/>
              </w:rPr>
              <w:t>+5%</w:t>
            </w:r>
          </w:p>
        </w:tc>
        <w:tc>
          <w:tcPr>
            <w:tcW w:w="1429" w:type="dxa"/>
            <w:vAlign w:val="bottom"/>
          </w:tcPr>
          <w:p w14:paraId="20D99A5C" w14:textId="2EB8C77F" w:rsidR="00C12939" w:rsidRPr="00050FA4" w:rsidRDefault="00C12939" w:rsidP="00202300">
            <w:pPr>
              <w:pStyle w:val="AAAAAAATEXXXX"/>
              <w:ind w:firstLine="0"/>
              <w:jc w:val="right"/>
              <w:rPr>
                <w:sz w:val="18"/>
                <w:szCs w:val="18"/>
                <w:lang w:val="sq-AL"/>
              </w:rPr>
            </w:pPr>
            <w:r w:rsidRPr="00050FA4">
              <w:rPr>
                <w:sz w:val="18"/>
                <w:szCs w:val="18"/>
                <w:lang w:val="sq-AL"/>
              </w:rPr>
              <w:t>+5%</w:t>
            </w:r>
          </w:p>
        </w:tc>
        <w:tc>
          <w:tcPr>
            <w:tcW w:w="1263" w:type="dxa"/>
            <w:vAlign w:val="bottom"/>
          </w:tcPr>
          <w:p w14:paraId="57037305" w14:textId="01CA29C2" w:rsidR="00C12939" w:rsidRPr="00050FA4" w:rsidRDefault="00C12939" w:rsidP="00202300">
            <w:pPr>
              <w:pStyle w:val="AAAAAAATEXXXX"/>
              <w:ind w:firstLine="0"/>
              <w:jc w:val="right"/>
              <w:rPr>
                <w:sz w:val="18"/>
                <w:szCs w:val="18"/>
                <w:lang w:val="sq-AL"/>
              </w:rPr>
            </w:pPr>
            <w:r w:rsidRPr="00050FA4">
              <w:rPr>
                <w:sz w:val="18"/>
                <w:szCs w:val="18"/>
                <w:lang w:val="sq-AL"/>
              </w:rPr>
              <w:t>+5%</w:t>
            </w:r>
          </w:p>
        </w:tc>
      </w:tr>
    </w:tbl>
    <w:p w14:paraId="311F8023" w14:textId="77777777" w:rsidR="009A0B10" w:rsidRPr="00050FA4" w:rsidRDefault="009A0B10" w:rsidP="003F1DA7">
      <w:pPr>
        <w:snapToGrid w:val="0"/>
        <w:ind w:firstLine="284"/>
        <w:rPr>
          <w:rFonts w:ascii="Garamond" w:hAnsi="Garamond" w:cstheme="majorBidi"/>
          <w:color w:val="0D0D0D" w:themeColor="text1" w:themeTint="F2"/>
        </w:rPr>
      </w:pPr>
    </w:p>
    <w:p w14:paraId="26BC62E7" w14:textId="52B42936" w:rsidR="00E43B82" w:rsidRPr="00050FA4" w:rsidRDefault="00B35F6F" w:rsidP="003F1DA7">
      <w:pPr>
        <w:pStyle w:val="AAAAAAATEXXXX"/>
        <w:rPr>
          <w:lang w:val="sq-AL"/>
        </w:rPr>
      </w:pPr>
      <w:r w:rsidRPr="00050FA4">
        <w:rPr>
          <w:lang w:val="sq-AL"/>
        </w:rPr>
        <w:t xml:space="preserve">3. </w:t>
      </w:r>
      <w:r w:rsidR="00B2062A" w:rsidRPr="00050FA4">
        <w:rPr>
          <w:lang w:val="sq-AL"/>
        </w:rPr>
        <w:t>Ndikimi i pritshëm në konkurrueshmëri</w:t>
      </w:r>
    </w:p>
    <w:p w14:paraId="73E71913" w14:textId="0DF41A13" w:rsidR="00C12939" w:rsidRPr="00050FA4" w:rsidRDefault="00C12939" w:rsidP="003F1DA7">
      <w:pPr>
        <w:pStyle w:val="AAAAAAATEXXXX"/>
        <w:rPr>
          <w:lang w:val="sq-AL"/>
        </w:rPr>
      </w:pPr>
      <w:r w:rsidRPr="00050FA4">
        <w:rPr>
          <w:lang w:val="sq-AL"/>
        </w:rPr>
        <w:t>Veprimet e parashikuara kanë disa dimensione ndikimi, të tilla si zbatimi dhe përmirësimi i ofrimit të shërbimeve të kujdesit shëndetësor publik, rritja e aksesit, diversifikimi i ofrimit të shërbimeve</w:t>
      </w:r>
      <w:r w:rsidR="000A2FB2" w:rsidRPr="00050FA4">
        <w:rPr>
          <w:lang w:val="sq-AL"/>
        </w:rPr>
        <w:t>,</w:t>
      </w:r>
      <w:r w:rsidRPr="00050FA4">
        <w:rPr>
          <w:lang w:val="sq-AL"/>
        </w:rPr>
        <w:t xml:space="preserve"> duke futur modele të reja inovative të kujdesit shëndetësor (shërbimet e banimit, vullnetare dhe me bazë komunitare) me theks të veçantë në ofrimin e shërbimeve me theks të veçantë në cilësinë e</w:t>
      </w:r>
      <w:r w:rsidR="009B1D6B" w:rsidRPr="00050FA4">
        <w:rPr>
          <w:lang w:val="sq-AL"/>
        </w:rPr>
        <w:t xml:space="preserve"> </w:t>
      </w:r>
      <w:r w:rsidRPr="00050FA4">
        <w:rPr>
          <w:lang w:val="sq-AL"/>
        </w:rPr>
        <w:t>lartë, të arritshëm dhe të përballueshëm.</w:t>
      </w:r>
    </w:p>
    <w:p w14:paraId="5CEE8766" w14:textId="200411C9" w:rsidR="00E43B82" w:rsidRPr="00050FA4" w:rsidRDefault="00B35F6F"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3220D1C4" w14:textId="055FDC42" w:rsidR="00C12939" w:rsidRPr="00050FA4" w:rsidRDefault="00C12939" w:rsidP="003F1DA7">
      <w:pPr>
        <w:pStyle w:val="AAAAAAATEXXXX"/>
        <w:rPr>
          <w:lang w:val="sq-AL"/>
        </w:rPr>
      </w:pPr>
      <w:r w:rsidRPr="00050FA4">
        <w:rPr>
          <w:lang w:val="sq-AL"/>
        </w:rPr>
        <w:t xml:space="preserve">Buxheti i </w:t>
      </w:r>
      <w:r w:rsidR="000A2FB2" w:rsidRPr="00050FA4">
        <w:rPr>
          <w:lang w:val="sq-AL"/>
        </w:rPr>
        <w:t xml:space="preserve">shëndetësisë </w:t>
      </w:r>
      <w:r w:rsidRPr="00050FA4">
        <w:rPr>
          <w:lang w:val="sq-AL"/>
        </w:rPr>
        <w:t xml:space="preserve">për vitin 2022 është 63.5 miliardë lekë ose 3.4% e PBB-së dhe 9.96% e </w:t>
      </w:r>
      <w:r w:rsidR="000A2FB2" w:rsidRPr="00050FA4">
        <w:rPr>
          <w:lang w:val="sq-AL"/>
        </w:rPr>
        <w:t>buxhetit të shtetit</w:t>
      </w:r>
      <w:r w:rsidRPr="00050FA4">
        <w:rPr>
          <w:lang w:val="sq-AL"/>
        </w:rPr>
        <w:t>.</w:t>
      </w:r>
    </w:p>
    <w:p w14:paraId="04DA7C5B" w14:textId="38775301" w:rsidR="00C12939" w:rsidRPr="00050FA4" w:rsidRDefault="00C12939" w:rsidP="003F1DA7">
      <w:pPr>
        <w:pStyle w:val="AAAAAAATEXXXX"/>
        <w:rPr>
          <w:lang w:val="sq-AL"/>
        </w:rPr>
      </w:pPr>
      <w:r w:rsidRPr="00050FA4">
        <w:rPr>
          <w:lang w:val="sq-AL"/>
        </w:rPr>
        <w:t xml:space="preserve">Buxheti i </w:t>
      </w:r>
      <w:r w:rsidR="000A2FB2" w:rsidRPr="00050FA4">
        <w:rPr>
          <w:lang w:val="sq-AL"/>
        </w:rPr>
        <w:t xml:space="preserve">shëndetësisë </w:t>
      </w:r>
      <w:r w:rsidRPr="00050FA4">
        <w:rPr>
          <w:lang w:val="sq-AL"/>
        </w:rPr>
        <w:t xml:space="preserve">për vitin 2023 është 60 miliardë lekë ose 3.1% e PBB-së dhe 9.6% e </w:t>
      </w:r>
      <w:r w:rsidR="000A2FB2" w:rsidRPr="00050FA4">
        <w:rPr>
          <w:lang w:val="sq-AL"/>
        </w:rPr>
        <w:t>buxhetit të shtetit.</w:t>
      </w:r>
    </w:p>
    <w:p w14:paraId="750BA30A" w14:textId="4E7CB5A9" w:rsidR="00C12939" w:rsidRPr="00050FA4" w:rsidRDefault="00C12939" w:rsidP="003F1DA7">
      <w:pPr>
        <w:pStyle w:val="AAAAAAATEXXXX"/>
        <w:rPr>
          <w:lang w:val="sq-AL"/>
        </w:rPr>
      </w:pPr>
      <w:r w:rsidRPr="00050FA4">
        <w:rPr>
          <w:lang w:val="sq-AL"/>
        </w:rPr>
        <w:t xml:space="preserve">Buxheti i </w:t>
      </w:r>
      <w:r w:rsidR="000A2FB2" w:rsidRPr="00050FA4">
        <w:rPr>
          <w:lang w:val="sq-AL"/>
        </w:rPr>
        <w:t xml:space="preserve">shëndetësisë </w:t>
      </w:r>
      <w:r w:rsidRPr="00050FA4">
        <w:rPr>
          <w:lang w:val="sq-AL"/>
        </w:rPr>
        <w:t xml:space="preserve">për vitin 2024 është 62 miliardë lekë ose 3% e PBB-së dhe 9.4% e </w:t>
      </w:r>
      <w:r w:rsidR="000A2FB2" w:rsidRPr="00050FA4">
        <w:rPr>
          <w:lang w:val="sq-AL"/>
        </w:rPr>
        <w:t>buxhetit të shtetit.</w:t>
      </w:r>
    </w:p>
    <w:p w14:paraId="3D81B5BC" w14:textId="624981A5" w:rsidR="00E43B82" w:rsidRPr="00050FA4" w:rsidRDefault="00B35F6F" w:rsidP="003F1DA7">
      <w:pPr>
        <w:pStyle w:val="AAAAAAATEXXXX"/>
        <w:rPr>
          <w:lang w:val="sq-AL"/>
        </w:rPr>
      </w:pPr>
      <w:r w:rsidRPr="00050FA4">
        <w:rPr>
          <w:lang w:val="sq-AL"/>
        </w:rPr>
        <w:t xml:space="preserve">5. </w:t>
      </w:r>
      <w:r w:rsidR="00B2062A" w:rsidRPr="00050FA4">
        <w:rPr>
          <w:lang w:val="sq-AL"/>
        </w:rPr>
        <w:t>Ndikimi i pritshëm në përfundimet sociale</w:t>
      </w:r>
      <w:r w:rsidR="000A2FB2" w:rsidRPr="00050FA4">
        <w:rPr>
          <w:lang w:val="sq-AL"/>
        </w:rPr>
        <w:t>,</w:t>
      </w:r>
      <w:r w:rsidR="00B2062A" w:rsidRPr="00050FA4">
        <w:rPr>
          <w:lang w:val="sq-AL"/>
        </w:rPr>
        <w:t xml:space="preserve"> si</w:t>
      </w:r>
      <w:r w:rsidR="000A2FB2" w:rsidRPr="00050FA4">
        <w:rPr>
          <w:lang w:val="sq-AL"/>
        </w:rPr>
        <w:t>:</w:t>
      </w:r>
      <w:r w:rsidR="00B2062A" w:rsidRPr="00050FA4">
        <w:rPr>
          <w:lang w:val="sq-AL"/>
        </w:rPr>
        <w:t xml:space="preserve"> punësimi, ulja e varfërisë, barazia gjinore dhe aksesi në kujdesin shëndetësor</w:t>
      </w:r>
    </w:p>
    <w:p w14:paraId="28B17950" w14:textId="38FF79B3" w:rsidR="00C12939" w:rsidRPr="00050FA4" w:rsidRDefault="00C12939" w:rsidP="003F1DA7">
      <w:pPr>
        <w:pStyle w:val="AAAAAAATEXXXX"/>
        <w:rPr>
          <w:lang w:val="sq-AL"/>
        </w:rPr>
      </w:pPr>
      <w:r w:rsidRPr="00050FA4">
        <w:rPr>
          <w:lang w:val="sq-AL"/>
        </w:rPr>
        <w:t xml:space="preserve">Reformat në shëndetësi synojnë të moshuarit, gratë, fëmijët, të </w:t>
      </w:r>
      <w:r w:rsidR="0026453E" w:rsidRPr="00050FA4">
        <w:rPr>
          <w:lang w:val="sq-AL"/>
        </w:rPr>
        <w:t>varfrit</w:t>
      </w:r>
      <w:r w:rsidRPr="00050FA4">
        <w:rPr>
          <w:lang w:val="sq-AL"/>
        </w:rPr>
        <w:t xml:space="preserve"> dhe personat me aftësi të </w:t>
      </w:r>
      <w:r w:rsidRPr="00050FA4">
        <w:rPr>
          <w:lang w:val="sq-AL"/>
        </w:rPr>
        <w:lastRenderedPageBreak/>
        <w:t>kufizuara. Masa e reformës pritet të përmirësojë mirëqenien e qytetarëve</w:t>
      </w:r>
      <w:r w:rsidR="000A2FB2" w:rsidRPr="00050FA4">
        <w:rPr>
          <w:lang w:val="sq-AL"/>
        </w:rPr>
        <w:t>,</w:t>
      </w:r>
      <w:r w:rsidRPr="00050FA4">
        <w:rPr>
          <w:lang w:val="sq-AL"/>
        </w:rPr>
        <w:t xml:space="preserve"> duke ofruar shërbime shëndetësore falas me qëllim arritjen e mbulimit universal shëndetësor.</w:t>
      </w:r>
    </w:p>
    <w:p w14:paraId="09B59489" w14:textId="3160387C" w:rsidR="00E43B82" w:rsidRPr="00050FA4" w:rsidRDefault="00B35F6F"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4D41EAA7" w14:textId="406CFF03" w:rsidR="00C12939" w:rsidRPr="00050FA4" w:rsidRDefault="00C12939" w:rsidP="003F1DA7">
      <w:pPr>
        <w:pStyle w:val="AAAAAAATEXXXX"/>
        <w:rPr>
          <w:lang w:val="sq-AL"/>
        </w:rPr>
      </w:pPr>
      <w:r w:rsidRPr="00050FA4">
        <w:rPr>
          <w:lang w:val="sq-AL"/>
        </w:rPr>
        <w:t>Masa e reformës nuk pritet të ketë ndikim në mjedis.</w:t>
      </w:r>
    </w:p>
    <w:p w14:paraId="111CE23C" w14:textId="5363C3AA" w:rsidR="00E43B82" w:rsidRPr="00050FA4" w:rsidRDefault="00B35F6F" w:rsidP="003F1DA7">
      <w:pPr>
        <w:pStyle w:val="AAAAAAATEXXXX"/>
        <w:rPr>
          <w:lang w:val="sq-AL"/>
        </w:rPr>
      </w:pPr>
      <w:r w:rsidRPr="00050FA4">
        <w:rPr>
          <w:lang w:val="sq-AL"/>
        </w:rPr>
        <w:t xml:space="preserve">7. </w:t>
      </w:r>
      <w:r w:rsidR="00B2062A" w:rsidRPr="00050FA4">
        <w:rPr>
          <w:lang w:val="sq-AL"/>
        </w:rPr>
        <w:t>Rreziqet e mundshme</w:t>
      </w:r>
    </w:p>
    <w:p w14:paraId="3BEC8AF0" w14:textId="77777777" w:rsidR="000A2FB2" w:rsidRPr="00050FA4" w:rsidRDefault="000A2FB2" w:rsidP="003F1DA7">
      <w:pPr>
        <w:pStyle w:val="AAAAAAATEXXXX"/>
        <w:rPr>
          <w:lang w:val="sq-AL"/>
        </w:rPr>
      </w:pPr>
    </w:p>
    <w:tbl>
      <w:tblPr>
        <w:tblStyle w:val="TableGrid"/>
        <w:tblW w:w="0" w:type="auto"/>
        <w:jc w:val="center"/>
        <w:tblLook w:val="04A0" w:firstRow="1" w:lastRow="0" w:firstColumn="1" w:lastColumn="0" w:noHBand="0" w:noVBand="1"/>
      </w:tblPr>
      <w:tblGrid>
        <w:gridCol w:w="3207"/>
        <w:gridCol w:w="1466"/>
        <w:gridCol w:w="4949"/>
      </w:tblGrid>
      <w:tr w:rsidR="00FA29AB" w:rsidRPr="00050FA4" w14:paraId="46E218F8" w14:textId="77777777" w:rsidTr="000A2FB2">
        <w:trPr>
          <w:jc w:val="center"/>
        </w:trPr>
        <w:tc>
          <w:tcPr>
            <w:tcW w:w="3207" w:type="dxa"/>
            <w:vAlign w:val="center"/>
          </w:tcPr>
          <w:p w14:paraId="68881DE0" w14:textId="64DB5C4D" w:rsidR="009A0B10" w:rsidRPr="00050FA4" w:rsidRDefault="00B2062A" w:rsidP="000A2FB2">
            <w:pPr>
              <w:pStyle w:val="AAAAAAATEXXXX"/>
              <w:ind w:firstLine="0"/>
              <w:jc w:val="center"/>
              <w:rPr>
                <w:b/>
                <w:sz w:val="18"/>
                <w:szCs w:val="18"/>
                <w:lang w:val="sq-AL"/>
              </w:rPr>
            </w:pPr>
            <w:r w:rsidRPr="00050FA4">
              <w:rPr>
                <w:b/>
                <w:sz w:val="18"/>
                <w:szCs w:val="18"/>
                <w:lang w:val="sq-AL"/>
              </w:rPr>
              <w:t>Rreziku</w:t>
            </w:r>
          </w:p>
        </w:tc>
        <w:tc>
          <w:tcPr>
            <w:tcW w:w="1466" w:type="dxa"/>
            <w:vAlign w:val="center"/>
          </w:tcPr>
          <w:p w14:paraId="6F0A207E" w14:textId="7C9AFAE4" w:rsidR="000D67FC" w:rsidRPr="00050FA4" w:rsidRDefault="00B2062A" w:rsidP="000A2FB2">
            <w:pPr>
              <w:pStyle w:val="AAAAAAATEXXXX"/>
              <w:ind w:firstLine="0"/>
              <w:jc w:val="center"/>
              <w:rPr>
                <w:b/>
                <w:sz w:val="18"/>
                <w:szCs w:val="18"/>
                <w:lang w:val="sq-AL"/>
              </w:rPr>
            </w:pPr>
            <w:r w:rsidRPr="00050FA4">
              <w:rPr>
                <w:b/>
                <w:sz w:val="18"/>
                <w:szCs w:val="18"/>
                <w:lang w:val="sq-AL"/>
              </w:rPr>
              <w:t>Mundësia</w:t>
            </w:r>
          </w:p>
          <w:p w14:paraId="48EF1AA7" w14:textId="728D833F" w:rsidR="009A0B10" w:rsidRPr="00050FA4" w:rsidRDefault="009A0B10" w:rsidP="000A2FB2">
            <w:pPr>
              <w:pStyle w:val="AAAAAAATEXXXX"/>
              <w:ind w:firstLine="0"/>
              <w:jc w:val="center"/>
              <w:rPr>
                <w:b/>
                <w:sz w:val="18"/>
                <w:szCs w:val="18"/>
                <w:lang w:val="sq-AL"/>
              </w:rPr>
            </w:pPr>
            <w:r w:rsidRPr="00050FA4">
              <w:rPr>
                <w:b/>
                <w:sz w:val="18"/>
                <w:szCs w:val="18"/>
                <w:lang w:val="sq-AL"/>
              </w:rPr>
              <w:t>(</w:t>
            </w:r>
            <w:r w:rsidR="00B2062A" w:rsidRPr="00050FA4">
              <w:rPr>
                <w:b/>
                <w:sz w:val="18"/>
                <w:szCs w:val="18"/>
                <w:lang w:val="sq-AL"/>
              </w:rPr>
              <w:t>e ulët, e lartë</w:t>
            </w:r>
            <w:r w:rsidRPr="00050FA4">
              <w:rPr>
                <w:b/>
                <w:sz w:val="18"/>
                <w:szCs w:val="18"/>
                <w:lang w:val="sq-AL"/>
              </w:rPr>
              <w:t>)</w:t>
            </w:r>
          </w:p>
        </w:tc>
        <w:tc>
          <w:tcPr>
            <w:tcW w:w="4949" w:type="dxa"/>
            <w:vAlign w:val="center"/>
          </w:tcPr>
          <w:p w14:paraId="17DE5150" w14:textId="470E3C12" w:rsidR="009A0B10" w:rsidRPr="00050FA4" w:rsidRDefault="00B2062A" w:rsidP="000A2FB2">
            <w:pPr>
              <w:pStyle w:val="AAAAAAATEXXXX"/>
              <w:ind w:firstLine="0"/>
              <w:jc w:val="center"/>
              <w:rPr>
                <w:b/>
                <w:sz w:val="18"/>
                <w:szCs w:val="18"/>
                <w:lang w:val="sq-AL"/>
              </w:rPr>
            </w:pPr>
            <w:r w:rsidRPr="00050FA4">
              <w:rPr>
                <w:b/>
                <w:sz w:val="18"/>
                <w:szCs w:val="18"/>
                <w:lang w:val="sq-AL"/>
              </w:rPr>
              <w:t>Veprimi zbutës i parashikuar</w:t>
            </w:r>
          </w:p>
        </w:tc>
      </w:tr>
      <w:tr w:rsidR="00FA29AB" w:rsidRPr="00050FA4" w14:paraId="4ABDA0DA" w14:textId="77777777" w:rsidTr="000D67FC">
        <w:trPr>
          <w:jc w:val="center"/>
        </w:trPr>
        <w:tc>
          <w:tcPr>
            <w:tcW w:w="3207" w:type="dxa"/>
          </w:tcPr>
          <w:p w14:paraId="6AE4B0B1" w14:textId="4103F6F7" w:rsidR="00C12939" w:rsidRPr="00050FA4" w:rsidRDefault="00C12939" w:rsidP="00A95D23">
            <w:pPr>
              <w:pStyle w:val="AAAAAAATEXXXX"/>
              <w:ind w:firstLine="0"/>
              <w:rPr>
                <w:sz w:val="18"/>
                <w:szCs w:val="18"/>
                <w:lang w:val="sq-AL"/>
              </w:rPr>
            </w:pPr>
            <w:r w:rsidRPr="00050FA4">
              <w:rPr>
                <w:sz w:val="18"/>
                <w:szCs w:val="18"/>
                <w:lang w:val="sq-AL"/>
              </w:rPr>
              <w:t xml:space="preserve">Kufizimet </w:t>
            </w:r>
            <w:r w:rsidR="000A2FB2" w:rsidRPr="00050FA4">
              <w:rPr>
                <w:sz w:val="18"/>
                <w:szCs w:val="18"/>
                <w:lang w:val="sq-AL"/>
              </w:rPr>
              <w:t>për shkak të pandemisë COVID-19</w:t>
            </w:r>
          </w:p>
        </w:tc>
        <w:tc>
          <w:tcPr>
            <w:tcW w:w="1466" w:type="dxa"/>
          </w:tcPr>
          <w:p w14:paraId="625B64E5" w14:textId="7FF1F073" w:rsidR="00C12939" w:rsidRPr="00050FA4" w:rsidRDefault="00C12939" w:rsidP="00A95D23">
            <w:pPr>
              <w:pStyle w:val="AAAAAAATEXXXX"/>
              <w:ind w:firstLine="0"/>
              <w:rPr>
                <w:sz w:val="18"/>
                <w:szCs w:val="18"/>
                <w:lang w:val="sq-AL"/>
              </w:rPr>
            </w:pPr>
            <w:r w:rsidRPr="00050FA4">
              <w:rPr>
                <w:sz w:val="18"/>
                <w:szCs w:val="18"/>
                <w:lang w:val="sq-AL"/>
              </w:rPr>
              <w:t xml:space="preserve">I mesëm </w:t>
            </w:r>
          </w:p>
        </w:tc>
        <w:tc>
          <w:tcPr>
            <w:tcW w:w="4949" w:type="dxa"/>
          </w:tcPr>
          <w:p w14:paraId="673A82ED" w14:textId="7FA26DED" w:rsidR="00C12939" w:rsidRPr="00050FA4" w:rsidRDefault="00C12939" w:rsidP="00A95D23">
            <w:pPr>
              <w:pStyle w:val="AAAAAAATEXXXX"/>
              <w:ind w:firstLine="0"/>
              <w:rPr>
                <w:sz w:val="18"/>
                <w:szCs w:val="18"/>
                <w:lang w:val="sq-AL"/>
              </w:rPr>
            </w:pPr>
            <w:r w:rsidRPr="00050FA4">
              <w:rPr>
                <w:sz w:val="18"/>
                <w:szCs w:val="18"/>
                <w:lang w:val="sq-AL"/>
              </w:rPr>
              <w:t>Një planifikim i kujdesshëm në nivelin qendror</w:t>
            </w:r>
          </w:p>
        </w:tc>
      </w:tr>
      <w:tr w:rsidR="00FA29AB" w:rsidRPr="00050FA4" w14:paraId="7803068B" w14:textId="77777777" w:rsidTr="000D67FC">
        <w:trPr>
          <w:jc w:val="center"/>
        </w:trPr>
        <w:tc>
          <w:tcPr>
            <w:tcW w:w="3207" w:type="dxa"/>
          </w:tcPr>
          <w:p w14:paraId="67D0B478" w14:textId="15311B85" w:rsidR="00C12939" w:rsidRPr="00050FA4" w:rsidRDefault="00C12939" w:rsidP="00A95D23">
            <w:pPr>
              <w:pStyle w:val="AAAAAAATEXXXX"/>
              <w:ind w:firstLine="0"/>
              <w:rPr>
                <w:sz w:val="18"/>
                <w:szCs w:val="18"/>
                <w:lang w:val="sq-AL"/>
              </w:rPr>
            </w:pPr>
            <w:r w:rsidRPr="00050FA4">
              <w:rPr>
                <w:sz w:val="18"/>
                <w:szCs w:val="18"/>
                <w:lang w:val="sq-AL"/>
              </w:rPr>
              <w:t>Vonesat në aktivitete specifike, veçanërisht në lidhje me rimodelimin e fin</w:t>
            </w:r>
            <w:r w:rsidR="000A2FB2" w:rsidRPr="00050FA4">
              <w:rPr>
                <w:sz w:val="18"/>
                <w:szCs w:val="18"/>
                <w:lang w:val="sq-AL"/>
              </w:rPr>
              <w:t>ancimit të kujdesit shëndetësor</w:t>
            </w:r>
          </w:p>
        </w:tc>
        <w:tc>
          <w:tcPr>
            <w:tcW w:w="1466" w:type="dxa"/>
          </w:tcPr>
          <w:p w14:paraId="4CA8414D" w14:textId="2082450E" w:rsidR="00C12939" w:rsidRPr="00050FA4" w:rsidRDefault="00C12939" w:rsidP="00A95D23">
            <w:pPr>
              <w:pStyle w:val="AAAAAAATEXXXX"/>
              <w:ind w:firstLine="0"/>
              <w:rPr>
                <w:sz w:val="18"/>
                <w:szCs w:val="18"/>
                <w:lang w:val="sq-AL"/>
              </w:rPr>
            </w:pPr>
            <w:r w:rsidRPr="00050FA4">
              <w:rPr>
                <w:sz w:val="18"/>
                <w:szCs w:val="18"/>
                <w:lang w:val="sq-AL"/>
              </w:rPr>
              <w:t>I mesëm</w:t>
            </w:r>
          </w:p>
        </w:tc>
        <w:tc>
          <w:tcPr>
            <w:tcW w:w="4949" w:type="dxa"/>
          </w:tcPr>
          <w:p w14:paraId="6DDDFB6A" w14:textId="409FDE89" w:rsidR="00C12939" w:rsidRPr="00050FA4" w:rsidRDefault="00C12939" w:rsidP="00A95D23">
            <w:pPr>
              <w:pStyle w:val="AAAAAAATEXXXX"/>
              <w:ind w:firstLine="0"/>
              <w:rPr>
                <w:sz w:val="18"/>
                <w:szCs w:val="18"/>
                <w:lang w:val="sq-AL"/>
              </w:rPr>
            </w:pPr>
            <w:r w:rsidRPr="00050FA4">
              <w:rPr>
                <w:sz w:val="18"/>
                <w:szCs w:val="18"/>
                <w:lang w:val="sq-AL"/>
              </w:rPr>
              <w:t>Një ekip që ka nisur punën për zhvillimin e një plani të detajuar</w:t>
            </w:r>
          </w:p>
        </w:tc>
      </w:tr>
      <w:tr w:rsidR="00FA29AB" w:rsidRPr="00050FA4" w14:paraId="11F7AE9A" w14:textId="77777777" w:rsidTr="000D67FC">
        <w:trPr>
          <w:jc w:val="center"/>
        </w:trPr>
        <w:tc>
          <w:tcPr>
            <w:tcW w:w="3207" w:type="dxa"/>
          </w:tcPr>
          <w:p w14:paraId="271EF836" w14:textId="653B480C" w:rsidR="00C12939" w:rsidRPr="00050FA4" w:rsidRDefault="000A2FB2" w:rsidP="00A95D23">
            <w:pPr>
              <w:pStyle w:val="AAAAAAATEXXXX"/>
              <w:ind w:firstLine="0"/>
              <w:rPr>
                <w:sz w:val="18"/>
                <w:szCs w:val="18"/>
                <w:lang w:val="sq-AL"/>
              </w:rPr>
            </w:pPr>
            <w:r w:rsidRPr="00050FA4">
              <w:rPr>
                <w:sz w:val="18"/>
                <w:szCs w:val="18"/>
                <w:lang w:val="sq-AL"/>
              </w:rPr>
              <w:t>Mungesa e vullnetit politik</w:t>
            </w:r>
          </w:p>
        </w:tc>
        <w:tc>
          <w:tcPr>
            <w:tcW w:w="1466" w:type="dxa"/>
          </w:tcPr>
          <w:p w14:paraId="6A24F0E1" w14:textId="51F03384" w:rsidR="00C12939" w:rsidRPr="00050FA4" w:rsidRDefault="00C12939" w:rsidP="00A95D23">
            <w:pPr>
              <w:pStyle w:val="AAAAAAATEXXXX"/>
              <w:ind w:firstLine="0"/>
              <w:rPr>
                <w:sz w:val="18"/>
                <w:szCs w:val="18"/>
                <w:lang w:val="sq-AL"/>
              </w:rPr>
            </w:pPr>
            <w:r w:rsidRPr="00050FA4">
              <w:rPr>
                <w:sz w:val="18"/>
                <w:szCs w:val="18"/>
                <w:lang w:val="sq-AL"/>
              </w:rPr>
              <w:t>I ulët</w:t>
            </w:r>
          </w:p>
        </w:tc>
        <w:tc>
          <w:tcPr>
            <w:tcW w:w="4949" w:type="dxa"/>
          </w:tcPr>
          <w:p w14:paraId="2639C999" w14:textId="05281110" w:rsidR="00C12939" w:rsidRPr="00050FA4" w:rsidRDefault="00C12939" w:rsidP="00A95D23">
            <w:pPr>
              <w:pStyle w:val="AAAAAAATEXXXX"/>
              <w:ind w:firstLine="0"/>
              <w:rPr>
                <w:sz w:val="18"/>
                <w:szCs w:val="18"/>
                <w:lang w:val="sq-AL"/>
              </w:rPr>
            </w:pPr>
            <w:r w:rsidRPr="00050FA4">
              <w:rPr>
                <w:sz w:val="18"/>
                <w:szCs w:val="18"/>
                <w:lang w:val="sq-AL"/>
              </w:rPr>
              <w:t>Një angazhim i niveleve më të larta të qeverisjes dhe përfshirja e të gjithë partnerëve të mundshëm në këtë sektor</w:t>
            </w:r>
          </w:p>
        </w:tc>
      </w:tr>
    </w:tbl>
    <w:p w14:paraId="37844642" w14:textId="77777777" w:rsidR="009A0B10" w:rsidRPr="00050FA4" w:rsidRDefault="009A0B10" w:rsidP="003F1DA7">
      <w:pPr>
        <w:snapToGrid w:val="0"/>
        <w:ind w:firstLine="284"/>
        <w:rPr>
          <w:rFonts w:ascii="Garamond" w:hAnsi="Garamond" w:cstheme="majorBidi"/>
          <w:color w:val="0D0D0D" w:themeColor="text1" w:themeTint="F2"/>
        </w:rPr>
      </w:pPr>
    </w:p>
    <w:p w14:paraId="7F2F3A08" w14:textId="2CBDD2D2" w:rsidR="00106240" w:rsidRPr="00050FA4" w:rsidRDefault="00B2062A" w:rsidP="003F1DA7">
      <w:pPr>
        <w:pStyle w:val="Heading3"/>
        <w:ind w:firstLine="284"/>
        <w:rPr>
          <w:rFonts w:ascii="Garamond" w:hAnsi="Garamond" w:cstheme="majorBidi"/>
          <w:b/>
          <w:bCs/>
          <w:color w:val="0D0D0D" w:themeColor="text1" w:themeTint="F2"/>
          <w:sz w:val="24"/>
          <w:szCs w:val="24"/>
        </w:rPr>
      </w:pPr>
      <w:bookmarkStart w:id="52" w:name="_Toc93325767"/>
      <w:r w:rsidRPr="00050FA4">
        <w:rPr>
          <w:rFonts w:ascii="Garamond" w:hAnsi="Garamond" w:cstheme="majorBidi"/>
          <w:b/>
          <w:bCs/>
          <w:color w:val="0D0D0D" w:themeColor="text1" w:themeTint="F2"/>
          <w:sz w:val="24"/>
          <w:szCs w:val="24"/>
        </w:rPr>
        <w:t xml:space="preserve">Sfida </w:t>
      </w:r>
      <w:r w:rsidR="00B858CE" w:rsidRPr="00050FA4">
        <w:rPr>
          <w:rFonts w:ascii="Garamond" w:hAnsi="Garamond" w:cstheme="majorBidi"/>
          <w:b/>
          <w:bCs/>
          <w:color w:val="0D0D0D" w:themeColor="text1" w:themeTint="F2"/>
          <w:sz w:val="24"/>
          <w:szCs w:val="24"/>
        </w:rPr>
        <w:t xml:space="preserve">kyçe </w:t>
      </w:r>
      <w:r w:rsidR="004F312A" w:rsidRPr="00050FA4">
        <w:rPr>
          <w:rFonts w:ascii="Garamond" w:hAnsi="Garamond" w:cstheme="majorBidi"/>
          <w:b/>
          <w:bCs/>
          <w:color w:val="0D0D0D" w:themeColor="text1" w:themeTint="F2"/>
          <w:sz w:val="24"/>
          <w:szCs w:val="24"/>
        </w:rPr>
        <w:t>#3</w:t>
      </w:r>
      <w:bookmarkEnd w:id="52"/>
    </w:p>
    <w:p w14:paraId="42F78F41" w14:textId="094D89C6" w:rsidR="004F312A" w:rsidRPr="00050FA4" w:rsidRDefault="00405262" w:rsidP="00B858CE">
      <w:pPr>
        <w:ind w:firstLine="284"/>
        <w:jc w:val="both"/>
        <w:rPr>
          <w:rFonts w:ascii="Garamond" w:hAnsi="Garamond" w:cstheme="majorBidi"/>
          <w:b/>
          <w:bCs/>
          <w:color w:val="0D0D0D" w:themeColor="text1" w:themeTint="F2"/>
        </w:rPr>
      </w:pPr>
      <w:r w:rsidRPr="00050FA4">
        <w:rPr>
          <w:rFonts w:ascii="Garamond" w:hAnsi="Garamond" w:cstheme="majorBidi"/>
          <w:b/>
          <w:bCs/>
          <w:color w:val="0D0D0D" w:themeColor="text1" w:themeTint="F2"/>
        </w:rPr>
        <w:t>Përmirësimi i mjedisit të biznesit dhe klimës së investimeve</w:t>
      </w:r>
      <w:r w:rsidR="00B858CE" w:rsidRPr="00050FA4">
        <w:rPr>
          <w:rFonts w:ascii="Garamond" w:hAnsi="Garamond" w:cstheme="majorBidi"/>
          <w:b/>
          <w:bCs/>
          <w:color w:val="0D0D0D" w:themeColor="text1" w:themeTint="F2"/>
        </w:rPr>
        <w:t>,</w:t>
      </w:r>
      <w:r w:rsidRPr="00050FA4">
        <w:rPr>
          <w:rFonts w:ascii="Garamond" w:hAnsi="Garamond" w:cstheme="majorBidi"/>
          <w:b/>
          <w:bCs/>
          <w:color w:val="0D0D0D" w:themeColor="text1" w:themeTint="F2"/>
        </w:rPr>
        <w:t xml:space="preserve"> duke rritur mbështetjen e qeverisë dhe duke trajtuar informalitetin</w:t>
      </w:r>
    </w:p>
    <w:p w14:paraId="4C211BE1" w14:textId="319E48CD" w:rsidR="004F312A" w:rsidRPr="00050FA4" w:rsidRDefault="00B35F6F" w:rsidP="003F1DA7">
      <w:pPr>
        <w:pStyle w:val="AAAAAAATEXXXX"/>
        <w:rPr>
          <w:lang w:val="sq-AL"/>
        </w:rPr>
      </w:pPr>
      <w:r w:rsidRPr="00050FA4">
        <w:rPr>
          <w:lang w:val="sq-AL"/>
        </w:rPr>
        <w:t>a</w:t>
      </w:r>
      <w:r w:rsidR="000D67FC" w:rsidRPr="00050FA4">
        <w:rPr>
          <w:lang w:val="sq-AL"/>
        </w:rPr>
        <w:t>)</w:t>
      </w:r>
      <w:r w:rsidRPr="00050FA4">
        <w:rPr>
          <w:lang w:val="sq-AL"/>
        </w:rPr>
        <w:t xml:space="preserve"> </w:t>
      </w:r>
      <w:r w:rsidR="00B2062A" w:rsidRPr="00050FA4">
        <w:rPr>
          <w:lang w:val="sq-AL"/>
        </w:rPr>
        <w:t>Analiza e pengesave kryesore</w:t>
      </w:r>
    </w:p>
    <w:p w14:paraId="150CD95E" w14:textId="1F1F78DF" w:rsidR="006738AA" w:rsidRPr="00050FA4" w:rsidRDefault="006738AA" w:rsidP="003F1DA7">
      <w:pPr>
        <w:pStyle w:val="AAAAAAATEXXXX"/>
        <w:rPr>
          <w:lang w:val="sq-AL"/>
        </w:rPr>
      </w:pPr>
      <w:r w:rsidRPr="00050FA4">
        <w:rPr>
          <w:lang w:val="sq-AL"/>
        </w:rPr>
        <w:t>Sektori privat i Shqipërisë përbëhet kryesisht nga ndërmarrjet mikro, të vogla dhe të mesme (MSME), të cilat kanë një barrë informaliteti. Shqipëria nisi një fushatë në mbarë vendin për të luftuar ekonominë informale në vitin 2016 dhe numri i tatimpaguesve të regjistruar dhe kontribuuesve socialë u rrit ndjeshëm. Që nga viti 2019, qeveria ka zbatuar një metodë të bazuar në risk për të përqendruar veprimin e saj në ekonominë informale</w:t>
      </w:r>
      <w:r w:rsidR="00FB3926" w:rsidRPr="00050FA4">
        <w:rPr>
          <w:lang w:val="sq-AL"/>
        </w:rPr>
        <w:t>,</w:t>
      </w:r>
      <w:r w:rsidRPr="00050FA4">
        <w:rPr>
          <w:lang w:val="sq-AL"/>
        </w:rPr>
        <w:t xml:space="preserve"> në një mënyrë më efikase dhe për ta zhvendosur fokusin larg mobilizimit të të ardhurave shtesë të buxhetit</w:t>
      </w:r>
      <w:r w:rsidR="00FB3926" w:rsidRPr="00050FA4">
        <w:rPr>
          <w:lang w:val="sq-AL"/>
        </w:rPr>
        <w:t>,</w:t>
      </w:r>
      <w:r w:rsidRPr="00050FA4">
        <w:rPr>
          <w:lang w:val="sq-AL"/>
        </w:rPr>
        <w:t xml:space="preserve"> duke rritur numrin e kontrolleve dhe inspektimeve.</w:t>
      </w:r>
    </w:p>
    <w:p w14:paraId="28FBA957" w14:textId="1A3E2C41" w:rsidR="006738AA" w:rsidRPr="00050FA4" w:rsidRDefault="006738AA" w:rsidP="003F1DA7">
      <w:pPr>
        <w:pStyle w:val="AAAAAAATEXXXX"/>
        <w:rPr>
          <w:lang w:val="sq-AL"/>
        </w:rPr>
      </w:pPr>
      <w:bookmarkStart w:id="53" w:name="_Hlk90559144"/>
      <w:r w:rsidRPr="00050FA4">
        <w:rPr>
          <w:lang w:val="sq-AL"/>
        </w:rPr>
        <w:t>Me gjithë përparimin e kohëve të fundit duke rritur numrin e bizneseve të regjistruara, ato ndonjëherë ende nuk deklarojnë tatimet apo punonjësit dhe kryejnë transaksione me para në dorë. Bizneset informale përgjithësisht kanë rendiment më të ulët se bizneset formale, gjë që është një barr</w:t>
      </w:r>
      <w:r w:rsidR="006235F4" w:rsidRPr="00050FA4">
        <w:rPr>
          <w:lang w:val="sq-AL"/>
        </w:rPr>
        <w:t>ë,</w:t>
      </w:r>
      <w:r w:rsidRPr="00050FA4">
        <w:rPr>
          <w:lang w:val="sq-AL"/>
        </w:rPr>
        <w:t xml:space="preserve"> si për bizneset, ashtu edhe për ekonominë. Të ardhurat publike reduktohen nga veprimtaria e fshehur ekonomike, duke rezultuar në pakësimin e ofrimit t</w:t>
      </w:r>
      <w:r w:rsidR="000C71F9" w:rsidRPr="00050FA4">
        <w:rPr>
          <w:lang w:val="sq-AL"/>
        </w:rPr>
        <w:t>ë</w:t>
      </w:r>
      <w:r w:rsidRPr="00050FA4">
        <w:rPr>
          <w:lang w:val="sq-AL"/>
        </w:rPr>
        <w:t xml:space="preserve"> të mirave dhe shërbimeve publike. Biznesi i kryer jashtë ekonomisë së rregulluar sjell probleme për sigurinë, shëndetin, mbrojtjen sociale dhe rreziqet mjedisore për punëtorët dhe komunitetet. Informaliteti pengon jo vetëm zhvillimin e atyre bizneseve që vendosin të mbeten informale, por është</w:t>
      </w:r>
      <w:r w:rsidR="006235F4" w:rsidRPr="00050FA4">
        <w:rPr>
          <w:lang w:val="sq-AL"/>
        </w:rPr>
        <w:t>,</w:t>
      </w:r>
      <w:r w:rsidRPr="00050FA4">
        <w:rPr>
          <w:lang w:val="sq-AL"/>
        </w:rPr>
        <w:t xml:space="preserve"> gjithashtu</w:t>
      </w:r>
      <w:r w:rsidR="006235F4" w:rsidRPr="00050FA4">
        <w:rPr>
          <w:lang w:val="sq-AL"/>
        </w:rPr>
        <w:t>,</w:t>
      </w:r>
      <w:r w:rsidRPr="00050FA4">
        <w:rPr>
          <w:lang w:val="sq-AL"/>
        </w:rPr>
        <w:t xml:space="preserve"> një pengesë për kompanitë formale që ndeshen me konkurrencën nga sektori informal. Duke qenë jashtë ekonomisë formale, këto kompani nuk kanë mundësinë për të përfituar nga aksesi në financat formale, aksesi në tregjet formale dhe nga mbrojtja ligjore e pronës, kontratave dhe investimeve të tyre. Për të lejuar bizneset të kontribuojnë më mirë në ekonomi është e rëndësishme që qeveria të vazhdojë të investojë në mënyrë thelbësore në formalizimin e këtyre MSME-ve.</w:t>
      </w:r>
    </w:p>
    <w:p w14:paraId="599C3F4D" w14:textId="089B3C0B" w:rsidR="006738AA" w:rsidRPr="00050FA4" w:rsidRDefault="006738AA" w:rsidP="003F1DA7">
      <w:pPr>
        <w:pStyle w:val="AAAAAAATEXXXX"/>
        <w:rPr>
          <w:lang w:val="sq-AL"/>
        </w:rPr>
      </w:pPr>
      <w:r w:rsidRPr="00050FA4">
        <w:rPr>
          <w:lang w:val="sq-AL"/>
        </w:rPr>
        <w:t>Qever</w:t>
      </w:r>
      <w:r w:rsidR="00E67ECA" w:rsidRPr="00050FA4">
        <w:rPr>
          <w:lang w:val="sq-AL"/>
        </w:rPr>
        <w:t>ia shqiptare është e vendosur t’</w:t>
      </w:r>
      <w:r w:rsidRPr="00050FA4">
        <w:rPr>
          <w:lang w:val="sq-AL"/>
        </w:rPr>
        <w:t>i shërbejë qeverisjes së mirë të bizneseve, si dhe reduktimit të metodës korruptuese në disa aspekte në luftën kundër evazionit dhe informalitetit. Gjatë periudhës 2020</w:t>
      </w:r>
      <w:r w:rsidR="006235F4" w:rsidRPr="00050FA4">
        <w:rPr>
          <w:lang w:val="sq-AL"/>
        </w:rPr>
        <w:t>–</w:t>
      </w:r>
      <w:r w:rsidRPr="00050FA4">
        <w:rPr>
          <w:lang w:val="sq-AL"/>
        </w:rPr>
        <w:t xml:space="preserve">2021, qeveria shqiptare u përfshi në një proces shumë të rëndësishëm lidhur me </w:t>
      </w:r>
      <w:r w:rsidR="006235F4" w:rsidRPr="00050FA4">
        <w:rPr>
          <w:lang w:val="sq-AL"/>
        </w:rPr>
        <w:t>ligjin e fiskalizimit</w:t>
      </w:r>
      <w:r w:rsidRPr="00050FA4">
        <w:rPr>
          <w:lang w:val="sq-AL"/>
        </w:rPr>
        <w:t xml:space="preserve">, i cili do të ndihmojë drejtpërdrejt </w:t>
      </w:r>
      <w:r w:rsidR="006235F4" w:rsidRPr="00050FA4">
        <w:rPr>
          <w:lang w:val="sq-AL"/>
        </w:rPr>
        <w:t xml:space="preserve">administratën tatimore </w:t>
      </w:r>
      <w:r w:rsidRPr="00050FA4">
        <w:rPr>
          <w:lang w:val="sq-AL"/>
        </w:rPr>
        <w:t xml:space="preserve">për të marrë të dhëna në kohë reale dhe të sakta, për të gjitha transaksionet e biznesit me administratën tatimore, por edhe të gjithë informacionin që qarkullon në marrëdhëniet </w:t>
      </w:r>
      <w:r w:rsidR="008A0E5B" w:rsidRPr="00050FA4">
        <w:rPr>
          <w:lang w:val="sq-AL"/>
        </w:rPr>
        <w:t>“</w:t>
      </w:r>
      <w:r w:rsidRPr="00050FA4">
        <w:rPr>
          <w:lang w:val="sq-AL"/>
        </w:rPr>
        <w:t>biznes me biznes</w:t>
      </w:r>
      <w:r w:rsidR="008A0E5B" w:rsidRPr="00050FA4">
        <w:rPr>
          <w:lang w:val="sq-AL"/>
        </w:rPr>
        <w:t>”</w:t>
      </w:r>
      <w:r w:rsidRPr="00050FA4">
        <w:rPr>
          <w:lang w:val="sq-AL"/>
        </w:rPr>
        <w:t xml:space="preserve"> dhe </w:t>
      </w:r>
      <w:r w:rsidR="008A0E5B" w:rsidRPr="00050FA4">
        <w:rPr>
          <w:lang w:val="sq-AL"/>
        </w:rPr>
        <w:t>“</w:t>
      </w:r>
      <w:r w:rsidRPr="00050FA4">
        <w:rPr>
          <w:lang w:val="sq-AL"/>
        </w:rPr>
        <w:t>biznes me qeverinë</w:t>
      </w:r>
      <w:r w:rsidR="008A0E5B" w:rsidRPr="00050FA4">
        <w:rPr>
          <w:lang w:val="sq-AL"/>
        </w:rPr>
        <w:t>”</w:t>
      </w:r>
      <w:r w:rsidRPr="00050FA4">
        <w:rPr>
          <w:lang w:val="sq-AL"/>
        </w:rPr>
        <w:t>.</w:t>
      </w:r>
    </w:p>
    <w:p w14:paraId="5A355EDD" w14:textId="465B155D" w:rsidR="006738AA" w:rsidRPr="00050FA4" w:rsidRDefault="006738AA" w:rsidP="003F1DA7">
      <w:pPr>
        <w:pStyle w:val="AAAAAAATEXXXX"/>
        <w:rPr>
          <w:rFonts w:cstheme="majorBidi"/>
          <w:color w:val="0D0D0D" w:themeColor="text1" w:themeTint="F2"/>
          <w:lang w:val="sq-AL"/>
        </w:rPr>
      </w:pPr>
      <w:r w:rsidRPr="00050FA4">
        <w:rPr>
          <w:rFonts w:cstheme="majorBidi"/>
          <w:color w:val="0D0D0D" w:themeColor="text1" w:themeTint="F2"/>
          <w:lang w:val="sq-AL"/>
        </w:rPr>
        <w:t>I gjithë procesi i informacionit nëpërmjet faturimit tashme është elektronik dhe kjo do të ushtrojë një presion edhe më të madh ndaj aksesit n</w:t>
      </w:r>
      <w:r w:rsidR="004A6944" w:rsidRPr="00050FA4">
        <w:rPr>
          <w:lang w:val="sq-AL"/>
        </w:rPr>
        <w:t>ë</w:t>
      </w:r>
      <w:r w:rsidRPr="00050FA4">
        <w:rPr>
          <w:rFonts w:cstheme="majorBidi"/>
          <w:color w:val="0D0D0D" w:themeColor="text1" w:themeTint="F2"/>
          <w:lang w:val="sq-AL"/>
        </w:rPr>
        <w:t xml:space="preserve"> deklarimet reale financiare dhe atyre jofiskale</w:t>
      </w:r>
      <w:r w:rsidR="006235F4" w:rsidRPr="00050FA4">
        <w:rPr>
          <w:rFonts w:cstheme="majorBidi"/>
          <w:color w:val="0D0D0D" w:themeColor="text1" w:themeTint="F2"/>
          <w:lang w:val="sq-AL"/>
        </w:rPr>
        <w:t>,</w:t>
      </w:r>
      <w:r w:rsidRPr="00050FA4">
        <w:rPr>
          <w:rFonts w:cstheme="majorBidi"/>
          <w:color w:val="0D0D0D" w:themeColor="text1" w:themeTint="F2"/>
          <w:lang w:val="sq-AL"/>
        </w:rPr>
        <w:t xml:space="preserve"> që sot ne i konsiderojmë të jenë larg realitetit.</w:t>
      </w:r>
    </w:p>
    <w:p w14:paraId="4C8521B8" w14:textId="6F5CB525" w:rsidR="006738AA" w:rsidRPr="00050FA4" w:rsidRDefault="006738AA" w:rsidP="003F1DA7">
      <w:pPr>
        <w:pStyle w:val="AAAAAAATEXXXX"/>
        <w:rPr>
          <w:rStyle w:val="y2iqfc"/>
          <w:rFonts w:eastAsia="Calibri" w:cstheme="majorBidi"/>
          <w:color w:val="0D0D0D" w:themeColor="text1" w:themeTint="F2"/>
          <w:lang w:val="sq-AL"/>
        </w:rPr>
      </w:pPr>
      <w:r w:rsidRPr="00050FA4">
        <w:rPr>
          <w:rStyle w:val="y2iqfc"/>
          <w:rFonts w:eastAsia="Calibri" w:cstheme="majorBidi"/>
          <w:color w:val="0D0D0D" w:themeColor="text1" w:themeTint="F2"/>
          <w:lang w:val="sq-AL"/>
        </w:rPr>
        <w:t xml:space="preserve">Faza e parë e zbatimit të fiskalizimit, e cila konsiston në transaksione pa para të gatshme ndërmjet tatimpaguesve dhe subjekteve publike (B2G) ka nisur më 1 janar 2021; </w:t>
      </w:r>
      <w:r w:rsidR="006235F4" w:rsidRPr="00050FA4">
        <w:rPr>
          <w:rStyle w:val="y2iqfc"/>
          <w:rFonts w:eastAsia="Calibri" w:cstheme="majorBidi"/>
          <w:color w:val="0D0D0D" w:themeColor="text1" w:themeTint="F2"/>
          <w:lang w:val="sq-AL"/>
        </w:rPr>
        <w:t xml:space="preserve">faza </w:t>
      </w:r>
      <w:r w:rsidRPr="00050FA4">
        <w:rPr>
          <w:rStyle w:val="y2iqfc"/>
          <w:rFonts w:eastAsia="Calibri" w:cstheme="majorBidi"/>
          <w:color w:val="0D0D0D" w:themeColor="text1" w:themeTint="F2"/>
          <w:lang w:val="sq-AL"/>
        </w:rPr>
        <w:t xml:space="preserve">e dytë e transaksioneve pa para ndërmjet tatimpaguesve (B2B) ka filluar më 1 korrik 2021, ndërsa më 1 shtator 2021 ka nisur faza e fundit për transaksionet me </w:t>
      </w:r>
      <w:r w:rsidRPr="00050FA4">
        <w:rPr>
          <w:rStyle w:val="y2iqfc"/>
          <w:rFonts w:eastAsia="Calibri" w:cstheme="majorBidi"/>
          <w:iCs/>
          <w:color w:val="0D0D0D" w:themeColor="text1" w:themeTint="F2"/>
          <w:lang w:val="sq-AL"/>
        </w:rPr>
        <w:t>para në dorë</w:t>
      </w:r>
      <w:r w:rsidRPr="00050FA4">
        <w:rPr>
          <w:rStyle w:val="y2iqfc"/>
          <w:rFonts w:eastAsia="Calibri" w:cstheme="majorBidi"/>
          <w:color w:val="0D0D0D" w:themeColor="text1" w:themeTint="F2"/>
          <w:lang w:val="sq-AL"/>
        </w:rPr>
        <w:t xml:space="preserve"> tatimpagues-konsumator (B2C). Të dhënat në dispozicion janë si vijon: </w:t>
      </w:r>
    </w:p>
    <w:p w14:paraId="2A6B7D17" w14:textId="73A34373" w:rsidR="006738AA" w:rsidRPr="00050FA4" w:rsidRDefault="00B35F6F" w:rsidP="003F1DA7">
      <w:pPr>
        <w:pStyle w:val="AAAAAAATEXXXX"/>
        <w:rPr>
          <w:rFonts w:eastAsia="Times New Roman"/>
          <w:lang w:val="sq-AL"/>
        </w:rPr>
      </w:pPr>
      <w:r w:rsidRPr="00050FA4">
        <w:rPr>
          <w:rFonts w:eastAsia="Times New Roman"/>
          <w:lang w:val="sq-AL"/>
        </w:rPr>
        <w:t xml:space="preserve">1. </w:t>
      </w:r>
      <w:r w:rsidR="006738AA" w:rsidRPr="00050FA4">
        <w:rPr>
          <w:rFonts w:eastAsia="Times New Roman"/>
          <w:lang w:val="sq-AL"/>
        </w:rPr>
        <w:t xml:space="preserve">Rreth 59.000 tatimpagues aktivë të fiskalizuar dhe mbi 126 milionë fatura të fiskalizuara që prej datës 1 </w:t>
      </w:r>
      <w:r w:rsidR="007D45DA" w:rsidRPr="00050FA4">
        <w:rPr>
          <w:rFonts w:eastAsia="Times New Roman"/>
          <w:lang w:val="sq-AL"/>
        </w:rPr>
        <w:t xml:space="preserve">janar </w:t>
      </w:r>
      <w:r w:rsidR="006738AA" w:rsidRPr="00050FA4">
        <w:rPr>
          <w:rFonts w:eastAsia="Times New Roman"/>
          <w:lang w:val="sq-AL"/>
        </w:rPr>
        <w:t>2021.</w:t>
      </w:r>
    </w:p>
    <w:p w14:paraId="78AAAEBF" w14:textId="53F324DE" w:rsidR="006738AA" w:rsidRPr="00050FA4" w:rsidRDefault="00B35F6F" w:rsidP="003F1DA7">
      <w:pPr>
        <w:pStyle w:val="AAAAAAATEXXXX"/>
        <w:rPr>
          <w:rFonts w:eastAsia="Times New Roman"/>
          <w:lang w:val="sq-AL"/>
        </w:rPr>
      </w:pPr>
      <w:r w:rsidRPr="00050FA4">
        <w:rPr>
          <w:rFonts w:eastAsia="Times New Roman"/>
          <w:lang w:val="sq-AL"/>
        </w:rPr>
        <w:t xml:space="preserve">2. </w:t>
      </w:r>
      <w:r w:rsidR="006738AA" w:rsidRPr="00050FA4">
        <w:rPr>
          <w:rFonts w:eastAsia="Times New Roman"/>
          <w:lang w:val="sq-AL"/>
        </w:rPr>
        <w:t>88.609 tatimpagues ose 73% e totalit të tatimpaguesve aktivë janë pajisur me certifikatë fiskalizimi.</w:t>
      </w:r>
    </w:p>
    <w:p w14:paraId="46FEDBF5" w14:textId="15F09B84" w:rsidR="006738AA" w:rsidRPr="00050FA4" w:rsidRDefault="00B35F6F" w:rsidP="003F1DA7">
      <w:pPr>
        <w:pStyle w:val="AAAAAAATEXXXX"/>
        <w:rPr>
          <w:lang w:val="sq-AL" w:eastAsia="sq-AL"/>
        </w:rPr>
      </w:pPr>
      <w:r w:rsidRPr="00050FA4">
        <w:rPr>
          <w:rFonts w:eastAsia="Times New Roman"/>
          <w:lang w:val="sq-AL"/>
        </w:rPr>
        <w:t xml:space="preserve">3. </w:t>
      </w:r>
      <w:r w:rsidR="006738AA" w:rsidRPr="00050FA4">
        <w:rPr>
          <w:rFonts w:eastAsia="Times New Roman"/>
          <w:lang w:val="sq-AL"/>
        </w:rPr>
        <w:t xml:space="preserve">21.878 tatimpagues ose 86.4 % e tatimpaguesve aktivë </w:t>
      </w:r>
      <w:r w:rsidR="006235F4" w:rsidRPr="00050FA4">
        <w:rPr>
          <w:rFonts w:eastAsia="Times New Roman"/>
          <w:lang w:val="sq-AL"/>
        </w:rPr>
        <w:t xml:space="preserve">biznes i madh </w:t>
      </w:r>
      <w:r w:rsidR="006738AA" w:rsidRPr="00050FA4">
        <w:rPr>
          <w:rFonts w:eastAsia="Times New Roman"/>
          <w:lang w:val="sq-AL"/>
        </w:rPr>
        <w:t xml:space="preserve">(BM) janë pajisur me certifikatë </w:t>
      </w:r>
      <w:r w:rsidR="006738AA" w:rsidRPr="00050FA4">
        <w:rPr>
          <w:rFonts w:eastAsia="Times New Roman"/>
          <w:lang w:val="sq-AL"/>
        </w:rPr>
        <w:lastRenderedPageBreak/>
        <w:t>fiskalizimi. 18.643 tatimpagues aktivë BM ose 73.6 % e totalit të BM kanë lëshuar fatura të fiskalizuara.</w:t>
      </w:r>
    </w:p>
    <w:p w14:paraId="3A492889" w14:textId="06A38B92" w:rsidR="006738AA" w:rsidRPr="00050FA4" w:rsidRDefault="00B35F6F" w:rsidP="003F1DA7">
      <w:pPr>
        <w:pStyle w:val="AAAAAAATEXXXX"/>
        <w:rPr>
          <w:rStyle w:val="y2iqfc"/>
          <w:rFonts w:cstheme="majorBidi"/>
          <w:color w:val="0D0D0D" w:themeColor="text1" w:themeTint="F2"/>
          <w:lang w:val="sq-AL" w:eastAsia="sq-AL"/>
        </w:rPr>
      </w:pPr>
      <w:r w:rsidRPr="00050FA4">
        <w:rPr>
          <w:rStyle w:val="y2iqfc"/>
          <w:rFonts w:cstheme="majorBidi"/>
          <w:color w:val="0D0D0D" w:themeColor="text1" w:themeTint="F2"/>
          <w:lang w:val="sq-AL" w:eastAsia="sq-AL"/>
        </w:rPr>
        <w:t xml:space="preserve">4. </w:t>
      </w:r>
      <w:r w:rsidR="006738AA" w:rsidRPr="00050FA4">
        <w:rPr>
          <w:rStyle w:val="y2iqfc"/>
          <w:rFonts w:cstheme="majorBidi"/>
          <w:color w:val="0D0D0D" w:themeColor="text1" w:themeTint="F2"/>
          <w:lang w:val="sq-AL" w:eastAsia="sq-AL"/>
        </w:rPr>
        <w:t xml:space="preserve">64.698 tatimpagues ose 71.1% e tatimpaguesve aktivë </w:t>
      </w:r>
      <w:r w:rsidR="006235F4" w:rsidRPr="00050FA4">
        <w:rPr>
          <w:rStyle w:val="y2iqfc"/>
          <w:rFonts w:cstheme="majorBidi"/>
          <w:color w:val="0D0D0D" w:themeColor="text1" w:themeTint="F2"/>
          <w:lang w:val="sq-AL" w:eastAsia="sq-AL"/>
        </w:rPr>
        <w:t xml:space="preserve">biznes i vogël </w:t>
      </w:r>
      <w:r w:rsidR="006738AA" w:rsidRPr="00050FA4">
        <w:rPr>
          <w:rStyle w:val="y2iqfc"/>
          <w:rFonts w:cstheme="majorBidi"/>
          <w:color w:val="0D0D0D" w:themeColor="text1" w:themeTint="F2"/>
          <w:lang w:val="sq-AL" w:eastAsia="sq-AL"/>
        </w:rPr>
        <w:t>(BV) janë pajisur me certifikatë fiskalizimi. 37.654 ose 41.4% e tatimpaguesve aktivë BV kanë lëshuar fatura të fiskalizuara.</w:t>
      </w:r>
    </w:p>
    <w:bookmarkEnd w:id="53"/>
    <w:p w14:paraId="23A4E424" w14:textId="47DC490B" w:rsidR="006738AA" w:rsidRPr="00050FA4" w:rsidRDefault="006738AA" w:rsidP="003F1DA7">
      <w:pPr>
        <w:pStyle w:val="AAAAAAATEXXXX"/>
        <w:rPr>
          <w:lang w:val="sq-AL"/>
        </w:rPr>
      </w:pPr>
      <w:r w:rsidRPr="00050FA4">
        <w:rPr>
          <w:lang w:val="sq-AL"/>
        </w:rPr>
        <w:t>Administrata tatimore do të jetë e angazhuar në luftën kundër informalitetit</w:t>
      </w:r>
      <w:r w:rsidR="009B1D6B" w:rsidRPr="00050FA4">
        <w:rPr>
          <w:lang w:val="sq-AL"/>
        </w:rPr>
        <w:t xml:space="preserve"> </w:t>
      </w:r>
      <w:r w:rsidRPr="00050FA4">
        <w:rPr>
          <w:lang w:val="sq-AL"/>
        </w:rPr>
        <w:t>për të garantuar zbatimin korrekt të procedurave tatimore. Tatimpaguesit mospërmbushës do të evidentohen nga analiza e riskut dhe do të përfshihen dhe struktura të tjera në verifikimin dhe kontrollimin e tyre për të garantuar përmbushjen e detyrimeve tatimore që të forcohet besimi i tatimpaguesve përmbushës dhe i publikut</w:t>
      </w:r>
      <w:r w:rsidR="009B1D6B" w:rsidRPr="00050FA4">
        <w:rPr>
          <w:lang w:val="sq-AL"/>
        </w:rPr>
        <w:t xml:space="preserve"> </w:t>
      </w:r>
      <w:r w:rsidRPr="00050FA4">
        <w:rPr>
          <w:lang w:val="sq-AL"/>
        </w:rPr>
        <w:t>ndaj administratës tatimore.</w:t>
      </w:r>
    </w:p>
    <w:p w14:paraId="07D100CA" w14:textId="6DCD1643" w:rsidR="006738AA" w:rsidRPr="00050FA4" w:rsidRDefault="00317DB6" w:rsidP="003F1DA7">
      <w:pPr>
        <w:pStyle w:val="AAAAAAATEXXXX"/>
        <w:rPr>
          <w:lang w:val="sq-AL"/>
        </w:rPr>
      </w:pPr>
      <w:r w:rsidRPr="00050FA4">
        <w:rPr>
          <w:lang w:val="sq-AL"/>
        </w:rPr>
        <w:t xml:space="preserve">Për vitin 2022 </w:t>
      </w:r>
      <w:r w:rsidR="006738AA" w:rsidRPr="00050FA4">
        <w:rPr>
          <w:lang w:val="sq-AL"/>
        </w:rPr>
        <w:t xml:space="preserve">do të miratohet </w:t>
      </w:r>
      <w:r w:rsidRPr="00050FA4">
        <w:rPr>
          <w:lang w:val="sq-AL"/>
        </w:rPr>
        <w:t xml:space="preserve">plani i përmbushjes </w:t>
      </w:r>
      <w:r w:rsidR="006738AA" w:rsidRPr="00050FA4">
        <w:rPr>
          <w:lang w:val="sq-AL"/>
        </w:rPr>
        <w:t>që do të fokusohet në sektorët me një rëndësi të veçantë në ekonomi</w:t>
      </w:r>
      <w:r w:rsidRPr="00050FA4">
        <w:rPr>
          <w:lang w:val="sq-AL"/>
        </w:rPr>
        <w:t>,</w:t>
      </w:r>
      <w:r w:rsidR="006738AA" w:rsidRPr="00050FA4">
        <w:rPr>
          <w:lang w:val="sq-AL"/>
        </w:rPr>
        <w:t xml:space="preserve"> si</w:t>
      </w:r>
      <w:r w:rsidRPr="00050FA4">
        <w:rPr>
          <w:lang w:val="sq-AL"/>
        </w:rPr>
        <w:t>:</w:t>
      </w:r>
      <w:r w:rsidR="006738AA" w:rsidRPr="00050FA4">
        <w:rPr>
          <w:lang w:val="sq-AL"/>
        </w:rPr>
        <w:t xml:space="preserve"> </w:t>
      </w:r>
      <w:r w:rsidRPr="00050FA4">
        <w:rPr>
          <w:lang w:val="sq-AL"/>
        </w:rPr>
        <w:t>turizmi, subjekte kafe-restorante, ndërtimi dhe pagat</w:t>
      </w:r>
      <w:r w:rsidR="006738AA" w:rsidRPr="00050FA4">
        <w:rPr>
          <w:lang w:val="sq-AL"/>
        </w:rPr>
        <w:t xml:space="preserve">. </w:t>
      </w:r>
    </w:p>
    <w:p w14:paraId="7817F256" w14:textId="67716BF8" w:rsidR="006738AA" w:rsidRPr="00050FA4" w:rsidRDefault="006738AA" w:rsidP="003F1DA7">
      <w:pPr>
        <w:pStyle w:val="AAAAAAATEXXXX"/>
        <w:rPr>
          <w:lang w:val="sq-AL"/>
        </w:rPr>
      </w:pPr>
      <w:r w:rsidRPr="00050FA4">
        <w:rPr>
          <w:lang w:val="sq-AL"/>
        </w:rPr>
        <w:t>Gjithashtu</w:t>
      </w:r>
      <w:r w:rsidR="00317DB6" w:rsidRPr="00050FA4">
        <w:rPr>
          <w:lang w:val="sq-AL"/>
        </w:rPr>
        <w:t>,</w:t>
      </w:r>
      <w:r w:rsidRPr="00050FA4">
        <w:rPr>
          <w:lang w:val="sq-AL"/>
        </w:rPr>
        <w:t xml:space="preserve"> për vitin 2022</w:t>
      </w:r>
      <w:r w:rsidR="00317DB6" w:rsidRPr="00050FA4">
        <w:rPr>
          <w:lang w:val="sq-AL"/>
        </w:rPr>
        <w:t>,</w:t>
      </w:r>
      <w:r w:rsidRPr="00050FA4">
        <w:rPr>
          <w:lang w:val="sq-AL"/>
        </w:rPr>
        <w:t xml:space="preserve"> do të mbahet parasysh identifikimi dhe analizimi i sjelljeve deviante nga subjektet që tentojnë të përfitojnë nga pragjet tatimore (skema feniks, nëndeklarim i shitjeve, mosdeklarim i blerjeve</w:t>
      </w:r>
      <w:r w:rsidR="00577E94" w:rsidRPr="00050FA4">
        <w:rPr>
          <w:lang w:val="sq-AL"/>
        </w:rPr>
        <w:t xml:space="preserve"> etj</w:t>
      </w:r>
      <w:r w:rsidRPr="00050FA4">
        <w:rPr>
          <w:lang w:val="sq-AL"/>
        </w:rPr>
        <w:t>.)</w:t>
      </w:r>
    </w:p>
    <w:p w14:paraId="49B8CCD8" w14:textId="4D72BD70" w:rsidR="006738AA" w:rsidRPr="00050FA4" w:rsidRDefault="006738AA" w:rsidP="003F1DA7">
      <w:pPr>
        <w:pStyle w:val="AAAAAAATEXXXX"/>
        <w:rPr>
          <w:lang w:val="sq-AL"/>
        </w:rPr>
      </w:pPr>
      <w:r w:rsidRPr="00050FA4">
        <w:rPr>
          <w:lang w:val="sq-AL"/>
        </w:rPr>
        <w:t>Në vitin 2021, në kuadër t</w:t>
      </w:r>
      <w:r w:rsidR="000C71F9" w:rsidRPr="00050FA4">
        <w:rPr>
          <w:lang w:val="sq-AL"/>
        </w:rPr>
        <w:t>ë</w:t>
      </w:r>
      <w:r w:rsidRPr="00050FA4">
        <w:rPr>
          <w:lang w:val="sq-AL"/>
        </w:rPr>
        <w:t xml:space="preserve"> luftës kundër informalitetit administrata tatimore hartoi dhe zbatoi:</w:t>
      </w:r>
    </w:p>
    <w:p w14:paraId="51976132" w14:textId="6DE6B34C" w:rsidR="006738AA" w:rsidRPr="00050FA4" w:rsidRDefault="00B35F6F" w:rsidP="003F1DA7">
      <w:pPr>
        <w:pStyle w:val="AAAAAAATEXXXX"/>
        <w:rPr>
          <w:lang w:val="sq-AL"/>
        </w:rPr>
      </w:pPr>
      <w:r w:rsidRPr="00050FA4">
        <w:rPr>
          <w:lang w:val="sq-AL"/>
        </w:rPr>
        <w:t xml:space="preserve">1. </w:t>
      </w:r>
      <w:r w:rsidR="006738AA" w:rsidRPr="00050FA4">
        <w:rPr>
          <w:lang w:val="sq-AL"/>
        </w:rPr>
        <w:t xml:space="preserve">Planin </w:t>
      </w:r>
      <w:r w:rsidR="00317DB6" w:rsidRPr="00050FA4">
        <w:rPr>
          <w:lang w:val="sq-AL"/>
        </w:rPr>
        <w:t xml:space="preserve">sektorial të turizmit </w:t>
      </w:r>
      <w:r w:rsidR="006738AA" w:rsidRPr="00050FA4">
        <w:rPr>
          <w:lang w:val="sq-AL"/>
        </w:rPr>
        <w:t>2021, me këto arritje:</w:t>
      </w:r>
    </w:p>
    <w:p w14:paraId="37789621" w14:textId="6EEF4880" w:rsidR="006738AA" w:rsidRPr="00050FA4" w:rsidRDefault="00B35F6F" w:rsidP="003F1DA7">
      <w:pPr>
        <w:pStyle w:val="AAAAAAATEXXXX"/>
        <w:rPr>
          <w:lang w:val="sq-AL"/>
        </w:rPr>
      </w:pPr>
      <w:r w:rsidRPr="00050FA4">
        <w:rPr>
          <w:lang w:val="sq-AL"/>
        </w:rPr>
        <w:t xml:space="preserve">i. </w:t>
      </w:r>
      <w:r w:rsidR="00317DB6" w:rsidRPr="00050FA4">
        <w:rPr>
          <w:lang w:val="sq-AL"/>
        </w:rPr>
        <w:t xml:space="preserve">për </w:t>
      </w:r>
      <w:r w:rsidR="006738AA" w:rsidRPr="00050FA4">
        <w:rPr>
          <w:lang w:val="sq-AL"/>
        </w:rPr>
        <w:t>të njëjtët tatimpagues që kanë qenë aktiv dhe në vitin 2019, gjatë sezonit turistik të vitit 2021 është shënuar një rritja e TVSH-se s</w:t>
      </w:r>
      <w:r w:rsidR="00A84284" w:rsidRPr="00050FA4">
        <w:rPr>
          <w:lang w:val="sq-AL"/>
        </w:rPr>
        <w:t>ë</w:t>
      </w:r>
      <w:r w:rsidR="006738AA" w:rsidRPr="00050FA4">
        <w:rPr>
          <w:lang w:val="sq-AL"/>
        </w:rPr>
        <w:t xml:space="preserve"> detyrueshme për t</w:t>
      </w:r>
      <w:r w:rsidR="00F56E92" w:rsidRPr="00050FA4">
        <w:rPr>
          <w:lang w:val="sq-AL"/>
        </w:rPr>
        <w:t>’</w:t>
      </w:r>
      <w:r w:rsidR="006738AA" w:rsidRPr="00050FA4">
        <w:rPr>
          <w:lang w:val="sq-AL"/>
        </w:rPr>
        <w:t>u paguar me 15%</w:t>
      </w:r>
      <w:r w:rsidR="00B13D6C" w:rsidRPr="00050FA4">
        <w:rPr>
          <w:lang w:val="sq-AL"/>
        </w:rPr>
        <w:t>;</w:t>
      </w:r>
      <w:r w:rsidR="006738AA" w:rsidRPr="00050FA4">
        <w:rPr>
          <w:lang w:val="sq-AL"/>
        </w:rPr>
        <w:t xml:space="preserve"> </w:t>
      </w:r>
    </w:p>
    <w:p w14:paraId="28243719" w14:textId="32E92A8A" w:rsidR="006738AA" w:rsidRPr="00050FA4" w:rsidRDefault="006F5897" w:rsidP="003F1DA7">
      <w:pPr>
        <w:pStyle w:val="AAAAAAATEXXXX"/>
        <w:rPr>
          <w:lang w:val="sq-AL"/>
        </w:rPr>
      </w:pPr>
      <w:r w:rsidRPr="00050FA4">
        <w:rPr>
          <w:lang w:val="sq-AL"/>
        </w:rPr>
        <w:t>i</w:t>
      </w:r>
      <w:r w:rsidR="00B35F6F" w:rsidRPr="00050FA4">
        <w:rPr>
          <w:lang w:val="sq-AL"/>
        </w:rPr>
        <w:t xml:space="preserve">i. </w:t>
      </w:r>
      <w:r w:rsidR="00B13D6C" w:rsidRPr="00050FA4">
        <w:rPr>
          <w:lang w:val="sq-AL"/>
        </w:rPr>
        <w:t xml:space="preserve">është </w:t>
      </w:r>
      <w:r w:rsidR="006738AA" w:rsidRPr="00050FA4">
        <w:rPr>
          <w:lang w:val="sq-AL"/>
        </w:rPr>
        <w:t xml:space="preserve">kryer regjistrimi në </w:t>
      </w:r>
      <w:r w:rsidR="00A84284" w:rsidRPr="00050FA4">
        <w:rPr>
          <w:lang w:val="sq-AL"/>
        </w:rPr>
        <w:t xml:space="preserve">përgjegjësinë </w:t>
      </w:r>
      <w:r w:rsidR="006738AA" w:rsidRPr="00050FA4">
        <w:rPr>
          <w:lang w:val="sq-AL"/>
        </w:rPr>
        <w:t>e TVSH-s</w:t>
      </w:r>
      <w:r w:rsidR="00A84284" w:rsidRPr="00050FA4">
        <w:rPr>
          <w:lang w:val="sq-AL"/>
        </w:rPr>
        <w:t>ë</w:t>
      </w:r>
      <w:r w:rsidR="006738AA" w:rsidRPr="00050FA4">
        <w:rPr>
          <w:lang w:val="sq-AL"/>
        </w:rPr>
        <w:t xml:space="preserve"> për 175 tatimpagues</w:t>
      </w:r>
      <w:r w:rsidR="00B13D6C" w:rsidRPr="00050FA4">
        <w:rPr>
          <w:lang w:val="sq-AL"/>
        </w:rPr>
        <w:t>;</w:t>
      </w:r>
    </w:p>
    <w:p w14:paraId="10627C06" w14:textId="2346B059" w:rsidR="006738AA" w:rsidRPr="00050FA4" w:rsidRDefault="00B35F6F" w:rsidP="003F1DA7">
      <w:pPr>
        <w:pStyle w:val="AAAAAAATEXXXX"/>
        <w:rPr>
          <w:lang w:val="sq-AL"/>
        </w:rPr>
      </w:pPr>
      <w:r w:rsidRPr="00050FA4">
        <w:rPr>
          <w:lang w:val="sq-AL"/>
        </w:rPr>
        <w:t xml:space="preserve">iii. </w:t>
      </w:r>
      <w:r w:rsidR="00B13D6C" w:rsidRPr="00050FA4">
        <w:rPr>
          <w:lang w:val="sq-AL"/>
        </w:rPr>
        <w:t xml:space="preserve">rritje </w:t>
      </w:r>
      <w:r w:rsidR="006738AA" w:rsidRPr="00050FA4">
        <w:rPr>
          <w:lang w:val="sq-AL"/>
        </w:rPr>
        <w:t>me 8% e numrit të punonjësve për tatimpagues aktiv në të dy</w:t>
      </w:r>
      <w:r w:rsidR="00821414" w:rsidRPr="00050FA4">
        <w:rPr>
          <w:lang w:val="sq-AL"/>
        </w:rPr>
        <w:t>ja</w:t>
      </w:r>
      <w:r w:rsidR="006738AA" w:rsidRPr="00050FA4">
        <w:rPr>
          <w:lang w:val="sq-AL"/>
        </w:rPr>
        <w:t xml:space="preserve"> periudhat 2021</w:t>
      </w:r>
      <w:r w:rsidR="00B13D6C" w:rsidRPr="00050FA4">
        <w:rPr>
          <w:lang w:val="sq-AL"/>
        </w:rPr>
        <w:t>–</w:t>
      </w:r>
      <w:r w:rsidR="006738AA" w:rsidRPr="00050FA4">
        <w:rPr>
          <w:lang w:val="sq-AL"/>
        </w:rPr>
        <w:t>2020</w:t>
      </w:r>
      <w:r w:rsidR="00B13D6C" w:rsidRPr="00050FA4">
        <w:rPr>
          <w:lang w:val="sq-AL"/>
        </w:rPr>
        <w:t>;</w:t>
      </w:r>
      <w:r w:rsidR="006738AA" w:rsidRPr="00050FA4">
        <w:rPr>
          <w:lang w:val="sq-AL"/>
        </w:rPr>
        <w:t xml:space="preserve"> </w:t>
      </w:r>
    </w:p>
    <w:p w14:paraId="2D3C9FAA" w14:textId="19363D5D" w:rsidR="006738AA" w:rsidRPr="00050FA4" w:rsidRDefault="00B35F6F" w:rsidP="003F1DA7">
      <w:pPr>
        <w:pStyle w:val="AAAAAAATEXXXX"/>
        <w:rPr>
          <w:lang w:val="sq-AL"/>
        </w:rPr>
      </w:pPr>
      <w:r w:rsidRPr="00050FA4">
        <w:rPr>
          <w:lang w:val="sq-AL"/>
        </w:rPr>
        <w:t xml:space="preserve">iv. </w:t>
      </w:r>
      <w:r w:rsidR="00B13D6C" w:rsidRPr="00050FA4">
        <w:rPr>
          <w:lang w:val="sq-AL"/>
        </w:rPr>
        <w:t xml:space="preserve">rritje </w:t>
      </w:r>
      <w:r w:rsidR="006738AA" w:rsidRPr="00050FA4">
        <w:rPr>
          <w:lang w:val="sq-AL"/>
        </w:rPr>
        <w:t>me rreth 16% e numrit të punonjësve të deklaruar për popullatën e targetuar aktive (</w:t>
      </w:r>
      <w:r w:rsidR="0026453E" w:rsidRPr="00050FA4">
        <w:rPr>
          <w:lang w:val="sq-AL"/>
        </w:rPr>
        <w:t>për</w:t>
      </w:r>
      <w:r w:rsidR="006738AA" w:rsidRPr="00050FA4">
        <w:rPr>
          <w:lang w:val="sq-AL"/>
        </w:rPr>
        <w:t xml:space="preserve"> totalin e TP</w:t>
      </w:r>
      <w:r w:rsidR="00A84284" w:rsidRPr="00050FA4">
        <w:rPr>
          <w:lang w:val="sq-AL"/>
        </w:rPr>
        <w:t>-së</w:t>
      </w:r>
      <w:r w:rsidR="006738AA" w:rsidRPr="00050FA4">
        <w:rPr>
          <w:lang w:val="sq-AL"/>
        </w:rPr>
        <w:t>).</w:t>
      </w:r>
    </w:p>
    <w:p w14:paraId="09C5FA0E" w14:textId="2C5E72C3" w:rsidR="006738AA" w:rsidRPr="00050FA4" w:rsidRDefault="006F5897" w:rsidP="003F1DA7">
      <w:pPr>
        <w:pStyle w:val="AAAAAAATEXXXX"/>
        <w:rPr>
          <w:lang w:val="sq-AL"/>
        </w:rPr>
      </w:pPr>
      <w:r w:rsidRPr="00050FA4">
        <w:rPr>
          <w:lang w:val="sq-AL"/>
        </w:rPr>
        <w:t xml:space="preserve">2. </w:t>
      </w:r>
      <w:r w:rsidR="006738AA" w:rsidRPr="00050FA4">
        <w:rPr>
          <w:lang w:val="sq-AL"/>
        </w:rPr>
        <w:t xml:space="preserve">Planin </w:t>
      </w:r>
      <w:r w:rsidR="00F56E92" w:rsidRPr="00050FA4">
        <w:rPr>
          <w:lang w:val="sq-AL"/>
        </w:rPr>
        <w:t>sektorial të rindërtimit</w:t>
      </w:r>
    </w:p>
    <w:p w14:paraId="0B168E88" w14:textId="5C150324" w:rsidR="006738AA" w:rsidRPr="00050FA4" w:rsidRDefault="006738AA" w:rsidP="003F1DA7">
      <w:pPr>
        <w:pStyle w:val="AAAAAAATEXXXX"/>
        <w:rPr>
          <w:lang w:val="sq-AL"/>
        </w:rPr>
      </w:pPr>
      <w:r w:rsidRPr="00050FA4">
        <w:rPr>
          <w:lang w:val="sq-AL"/>
        </w:rPr>
        <w:t xml:space="preserve">Duke marrë shkas nga lehtësitë e krijuara nga qeveria shqiptare për të mundësuar procesin e rindërtimit nga pasojat e tërmetit të vitit 2019 në një kohë sa më të shpejtë, </w:t>
      </w:r>
      <w:r w:rsidR="00A84284" w:rsidRPr="00050FA4">
        <w:rPr>
          <w:lang w:val="sq-AL"/>
        </w:rPr>
        <w:t xml:space="preserve">administrata tatimore </w:t>
      </w:r>
      <w:r w:rsidRPr="00050FA4">
        <w:rPr>
          <w:lang w:val="sq-AL"/>
        </w:rPr>
        <w:t xml:space="preserve">zbatoi një projekt të menaxhimit të riskut për subjektet e përfshira në procesin e </w:t>
      </w:r>
      <w:r w:rsidR="00A84284" w:rsidRPr="00050FA4">
        <w:rPr>
          <w:lang w:val="sq-AL"/>
        </w:rPr>
        <w:t xml:space="preserve">rindërtimit </w:t>
      </w:r>
      <w:r w:rsidRPr="00050FA4">
        <w:rPr>
          <w:lang w:val="sq-AL"/>
        </w:rPr>
        <w:t xml:space="preserve">dhe që janë pajisur me Autorizimin </w:t>
      </w:r>
      <w:r w:rsidR="008A0E5B" w:rsidRPr="00050FA4">
        <w:rPr>
          <w:lang w:val="sq-AL"/>
        </w:rPr>
        <w:t>“</w:t>
      </w:r>
      <w:r w:rsidRPr="00050FA4">
        <w:rPr>
          <w:lang w:val="sq-AL"/>
        </w:rPr>
        <w:t xml:space="preserve">Për përjashtim nga TVSH-ja për subjektet e </w:t>
      </w:r>
      <w:r w:rsidR="00A84284" w:rsidRPr="00050FA4">
        <w:rPr>
          <w:lang w:val="sq-AL"/>
        </w:rPr>
        <w:t>rindërtimit</w:t>
      </w:r>
      <w:r w:rsidR="008A0E5B" w:rsidRPr="00050FA4">
        <w:rPr>
          <w:lang w:val="sq-AL"/>
        </w:rPr>
        <w:t>”</w:t>
      </w:r>
      <w:r w:rsidRPr="00050FA4">
        <w:rPr>
          <w:lang w:val="sq-AL"/>
        </w:rPr>
        <w:t xml:space="preserve">. Në kuadër të zbatimit të këtij </w:t>
      </w:r>
      <w:r w:rsidR="00A84284" w:rsidRPr="00050FA4">
        <w:rPr>
          <w:lang w:val="sq-AL"/>
        </w:rPr>
        <w:t>plani sektorial</w:t>
      </w:r>
      <w:r w:rsidRPr="00050FA4">
        <w:rPr>
          <w:lang w:val="sq-AL"/>
        </w:rPr>
        <w:t>, qëllimi i administratës është ndërgjegjësimi i tatimpaguesve</w:t>
      </w:r>
      <w:r w:rsidR="00A84284" w:rsidRPr="00050FA4">
        <w:rPr>
          <w:lang w:val="sq-AL"/>
        </w:rPr>
        <w:t>,</w:t>
      </w:r>
      <w:r w:rsidRPr="00050FA4">
        <w:rPr>
          <w:lang w:val="sq-AL"/>
        </w:rPr>
        <w:t xml:space="preserve"> për: 1. Deklarim real dhe në kohë të detyrimeve tatimore</w:t>
      </w:r>
      <w:r w:rsidR="00AD07C1" w:rsidRPr="00050FA4">
        <w:rPr>
          <w:lang w:val="sq-AL"/>
        </w:rPr>
        <w:t>.</w:t>
      </w:r>
      <w:r w:rsidRPr="00050FA4">
        <w:rPr>
          <w:lang w:val="sq-AL"/>
        </w:rPr>
        <w:t xml:space="preserve"> 2. Mosabuzim me autorizimin e marrë dhe mënyrën e zbatimit të përjashtimit nga TVSH-ja për aktivitetet e rindërtimit.</w:t>
      </w:r>
    </w:p>
    <w:p w14:paraId="7B66A7A8" w14:textId="25CBFEEE" w:rsidR="006738AA" w:rsidRPr="00050FA4" w:rsidRDefault="006738AA" w:rsidP="003F1DA7">
      <w:pPr>
        <w:pStyle w:val="AAAAAAATEXXXX"/>
        <w:rPr>
          <w:lang w:val="sq-AL"/>
        </w:rPr>
      </w:pPr>
      <w:r w:rsidRPr="00050FA4">
        <w:rPr>
          <w:lang w:val="sq-AL"/>
        </w:rPr>
        <w:t>Forma e trajtimit të tyre konsiston në dërgimin e letrave të personalizuara ata tatimpagues që nuk kanë rezultuar me rregulla të thyera nga pikëpamja tatimore bazuar në analizën e riskut. Ndërsa për ata tatimpagues të cilët kanë rezultuar mospërmbushës janë planifikuar 125 vizita fiskale, 45 kontrolle tatimore në ambientet e TP</w:t>
      </w:r>
      <w:r w:rsidR="00A84284" w:rsidRPr="00050FA4">
        <w:rPr>
          <w:lang w:val="sq-AL"/>
        </w:rPr>
        <w:t>-së,</w:t>
      </w:r>
      <w:r w:rsidRPr="00050FA4">
        <w:rPr>
          <w:lang w:val="sq-AL"/>
        </w:rPr>
        <w:t xml:space="preserve"> si dhe 324 kontrolle nga zyra për TP</w:t>
      </w:r>
      <w:r w:rsidR="004B5FA7" w:rsidRPr="00050FA4">
        <w:rPr>
          <w:lang w:val="sq-AL"/>
        </w:rPr>
        <w:t>-në</w:t>
      </w:r>
      <w:r w:rsidRPr="00050FA4">
        <w:rPr>
          <w:lang w:val="sq-AL"/>
        </w:rPr>
        <w:t xml:space="preserve"> që nuk janë të pajisur me </w:t>
      </w:r>
      <w:r w:rsidR="004B5FA7" w:rsidRPr="00050FA4">
        <w:rPr>
          <w:lang w:val="sq-AL"/>
        </w:rPr>
        <w:t xml:space="preserve">autorizimin </w:t>
      </w:r>
      <w:r w:rsidR="008A0E5B" w:rsidRPr="00050FA4">
        <w:rPr>
          <w:lang w:val="sq-AL"/>
        </w:rPr>
        <w:t>“</w:t>
      </w:r>
      <w:r w:rsidRPr="00050FA4">
        <w:rPr>
          <w:lang w:val="sq-AL"/>
        </w:rPr>
        <w:t xml:space="preserve">Për përjashtim nga TVSH për subjektet e </w:t>
      </w:r>
      <w:r w:rsidR="004B5FA7" w:rsidRPr="00050FA4">
        <w:rPr>
          <w:lang w:val="sq-AL"/>
        </w:rPr>
        <w:t>rindërtimit</w:t>
      </w:r>
      <w:r w:rsidR="008A0E5B" w:rsidRPr="00050FA4">
        <w:rPr>
          <w:lang w:val="sq-AL"/>
        </w:rPr>
        <w:t>”</w:t>
      </w:r>
      <w:r w:rsidR="004B5FA7" w:rsidRPr="00050FA4">
        <w:rPr>
          <w:lang w:val="sq-AL"/>
        </w:rPr>
        <w:t>, por</w:t>
      </w:r>
      <w:r w:rsidRPr="00050FA4">
        <w:rPr>
          <w:lang w:val="sq-AL"/>
        </w:rPr>
        <w:t xml:space="preserve"> kanë bërë shitje pa TVSH ndaj tatimpaguesve të pajisur me </w:t>
      </w:r>
      <w:r w:rsidR="00E67ECA" w:rsidRPr="00050FA4">
        <w:rPr>
          <w:lang w:val="sq-AL"/>
        </w:rPr>
        <w:t>autorizimin</w:t>
      </w:r>
      <w:r w:rsidR="004B5FA7" w:rsidRPr="00050FA4">
        <w:rPr>
          <w:lang w:val="sq-AL"/>
        </w:rPr>
        <w:t>,</w:t>
      </w:r>
      <w:r w:rsidR="00E67ECA" w:rsidRPr="00050FA4">
        <w:rPr>
          <w:lang w:val="sq-AL"/>
        </w:rPr>
        <w:t xml:space="preserve"> </w:t>
      </w:r>
      <w:r w:rsidRPr="00050FA4">
        <w:rPr>
          <w:lang w:val="sq-AL"/>
        </w:rPr>
        <w:t>për</w:t>
      </w:r>
      <w:r w:rsidR="00C82F56" w:rsidRPr="00050FA4">
        <w:rPr>
          <w:lang w:val="sq-AL"/>
        </w:rPr>
        <w:t xml:space="preserve"> </w:t>
      </w:r>
      <w:r w:rsidRPr="00050FA4">
        <w:rPr>
          <w:lang w:val="sq-AL"/>
        </w:rPr>
        <w:t>sa i përket detyrimit për rregullim të TVSH</w:t>
      </w:r>
      <w:r w:rsidR="004B5FA7" w:rsidRPr="00050FA4">
        <w:rPr>
          <w:lang w:val="sq-AL"/>
        </w:rPr>
        <w:t>-së</w:t>
      </w:r>
      <w:r w:rsidRPr="00050FA4">
        <w:rPr>
          <w:lang w:val="sq-AL"/>
        </w:rPr>
        <w:t>. Janë realizuar 45% e kontrolleve nga zyra dhe kemi të dhëna në shifra për efektin në detyrim pagese për TVSH</w:t>
      </w:r>
      <w:r w:rsidR="00046DD0" w:rsidRPr="00050FA4">
        <w:rPr>
          <w:lang w:val="sq-AL"/>
        </w:rPr>
        <w:t>-në,</w:t>
      </w:r>
      <w:r w:rsidRPr="00050FA4">
        <w:rPr>
          <w:lang w:val="sq-AL"/>
        </w:rPr>
        <w:t xml:space="preserve"> që aktualisht rezulton në vlerën 53.735.561 lek</w:t>
      </w:r>
      <w:r w:rsidR="00B63D3B" w:rsidRPr="00050FA4">
        <w:rPr>
          <w:lang w:val="sq-AL"/>
        </w:rPr>
        <w:t>ë</w:t>
      </w:r>
      <w:r w:rsidRPr="00050FA4">
        <w:rPr>
          <w:lang w:val="sq-AL"/>
        </w:rPr>
        <w:t>.</w:t>
      </w:r>
    </w:p>
    <w:p w14:paraId="6863C918" w14:textId="77777777" w:rsidR="006738AA" w:rsidRPr="00050FA4" w:rsidRDefault="006738AA" w:rsidP="003F1DA7">
      <w:pPr>
        <w:pStyle w:val="AAAAAAATEXXXX"/>
        <w:rPr>
          <w:lang w:val="sq-AL"/>
        </w:rPr>
      </w:pPr>
      <w:r w:rsidRPr="00050FA4">
        <w:rPr>
          <w:lang w:val="sq-AL"/>
        </w:rPr>
        <w:t>Ky proces është në vijimësi dhe gjatë vitit 2022 do të pasqyrojmë një përmbledhje të gjetjeve nga vizitat fiskale dhe kontrollet në ambientet e tatimpaguesve për të konkluduar mbi këtë plan sektorial.</w:t>
      </w:r>
    </w:p>
    <w:p w14:paraId="7C68FC3A" w14:textId="64E29E4D" w:rsidR="006738AA" w:rsidRPr="00050FA4" w:rsidRDefault="006738AA" w:rsidP="003F1DA7">
      <w:pPr>
        <w:pStyle w:val="AAAAAAATEXXXX"/>
        <w:rPr>
          <w:lang w:val="sq-AL"/>
        </w:rPr>
      </w:pPr>
      <w:r w:rsidRPr="00050FA4">
        <w:rPr>
          <w:lang w:val="sq-AL"/>
        </w:rPr>
        <w:t xml:space="preserve">Pandemia e COVID-19 ka pasur një ndikim të madh në ekonominë shqiptare gjatë vitit të kaluar. Përgjatë vitit 2020 ekonomia globale u përball me vazhdimin e përhapjes së pandemisë </w:t>
      </w:r>
      <w:r w:rsidR="00917446" w:rsidRPr="00050FA4">
        <w:rPr>
          <w:lang w:val="sq-AL"/>
        </w:rPr>
        <w:t>COVID</w:t>
      </w:r>
      <w:r w:rsidRPr="00050FA4">
        <w:rPr>
          <w:lang w:val="sq-AL"/>
        </w:rPr>
        <w:t xml:space="preserve">-19 dhe me masat shtrënguese të ndërmarra nga autoritetet publike për frenimin e përhapjes. Në Shqipëri, qeveria vendosi kufizime të lëvizjes së lirë që prej muajit mars, për të parandaluar përhapjen e mëtejshme të pandemisë në vend. Shqipëria është veçanërisht e ekspozuar ndaj tkurrjes ekonomike prej pandemisë për shkak se mbështetet fort nga sektori </w:t>
      </w:r>
      <w:r w:rsidR="00084C67" w:rsidRPr="00050FA4">
        <w:rPr>
          <w:lang w:val="sq-AL"/>
        </w:rPr>
        <w:t>i</w:t>
      </w:r>
      <w:r w:rsidRPr="00050FA4">
        <w:rPr>
          <w:lang w:val="sq-AL"/>
        </w:rPr>
        <w:t xml:space="preserve"> turizmit dhe</w:t>
      </w:r>
      <w:r w:rsidR="00084C67" w:rsidRPr="00050FA4">
        <w:rPr>
          <w:lang w:val="sq-AL"/>
        </w:rPr>
        <w:t>,</w:t>
      </w:r>
      <w:r w:rsidRPr="00050FA4">
        <w:rPr>
          <w:lang w:val="sq-AL"/>
        </w:rPr>
        <w:t xml:space="preserve"> për shkak të marrëdhënieve të saj intensive me disa ekonomi të BE-së të prekura rëndë nga pandemia. Sipas vlerësimeve më të fundit nga INSTAT</w:t>
      </w:r>
      <w:r w:rsidR="00084C67" w:rsidRPr="00050FA4">
        <w:rPr>
          <w:lang w:val="sq-AL"/>
        </w:rPr>
        <w:t>-i</w:t>
      </w:r>
      <w:r w:rsidRPr="00050FA4">
        <w:rPr>
          <w:lang w:val="sq-AL"/>
        </w:rPr>
        <w:t>, PBB</w:t>
      </w:r>
      <w:r w:rsidR="00084C67" w:rsidRPr="00050FA4">
        <w:rPr>
          <w:lang w:val="sq-AL"/>
        </w:rPr>
        <w:t>-ja</w:t>
      </w:r>
      <w:r w:rsidRPr="00050FA4">
        <w:rPr>
          <w:lang w:val="sq-AL"/>
        </w:rPr>
        <w:t xml:space="preserve"> reale u tkurr me 2.34 për</w:t>
      </w:r>
      <w:r w:rsidR="00917446" w:rsidRPr="00050FA4">
        <w:rPr>
          <w:lang w:val="sq-AL"/>
        </w:rPr>
        <w:t xml:space="preserve"> </w:t>
      </w:r>
      <w:r w:rsidRPr="00050FA4">
        <w:rPr>
          <w:lang w:val="sq-AL"/>
        </w:rPr>
        <w:t>qind në terma vjetorë në tremujorin e parë, duke u pasuar nga një rënie më e thellë prej -10.20 përqind</w:t>
      </w:r>
      <w:r w:rsidR="007D45DA" w:rsidRPr="00050FA4">
        <w:rPr>
          <w:lang w:val="sq-AL"/>
        </w:rPr>
        <w:t>ësh</w:t>
      </w:r>
      <w:r w:rsidRPr="00050FA4">
        <w:rPr>
          <w:lang w:val="sq-AL"/>
        </w:rPr>
        <w:t xml:space="preserve"> në tremujorin e dytë dhe nga statistikat e fundit të publikuara nga INSTAT</w:t>
      </w:r>
      <w:r w:rsidR="00084C67" w:rsidRPr="00050FA4">
        <w:rPr>
          <w:lang w:val="sq-AL"/>
        </w:rPr>
        <w:t>-i</w:t>
      </w:r>
      <w:r w:rsidRPr="00050FA4">
        <w:rPr>
          <w:lang w:val="sq-AL"/>
        </w:rPr>
        <w:t>, në tremujorin e tretë, rënia është zbutur në shifrën -3.47 për</w:t>
      </w:r>
      <w:r w:rsidR="00917446" w:rsidRPr="00050FA4">
        <w:rPr>
          <w:lang w:val="sq-AL"/>
        </w:rPr>
        <w:t xml:space="preserve"> </w:t>
      </w:r>
      <w:r w:rsidRPr="00050FA4">
        <w:rPr>
          <w:lang w:val="sq-AL"/>
        </w:rPr>
        <w:t>qind krahasuar me tremujorët respektivë të vitit 2019. Ndërsa në terma nëntëmujor</w:t>
      </w:r>
      <w:r w:rsidR="00A7354F" w:rsidRPr="00050FA4">
        <w:rPr>
          <w:lang w:val="sq-AL"/>
        </w:rPr>
        <w:t>ë</w:t>
      </w:r>
      <w:r w:rsidRPr="00050FA4">
        <w:rPr>
          <w:lang w:val="sq-AL"/>
        </w:rPr>
        <w:t xml:space="preserve"> për vitin 2020, ekonomia ka pësuar rënie me 5.52 për</w:t>
      </w:r>
      <w:r w:rsidR="00917446" w:rsidRPr="00050FA4">
        <w:rPr>
          <w:lang w:val="sq-AL"/>
        </w:rPr>
        <w:t xml:space="preserve"> </w:t>
      </w:r>
      <w:r w:rsidRPr="00050FA4">
        <w:rPr>
          <w:lang w:val="sq-AL"/>
        </w:rPr>
        <w:t xml:space="preserve">qind kundrejt së njëjtës periudhë të 2019. </w:t>
      </w:r>
    </w:p>
    <w:p w14:paraId="62A13375" w14:textId="1630AE81" w:rsidR="006738AA" w:rsidRPr="00050FA4" w:rsidRDefault="006738AA" w:rsidP="003F1DA7">
      <w:pPr>
        <w:pStyle w:val="AAAAAAATEXXXX"/>
        <w:rPr>
          <w:lang w:val="sq-AL"/>
        </w:rPr>
      </w:pPr>
      <w:r w:rsidRPr="00050FA4">
        <w:rPr>
          <w:lang w:val="sq-AL"/>
        </w:rPr>
        <w:t xml:space="preserve">Eksportet e mallrave dhe </w:t>
      </w:r>
      <w:r w:rsidR="00084C67" w:rsidRPr="00050FA4">
        <w:rPr>
          <w:lang w:val="sq-AL"/>
        </w:rPr>
        <w:t xml:space="preserve">të </w:t>
      </w:r>
      <w:r w:rsidRPr="00050FA4">
        <w:rPr>
          <w:lang w:val="sq-AL"/>
        </w:rPr>
        <w:t>shërbimeve, sipas vlerësimeve të INSTAT</w:t>
      </w:r>
      <w:r w:rsidR="00084C67" w:rsidRPr="00050FA4">
        <w:rPr>
          <w:lang w:val="sq-AL"/>
        </w:rPr>
        <w:t>-it</w:t>
      </w:r>
      <w:r w:rsidRPr="00050FA4">
        <w:rPr>
          <w:lang w:val="sq-AL"/>
        </w:rPr>
        <w:t>, gjatë nëntëmujorit të vitit</w:t>
      </w:r>
      <w:r w:rsidR="00CB4F25" w:rsidRPr="00050FA4">
        <w:rPr>
          <w:lang w:val="sq-AL"/>
        </w:rPr>
        <w:t xml:space="preserve"> </w:t>
      </w:r>
      <w:r w:rsidRPr="00050FA4">
        <w:rPr>
          <w:lang w:val="sq-AL"/>
        </w:rPr>
        <w:t>2020 janë tkurrur në mënyrë drastike me rreth 29.6 për</w:t>
      </w:r>
      <w:r w:rsidR="00917446" w:rsidRPr="00050FA4">
        <w:rPr>
          <w:lang w:val="sq-AL"/>
        </w:rPr>
        <w:t xml:space="preserve"> </w:t>
      </w:r>
      <w:r w:rsidRPr="00050FA4">
        <w:rPr>
          <w:lang w:val="sq-AL"/>
        </w:rPr>
        <w:t>qind. Por</w:t>
      </w:r>
      <w:r w:rsidR="00084C67" w:rsidRPr="00050FA4">
        <w:rPr>
          <w:lang w:val="sq-AL"/>
        </w:rPr>
        <w:t>,</w:t>
      </w:r>
      <w:r w:rsidRPr="00050FA4">
        <w:rPr>
          <w:lang w:val="sq-AL"/>
        </w:rPr>
        <w:t xml:space="preserve"> ndërkohë, duke qenë se edhe tkurrja e importeve të mallrave dhe </w:t>
      </w:r>
      <w:r w:rsidR="00084C67" w:rsidRPr="00050FA4">
        <w:rPr>
          <w:lang w:val="sq-AL"/>
        </w:rPr>
        <w:t xml:space="preserve">të </w:t>
      </w:r>
      <w:r w:rsidRPr="00050FA4">
        <w:rPr>
          <w:lang w:val="sq-AL"/>
        </w:rPr>
        <w:t xml:space="preserve">shërbimeve ka qenë po ashtu tepër e fortë, si dhe në reflektim të peshës së </w:t>
      </w:r>
      <w:r w:rsidRPr="00050FA4">
        <w:rPr>
          <w:lang w:val="sq-AL"/>
        </w:rPr>
        <w:lastRenderedPageBreak/>
        <w:t>lartë që importet kanë në ekonominë tonë, ka rezultuar në një rritje të kërkesës së huaj neto (ngushtim të deficitit midis eksporteve dhe importeve) krahasuar me një vit më parë me rreth 6.6 për</w:t>
      </w:r>
      <w:r w:rsidR="00AD07C1" w:rsidRPr="00050FA4">
        <w:rPr>
          <w:lang w:val="sq-AL"/>
        </w:rPr>
        <w:t xml:space="preserve"> </w:t>
      </w:r>
      <w:r w:rsidRPr="00050FA4">
        <w:rPr>
          <w:lang w:val="sq-AL"/>
        </w:rPr>
        <w:t>qind, e rrjedhimisht duke dhënë një kontribut pozitiv në rritjen e PBB-së prej rreth 1.2 pikë përqindje</w:t>
      </w:r>
      <w:r w:rsidR="007D45DA" w:rsidRPr="00050FA4">
        <w:rPr>
          <w:lang w:val="sq-AL"/>
        </w:rPr>
        <w:t>je</w:t>
      </w:r>
      <w:r w:rsidRPr="00050FA4">
        <w:rPr>
          <w:lang w:val="sq-AL"/>
        </w:rPr>
        <w:t>.</w:t>
      </w:r>
    </w:p>
    <w:p w14:paraId="5D3FE90B" w14:textId="17400D0A" w:rsidR="006738AA" w:rsidRPr="00050FA4" w:rsidRDefault="006738AA" w:rsidP="003F1DA7">
      <w:pPr>
        <w:pStyle w:val="AAAAAAATEXXXX"/>
        <w:rPr>
          <w:lang w:val="sq-AL"/>
        </w:rPr>
      </w:pPr>
      <w:r w:rsidRPr="00050FA4">
        <w:rPr>
          <w:lang w:val="sq-AL"/>
        </w:rPr>
        <w:t>Nga pikëpamja e ofertës agregate, dy sektorët të cilët kanë pësuar rritje përgjatë periudhës</w:t>
      </w:r>
      <w:r w:rsidRPr="00050FA4">
        <w:rPr>
          <w:lang w:val="sq-AL"/>
        </w:rPr>
        <w:br/>
        <w:t xml:space="preserve">nëntëmujore të viti 2020, krahasuar me të njëjtën periudhë të një viti më parë janë: </w:t>
      </w:r>
      <w:r w:rsidR="008A0E5B" w:rsidRPr="00050FA4">
        <w:rPr>
          <w:lang w:val="sq-AL"/>
        </w:rPr>
        <w:t>“</w:t>
      </w:r>
      <w:r w:rsidRPr="00050FA4">
        <w:rPr>
          <w:lang w:val="sq-AL"/>
        </w:rPr>
        <w:t>Bujqësia</w:t>
      </w:r>
      <w:r w:rsidR="008A0E5B" w:rsidRPr="00050FA4">
        <w:rPr>
          <w:lang w:val="sq-AL"/>
        </w:rPr>
        <w:t>”</w:t>
      </w:r>
      <w:r w:rsidRPr="00050FA4">
        <w:rPr>
          <w:lang w:val="sq-AL"/>
        </w:rPr>
        <w:t xml:space="preserve"> me rritje prej 1.8 përqind</w:t>
      </w:r>
      <w:r w:rsidR="007D45DA" w:rsidRPr="00050FA4">
        <w:rPr>
          <w:lang w:val="sq-AL"/>
        </w:rPr>
        <w:t>ësh</w:t>
      </w:r>
      <w:r w:rsidRPr="00050FA4">
        <w:rPr>
          <w:lang w:val="sq-AL"/>
        </w:rPr>
        <w:t xml:space="preserve"> dhe kontribut pozitiv prej 0.3 pikë përqindje</w:t>
      </w:r>
      <w:r w:rsidR="007D45DA" w:rsidRPr="00050FA4">
        <w:rPr>
          <w:lang w:val="sq-AL"/>
        </w:rPr>
        <w:t>je</w:t>
      </w:r>
      <w:r w:rsidRPr="00050FA4">
        <w:rPr>
          <w:lang w:val="sq-AL"/>
        </w:rPr>
        <w:t xml:space="preserve">, si dhe </w:t>
      </w:r>
      <w:r w:rsidR="008A0E5B" w:rsidRPr="00050FA4">
        <w:rPr>
          <w:lang w:val="sq-AL"/>
        </w:rPr>
        <w:t>“</w:t>
      </w:r>
      <w:r w:rsidRPr="00050FA4">
        <w:rPr>
          <w:lang w:val="sq-AL"/>
        </w:rPr>
        <w:t>Aktivitete të pasurive të paluajtshme</w:t>
      </w:r>
      <w:r w:rsidR="008A0E5B" w:rsidRPr="00050FA4">
        <w:rPr>
          <w:lang w:val="sq-AL"/>
        </w:rPr>
        <w:t>”</w:t>
      </w:r>
      <w:r w:rsidRPr="00050FA4">
        <w:rPr>
          <w:lang w:val="sq-AL"/>
        </w:rPr>
        <w:t xml:space="preserve"> me rritje prej 5.9 përqind</w:t>
      </w:r>
      <w:r w:rsidR="007D45DA" w:rsidRPr="00050FA4">
        <w:rPr>
          <w:lang w:val="sq-AL"/>
        </w:rPr>
        <w:t>ësh</w:t>
      </w:r>
      <w:r w:rsidRPr="00050FA4">
        <w:rPr>
          <w:lang w:val="sq-AL"/>
        </w:rPr>
        <w:t xml:space="preserve"> dhe kontribut pozitiv prej 0.4 pikë përqindje</w:t>
      </w:r>
      <w:r w:rsidR="007D45DA" w:rsidRPr="00050FA4">
        <w:rPr>
          <w:lang w:val="sq-AL"/>
        </w:rPr>
        <w:t>je</w:t>
      </w:r>
      <w:r w:rsidRPr="00050FA4">
        <w:rPr>
          <w:lang w:val="sq-AL"/>
        </w:rPr>
        <w:t xml:space="preserve">. Sektorët e tjerë kanë pësuar rënie në rendin vijues, ku: </w:t>
      </w:r>
      <w:r w:rsidR="008A0E5B" w:rsidRPr="00050FA4">
        <w:rPr>
          <w:lang w:val="sq-AL"/>
        </w:rPr>
        <w:t>“</w:t>
      </w:r>
      <w:r w:rsidRPr="00050FA4">
        <w:rPr>
          <w:lang w:val="sq-AL"/>
        </w:rPr>
        <w:t>Tregtia me shumicë dhe pakicë</w:t>
      </w:r>
      <w:r w:rsidR="008A0E5B" w:rsidRPr="00050FA4">
        <w:rPr>
          <w:lang w:val="sq-AL"/>
        </w:rPr>
        <w:t>”</w:t>
      </w:r>
      <w:r w:rsidRPr="00050FA4">
        <w:rPr>
          <w:lang w:val="sq-AL"/>
        </w:rPr>
        <w:t xml:space="preserve"> është ulur me 15 për</w:t>
      </w:r>
      <w:r w:rsidR="00AD07C1" w:rsidRPr="00050FA4">
        <w:rPr>
          <w:lang w:val="sq-AL"/>
        </w:rPr>
        <w:t xml:space="preserve"> </w:t>
      </w:r>
      <w:r w:rsidRPr="00050FA4">
        <w:rPr>
          <w:lang w:val="sq-AL"/>
        </w:rPr>
        <w:t>qind, dhe kontribut negativ prej 2.4 pikë përqindje</w:t>
      </w:r>
      <w:r w:rsidR="007D45DA" w:rsidRPr="00050FA4">
        <w:rPr>
          <w:lang w:val="sq-AL"/>
        </w:rPr>
        <w:t>je</w:t>
      </w:r>
      <w:r w:rsidRPr="00050FA4">
        <w:rPr>
          <w:lang w:val="sq-AL"/>
        </w:rPr>
        <w:t xml:space="preserve">; </w:t>
      </w:r>
      <w:r w:rsidR="008A0E5B" w:rsidRPr="00050FA4">
        <w:rPr>
          <w:lang w:val="sq-AL"/>
        </w:rPr>
        <w:t>“</w:t>
      </w:r>
      <w:r w:rsidRPr="00050FA4">
        <w:rPr>
          <w:lang w:val="sq-AL"/>
        </w:rPr>
        <w:t>Aktivitete shkencore dhe profesionale</w:t>
      </w:r>
      <w:r w:rsidR="008A0E5B" w:rsidRPr="00050FA4">
        <w:rPr>
          <w:lang w:val="sq-AL"/>
        </w:rPr>
        <w:t>”</w:t>
      </w:r>
      <w:r w:rsidRPr="00050FA4">
        <w:rPr>
          <w:lang w:val="sq-AL"/>
        </w:rPr>
        <w:t xml:space="preserve"> me rënie prej 14.4 përqind</w:t>
      </w:r>
      <w:r w:rsidR="007D45DA" w:rsidRPr="00050FA4">
        <w:rPr>
          <w:lang w:val="sq-AL"/>
        </w:rPr>
        <w:t>ësh</w:t>
      </w:r>
      <w:r w:rsidRPr="00050FA4">
        <w:rPr>
          <w:lang w:val="sq-AL"/>
        </w:rPr>
        <w:t xml:space="preserve"> dhe kontribut prej -0.9; </w:t>
      </w:r>
      <w:r w:rsidR="008A0E5B" w:rsidRPr="00050FA4">
        <w:rPr>
          <w:lang w:val="sq-AL"/>
        </w:rPr>
        <w:t>“</w:t>
      </w:r>
      <w:r w:rsidRPr="00050FA4">
        <w:rPr>
          <w:lang w:val="sq-AL"/>
        </w:rPr>
        <w:t>Arte, argëtim dhe çlodhje</w:t>
      </w:r>
      <w:r w:rsidR="008A0E5B" w:rsidRPr="00050FA4">
        <w:rPr>
          <w:lang w:val="sq-AL"/>
        </w:rPr>
        <w:t>”</w:t>
      </w:r>
      <w:r w:rsidR="007D45DA" w:rsidRPr="00050FA4">
        <w:rPr>
          <w:lang w:val="sq-AL"/>
        </w:rPr>
        <w:t>,</w:t>
      </w:r>
      <w:r w:rsidRPr="00050FA4">
        <w:rPr>
          <w:lang w:val="sq-AL"/>
        </w:rPr>
        <w:t xml:space="preserve"> me rënie prej 10.8 përqind</w:t>
      </w:r>
      <w:r w:rsidR="007D45DA" w:rsidRPr="00050FA4">
        <w:rPr>
          <w:lang w:val="sq-AL"/>
        </w:rPr>
        <w:t>ësh</w:t>
      </w:r>
      <w:r w:rsidRPr="00050FA4">
        <w:rPr>
          <w:lang w:val="sq-AL"/>
        </w:rPr>
        <w:t xml:space="preserve"> dhe kontribut prej -0.2; </w:t>
      </w:r>
      <w:r w:rsidR="008A0E5B" w:rsidRPr="00050FA4">
        <w:rPr>
          <w:lang w:val="sq-AL"/>
        </w:rPr>
        <w:t>“</w:t>
      </w:r>
      <w:r w:rsidRPr="00050FA4">
        <w:rPr>
          <w:lang w:val="sq-AL"/>
        </w:rPr>
        <w:t>Industria</w:t>
      </w:r>
      <w:r w:rsidR="008A0E5B" w:rsidRPr="00050FA4">
        <w:rPr>
          <w:lang w:val="sq-AL"/>
        </w:rPr>
        <w:t>”</w:t>
      </w:r>
      <w:r w:rsidRPr="00050FA4">
        <w:rPr>
          <w:lang w:val="sq-AL"/>
        </w:rPr>
        <w:t xml:space="preserve"> me rënie prej 5.4 përqind</w:t>
      </w:r>
      <w:r w:rsidR="007D45DA" w:rsidRPr="00050FA4">
        <w:rPr>
          <w:lang w:val="sq-AL"/>
        </w:rPr>
        <w:t>ësh</w:t>
      </w:r>
      <w:r w:rsidRPr="00050FA4">
        <w:rPr>
          <w:lang w:val="sq-AL"/>
        </w:rPr>
        <w:t xml:space="preserve"> dhe kontribut prej -0.7 pikë përqindje</w:t>
      </w:r>
      <w:r w:rsidR="007D45DA" w:rsidRPr="00050FA4">
        <w:rPr>
          <w:lang w:val="sq-AL"/>
        </w:rPr>
        <w:t>je</w:t>
      </w:r>
      <w:r w:rsidRPr="00050FA4">
        <w:rPr>
          <w:lang w:val="sq-AL"/>
        </w:rPr>
        <w:t xml:space="preserve"> etj.</w:t>
      </w:r>
    </w:p>
    <w:p w14:paraId="77DC2728" w14:textId="0257F4D9" w:rsidR="006738AA" w:rsidRPr="00050FA4" w:rsidRDefault="006738AA" w:rsidP="003F1DA7">
      <w:pPr>
        <w:pStyle w:val="AAAAAAATEXXXX"/>
        <w:rPr>
          <w:lang w:val="sq-AL"/>
        </w:rPr>
      </w:pPr>
      <w:r w:rsidRPr="00050FA4">
        <w:rPr>
          <w:lang w:val="sq-AL"/>
        </w:rPr>
        <w:t>Dinamika në tregun e punës ka reflektuar përgjithësisht atë të aktivitetit ekonomik. Ndërkohë që viti 2019 rezultoi me një reduktim të mëtejshëm të shkallës së papunësisë me një nivel mesatar për gjithë vitin prej 12 përqind</w:t>
      </w:r>
      <w:r w:rsidR="008C7A97" w:rsidRPr="00050FA4">
        <w:rPr>
          <w:lang w:val="sq-AL"/>
        </w:rPr>
        <w:t>ësh</w:t>
      </w:r>
      <w:r w:rsidRPr="00050FA4">
        <w:rPr>
          <w:lang w:val="sq-AL"/>
        </w:rPr>
        <w:t xml:space="preserve"> (për grup</w:t>
      </w:r>
      <w:r w:rsidR="00AD07C1" w:rsidRPr="00050FA4">
        <w:rPr>
          <w:lang w:val="sq-AL"/>
        </w:rPr>
        <w:t>-</w:t>
      </w:r>
      <w:r w:rsidRPr="00050FA4">
        <w:rPr>
          <w:lang w:val="sq-AL"/>
        </w:rPr>
        <w:t>moshën 15</w:t>
      </w:r>
      <w:r w:rsidR="00AD07C1" w:rsidRPr="00050FA4">
        <w:rPr>
          <w:lang w:val="sq-AL"/>
        </w:rPr>
        <w:t>–</w:t>
      </w:r>
      <w:r w:rsidRPr="00050FA4">
        <w:rPr>
          <w:lang w:val="sq-AL"/>
        </w:rPr>
        <w:t>64 vjeç), nëntëmujori i 2020 regjistroi një përkeqësim të konsiderueshëm të këtij treguesi në gjysmën e parë të vitit dhe më pas një rikuperim në tremujorin e tretë. Referuar anketës tremujore të forcës së punës nga INSTAT</w:t>
      </w:r>
      <w:r w:rsidR="001B14E3" w:rsidRPr="00050FA4">
        <w:rPr>
          <w:lang w:val="sq-AL"/>
        </w:rPr>
        <w:t>-i</w:t>
      </w:r>
      <w:r w:rsidRPr="00050FA4">
        <w:rPr>
          <w:lang w:val="sq-AL"/>
        </w:rPr>
        <w:t>, norma e papunësisë (për grup</w:t>
      </w:r>
      <w:r w:rsidR="00AD07C1" w:rsidRPr="00050FA4">
        <w:rPr>
          <w:lang w:val="sq-AL"/>
        </w:rPr>
        <w:t>-</w:t>
      </w:r>
      <w:r w:rsidRPr="00050FA4">
        <w:rPr>
          <w:lang w:val="sq-AL"/>
        </w:rPr>
        <w:t>moshën 15</w:t>
      </w:r>
      <w:r w:rsidR="00AD07C1" w:rsidRPr="00050FA4">
        <w:rPr>
          <w:lang w:val="sq-AL"/>
        </w:rPr>
        <w:t>–</w:t>
      </w:r>
      <w:r w:rsidRPr="00050FA4">
        <w:rPr>
          <w:lang w:val="sq-AL"/>
        </w:rPr>
        <w:t>64 vjeç) regjistroi nivelin prej 11.9 përqind</w:t>
      </w:r>
      <w:r w:rsidR="008C7A97" w:rsidRPr="00050FA4">
        <w:rPr>
          <w:lang w:val="sq-AL"/>
        </w:rPr>
        <w:t>ësh</w:t>
      </w:r>
      <w:r w:rsidRPr="00050FA4">
        <w:rPr>
          <w:lang w:val="sq-AL"/>
        </w:rPr>
        <w:t xml:space="preserve"> në tremujorin e parë, 12.5 për</w:t>
      </w:r>
      <w:r w:rsidR="00AD07C1" w:rsidRPr="00050FA4">
        <w:rPr>
          <w:lang w:val="sq-AL"/>
        </w:rPr>
        <w:t xml:space="preserve"> </w:t>
      </w:r>
      <w:r w:rsidRPr="00050FA4">
        <w:rPr>
          <w:lang w:val="sq-AL"/>
        </w:rPr>
        <w:t>qind në të dytin dhe ra sërish në 12.1 për</w:t>
      </w:r>
      <w:r w:rsidR="00AD07C1" w:rsidRPr="00050FA4">
        <w:rPr>
          <w:lang w:val="sq-AL"/>
        </w:rPr>
        <w:t xml:space="preserve"> </w:t>
      </w:r>
      <w:r w:rsidRPr="00050FA4">
        <w:rPr>
          <w:lang w:val="sq-AL"/>
        </w:rPr>
        <w:t>qind në T3-2020. Norma mesatare e papunësisë për nëntëmujorin e 2020</w:t>
      </w:r>
      <w:r w:rsidR="0013252E" w:rsidRPr="00050FA4">
        <w:rPr>
          <w:lang w:val="sq-AL"/>
        </w:rPr>
        <w:t>-ës</w:t>
      </w:r>
      <w:r w:rsidRPr="00050FA4">
        <w:rPr>
          <w:lang w:val="sq-AL"/>
        </w:rPr>
        <w:t xml:space="preserve"> ishte 12.2 për</w:t>
      </w:r>
      <w:r w:rsidR="00AD07C1" w:rsidRPr="00050FA4">
        <w:rPr>
          <w:lang w:val="sq-AL"/>
        </w:rPr>
        <w:t xml:space="preserve"> </w:t>
      </w:r>
      <w:r w:rsidRPr="00050FA4">
        <w:rPr>
          <w:lang w:val="sq-AL"/>
        </w:rPr>
        <w:t>qind, duke qëndruar pothuajse në të njëjtin nivel prej 12.1 përqind</w:t>
      </w:r>
      <w:r w:rsidR="008C7A97" w:rsidRPr="00050FA4">
        <w:rPr>
          <w:lang w:val="sq-AL"/>
        </w:rPr>
        <w:t>ësh</w:t>
      </w:r>
      <w:r w:rsidRPr="00050FA4">
        <w:rPr>
          <w:lang w:val="sq-AL"/>
        </w:rPr>
        <w:t xml:space="preserve"> të nëntëmujorit të 2019.</w:t>
      </w:r>
      <w:r w:rsidR="00AD07C1" w:rsidRPr="00050FA4">
        <w:rPr>
          <w:lang w:val="sq-AL"/>
        </w:rPr>
        <w:t xml:space="preserve"> </w:t>
      </w:r>
      <w:r w:rsidRPr="00050FA4">
        <w:rPr>
          <w:lang w:val="sq-AL"/>
        </w:rPr>
        <w:t>Ndërkohë, për grup</w:t>
      </w:r>
      <w:r w:rsidR="00AD07C1" w:rsidRPr="00050FA4">
        <w:rPr>
          <w:lang w:val="sq-AL"/>
        </w:rPr>
        <w:t>-</w:t>
      </w:r>
      <w:r w:rsidRPr="00050FA4">
        <w:rPr>
          <w:lang w:val="sq-AL"/>
        </w:rPr>
        <w:t>moshën 15 vjeç e sipër, norma e papunësisë gjatë tremujorit të tretë të vitit 2020 regjistroi nivelin prej 11.6 përqind</w:t>
      </w:r>
      <w:r w:rsidR="008C7A97" w:rsidRPr="00050FA4">
        <w:rPr>
          <w:lang w:val="sq-AL"/>
        </w:rPr>
        <w:t>ësh,</w:t>
      </w:r>
      <w:r w:rsidRPr="00050FA4">
        <w:rPr>
          <w:lang w:val="sq-AL"/>
        </w:rPr>
        <w:t xml:space="preserve"> me një rritje prej vetëm 0.2 pikë përqindje</w:t>
      </w:r>
      <w:r w:rsidR="008C7A97" w:rsidRPr="00050FA4">
        <w:rPr>
          <w:lang w:val="sq-AL"/>
        </w:rPr>
        <w:t>je</w:t>
      </w:r>
      <w:r w:rsidRPr="00050FA4">
        <w:rPr>
          <w:lang w:val="sq-AL"/>
        </w:rPr>
        <w:t xml:space="preserve"> nga tremujori i tretë i 2019.</w:t>
      </w:r>
    </w:p>
    <w:p w14:paraId="7D104994" w14:textId="0493BD28" w:rsidR="006738AA" w:rsidRPr="00050FA4" w:rsidRDefault="006738AA" w:rsidP="003F1DA7">
      <w:pPr>
        <w:pStyle w:val="AAAAAAATEXXXX"/>
        <w:rPr>
          <w:lang w:val="sq-AL"/>
        </w:rPr>
      </w:pPr>
      <w:r w:rsidRPr="00050FA4">
        <w:rPr>
          <w:lang w:val="sq-AL"/>
        </w:rPr>
        <w:t xml:space="preserve">Shumë nga sfidat strukturore të përshkruara më sipër kanë luajtur një rol ose në përforcimin e ndikimit në epideminë e COVID-19 ose në kufizimin e fushëveprimit të përgjigjeve të politikave për të zvogëluar ndikimin e saj. Në qershor 2021, Këshilli Shqiptar i Investimeve nisi rezultatet e sondazhit me temë </w:t>
      </w:r>
      <w:r w:rsidR="008A0E5B" w:rsidRPr="00050FA4">
        <w:rPr>
          <w:lang w:val="sq-AL"/>
        </w:rPr>
        <w:t>“</w:t>
      </w:r>
      <w:r w:rsidRPr="00050FA4">
        <w:rPr>
          <w:lang w:val="sq-AL"/>
        </w:rPr>
        <w:t xml:space="preserve">Vlerësimi i ndikimit të </w:t>
      </w:r>
      <w:r w:rsidR="00AD07C1" w:rsidRPr="00050FA4">
        <w:rPr>
          <w:lang w:val="sq-AL"/>
        </w:rPr>
        <w:t>COVID</w:t>
      </w:r>
      <w:r w:rsidRPr="00050FA4">
        <w:rPr>
          <w:lang w:val="sq-AL"/>
        </w:rPr>
        <w:t>-19 në aktivitetin e biznesit në Shqipëri</w:t>
      </w:r>
      <w:r w:rsidR="008A0E5B" w:rsidRPr="00050FA4">
        <w:rPr>
          <w:lang w:val="sq-AL"/>
        </w:rPr>
        <w:t>”</w:t>
      </w:r>
      <w:r w:rsidRPr="00050FA4">
        <w:rPr>
          <w:lang w:val="sq-AL"/>
        </w:rPr>
        <w:t xml:space="preserve">. Ky anketë bazohet në sondazhin e parë të kryer nga Sekretariati gjatë muajit prill 2020 dhe synon të mbledhë të dhëna për </w:t>
      </w:r>
      <w:r w:rsidR="00F62C99" w:rsidRPr="00050FA4">
        <w:rPr>
          <w:lang w:val="sq-AL"/>
        </w:rPr>
        <w:t>periudhën 12</w:t>
      </w:r>
      <w:r w:rsidR="008964CD" w:rsidRPr="00050FA4">
        <w:rPr>
          <w:lang w:val="sq-AL"/>
        </w:rPr>
        <w:t>-</w:t>
      </w:r>
      <w:r w:rsidR="00F62C99" w:rsidRPr="00050FA4">
        <w:rPr>
          <w:lang w:val="sq-AL"/>
        </w:rPr>
        <w:t>mujore (prill 2020–</w:t>
      </w:r>
      <w:r w:rsidRPr="00050FA4">
        <w:rPr>
          <w:lang w:val="sq-AL"/>
        </w:rPr>
        <w:t xml:space="preserve">prill 2021). Sondazhi </w:t>
      </w:r>
      <w:r w:rsidR="008A0E5B" w:rsidRPr="00050FA4">
        <w:rPr>
          <w:lang w:val="sq-AL"/>
        </w:rPr>
        <w:t>“</w:t>
      </w:r>
      <w:r w:rsidRPr="00050FA4">
        <w:rPr>
          <w:lang w:val="sq-AL"/>
        </w:rPr>
        <w:t>Vlerësimi i ndikimit të pandemisë COVID-19 në biznesin në Shqipëri</w:t>
      </w:r>
      <w:r w:rsidR="008A0E5B" w:rsidRPr="00050FA4">
        <w:rPr>
          <w:lang w:val="sq-AL"/>
        </w:rPr>
        <w:t>”</w:t>
      </w:r>
      <w:r w:rsidRPr="00050FA4">
        <w:rPr>
          <w:lang w:val="sq-AL"/>
        </w:rPr>
        <w:t>, një iniciativë e Sekretariatit të Këshillit të Investimeve dhe Ministrisë së Financave dhe Ekonomisë, u ndërmor në periudhën prill</w:t>
      </w:r>
      <w:r w:rsidR="00AD07C1" w:rsidRPr="00050FA4">
        <w:rPr>
          <w:lang w:val="sq-AL"/>
        </w:rPr>
        <w:t>–</w:t>
      </w:r>
      <w:r w:rsidRPr="00050FA4">
        <w:rPr>
          <w:lang w:val="sq-AL"/>
        </w:rPr>
        <w:t>maj 2020</w:t>
      </w:r>
      <w:r w:rsidR="009878F3" w:rsidRPr="00050FA4">
        <w:rPr>
          <w:lang w:val="sq-AL"/>
        </w:rPr>
        <w:t>,</w:t>
      </w:r>
      <w:r w:rsidRPr="00050FA4">
        <w:rPr>
          <w:lang w:val="sq-AL"/>
        </w:rPr>
        <w:t xml:space="preserve"> me qëllim mbledhjen e provave mbi efektet e pandemisë COVID-19 në biznesin dhe aktivitetin e saj.</w:t>
      </w:r>
    </w:p>
    <w:p w14:paraId="74E3B9EF" w14:textId="77777777" w:rsidR="006738AA" w:rsidRPr="00050FA4" w:rsidRDefault="006738AA" w:rsidP="003F1DA7">
      <w:pPr>
        <w:pStyle w:val="AAAAAAATEXXXX"/>
        <w:rPr>
          <w:rFonts w:eastAsia="Times New Roman"/>
          <w:lang w:val="sq-AL"/>
        </w:rPr>
      </w:pPr>
      <w:r w:rsidRPr="00050FA4">
        <w:rPr>
          <w:rFonts w:eastAsia="Times New Roman"/>
          <w:lang w:val="sq-AL"/>
        </w:rPr>
        <w:t>Sipas sondazhit:</w:t>
      </w:r>
    </w:p>
    <w:p w14:paraId="5F60F9BD" w14:textId="23B04770" w:rsidR="006738AA" w:rsidRPr="00050FA4" w:rsidRDefault="000D67FC" w:rsidP="003F1DA7">
      <w:pPr>
        <w:pStyle w:val="AAAAAAATEXXXX"/>
        <w:rPr>
          <w:lang w:val="sq-AL"/>
        </w:rPr>
      </w:pPr>
      <w:r w:rsidRPr="00050FA4">
        <w:rPr>
          <w:lang w:val="sq-AL"/>
        </w:rPr>
        <w:t>-</w:t>
      </w:r>
      <w:r w:rsidR="006738AA" w:rsidRPr="00050FA4">
        <w:rPr>
          <w:lang w:val="sq-AL"/>
        </w:rPr>
        <w:t xml:space="preserve"> Kompanitë kanë vazhduar të përdorin shërbimet </w:t>
      </w:r>
      <w:r w:rsidR="006738AA" w:rsidRPr="00050FA4">
        <w:rPr>
          <w:i/>
          <w:lang w:val="sq-AL"/>
        </w:rPr>
        <w:t>online</w:t>
      </w:r>
      <w:r w:rsidR="006738AA" w:rsidRPr="00050FA4">
        <w:rPr>
          <w:lang w:val="sq-AL"/>
        </w:rPr>
        <w:t xml:space="preserve">, kryesisht shërbimet qeveritare dhe në një masë më të vogël shërbimet </w:t>
      </w:r>
      <w:r w:rsidR="006738AA" w:rsidRPr="00050FA4">
        <w:rPr>
          <w:i/>
          <w:lang w:val="sq-AL"/>
        </w:rPr>
        <w:t>online</w:t>
      </w:r>
      <w:r w:rsidR="006738AA" w:rsidRPr="00050FA4">
        <w:rPr>
          <w:lang w:val="sq-AL"/>
        </w:rPr>
        <w:t xml:space="preserve"> të institucioneve financiare. </w:t>
      </w:r>
    </w:p>
    <w:p w14:paraId="2659A180" w14:textId="15AE2759" w:rsidR="006738AA" w:rsidRPr="00050FA4" w:rsidRDefault="000D67FC" w:rsidP="003F1DA7">
      <w:pPr>
        <w:pStyle w:val="AAAAAAATEXXXX"/>
        <w:rPr>
          <w:lang w:val="sq-AL"/>
        </w:rPr>
      </w:pPr>
      <w:r w:rsidRPr="00050FA4">
        <w:rPr>
          <w:lang w:val="sq-AL"/>
        </w:rPr>
        <w:t>-</w:t>
      </w:r>
      <w:r w:rsidR="006738AA" w:rsidRPr="00050FA4">
        <w:rPr>
          <w:lang w:val="sq-AL"/>
        </w:rPr>
        <w:t xml:space="preserve"> Kompanitë që kanë deklaruar se kanë përdorur shërbimet </w:t>
      </w:r>
      <w:r w:rsidR="006738AA" w:rsidRPr="00050FA4">
        <w:rPr>
          <w:i/>
          <w:lang w:val="sq-AL"/>
        </w:rPr>
        <w:t>online</w:t>
      </w:r>
      <w:r w:rsidR="006738AA" w:rsidRPr="00050FA4">
        <w:rPr>
          <w:lang w:val="sq-AL"/>
        </w:rPr>
        <w:t>, në 86% e tyre deklarojnë se do të vazhdojnë t</w:t>
      </w:r>
      <w:r w:rsidR="00E67ECA" w:rsidRPr="00050FA4">
        <w:rPr>
          <w:lang w:val="sq-AL"/>
        </w:rPr>
        <w:t>’</w:t>
      </w:r>
      <w:r w:rsidR="006738AA" w:rsidRPr="00050FA4">
        <w:rPr>
          <w:lang w:val="sq-AL"/>
        </w:rPr>
        <w:t>i përdorin ato në të ardhmen.</w:t>
      </w:r>
    </w:p>
    <w:p w14:paraId="57957D2C" w14:textId="6392E2EF" w:rsidR="006738AA" w:rsidRPr="00050FA4" w:rsidRDefault="000D67FC" w:rsidP="003F1DA7">
      <w:pPr>
        <w:pStyle w:val="AAAAAAATEXXXX"/>
        <w:rPr>
          <w:lang w:val="sq-AL"/>
        </w:rPr>
      </w:pPr>
      <w:r w:rsidRPr="00050FA4">
        <w:rPr>
          <w:lang w:val="sq-AL"/>
        </w:rPr>
        <w:t>-</w:t>
      </w:r>
      <w:r w:rsidR="006738AA" w:rsidRPr="00050FA4">
        <w:rPr>
          <w:lang w:val="sq-AL"/>
        </w:rPr>
        <w:t xml:space="preserve"> 86% e kompanive të intervistuara në fillim të pandemisë deklaruan se nuk kishin një strategji emergjence. Sot, një vit më vonë, 52% e kompanive deklarojnë se do të miratojnë një plan emergjence, më të predispozuar janë </w:t>
      </w:r>
      <w:r w:rsidR="009878F3" w:rsidRPr="00050FA4">
        <w:rPr>
          <w:lang w:val="sq-AL"/>
        </w:rPr>
        <w:t>bujqësia, tregtia dhe turizmi.</w:t>
      </w:r>
    </w:p>
    <w:p w14:paraId="1CEFDA60" w14:textId="539CC0C5" w:rsidR="006738AA" w:rsidRPr="00050FA4" w:rsidRDefault="000D67FC" w:rsidP="003F1DA7">
      <w:pPr>
        <w:pStyle w:val="AAAAAAATEXXXX"/>
        <w:rPr>
          <w:lang w:val="sq-AL"/>
        </w:rPr>
      </w:pPr>
      <w:r w:rsidRPr="00050FA4">
        <w:rPr>
          <w:lang w:val="sq-AL"/>
        </w:rPr>
        <w:t>-</w:t>
      </w:r>
      <w:r w:rsidR="006738AA" w:rsidRPr="00050FA4">
        <w:rPr>
          <w:lang w:val="sq-AL"/>
        </w:rPr>
        <w:t xml:space="preserve"> 60% e kompanive mbi 14 milionë lekë vlerësojnë se do të miratojnë plane emergjente, ndërkohë që vetëm 47% e kompanive deri në 5 milionë lekë e konfirmojnë këtë. </w:t>
      </w:r>
    </w:p>
    <w:p w14:paraId="3899631A" w14:textId="61ADE781" w:rsidR="006738AA" w:rsidRPr="00050FA4" w:rsidRDefault="000D67FC" w:rsidP="003F1DA7">
      <w:pPr>
        <w:pStyle w:val="AAAAAAATEXXXX"/>
        <w:rPr>
          <w:lang w:val="sq-AL"/>
        </w:rPr>
      </w:pPr>
      <w:r w:rsidRPr="00050FA4">
        <w:rPr>
          <w:lang w:val="sq-AL"/>
        </w:rPr>
        <w:t>-</w:t>
      </w:r>
      <w:r w:rsidR="006738AA" w:rsidRPr="00050FA4">
        <w:rPr>
          <w:lang w:val="sq-AL"/>
        </w:rPr>
        <w:t xml:space="preserve"> Pandemia duket se ka përshpejtuar nevojën që kompanitë të fokusohen tek </w:t>
      </w:r>
      <w:r w:rsidR="00A417C0" w:rsidRPr="00050FA4">
        <w:rPr>
          <w:lang w:val="sq-AL"/>
        </w:rPr>
        <w:t>inovacioni</w:t>
      </w:r>
      <w:r w:rsidR="006738AA" w:rsidRPr="00050FA4">
        <w:rPr>
          <w:lang w:val="sq-AL"/>
        </w:rPr>
        <w:t xml:space="preserve">, 57% e të anketuarve thonë se kanë ndryshuar planet e tyre të investimeve drejt </w:t>
      </w:r>
      <w:r w:rsidR="009878F3" w:rsidRPr="00050FA4">
        <w:rPr>
          <w:lang w:val="sq-AL"/>
        </w:rPr>
        <w:t>inovacionit</w:t>
      </w:r>
      <w:r w:rsidR="006738AA" w:rsidRPr="00050FA4">
        <w:rPr>
          <w:lang w:val="sq-AL"/>
        </w:rPr>
        <w:t>, kryesisht teknologjive të reja dhe menaxhimit të rrezikut. Bujqësia është sektori me dëshirën më të lartë për t</w:t>
      </w:r>
      <w:r w:rsidR="009878F3" w:rsidRPr="00050FA4">
        <w:rPr>
          <w:lang w:val="sq-AL"/>
        </w:rPr>
        <w:t>’</w:t>
      </w:r>
      <w:r w:rsidR="006738AA" w:rsidRPr="00050FA4">
        <w:rPr>
          <w:lang w:val="sq-AL"/>
        </w:rPr>
        <w:t xml:space="preserve">u orientuar drejt </w:t>
      </w:r>
      <w:r w:rsidR="009878F3" w:rsidRPr="00050FA4">
        <w:rPr>
          <w:lang w:val="sq-AL"/>
        </w:rPr>
        <w:t>inovacionit</w:t>
      </w:r>
      <w:r w:rsidR="006738AA" w:rsidRPr="00050FA4">
        <w:rPr>
          <w:lang w:val="sq-AL"/>
        </w:rPr>
        <w:t>.</w:t>
      </w:r>
    </w:p>
    <w:p w14:paraId="6F7BA832" w14:textId="4701D081" w:rsidR="006738AA" w:rsidRPr="00050FA4" w:rsidRDefault="000D67FC" w:rsidP="003F1DA7">
      <w:pPr>
        <w:pStyle w:val="AAAAAAATEXXXX"/>
        <w:rPr>
          <w:lang w:val="sq-AL"/>
        </w:rPr>
      </w:pPr>
      <w:r w:rsidRPr="00050FA4">
        <w:rPr>
          <w:lang w:val="sq-AL"/>
        </w:rPr>
        <w:t>-</w:t>
      </w:r>
      <w:r w:rsidR="006738AA" w:rsidRPr="00050FA4">
        <w:rPr>
          <w:lang w:val="sq-AL"/>
        </w:rPr>
        <w:t xml:space="preserve"> Bujqësia do të investojë më shumë në forcimin e kanaleve tregtare, menaxhimin e rrezikut dhe teknologjitë e reja. Turizmi në menaxhimin e riskut dhe formimin profesional. </w:t>
      </w:r>
    </w:p>
    <w:p w14:paraId="65A5647C" w14:textId="011C4E6C" w:rsidR="006738AA" w:rsidRPr="00050FA4" w:rsidRDefault="000D67FC" w:rsidP="003F1DA7">
      <w:pPr>
        <w:pStyle w:val="AAAAAAATEXXXX"/>
        <w:rPr>
          <w:lang w:val="sq-AL"/>
        </w:rPr>
      </w:pPr>
      <w:r w:rsidRPr="00050FA4">
        <w:rPr>
          <w:lang w:val="sq-AL"/>
        </w:rPr>
        <w:t>-</w:t>
      </w:r>
      <w:r w:rsidR="006738AA" w:rsidRPr="00050FA4">
        <w:rPr>
          <w:lang w:val="sq-AL"/>
        </w:rPr>
        <w:t xml:space="preserve"> Pavarësisht përmasave, kompanitë deklaruese kanë ndryshuar planet e tyre të investimit drejt Inovacionit, kryesisht menaxhimit të riskut dhe formimit profesional.</w:t>
      </w:r>
    </w:p>
    <w:p w14:paraId="03897685" w14:textId="37267717" w:rsidR="004F312A" w:rsidRPr="00050FA4" w:rsidRDefault="006F5897" w:rsidP="003F1DA7">
      <w:pPr>
        <w:pStyle w:val="AAAAAAATEXXXX"/>
        <w:rPr>
          <w:lang w:val="sq-AL"/>
        </w:rPr>
      </w:pPr>
      <w:r w:rsidRPr="00050FA4">
        <w:rPr>
          <w:lang w:val="sq-AL"/>
        </w:rPr>
        <w:t>b</w:t>
      </w:r>
      <w:r w:rsidR="000D67FC" w:rsidRPr="00050FA4">
        <w:rPr>
          <w:lang w:val="sq-AL"/>
        </w:rPr>
        <w:t>)</w:t>
      </w:r>
      <w:r w:rsidRPr="00050FA4">
        <w:rPr>
          <w:lang w:val="sq-AL"/>
        </w:rPr>
        <w:t xml:space="preserve"> </w:t>
      </w:r>
      <w:r w:rsidR="00B2062A" w:rsidRPr="00050FA4">
        <w:rPr>
          <w:lang w:val="sq-AL"/>
        </w:rPr>
        <w:t>Masat e reformës</w:t>
      </w:r>
    </w:p>
    <w:p w14:paraId="4B948AA8" w14:textId="0F6FCE87" w:rsidR="004F312A"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06</w:t>
      </w:r>
      <w:r w:rsidR="004F312A" w:rsidRPr="00050FA4">
        <w:rPr>
          <w:rFonts w:ascii="Garamond" w:hAnsi="Garamond" w:cstheme="majorBidi"/>
          <w:color w:val="0D0D0D" w:themeColor="text1" w:themeTint="F2"/>
          <w:sz w:val="24"/>
          <w:szCs w:val="24"/>
        </w:rPr>
        <w:t xml:space="preserve">: </w:t>
      </w:r>
      <w:r w:rsidR="00020EB1" w:rsidRPr="00050FA4">
        <w:rPr>
          <w:rFonts w:ascii="Garamond" w:hAnsi="Garamond" w:cstheme="majorBidi"/>
          <w:color w:val="0D0D0D" w:themeColor="text1" w:themeTint="F2"/>
          <w:sz w:val="24"/>
          <w:szCs w:val="24"/>
        </w:rPr>
        <w:t xml:space="preserve">Fuqizimi i </w:t>
      </w:r>
      <w:r w:rsidR="001E4FC2" w:rsidRPr="00050FA4">
        <w:rPr>
          <w:rFonts w:ascii="Garamond" w:hAnsi="Garamond" w:cstheme="majorBidi"/>
          <w:color w:val="0D0D0D" w:themeColor="text1" w:themeTint="F2"/>
          <w:sz w:val="24"/>
          <w:szCs w:val="24"/>
        </w:rPr>
        <w:t>luftës</w:t>
      </w:r>
      <w:r w:rsidR="00020EB1" w:rsidRPr="00050FA4">
        <w:rPr>
          <w:rFonts w:ascii="Garamond" w:hAnsi="Garamond" w:cstheme="majorBidi"/>
          <w:color w:val="0D0D0D" w:themeColor="text1" w:themeTint="F2"/>
          <w:sz w:val="24"/>
          <w:szCs w:val="24"/>
        </w:rPr>
        <w:t xml:space="preserve"> </w:t>
      </w:r>
      <w:r w:rsidR="001E4FC2" w:rsidRPr="00050FA4">
        <w:rPr>
          <w:rFonts w:ascii="Garamond" w:hAnsi="Garamond" w:cstheme="majorBidi"/>
          <w:color w:val="0D0D0D" w:themeColor="text1" w:themeTint="F2"/>
          <w:sz w:val="24"/>
          <w:szCs w:val="24"/>
        </w:rPr>
        <w:t>kundër</w:t>
      </w:r>
      <w:r w:rsidR="00020EB1" w:rsidRPr="00050FA4">
        <w:rPr>
          <w:rFonts w:ascii="Garamond" w:hAnsi="Garamond" w:cstheme="majorBidi"/>
          <w:color w:val="0D0D0D" w:themeColor="text1" w:themeTint="F2"/>
          <w:sz w:val="24"/>
          <w:szCs w:val="24"/>
        </w:rPr>
        <w:t xml:space="preserve"> informalitetit</w:t>
      </w:r>
    </w:p>
    <w:p w14:paraId="1C982DAB" w14:textId="19F69B42" w:rsidR="004F312A" w:rsidRPr="00050FA4" w:rsidRDefault="006F5897" w:rsidP="003F1DA7">
      <w:pPr>
        <w:pStyle w:val="AAAAAAATEXXXX"/>
        <w:rPr>
          <w:lang w:val="sq-AL"/>
        </w:rPr>
      </w:pPr>
      <w:r w:rsidRPr="00050FA4">
        <w:rPr>
          <w:lang w:val="sq-AL"/>
        </w:rPr>
        <w:t xml:space="preserve">1. </w:t>
      </w:r>
      <w:r w:rsidR="00B2062A" w:rsidRPr="00050FA4">
        <w:rPr>
          <w:lang w:val="sq-AL"/>
        </w:rPr>
        <w:t>Përshkrimi i masës</w:t>
      </w:r>
    </w:p>
    <w:p w14:paraId="1A628887" w14:textId="23DB91C6" w:rsidR="002F6FE6" w:rsidRPr="00050FA4" w:rsidRDefault="002F6FE6" w:rsidP="003F1DA7">
      <w:pPr>
        <w:pStyle w:val="AAAAAAATEXXXX"/>
        <w:rPr>
          <w:lang w:val="sq-AL"/>
        </w:rPr>
      </w:pPr>
      <w:r w:rsidRPr="00050FA4">
        <w:rPr>
          <w:lang w:val="sq-AL"/>
        </w:rPr>
        <w:t xml:space="preserve">Nismat kryesore të marra nga </w:t>
      </w:r>
      <w:r w:rsidR="009878F3" w:rsidRPr="00050FA4">
        <w:rPr>
          <w:lang w:val="sq-AL"/>
        </w:rPr>
        <w:t xml:space="preserve">administrata e taksave </w:t>
      </w:r>
      <w:r w:rsidRPr="00050FA4">
        <w:rPr>
          <w:lang w:val="sq-AL"/>
        </w:rPr>
        <w:t>kundër informalitetit në vitin 2021 u bazuan në parime dhe objektiva të qart</w:t>
      </w:r>
      <w:r w:rsidR="00E80EE3" w:rsidRPr="00050FA4">
        <w:rPr>
          <w:lang w:val="sq-AL"/>
        </w:rPr>
        <w:t>ë</w:t>
      </w:r>
      <w:r w:rsidRPr="00050FA4">
        <w:rPr>
          <w:lang w:val="sq-AL"/>
        </w:rPr>
        <w:t xml:space="preserve"> bazuar në inteligjencën (</w:t>
      </w:r>
      <w:r w:rsidR="00E80EE3" w:rsidRPr="00050FA4">
        <w:rPr>
          <w:lang w:val="sq-AL"/>
        </w:rPr>
        <w:t>risk</w:t>
      </w:r>
      <w:r w:rsidRPr="00050FA4">
        <w:rPr>
          <w:lang w:val="sq-AL"/>
        </w:rPr>
        <w:t>).</w:t>
      </w:r>
    </w:p>
    <w:p w14:paraId="48F349AF" w14:textId="19D0827D" w:rsidR="002F6FE6" w:rsidRPr="00050FA4" w:rsidRDefault="002F6FE6" w:rsidP="003F1DA7">
      <w:pPr>
        <w:pStyle w:val="AAAAAAATEXXXX"/>
        <w:rPr>
          <w:rStyle w:val="y2iqfc"/>
          <w:rFonts w:eastAsia="Calibri"/>
          <w:color w:val="0D0D0D" w:themeColor="text1" w:themeTint="F2"/>
          <w:lang w:val="sq-AL"/>
        </w:rPr>
      </w:pPr>
      <w:r w:rsidRPr="00050FA4">
        <w:rPr>
          <w:rStyle w:val="y2iqfc"/>
          <w:rFonts w:eastAsia="Calibri"/>
          <w:color w:val="0D0D0D" w:themeColor="text1" w:themeTint="F2"/>
          <w:lang w:val="sq-AL"/>
        </w:rPr>
        <w:t xml:space="preserve">Faza e parë e zbatimit të fiskalizimit, e cila konsiston në transaksione pa para të gatshme ndërmjet </w:t>
      </w:r>
      <w:r w:rsidRPr="00050FA4">
        <w:rPr>
          <w:rStyle w:val="y2iqfc"/>
          <w:rFonts w:eastAsia="Calibri"/>
          <w:color w:val="0D0D0D" w:themeColor="text1" w:themeTint="F2"/>
          <w:lang w:val="sq-AL"/>
        </w:rPr>
        <w:lastRenderedPageBreak/>
        <w:t xml:space="preserve">tatimpaguesve dhe subjekteve publike (B2G) ka nisur më 1 janar 2021; Faza e dytë e transaksioneve pa para ndërmjet tatimpaguesve (B2B) ka filluar më 1 korrik 2021, ndërsa më 1 shtator 2021 ka nisur faza e fundit për transaksionet me </w:t>
      </w:r>
      <w:r w:rsidRPr="00050FA4">
        <w:rPr>
          <w:rStyle w:val="y2iqfc"/>
          <w:rFonts w:eastAsia="Calibri"/>
          <w:i/>
          <w:iCs/>
          <w:color w:val="0D0D0D" w:themeColor="text1" w:themeTint="F2"/>
          <w:lang w:val="sq-AL"/>
        </w:rPr>
        <w:t>cash</w:t>
      </w:r>
      <w:r w:rsidRPr="00050FA4">
        <w:rPr>
          <w:rStyle w:val="y2iqfc"/>
          <w:rFonts w:eastAsia="Calibri"/>
          <w:color w:val="0D0D0D" w:themeColor="text1" w:themeTint="F2"/>
          <w:lang w:val="sq-AL"/>
        </w:rPr>
        <w:t xml:space="preserve"> tatimpagues-konsumator (B2C). Të dhënat në dispozicion janë si vijon:</w:t>
      </w:r>
    </w:p>
    <w:p w14:paraId="385E9D22" w14:textId="1D8052EE" w:rsidR="002F6FE6" w:rsidRPr="00050FA4" w:rsidRDefault="006F5897" w:rsidP="003F1DA7">
      <w:pPr>
        <w:pStyle w:val="AAAAAAATEXXXX"/>
        <w:rPr>
          <w:lang w:val="sq-AL"/>
        </w:rPr>
      </w:pPr>
      <w:r w:rsidRPr="00050FA4">
        <w:rPr>
          <w:lang w:val="sq-AL"/>
        </w:rPr>
        <w:t xml:space="preserve">- </w:t>
      </w:r>
      <w:r w:rsidR="002F6FE6" w:rsidRPr="00050FA4">
        <w:rPr>
          <w:lang w:val="sq-AL"/>
        </w:rPr>
        <w:t xml:space="preserve">Rreth 59.000 tatimpagues aktivë të fiskalizuar dhe mbi 126 milionë fatura të fiskalizuara që prej datës 1 </w:t>
      </w:r>
      <w:r w:rsidR="008C7A97" w:rsidRPr="00050FA4">
        <w:rPr>
          <w:lang w:val="sq-AL"/>
        </w:rPr>
        <w:t xml:space="preserve">janar </w:t>
      </w:r>
      <w:r w:rsidR="002F6FE6" w:rsidRPr="00050FA4">
        <w:rPr>
          <w:lang w:val="sq-AL"/>
        </w:rPr>
        <w:t>2021</w:t>
      </w:r>
      <w:r w:rsidR="00F0694D" w:rsidRPr="00050FA4">
        <w:rPr>
          <w:lang w:val="sq-AL"/>
        </w:rPr>
        <w:t>;</w:t>
      </w:r>
    </w:p>
    <w:p w14:paraId="20BF0409" w14:textId="3F874097" w:rsidR="002F6FE6" w:rsidRPr="00050FA4" w:rsidRDefault="006F5897" w:rsidP="003F1DA7">
      <w:pPr>
        <w:pStyle w:val="AAAAAAATEXXXX"/>
        <w:rPr>
          <w:lang w:val="sq-AL"/>
        </w:rPr>
      </w:pPr>
      <w:r w:rsidRPr="00050FA4">
        <w:rPr>
          <w:lang w:val="sq-AL"/>
        </w:rPr>
        <w:t xml:space="preserve">- </w:t>
      </w:r>
      <w:r w:rsidR="002F6FE6" w:rsidRPr="00050FA4">
        <w:rPr>
          <w:lang w:val="sq-AL"/>
        </w:rPr>
        <w:t>88.609 tatimpagues ose 73% e totalit të tatimpaguesve aktivë janë pajisur me certifikatë fiskalizimi</w:t>
      </w:r>
      <w:r w:rsidR="00F0694D" w:rsidRPr="00050FA4">
        <w:rPr>
          <w:lang w:val="sq-AL"/>
        </w:rPr>
        <w:t>;</w:t>
      </w:r>
    </w:p>
    <w:p w14:paraId="5B0A8936" w14:textId="367E3180" w:rsidR="002F6FE6" w:rsidRPr="00050FA4" w:rsidRDefault="006F5897" w:rsidP="003F1DA7">
      <w:pPr>
        <w:pStyle w:val="AAAAAAATEXXXX"/>
        <w:rPr>
          <w:lang w:val="sq-AL"/>
        </w:rPr>
      </w:pPr>
      <w:r w:rsidRPr="00050FA4">
        <w:rPr>
          <w:lang w:val="sq-AL"/>
        </w:rPr>
        <w:t xml:space="preserve">- </w:t>
      </w:r>
      <w:r w:rsidR="002F6FE6" w:rsidRPr="00050FA4">
        <w:rPr>
          <w:lang w:val="sq-AL"/>
        </w:rPr>
        <w:t>21.878 tatimpagues ose 86.4 % e tatimpaguesve aktivë Biznes i Madh (BM) janë pajisur me certifikatë fiskalizimi. 18.643 tatimpagues aktivë BM ose 73.6 % e totalit të BM kanë lëshuar fatura të fiskalizuara</w:t>
      </w:r>
      <w:r w:rsidR="00F0694D" w:rsidRPr="00050FA4">
        <w:rPr>
          <w:lang w:val="sq-AL"/>
        </w:rPr>
        <w:t>;</w:t>
      </w:r>
    </w:p>
    <w:p w14:paraId="3E3EC272" w14:textId="223DD39E" w:rsidR="002F6FE6" w:rsidRPr="00050FA4" w:rsidRDefault="00F0694D" w:rsidP="003F1DA7">
      <w:pPr>
        <w:pStyle w:val="AAAAAAATEXXXX"/>
        <w:rPr>
          <w:rStyle w:val="y2iqfc"/>
          <w:rFonts w:eastAsia="Calibri"/>
          <w:color w:val="0D0D0D" w:themeColor="text1" w:themeTint="F2"/>
          <w:lang w:val="sq-AL" w:eastAsia="sq-AL"/>
        </w:rPr>
      </w:pPr>
      <w:r w:rsidRPr="00050FA4">
        <w:rPr>
          <w:rStyle w:val="y2iqfc"/>
          <w:rFonts w:eastAsia="Calibri"/>
          <w:color w:val="0D0D0D" w:themeColor="text1" w:themeTint="F2"/>
          <w:lang w:val="sq-AL" w:eastAsia="sq-AL"/>
        </w:rPr>
        <w:t xml:space="preserve">- </w:t>
      </w:r>
      <w:r w:rsidR="002F6FE6" w:rsidRPr="00050FA4">
        <w:rPr>
          <w:rStyle w:val="y2iqfc"/>
          <w:rFonts w:eastAsia="Calibri"/>
          <w:color w:val="0D0D0D" w:themeColor="text1" w:themeTint="F2"/>
          <w:lang w:val="sq-AL" w:eastAsia="sq-AL"/>
        </w:rPr>
        <w:t>64.698 tatimpagues ose 71.1% e tatimpaguesve aktivë Biznes i Vogël (BV) janë pajisur me certifikatë fiskalizimi. 37.654 ose 41.4% e tatimpaguesve aktivë BV kanë lëshuar fatura të fiskalizuara.</w:t>
      </w:r>
    </w:p>
    <w:p w14:paraId="58135E3E" w14:textId="77777777" w:rsidR="002F6FE6" w:rsidRPr="00050FA4" w:rsidRDefault="002F6FE6" w:rsidP="003F1DA7">
      <w:pPr>
        <w:ind w:firstLine="284"/>
        <w:jc w:val="both"/>
        <w:rPr>
          <w:rFonts w:ascii="Garamond" w:hAnsi="Garamond"/>
          <w:color w:val="0D0D0D" w:themeColor="text1" w:themeTint="F2"/>
        </w:rPr>
      </w:pPr>
      <w:r w:rsidRPr="00050FA4">
        <w:rPr>
          <w:rFonts w:ascii="Garamond" w:hAnsi="Garamond"/>
          <w:color w:val="0D0D0D" w:themeColor="text1" w:themeTint="F2"/>
        </w:rPr>
        <w:t>Në kuadrin e luftës kundër informalitetit, administrata tatimore hartoi dhe zbatoi veprimet e mëposhtme:</w:t>
      </w:r>
    </w:p>
    <w:p w14:paraId="5296F241" w14:textId="38EC1F41" w:rsidR="002F6FE6" w:rsidRPr="00050FA4" w:rsidRDefault="006F5897" w:rsidP="003F1DA7">
      <w:pPr>
        <w:pStyle w:val="AAAAAAATEXXXX"/>
        <w:rPr>
          <w:lang w:val="sq-AL"/>
        </w:rPr>
      </w:pPr>
      <w:r w:rsidRPr="00050FA4">
        <w:rPr>
          <w:lang w:val="sq-AL"/>
        </w:rPr>
        <w:t xml:space="preserve">1. </w:t>
      </w:r>
      <w:r w:rsidR="002F6FE6" w:rsidRPr="00050FA4">
        <w:rPr>
          <w:lang w:val="sq-AL"/>
        </w:rPr>
        <w:t>Plani Sektorial i Turizmit 2021</w:t>
      </w:r>
      <w:r w:rsidR="00F0694D" w:rsidRPr="00050FA4">
        <w:rPr>
          <w:lang w:val="sq-AL"/>
        </w:rPr>
        <w:t>;</w:t>
      </w:r>
    </w:p>
    <w:p w14:paraId="03D89C6E" w14:textId="5577C5B2" w:rsidR="002F6FE6" w:rsidRPr="00050FA4" w:rsidRDefault="006F5897" w:rsidP="003F1DA7">
      <w:pPr>
        <w:pStyle w:val="AAAAAAATEXXXX"/>
        <w:rPr>
          <w:lang w:val="sq-AL"/>
        </w:rPr>
      </w:pPr>
      <w:r w:rsidRPr="00050FA4">
        <w:rPr>
          <w:lang w:val="sq-AL"/>
        </w:rPr>
        <w:t xml:space="preserve">2. </w:t>
      </w:r>
      <w:r w:rsidR="002F6FE6" w:rsidRPr="00050FA4">
        <w:rPr>
          <w:lang w:val="sq-AL"/>
        </w:rPr>
        <w:t>Rregullat e riskut për mbikëqyrjen e tatimpaguesve në kuadrin e ndryshimit të pragut të TVSH-së</w:t>
      </w:r>
      <w:r w:rsidR="00F0694D" w:rsidRPr="00050FA4">
        <w:rPr>
          <w:lang w:val="sq-AL"/>
        </w:rPr>
        <w:t>;</w:t>
      </w:r>
    </w:p>
    <w:p w14:paraId="27F5E242" w14:textId="6EE829A2" w:rsidR="002F6FE6" w:rsidRPr="00050FA4" w:rsidRDefault="006F5897" w:rsidP="003F1DA7">
      <w:pPr>
        <w:pStyle w:val="AAAAAAATEXXXX"/>
        <w:rPr>
          <w:lang w:val="sq-AL"/>
        </w:rPr>
      </w:pPr>
      <w:r w:rsidRPr="00050FA4">
        <w:rPr>
          <w:lang w:val="sq-AL"/>
        </w:rPr>
        <w:t xml:space="preserve">3. </w:t>
      </w:r>
      <w:r w:rsidR="002F6FE6" w:rsidRPr="00050FA4">
        <w:rPr>
          <w:lang w:val="sq-AL"/>
        </w:rPr>
        <w:t>Plani Sektorial i Rindërtimit</w:t>
      </w:r>
      <w:r w:rsidR="00F0694D" w:rsidRPr="00050FA4">
        <w:rPr>
          <w:lang w:val="sq-AL"/>
        </w:rPr>
        <w:t>.</w:t>
      </w:r>
    </w:p>
    <w:p w14:paraId="54772BDC" w14:textId="6E27B295" w:rsidR="002F6FE6" w:rsidRPr="00050FA4" w:rsidRDefault="002F6FE6" w:rsidP="003F1DA7">
      <w:pPr>
        <w:ind w:firstLine="284"/>
        <w:jc w:val="both"/>
        <w:rPr>
          <w:rFonts w:ascii="Garamond" w:hAnsi="Garamond"/>
          <w:bCs/>
          <w:color w:val="0D0D0D" w:themeColor="text1" w:themeTint="F2"/>
        </w:rPr>
      </w:pPr>
      <w:r w:rsidRPr="00050FA4">
        <w:rPr>
          <w:rFonts w:ascii="Garamond" w:hAnsi="Garamond"/>
          <w:bCs/>
          <w:color w:val="0D0D0D" w:themeColor="text1" w:themeTint="F2"/>
        </w:rPr>
        <w:t>Rezultatet kryesore nga këto iniciativa janë:</w:t>
      </w:r>
    </w:p>
    <w:p w14:paraId="3B982454" w14:textId="00431467" w:rsidR="002F6FE6" w:rsidRPr="00050FA4" w:rsidRDefault="006F5897" w:rsidP="003F1DA7">
      <w:pPr>
        <w:pStyle w:val="AAAAAAATEXXXX"/>
        <w:rPr>
          <w:b/>
          <w:lang w:val="sq-AL"/>
        </w:rPr>
      </w:pPr>
      <w:r w:rsidRPr="00050FA4">
        <w:rPr>
          <w:b/>
          <w:lang w:val="sq-AL"/>
        </w:rPr>
        <w:t xml:space="preserve">1. </w:t>
      </w:r>
      <w:r w:rsidR="002F6FE6" w:rsidRPr="00050FA4">
        <w:rPr>
          <w:b/>
          <w:lang w:val="sq-AL"/>
        </w:rPr>
        <w:t>Plani Sektorial i Turizmit 2021</w:t>
      </w:r>
    </w:p>
    <w:p w14:paraId="56B683FB" w14:textId="103857B4" w:rsidR="002F6FE6" w:rsidRPr="00050FA4" w:rsidRDefault="006F5897" w:rsidP="003F1DA7">
      <w:pPr>
        <w:pStyle w:val="AAAAAAATEXXXX"/>
        <w:rPr>
          <w:lang w:val="sq-AL"/>
        </w:rPr>
      </w:pPr>
      <w:r w:rsidRPr="00050FA4">
        <w:rPr>
          <w:lang w:val="sq-AL"/>
        </w:rPr>
        <w:t xml:space="preserve">- </w:t>
      </w:r>
      <w:r w:rsidR="002F6FE6" w:rsidRPr="00050FA4">
        <w:rPr>
          <w:lang w:val="sq-AL"/>
        </w:rPr>
        <w:t>Rritje me 8% e xhiros gjatë sezonit turistik 2021, krahasuar me vitin 2019 për të njëjtën periudhë për tatimpaguesit aktivë të synuar</w:t>
      </w:r>
      <w:r w:rsidR="00F0694D" w:rsidRPr="00050FA4">
        <w:rPr>
          <w:lang w:val="sq-AL"/>
        </w:rPr>
        <w:t>;</w:t>
      </w:r>
    </w:p>
    <w:p w14:paraId="32F20961" w14:textId="6F38C938" w:rsidR="002F6FE6" w:rsidRPr="00050FA4" w:rsidRDefault="006F5897" w:rsidP="003F1DA7">
      <w:pPr>
        <w:pStyle w:val="AAAAAAATEXXXX"/>
        <w:rPr>
          <w:lang w:val="sq-AL"/>
        </w:rPr>
      </w:pPr>
      <w:r w:rsidRPr="00050FA4">
        <w:rPr>
          <w:lang w:val="sq-AL"/>
        </w:rPr>
        <w:t xml:space="preserve">- </w:t>
      </w:r>
      <w:r w:rsidR="002F6FE6" w:rsidRPr="00050FA4">
        <w:rPr>
          <w:lang w:val="sq-AL"/>
        </w:rPr>
        <w:t>4% rritje e pagesës së TVSH-së duke identifikuar dhe inkurajuar tat</w:t>
      </w:r>
      <w:r w:rsidR="00F0694D" w:rsidRPr="00050FA4">
        <w:rPr>
          <w:lang w:val="sq-AL"/>
        </w:rPr>
        <w:t>impaguesit që rezultojnë në mos</w:t>
      </w:r>
      <w:r w:rsidR="002F6FE6" w:rsidRPr="00050FA4">
        <w:rPr>
          <w:lang w:val="sq-AL"/>
        </w:rPr>
        <w:t>deklarim apo pagesë të vonuar</w:t>
      </w:r>
      <w:r w:rsidR="00F0694D" w:rsidRPr="00050FA4">
        <w:rPr>
          <w:lang w:val="sq-AL"/>
        </w:rPr>
        <w:t>;</w:t>
      </w:r>
    </w:p>
    <w:p w14:paraId="0A5E95E0" w14:textId="54809FC7" w:rsidR="002F6FE6" w:rsidRPr="00050FA4" w:rsidRDefault="006F5897" w:rsidP="003F1DA7">
      <w:pPr>
        <w:pStyle w:val="AAAAAAATEXXXX"/>
        <w:rPr>
          <w:lang w:val="sq-AL"/>
        </w:rPr>
      </w:pPr>
      <w:r w:rsidRPr="00050FA4">
        <w:rPr>
          <w:lang w:val="sq-AL"/>
        </w:rPr>
        <w:t xml:space="preserve">- </w:t>
      </w:r>
      <w:r w:rsidR="002F6FE6" w:rsidRPr="00050FA4">
        <w:rPr>
          <w:lang w:val="sq-AL"/>
        </w:rPr>
        <w:t>Reduktim me 25% të numrit të tatimpaguesve (TP) që deklarojnë n</w:t>
      </w:r>
      <w:r w:rsidR="00F0694D" w:rsidRPr="00050FA4">
        <w:rPr>
          <w:lang w:val="sq-AL"/>
        </w:rPr>
        <w:t>ë listë pagesë vetëm 1 punonjës;</w:t>
      </w:r>
    </w:p>
    <w:p w14:paraId="69A8585D" w14:textId="157A2DF1" w:rsidR="002F6FE6" w:rsidRPr="00050FA4" w:rsidRDefault="006F5897" w:rsidP="003F1DA7">
      <w:pPr>
        <w:pStyle w:val="AAAAAAATEXXXX"/>
        <w:rPr>
          <w:lang w:val="sq-AL"/>
        </w:rPr>
      </w:pPr>
      <w:r w:rsidRPr="00050FA4">
        <w:rPr>
          <w:lang w:val="sq-AL"/>
        </w:rPr>
        <w:t xml:space="preserve">- </w:t>
      </w:r>
      <w:r w:rsidR="002F6FE6" w:rsidRPr="00050FA4">
        <w:rPr>
          <w:lang w:val="sq-AL"/>
        </w:rPr>
        <w:t>Zvogëlim me 15% të numrit të punonjësve me pagë minimale ose më pak.</w:t>
      </w:r>
    </w:p>
    <w:p w14:paraId="4F0F246F" w14:textId="287253DD" w:rsidR="002F6FE6" w:rsidRPr="00050FA4" w:rsidRDefault="006F5897" w:rsidP="003F1DA7">
      <w:pPr>
        <w:pStyle w:val="AAAAAAATEXXXX"/>
        <w:rPr>
          <w:b/>
          <w:lang w:val="sq-AL"/>
        </w:rPr>
      </w:pPr>
      <w:r w:rsidRPr="00050FA4">
        <w:rPr>
          <w:b/>
          <w:lang w:val="sq-AL"/>
        </w:rPr>
        <w:t xml:space="preserve">2. </w:t>
      </w:r>
      <w:r w:rsidR="002F6FE6" w:rsidRPr="00050FA4">
        <w:rPr>
          <w:b/>
          <w:lang w:val="sq-AL"/>
        </w:rPr>
        <w:t>Plani Sektorial i Rindërtimit</w:t>
      </w:r>
    </w:p>
    <w:p w14:paraId="7399B68E" w14:textId="77777777" w:rsidR="002F6FE6" w:rsidRPr="00050FA4" w:rsidRDefault="002F6FE6" w:rsidP="003F1DA7">
      <w:pPr>
        <w:pStyle w:val="AAAAAAATEXXXX"/>
        <w:rPr>
          <w:lang w:val="sq-AL"/>
        </w:rPr>
      </w:pPr>
      <w:r w:rsidRPr="00050FA4">
        <w:rPr>
          <w:lang w:val="sq-AL"/>
        </w:rPr>
        <w:t>U identifikuan tatimpagues me risk:</w:t>
      </w:r>
    </w:p>
    <w:p w14:paraId="6AFD4EEF" w14:textId="6E1EA794" w:rsidR="002F6FE6" w:rsidRPr="00050FA4" w:rsidRDefault="006F5897" w:rsidP="003F1DA7">
      <w:pPr>
        <w:pStyle w:val="AAAAAAATEXXXX"/>
        <w:rPr>
          <w:lang w:val="sq-AL"/>
        </w:rPr>
      </w:pPr>
      <w:r w:rsidRPr="00050FA4">
        <w:rPr>
          <w:lang w:val="sq-AL"/>
        </w:rPr>
        <w:t xml:space="preserve">- </w:t>
      </w:r>
      <w:r w:rsidR="00F0694D" w:rsidRPr="00050FA4">
        <w:rPr>
          <w:lang w:val="sq-AL"/>
        </w:rPr>
        <w:t xml:space="preserve">shitjet </w:t>
      </w:r>
      <w:r w:rsidR="002F6FE6" w:rsidRPr="00050FA4">
        <w:rPr>
          <w:lang w:val="sq-AL"/>
        </w:rPr>
        <w:t>e mëdha t</w:t>
      </w:r>
      <w:r w:rsidR="000C71F9" w:rsidRPr="00050FA4">
        <w:rPr>
          <w:lang w:val="sq-AL"/>
        </w:rPr>
        <w:t>ë</w:t>
      </w:r>
      <w:r w:rsidR="002F6FE6" w:rsidRPr="00050FA4">
        <w:rPr>
          <w:lang w:val="sq-AL"/>
        </w:rPr>
        <w:t xml:space="preserve"> përjashtuara nga TVSH-ja</w:t>
      </w:r>
      <w:r w:rsidR="00F0694D" w:rsidRPr="00050FA4">
        <w:rPr>
          <w:lang w:val="sq-AL"/>
        </w:rPr>
        <w:t>;</w:t>
      </w:r>
    </w:p>
    <w:p w14:paraId="12CA0FA7" w14:textId="5F56FB99" w:rsidR="002F6FE6" w:rsidRPr="00050FA4" w:rsidRDefault="006F5897" w:rsidP="003F1DA7">
      <w:pPr>
        <w:pStyle w:val="AAAAAAATEXXXX"/>
        <w:rPr>
          <w:lang w:val="sq-AL"/>
        </w:rPr>
      </w:pPr>
      <w:r w:rsidRPr="00050FA4">
        <w:rPr>
          <w:lang w:val="sq-AL"/>
        </w:rPr>
        <w:t xml:space="preserve">- </w:t>
      </w:r>
      <w:r w:rsidR="00F0694D" w:rsidRPr="00050FA4">
        <w:rPr>
          <w:lang w:val="sq-AL"/>
        </w:rPr>
        <w:t xml:space="preserve">tatimpagues </w:t>
      </w:r>
      <w:r w:rsidR="002F6FE6" w:rsidRPr="00050FA4">
        <w:rPr>
          <w:lang w:val="sq-AL"/>
        </w:rPr>
        <w:t>me përqindjen më të lartë të punonjësve nen pagën minimale</w:t>
      </w:r>
      <w:r w:rsidR="00F0694D" w:rsidRPr="00050FA4">
        <w:rPr>
          <w:lang w:val="sq-AL"/>
        </w:rPr>
        <w:t>;</w:t>
      </w:r>
    </w:p>
    <w:p w14:paraId="6CC731A3" w14:textId="21C9D62C" w:rsidR="002F6FE6" w:rsidRPr="00050FA4" w:rsidRDefault="006F5897" w:rsidP="003F1DA7">
      <w:pPr>
        <w:pStyle w:val="AAAAAAATEXXXX"/>
        <w:rPr>
          <w:lang w:val="sq-AL"/>
        </w:rPr>
      </w:pPr>
      <w:r w:rsidRPr="00050FA4">
        <w:rPr>
          <w:lang w:val="sq-AL"/>
        </w:rPr>
        <w:t xml:space="preserve">- </w:t>
      </w:r>
      <w:r w:rsidR="00F0694D" w:rsidRPr="00050FA4">
        <w:rPr>
          <w:lang w:val="sq-AL"/>
        </w:rPr>
        <w:t xml:space="preserve">tatimpagues </w:t>
      </w:r>
      <w:r w:rsidR="002F6FE6" w:rsidRPr="00050FA4">
        <w:rPr>
          <w:lang w:val="sq-AL"/>
        </w:rPr>
        <w:t>me një rënie në koeficientin e pagesës së TVSH-së</w:t>
      </w:r>
      <w:r w:rsidR="00F0694D" w:rsidRPr="00050FA4">
        <w:rPr>
          <w:lang w:val="sq-AL"/>
        </w:rPr>
        <w:t>;</w:t>
      </w:r>
    </w:p>
    <w:p w14:paraId="30C82E5B" w14:textId="03971B96" w:rsidR="002F6FE6" w:rsidRPr="00050FA4" w:rsidRDefault="006F5897" w:rsidP="003F1DA7">
      <w:pPr>
        <w:pStyle w:val="AAAAAAATEXXXX"/>
        <w:rPr>
          <w:lang w:val="sq-AL"/>
        </w:rPr>
      </w:pPr>
      <w:r w:rsidRPr="00050FA4">
        <w:rPr>
          <w:lang w:val="sq-AL"/>
        </w:rPr>
        <w:t xml:space="preserve">- </w:t>
      </w:r>
      <w:r w:rsidR="00F0694D" w:rsidRPr="00050FA4">
        <w:rPr>
          <w:lang w:val="sq-AL"/>
        </w:rPr>
        <w:t xml:space="preserve">tatimpagues </w:t>
      </w:r>
      <w:r w:rsidR="00460ADB" w:rsidRPr="00050FA4">
        <w:rPr>
          <w:lang w:val="sq-AL"/>
        </w:rPr>
        <w:t>që rezultojnë me 1–</w:t>
      </w:r>
      <w:r w:rsidR="002F6FE6" w:rsidRPr="00050FA4">
        <w:rPr>
          <w:lang w:val="sq-AL"/>
        </w:rPr>
        <w:t>3 punonjës</w:t>
      </w:r>
      <w:r w:rsidR="00F0694D" w:rsidRPr="00050FA4">
        <w:rPr>
          <w:lang w:val="sq-AL"/>
        </w:rPr>
        <w:t>;</w:t>
      </w:r>
    </w:p>
    <w:p w14:paraId="0AA72185" w14:textId="3399BA85" w:rsidR="002F6FE6" w:rsidRPr="00050FA4" w:rsidRDefault="006F5897" w:rsidP="003F1DA7">
      <w:pPr>
        <w:pStyle w:val="AAAAAAATEXXXX"/>
        <w:rPr>
          <w:lang w:val="sq-AL"/>
        </w:rPr>
      </w:pPr>
      <w:r w:rsidRPr="00050FA4">
        <w:rPr>
          <w:lang w:val="sq-AL"/>
        </w:rPr>
        <w:t xml:space="preserve">- </w:t>
      </w:r>
      <w:r w:rsidR="00F0694D" w:rsidRPr="00050FA4">
        <w:rPr>
          <w:lang w:val="sq-AL"/>
        </w:rPr>
        <w:t xml:space="preserve">tatimpagues </w:t>
      </w:r>
      <w:r w:rsidR="002F6FE6" w:rsidRPr="00050FA4">
        <w:rPr>
          <w:lang w:val="sq-AL"/>
        </w:rPr>
        <w:t>që</w:t>
      </w:r>
      <w:r w:rsidR="009B1D6B" w:rsidRPr="00050FA4">
        <w:rPr>
          <w:lang w:val="sq-AL"/>
        </w:rPr>
        <w:t xml:space="preserve"> </w:t>
      </w:r>
      <w:r w:rsidR="002F6FE6" w:rsidRPr="00050FA4">
        <w:rPr>
          <w:lang w:val="sq-AL"/>
        </w:rPr>
        <w:t>në mars 2020 rezultuan në një rënie në numrin e punonjësve</w:t>
      </w:r>
      <w:r w:rsidR="00F0694D" w:rsidRPr="00050FA4">
        <w:rPr>
          <w:lang w:val="sq-AL"/>
        </w:rPr>
        <w:t>;</w:t>
      </w:r>
    </w:p>
    <w:p w14:paraId="48BD913B" w14:textId="029655A4" w:rsidR="002F6FE6" w:rsidRPr="00050FA4" w:rsidRDefault="006F5897" w:rsidP="003F1DA7">
      <w:pPr>
        <w:pStyle w:val="AAAAAAATEXXXX"/>
        <w:rPr>
          <w:lang w:val="sq-AL"/>
        </w:rPr>
      </w:pPr>
      <w:r w:rsidRPr="00050FA4">
        <w:rPr>
          <w:lang w:val="sq-AL"/>
        </w:rPr>
        <w:t xml:space="preserve">- </w:t>
      </w:r>
      <w:r w:rsidR="00F0694D" w:rsidRPr="00050FA4">
        <w:rPr>
          <w:lang w:val="sq-AL"/>
        </w:rPr>
        <w:t xml:space="preserve">tatimpagues </w:t>
      </w:r>
      <w:r w:rsidR="00460ADB" w:rsidRPr="00050FA4">
        <w:rPr>
          <w:lang w:val="sq-AL"/>
        </w:rPr>
        <w:t>që</w:t>
      </w:r>
      <w:r w:rsidR="002F6FE6" w:rsidRPr="00050FA4">
        <w:rPr>
          <w:lang w:val="sq-AL"/>
        </w:rPr>
        <w:t xml:space="preserve"> rezultuan me humbje gjatë vitit 2020.</w:t>
      </w:r>
    </w:p>
    <w:p w14:paraId="699E3B0C" w14:textId="764E8869" w:rsidR="002F6FE6" w:rsidRPr="00050FA4" w:rsidRDefault="002F6FE6" w:rsidP="003F1DA7">
      <w:pPr>
        <w:pStyle w:val="AAAAAAATEXXXX"/>
        <w:rPr>
          <w:lang w:val="sq-AL"/>
        </w:rPr>
      </w:pPr>
      <w:r w:rsidRPr="00050FA4">
        <w:rPr>
          <w:lang w:val="sq-AL"/>
        </w:rPr>
        <w:t>Bazuar në këto kritere risku, forma e trajtimit të riskut për tatimpaguesit e identifikuar ishte: kontrolli i plotë tatimor, kontroll nga zyra, vizitat fiskale, monitorimi, kontakti</w:t>
      </w:r>
      <w:r w:rsidR="009B1D6B" w:rsidRPr="00050FA4">
        <w:rPr>
          <w:lang w:val="sq-AL"/>
        </w:rPr>
        <w:t xml:space="preserve"> </w:t>
      </w:r>
      <w:r w:rsidRPr="00050FA4">
        <w:rPr>
          <w:lang w:val="sq-AL"/>
        </w:rPr>
        <w:t>me letra dhe telefonata.</w:t>
      </w:r>
    </w:p>
    <w:p w14:paraId="652E59A3" w14:textId="2E05612A" w:rsidR="002F6FE6" w:rsidRPr="00050FA4" w:rsidRDefault="002F6FE6" w:rsidP="003F1DA7">
      <w:pPr>
        <w:pStyle w:val="AAAAAAATEXXXX"/>
        <w:rPr>
          <w:lang w:val="sq-AL"/>
        </w:rPr>
      </w:pPr>
      <w:r w:rsidRPr="00050FA4">
        <w:rPr>
          <w:lang w:val="sq-AL"/>
        </w:rPr>
        <w:t xml:space="preserve">Gjatë periudhës në vijim, vëmendja e </w:t>
      </w:r>
      <w:r w:rsidR="00F0694D" w:rsidRPr="00050FA4">
        <w:rPr>
          <w:lang w:val="sq-AL"/>
        </w:rPr>
        <w:t xml:space="preserve">administratës tatimore </w:t>
      </w:r>
      <w:r w:rsidRPr="00050FA4">
        <w:rPr>
          <w:lang w:val="sq-AL"/>
        </w:rPr>
        <w:t>do të përqendrohet në vazhdimin e trajtimit të informalitetit në tregun e punës dhe në hartimin e planeve sektoriale për sektorin e energjisë elektrike dhe hidrokarbureve, si dhe trajtimin e çdo sjelljeje mospërmbushëse të identifikuar për sektorë të ndryshëm, lloje t</w:t>
      </w:r>
      <w:r w:rsidR="000C71F9" w:rsidRPr="00050FA4">
        <w:rPr>
          <w:lang w:val="sq-AL"/>
        </w:rPr>
        <w:t>ë</w:t>
      </w:r>
      <w:r w:rsidRPr="00050FA4">
        <w:rPr>
          <w:lang w:val="sq-AL"/>
        </w:rPr>
        <w:t xml:space="preserve"> ndryshme tatimesh, vendndodhje gjeografike apo madhësi të ndryshme tatimpaguesish.</w:t>
      </w:r>
    </w:p>
    <w:p w14:paraId="1C3A6089" w14:textId="46EDBD62" w:rsidR="00020EB1" w:rsidRPr="00050FA4" w:rsidRDefault="002F6FE6" w:rsidP="003F1DA7">
      <w:pPr>
        <w:pStyle w:val="AAAAAAATEXXXX"/>
        <w:rPr>
          <w:rFonts w:cstheme="majorBidi"/>
          <w:lang w:val="sq-AL"/>
        </w:rPr>
      </w:pPr>
      <w:r w:rsidRPr="00050FA4">
        <w:rPr>
          <w:lang w:val="sq-AL"/>
        </w:rPr>
        <w:t>Reforma e parashikuar për zbatim gjatë periudhës 2022</w:t>
      </w:r>
      <w:r w:rsidR="00F0694D" w:rsidRPr="00050FA4">
        <w:rPr>
          <w:lang w:val="sq-AL"/>
        </w:rPr>
        <w:t>–</w:t>
      </w:r>
      <w:r w:rsidRPr="00050FA4">
        <w:rPr>
          <w:lang w:val="sq-AL"/>
        </w:rPr>
        <w:t>2024 do të kontribuojë në reduktimin e mëtejshëm të informalitetit dhe mundësimin e shërbimeve më cilësore në sektorin e taksave.</w:t>
      </w:r>
    </w:p>
    <w:p w14:paraId="3BF54CEF" w14:textId="401D47F3" w:rsidR="004F312A" w:rsidRPr="00050FA4" w:rsidRDefault="006F5897" w:rsidP="003F1DA7">
      <w:pPr>
        <w:pStyle w:val="AAAAAAATEXXXX"/>
        <w:rPr>
          <w:b/>
          <w:lang w:val="sq-AL"/>
        </w:rPr>
      </w:pPr>
      <w:r w:rsidRPr="00050FA4">
        <w:rPr>
          <w:b/>
          <w:lang w:val="sq-AL"/>
        </w:rPr>
        <w:t xml:space="preserve">a) </w:t>
      </w:r>
      <w:r w:rsidR="00B2062A" w:rsidRPr="00050FA4">
        <w:rPr>
          <w:b/>
          <w:lang w:val="sq-AL"/>
        </w:rPr>
        <w:t xml:space="preserve">Aktivitete të planifikuara </w:t>
      </w:r>
      <w:r w:rsidR="00F0694D" w:rsidRPr="00050FA4">
        <w:rPr>
          <w:b/>
          <w:lang w:val="sq-AL"/>
        </w:rPr>
        <w:t>m</w:t>
      </w:r>
      <w:r w:rsidR="00B2062A" w:rsidRPr="00050FA4">
        <w:rPr>
          <w:b/>
          <w:lang w:val="sq-AL"/>
        </w:rPr>
        <w:t>ë</w:t>
      </w:r>
      <w:r w:rsidR="004F312A" w:rsidRPr="00050FA4">
        <w:rPr>
          <w:b/>
          <w:lang w:val="sq-AL"/>
        </w:rPr>
        <w:t xml:space="preserve"> 2022</w:t>
      </w:r>
      <w:r w:rsidR="000D67FC" w:rsidRPr="00050FA4">
        <w:rPr>
          <w:b/>
          <w:lang w:val="sq-AL"/>
        </w:rPr>
        <w:t>–</w:t>
      </w:r>
      <w:r w:rsidR="002A4BC2" w:rsidRPr="00050FA4">
        <w:rPr>
          <w:b/>
          <w:lang w:val="sq-AL"/>
        </w:rPr>
        <w:t>2024</w:t>
      </w:r>
    </w:p>
    <w:p w14:paraId="40573186" w14:textId="33592607" w:rsidR="002F6FE6" w:rsidRPr="00050FA4" w:rsidRDefault="006F5897" w:rsidP="003F1DA7">
      <w:pPr>
        <w:pStyle w:val="AAAAAAATEXXXX"/>
        <w:rPr>
          <w:b/>
          <w:lang w:val="sq-AL"/>
        </w:rPr>
      </w:pPr>
      <w:r w:rsidRPr="00050FA4">
        <w:rPr>
          <w:lang w:val="sq-AL"/>
        </w:rPr>
        <w:t>a</w:t>
      </w:r>
      <w:r w:rsidR="000D67FC" w:rsidRPr="00050FA4">
        <w:rPr>
          <w:lang w:val="sq-AL"/>
        </w:rPr>
        <w:t>)</w:t>
      </w:r>
      <w:r w:rsidRPr="00050FA4">
        <w:rPr>
          <w:lang w:val="sq-AL"/>
        </w:rPr>
        <w:t xml:space="preserve"> </w:t>
      </w:r>
      <w:r w:rsidR="002F6FE6" w:rsidRPr="00050FA4">
        <w:rPr>
          <w:lang w:val="sq-AL"/>
        </w:rPr>
        <w:t>Automatizimi i procedurave të rimbursimit të TVSH-së, duke rezultuar në zerimin e detyrimeve t</w:t>
      </w:r>
      <w:r w:rsidR="000C71F9" w:rsidRPr="00050FA4">
        <w:rPr>
          <w:lang w:val="sq-AL"/>
        </w:rPr>
        <w:t>ë</w:t>
      </w:r>
      <w:r w:rsidR="002F6FE6" w:rsidRPr="00050FA4">
        <w:rPr>
          <w:lang w:val="sq-AL"/>
        </w:rPr>
        <w:t xml:space="preserve"> prapambetura t</w:t>
      </w:r>
      <w:r w:rsidR="000C71F9" w:rsidRPr="00050FA4">
        <w:rPr>
          <w:lang w:val="sq-AL"/>
        </w:rPr>
        <w:t>ë</w:t>
      </w:r>
      <w:r w:rsidR="002F6FE6" w:rsidRPr="00050FA4">
        <w:rPr>
          <w:lang w:val="sq-AL"/>
        </w:rPr>
        <w:t xml:space="preserve"> rimbursimit TVSH në vitin 2022.</w:t>
      </w:r>
    </w:p>
    <w:p w14:paraId="6C13C0B0" w14:textId="3E5E194F" w:rsidR="002F6FE6" w:rsidRPr="00050FA4" w:rsidRDefault="006F5897" w:rsidP="003F1DA7">
      <w:pPr>
        <w:pStyle w:val="AAAAAAATEXXXX"/>
        <w:rPr>
          <w:lang w:val="sq-AL"/>
        </w:rPr>
      </w:pPr>
      <w:r w:rsidRPr="00050FA4">
        <w:rPr>
          <w:lang w:val="sq-AL"/>
        </w:rPr>
        <w:t>b</w:t>
      </w:r>
      <w:r w:rsidR="000D67FC" w:rsidRPr="00050FA4">
        <w:rPr>
          <w:lang w:val="sq-AL"/>
        </w:rPr>
        <w:t>)</w:t>
      </w:r>
      <w:r w:rsidRPr="00050FA4">
        <w:rPr>
          <w:lang w:val="sq-AL"/>
        </w:rPr>
        <w:t xml:space="preserve"> </w:t>
      </w:r>
      <w:r w:rsidR="002F6FE6" w:rsidRPr="00050FA4">
        <w:rPr>
          <w:lang w:val="sq-AL"/>
        </w:rPr>
        <w:t xml:space="preserve">Kriteret e reja dhe të përmirësuara të riskut për identifikimin e tatimpaguesve në </w:t>
      </w:r>
      <w:r w:rsidR="00857902" w:rsidRPr="00050FA4">
        <w:rPr>
          <w:lang w:val="sq-AL"/>
        </w:rPr>
        <w:t>mospërmbushje</w:t>
      </w:r>
      <w:r w:rsidR="002F6FE6" w:rsidRPr="00050FA4">
        <w:rPr>
          <w:lang w:val="sq-AL"/>
        </w:rPr>
        <w:t xml:space="preserve"> t</w:t>
      </w:r>
      <w:r w:rsidR="000C71F9" w:rsidRPr="00050FA4">
        <w:rPr>
          <w:lang w:val="sq-AL"/>
        </w:rPr>
        <w:t>ë</w:t>
      </w:r>
      <w:r w:rsidR="002F6FE6" w:rsidRPr="00050FA4">
        <w:rPr>
          <w:lang w:val="sq-AL"/>
        </w:rPr>
        <w:t xml:space="preserve"> detyrimeve tatimore (tatimpaguesit me rritje të të ardhurave, por ulje të detyrimit TVSH; tatimpaguesit që nuk </w:t>
      </w:r>
      <w:r w:rsidR="00857902" w:rsidRPr="00050FA4">
        <w:rPr>
          <w:lang w:val="sq-AL"/>
        </w:rPr>
        <w:t>deklarojnë</w:t>
      </w:r>
      <w:r w:rsidR="002F6FE6" w:rsidRPr="00050FA4">
        <w:rPr>
          <w:lang w:val="sq-AL"/>
        </w:rPr>
        <w:t xml:space="preserve"> shpenzimet për faturat e energjisë elektrike; tatimpaguesit me paga të nëndeklaruara për punonjësit e tyre – të identifikuara duke krahasuar të dhënat disavjeçare).</w:t>
      </w:r>
    </w:p>
    <w:p w14:paraId="4CD40610" w14:textId="281792C4" w:rsidR="002F6FE6" w:rsidRPr="00050FA4" w:rsidRDefault="006F5897" w:rsidP="003F1DA7">
      <w:pPr>
        <w:pStyle w:val="AAAAAAATEXXXX"/>
        <w:rPr>
          <w:lang w:val="sq-AL"/>
        </w:rPr>
      </w:pPr>
      <w:r w:rsidRPr="00050FA4">
        <w:rPr>
          <w:lang w:val="sq-AL"/>
        </w:rPr>
        <w:t>c</w:t>
      </w:r>
      <w:r w:rsidR="000D67FC" w:rsidRPr="00050FA4">
        <w:rPr>
          <w:lang w:val="sq-AL"/>
        </w:rPr>
        <w:t xml:space="preserve">) </w:t>
      </w:r>
      <w:r w:rsidR="002F6FE6" w:rsidRPr="00050FA4">
        <w:rPr>
          <w:lang w:val="sq-AL"/>
        </w:rPr>
        <w:t xml:space="preserve">Trajtimi i evazionit fiskal, mashtrimit fiskal dhe informalitetit, duke përdorur në kohë reale </w:t>
      </w:r>
      <w:r w:rsidR="0026453E" w:rsidRPr="00050FA4">
        <w:rPr>
          <w:lang w:val="sq-AL"/>
        </w:rPr>
        <w:t>mbikëqyrjen</w:t>
      </w:r>
      <w:r w:rsidR="002F6FE6" w:rsidRPr="00050FA4">
        <w:rPr>
          <w:lang w:val="sq-AL"/>
        </w:rPr>
        <w:t xml:space="preserve"> e transaksioneve financiare midis tatimpaguesve, sipas sistemit të </w:t>
      </w:r>
      <w:r w:rsidR="00857902" w:rsidRPr="00050FA4">
        <w:rPr>
          <w:lang w:val="sq-AL"/>
        </w:rPr>
        <w:t>sapozbatuar</w:t>
      </w:r>
      <w:r w:rsidR="002F6FE6" w:rsidRPr="00050FA4">
        <w:rPr>
          <w:lang w:val="sq-AL"/>
        </w:rPr>
        <w:t xml:space="preserve"> të fiskalizimit (sistemi i monitorimit dhe </w:t>
      </w:r>
      <w:r w:rsidR="0026453E" w:rsidRPr="00050FA4">
        <w:rPr>
          <w:lang w:val="sq-AL"/>
        </w:rPr>
        <w:t>mbikëqyrjes</w:t>
      </w:r>
      <w:r w:rsidR="002F6FE6" w:rsidRPr="00050FA4">
        <w:rPr>
          <w:lang w:val="sq-AL"/>
        </w:rPr>
        <w:t xml:space="preserve"> së veprimtarive tregtare të tatimpaguesve nga autoritetet tatimore shqiptare). Ky sistem do të sjellë më shumë raportime transaksionesh me para në dorë dhe do të reduktojë transaksionet e fshehura pa para, me kontroll më të mirë të sistemit fiskal. Do të ndihmojë</w:t>
      </w:r>
      <w:r w:rsidR="00F0694D" w:rsidRPr="00050FA4">
        <w:rPr>
          <w:lang w:val="sq-AL"/>
        </w:rPr>
        <w:t>,</w:t>
      </w:r>
      <w:r w:rsidR="002F6FE6" w:rsidRPr="00050FA4">
        <w:rPr>
          <w:lang w:val="sq-AL"/>
        </w:rPr>
        <w:t xml:space="preserve"> gjithashtu</w:t>
      </w:r>
      <w:r w:rsidR="00F0694D" w:rsidRPr="00050FA4">
        <w:rPr>
          <w:lang w:val="sq-AL"/>
        </w:rPr>
        <w:t>,</w:t>
      </w:r>
      <w:r w:rsidR="002F6FE6" w:rsidRPr="00050FA4">
        <w:rPr>
          <w:lang w:val="sq-AL"/>
        </w:rPr>
        <w:t xml:space="preserve"> efikasitetin në raportimin fiskal, duke mbledhur më shumë të dhëna nga tatimpaguesit dhe duke parambushur </w:t>
      </w:r>
      <w:r w:rsidR="00857902" w:rsidRPr="00050FA4">
        <w:rPr>
          <w:lang w:val="sq-AL"/>
        </w:rPr>
        <w:t>deklaratën</w:t>
      </w:r>
      <w:r w:rsidR="002F6FE6" w:rsidRPr="00050FA4">
        <w:rPr>
          <w:lang w:val="sq-AL"/>
        </w:rPr>
        <w:t xml:space="preserve"> e TVSH-së me këto të dhëna.</w:t>
      </w:r>
    </w:p>
    <w:p w14:paraId="7CF983D4" w14:textId="0C588530" w:rsidR="002F6FE6" w:rsidRPr="00050FA4" w:rsidRDefault="006F5897" w:rsidP="003F1DA7">
      <w:pPr>
        <w:pStyle w:val="AAAAAAATEXXXX"/>
        <w:rPr>
          <w:lang w:val="sq-AL"/>
        </w:rPr>
      </w:pPr>
      <w:r w:rsidRPr="00050FA4">
        <w:rPr>
          <w:lang w:val="sq-AL"/>
        </w:rPr>
        <w:t>d</w:t>
      </w:r>
      <w:r w:rsidR="000D67FC" w:rsidRPr="00050FA4">
        <w:rPr>
          <w:lang w:val="sq-AL"/>
        </w:rPr>
        <w:t>)</w:t>
      </w:r>
      <w:r w:rsidRPr="00050FA4">
        <w:rPr>
          <w:lang w:val="sq-AL"/>
        </w:rPr>
        <w:t xml:space="preserve"> </w:t>
      </w:r>
      <w:r w:rsidR="002F6FE6" w:rsidRPr="00050FA4">
        <w:rPr>
          <w:lang w:val="sq-AL"/>
        </w:rPr>
        <w:t xml:space="preserve">Detektimi i të ardhurave globale të padeklaruara nga tatimpaguesit dhe individët, nëpërmjet </w:t>
      </w:r>
      <w:r w:rsidR="002F6FE6" w:rsidRPr="00050FA4">
        <w:rPr>
          <w:lang w:val="sq-AL"/>
        </w:rPr>
        <w:lastRenderedPageBreak/>
        <w:t>shkëmbimit të parë automatik të informacionit mbi llogaritë financiare në vitin 2021 e në vijim, sipas Standardit të Përbashkët të Raportimit të OECD-së.</w:t>
      </w:r>
    </w:p>
    <w:p w14:paraId="0B434B10" w14:textId="58AD7E9C" w:rsidR="002F6FE6" w:rsidRPr="00050FA4" w:rsidRDefault="006F5897" w:rsidP="003F1DA7">
      <w:pPr>
        <w:pStyle w:val="AAAAAAATEXXXX"/>
        <w:rPr>
          <w:lang w:val="sq-AL"/>
        </w:rPr>
      </w:pPr>
      <w:r w:rsidRPr="00050FA4">
        <w:rPr>
          <w:lang w:val="sq-AL"/>
        </w:rPr>
        <w:t>e</w:t>
      </w:r>
      <w:r w:rsidR="000D67FC" w:rsidRPr="00050FA4">
        <w:rPr>
          <w:lang w:val="sq-AL"/>
        </w:rPr>
        <w:t>)</w:t>
      </w:r>
      <w:r w:rsidRPr="00050FA4">
        <w:rPr>
          <w:lang w:val="sq-AL"/>
        </w:rPr>
        <w:t xml:space="preserve"> </w:t>
      </w:r>
      <w:r w:rsidR="002F6FE6" w:rsidRPr="00050FA4">
        <w:rPr>
          <w:lang w:val="sq-AL"/>
        </w:rPr>
        <w:t xml:space="preserve">Integrimi dhe përdorimi i të dhënave nga palët e treta në </w:t>
      </w:r>
      <w:r w:rsidR="002F6FE6" w:rsidRPr="00050FA4">
        <w:rPr>
          <w:i/>
          <w:iCs/>
          <w:lang w:val="sq-AL"/>
        </w:rPr>
        <w:t>Data Warehouse</w:t>
      </w:r>
      <w:r w:rsidR="002F6FE6" w:rsidRPr="00050FA4">
        <w:rPr>
          <w:lang w:val="sq-AL"/>
        </w:rPr>
        <w:t xml:space="preserve"> të administratës tatimore, {autoritetet kombëtare të shërbimeve (uji, elektriciteti), regjistrimi i automjeteve, bashkitë</w:t>
      </w:r>
      <w:r w:rsidR="00577E94" w:rsidRPr="00050FA4">
        <w:rPr>
          <w:lang w:val="sq-AL"/>
        </w:rPr>
        <w:t xml:space="preserve"> etj</w:t>
      </w:r>
      <w:r w:rsidR="002F6FE6" w:rsidRPr="00050FA4">
        <w:rPr>
          <w:lang w:val="sq-AL"/>
        </w:rPr>
        <w:t>.} Duke marrë në konsideratë hendekun e TVSH-së</w:t>
      </w:r>
      <w:r w:rsidR="00A769D0" w:rsidRPr="00050FA4">
        <w:rPr>
          <w:lang w:val="sq-AL"/>
        </w:rPr>
        <w:t>,</w:t>
      </w:r>
      <w:r w:rsidR="002F6FE6" w:rsidRPr="00050FA4">
        <w:rPr>
          <w:lang w:val="sq-AL"/>
        </w:rPr>
        <w:t xml:space="preserve"> si dhe mospërputhjet e të dhënave, mbledhjen e të dhënave dhe administrimin e mir</w:t>
      </w:r>
      <w:r w:rsidR="000C71F9" w:rsidRPr="00050FA4">
        <w:rPr>
          <w:lang w:val="sq-AL"/>
        </w:rPr>
        <w:t>ë</w:t>
      </w:r>
      <w:r w:rsidR="002F6FE6" w:rsidRPr="00050FA4">
        <w:rPr>
          <w:lang w:val="sq-AL"/>
        </w:rPr>
        <w:t xml:space="preserve"> t</w:t>
      </w:r>
      <w:r w:rsidR="000C71F9" w:rsidRPr="00050FA4">
        <w:rPr>
          <w:lang w:val="sq-AL"/>
        </w:rPr>
        <w:t>ë</w:t>
      </w:r>
      <w:r w:rsidR="002F6FE6" w:rsidRPr="00050FA4">
        <w:rPr>
          <w:lang w:val="sq-AL"/>
        </w:rPr>
        <w:t xml:space="preserve"> tyre, ndërtimi i një </w:t>
      </w:r>
      <w:r w:rsidR="002F6FE6" w:rsidRPr="00050FA4">
        <w:rPr>
          <w:i/>
          <w:iCs/>
          <w:lang w:val="sq-AL"/>
        </w:rPr>
        <w:t>Data Warehouse</w:t>
      </w:r>
      <w:r w:rsidR="002F6FE6" w:rsidRPr="00050FA4">
        <w:rPr>
          <w:lang w:val="sq-AL"/>
        </w:rPr>
        <w:t xml:space="preserve"> (si një nga rekomandimet e FMN-së) me të dhëna të centralizuara, të menaxhuara nga vetëm një burim, bëhet një hap i madh përpara në lidhje me luftën kundër informalitetit. </w:t>
      </w:r>
    </w:p>
    <w:p w14:paraId="2FA35FC8" w14:textId="204E5EFE" w:rsidR="002F6FE6" w:rsidRPr="00050FA4" w:rsidRDefault="006F5897" w:rsidP="003F1DA7">
      <w:pPr>
        <w:pStyle w:val="AAAAAAATEXXXX"/>
        <w:rPr>
          <w:lang w:val="sq-AL"/>
        </w:rPr>
      </w:pPr>
      <w:r w:rsidRPr="00050FA4">
        <w:rPr>
          <w:lang w:val="sq-AL"/>
        </w:rPr>
        <w:t>f</w:t>
      </w:r>
      <w:r w:rsidR="000D67FC" w:rsidRPr="00050FA4">
        <w:rPr>
          <w:lang w:val="sq-AL"/>
        </w:rPr>
        <w:t>)</w:t>
      </w:r>
      <w:r w:rsidRPr="00050FA4">
        <w:rPr>
          <w:lang w:val="sq-AL"/>
        </w:rPr>
        <w:t xml:space="preserve"> </w:t>
      </w:r>
      <w:r w:rsidR="002F6FE6" w:rsidRPr="00050FA4">
        <w:rPr>
          <w:lang w:val="sq-AL"/>
        </w:rPr>
        <w:t xml:space="preserve">Ndërtimi i Regjistrit të Aseteve të Tatimpaguesve (te tundshme </w:t>
      </w:r>
      <w:r w:rsidR="00A769D0" w:rsidRPr="00050FA4">
        <w:rPr>
          <w:lang w:val="sq-AL"/>
        </w:rPr>
        <w:t>dhe</w:t>
      </w:r>
      <w:r w:rsidR="002F6FE6" w:rsidRPr="00050FA4">
        <w:rPr>
          <w:lang w:val="sq-AL"/>
        </w:rPr>
        <w:t xml:space="preserve"> patundshme), me qëllim vlerësimin real të pasurive të tatimpaguesve, duke ndërtuar një sistem për verifikimin dhe ndjekjen e të ardhurave të tatimpaguesve, kontrollin e plotë të pagesave të bëra mbi taksat e pasurisë. Ky proces do të kalojë nëpër 3 faza: a</w:t>
      </w:r>
      <w:r w:rsidR="006C029C" w:rsidRPr="00050FA4">
        <w:rPr>
          <w:lang w:val="sq-AL"/>
        </w:rPr>
        <w:t>)</w:t>
      </w:r>
      <w:r w:rsidR="002F6FE6" w:rsidRPr="00050FA4">
        <w:rPr>
          <w:lang w:val="sq-AL"/>
        </w:rPr>
        <w:t xml:space="preserve"> </w:t>
      </w:r>
      <w:r w:rsidR="006C029C" w:rsidRPr="00050FA4">
        <w:rPr>
          <w:lang w:val="sq-AL"/>
        </w:rPr>
        <w:t xml:space="preserve">krijimi i një regjistri </w:t>
      </w:r>
      <w:r w:rsidR="002F6FE6" w:rsidRPr="00050FA4">
        <w:rPr>
          <w:lang w:val="sq-AL"/>
        </w:rPr>
        <w:t>asetesh me atributet përkatëse; b</w:t>
      </w:r>
      <w:r w:rsidR="006C029C" w:rsidRPr="00050FA4">
        <w:rPr>
          <w:lang w:val="sq-AL"/>
        </w:rPr>
        <w:t>)</w:t>
      </w:r>
      <w:r w:rsidR="002F6FE6" w:rsidRPr="00050FA4">
        <w:rPr>
          <w:lang w:val="sq-AL"/>
        </w:rPr>
        <w:t xml:space="preserve"> </w:t>
      </w:r>
      <w:r w:rsidR="006C029C" w:rsidRPr="00050FA4">
        <w:rPr>
          <w:lang w:val="sq-AL"/>
        </w:rPr>
        <w:t xml:space="preserve">shkëmbimi </w:t>
      </w:r>
      <w:r w:rsidR="002F6FE6" w:rsidRPr="00050FA4">
        <w:rPr>
          <w:lang w:val="sq-AL"/>
        </w:rPr>
        <w:t xml:space="preserve">i të dhënave me </w:t>
      </w:r>
      <w:r w:rsidR="002F6FE6" w:rsidRPr="00050FA4">
        <w:rPr>
          <w:i/>
          <w:iCs/>
          <w:lang w:val="sq-AL"/>
        </w:rPr>
        <w:t>web-service</w:t>
      </w:r>
      <w:r w:rsidR="002F6FE6" w:rsidRPr="00050FA4">
        <w:rPr>
          <w:lang w:val="sq-AL"/>
        </w:rPr>
        <w:t>; c</w:t>
      </w:r>
      <w:r w:rsidR="006C029C" w:rsidRPr="00050FA4">
        <w:rPr>
          <w:lang w:val="sq-AL"/>
        </w:rPr>
        <w:t xml:space="preserve">) analiza </w:t>
      </w:r>
      <w:r w:rsidR="002F6FE6" w:rsidRPr="00050FA4">
        <w:rPr>
          <w:lang w:val="sq-AL"/>
        </w:rPr>
        <w:t xml:space="preserve">e të dhënave me raportet </w:t>
      </w:r>
      <w:r w:rsidR="002F6FE6" w:rsidRPr="00050FA4">
        <w:rPr>
          <w:i/>
          <w:iCs/>
          <w:lang w:val="sq-AL"/>
        </w:rPr>
        <w:t>BI</w:t>
      </w:r>
      <w:r w:rsidR="002F6FE6" w:rsidRPr="00050FA4">
        <w:rPr>
          <w:lang w:val="sq-AL"/>
        </w:rPr>
        <w:t xml:space="preserve">. </w:t>
      </w:r>
    </w:p>
    <w:p w14:paraId="299E53A0" w14:textId="2A0B5072" w:rsidR="002F6FE6" w:rsidRPr="00050FA4" w:rsidRDefault="006F5897" w:rsidP="003F1DA7">
      <w:pPr>
        <w:pStyle w:val="AAAAAAATEXXXX"/>
        <w:rPr>
          <w:lang w:val="sq-AL"/>
        </w:rPr>
      </w:pPr>
      <w:r w:rsidRPr="00050FA4">
        <w:rPr>
          <w:lang w:val="sq-AL"/>
        </w:rPr>
        <w:t>g</w:t>
      </w:r>
      <w:r w:rsidR="000D67FC" w:rsidRPr="00050FA4">
        <w:rPr>
          <w:lang w:val="sq-AL"/>
        </w:rPr>
        <w:t xml:space="preserve">) </w:t>
      </w:r>
      <w:r w:rsidR="002F6FE6" w:rsidRPr="00050FA4">
        <w:rPr>
          <w:lang w:val="sq-AL"/>
        </w:rPr>
        <w:t xml:space="preserve">Hartimi dhe zbatimi i një program </w:t>
      </w:r>
      <w:r w:rsidR="00857902" w:rsidRPr="00050FA4">
        <w:rPr>
          <w:lang w:val="sq-AL"/>
        </w:rPr>
        <w:t>përmbushjeje</w:t>
      </w:r>
      <w:r w:rsidR="002F6FE6" w:rsidRPr="00050FA4">
        <w:rPr>
          <w:lang w:val="sq-AL"/>
        </w:rPr>
        <w:t xml:space="preserve"> për individët më të pasur.</w:t>
      </w:r>
    </w:p>
    <w:p w14:paraId="39FADE0B" w14:textId="72795CC2" w:rsidR="002F6FE6" w:rsidRPr="00050FA4" w:rsidRDefault="006F5897" w:rsidP="003F1DA7">
      <w:pPr>
        <w:pStyle w:val="AAAAAAATEXXXX"/>
        <w:rPr>
          <w:lang w:val="sq-AL"/>
        </w:rPr>
      </w:pPr>
      <w:r w:rsidRPr="00050FA4">
        <w:rPr>
          <w:lang w:val="sq-AL"/>
        </w:rPr>
        <w:t>h</w:t>
      </w:r>
      <w:r w:rsidR="000D67FC" w:rsidRPr="00050FA4">
        <w:rPr>
          <w:lang w:val="sq-AL"/>
        </w:rPr>
        <w:t>)</w:t>
      </w:r>
      <w:r w:rsidRPr="00050FA4">
        <w:rPr>
          <w:lang w:val="sq-AL"/>
        </w:rPr>
        <w:t xml:space="preserve"> </w:t>
      </w:r>
      <w:r w:rsidR="002F6FE6" w:rsidRPr="00050FA4">
        <w:rPr>
          <w:lang w:val="sq-AL"/>
        </w:rPr>
        <w:t>Fuqizimi i sistemit dhe përdorimi i të dhënave në procesin e vendim-marrjes në lidhje me individët e pasur.</w:t>
      </w:r>
    </w:p>
    <w:p w14:paraId="68251952" w14:textId="54879F72" w:rsidR="002F6FE6" w:rsidRPr="00050FA4" w:rsidRDefault="006F5897" w:rsidP="003F1DA7">
      <w:pPr>
        <w:pStyle w:val="AAAAAAATEXXXX"/>
        <w:rPr>
          <w:lang w:val="sq-AL"/>
        </w:rPr>
      </w:pPr>
      <w:r w:rsidRPr="00050FA4">
        <w:rPr>
          <w:lang w:val="sq-AL"/>
        </w:rPr>
        <w:t>i</w:t>
      </w:r>
      <w:r w:rsidR="000D67FC" w:rsidRPr="00050FA4">
        <w:rPr>
          <w:lang w:val="sq-AL"/>
        </w:rPr>
        <w:t>)</w:t>
      </w:r>
      <w:r w:rsidRPr="00050FA4">
        <w:rPr>
          <w:lang w:val="sq-AL"/>
        </w:rPr>
        <w:t xml:space="preserve"> </w:t>
      </w:r>
      <w:r w:rsidR="002F6FE6" w:rsidRPr="00050FA4">
        <w:rPr>
          <w:lang w:val="sq-AL"/>
        </w:rPr>
        <w:t xml:space="preserve">Përdorimi i qasjes së integruar për zbatimin e </w:t>
      </w:r>
      <w:r w:rsidR="00857902" w:rsidRPr="00050FA4">
        <w:rPr>
          <w:lang w:val="sq-AL"/>
        </w:rPr>
        <w:t>strategjisë</w:t>
      </w:r>
      <w:r w:rsidR="002F6FE6" w:rsidRPr="00050FA4">
        <w:rPr>
          <w:lang w:val="sq-AL"/>
        </w:rPr>
        <w:t xml:space="preserve"> se </w:t>
      </w:r>
      <w:r w:rsidR="00857902" w:rsidRPr="00050FA4">
        <w:rPr>
          <w:lang w:val="sq-AL"/>
        </w:rPr>
        <w:t>përmbushjes</w:t>
      </w:r>
      <w:r w:rsidR="002F6FE6" w:rsidRPr="00050FA4">
        <w:rPr>
          <w:lang w:val="sq-AL"/>
        </w:rPr>
        <w:t xml:space="preserve"> se individëve të pasur.</w:t>
      </w:r>
    </w:p>
    <w:p w14:paraId="72494A02" w14:textId="06B3D4C3" w:rsidR="002F6FE6" w:rsidRPr="00050FA4" w:rsidRDefault="006F5897" w:rsidP="003F1DA7">
      <w:pPr>
        <w:pStyle w:val="AAAAAAATEXXXX"/>
        <w:rPr>
          <w:lang w:val="sq-AL"/>
        </w:rPr>
      </w:pPr>
      <w:r w:rsidRPr="00050FA4">
        <w:rPr>
          <w:lang w:val="sq-AL"/>
        </w:rPr>
        <w:t>j</w:t>
      </w:r>
      <w:r w:rsidR="000D67FC" w:rsidRPr="00050FA4">
        <w:rPr>
          <w:lang w:val="sq-AL"/>
        </w:rPr>
        <w:t>)</w:t>
      </w:r>
      <w:r w:rsidRPr="00050FA4">
        <w:rPr>
          <w:lang w:val="sq-AL"/>
        </w:rPr>
        <w:t xml:space="preserve"> </w:t>
      </w:r>
      <w:r w:rsidR="002F6FE6" w:rsidRPr="00050FA4">
        <w:rPr>
          <w:lang w:val="sq-AL"/>
        </w:rPr>
        <w:t>Zbatimi i planit sektorial të turizmit.</w:t>
      </w:r>
    </w:p>
    <w:p w14:paraId="3C2F061E" w14:textId="28B91375" w:rsidR="002F6FE6" w:rsidRPr="00050FA4" w:rsidRDefault="006F5897" w:rsidP="003F1DA7">
      <w:pPr>
        <w:pStyle w:val="AAAAAAATEXXXX"/>
        <w:rPr>
          <w:lang w:val="sq-AL"/>
        </w:rPr>
      </w:pPr>
      <w:r w:rsidRPr="00050FA4">
        <w:rPr>
          <w:lang w:val="sq-AL"/>
        </w:rPr>
        <w:t>k</w:t>
      </w:r>
      <w:r w:rsidR="000D67FC" w:rsidRPr="00050FA4">
        <w:rPr>
          <w:lang w:val="sq-AL"/>
        </w:rPr>
        <w:t>)</w:t>
      </w:r>
      <w:r w:rsidRPr="00050FA4">
        <w:rPr>
          <w:lang w:val="sq-AL"/>
        </w:rPr>
        <w:t xml:space="preserve"> </w:t>
      </w:r>
      <w:r w:rsidR="002F6FE6" w:rsidRPr="00050FA4">
        <w:rPr>
          <w:lang w:val="sq-AL"/>
        </w:rPr>
        <w:t xml:space="preserve">Analiza dhe zbatimi i rregullave të riskut për monitorimin e tatimpaguesve në kuadrin e ndryshimit të pragut të TVSH-së në 10 milionë </w:t>
      </w:r>
      <w:r w:rsidR="006C029C" w:rsidRPr="00050FA4">
        <w:rPr>
          <w:lang w:val="sq-AL"/>
        </w:rPr>
        <w:t>lekë</w:t>
      </w:r>
      <w:r w:rsidR="002F6FE6" w:rsidRPr="00050FA4">
        <w:rPr>
          <w:lang w:val="sq-AL"/>
        </w:rPr>
        <w:t>.</w:t>
      </w:r>
    </w:p>
    <w:p w14:paraId="529C24BD" w14:textId="09AA2D1D" w:rsidR="002F6FE6" w:rsidRPr="00050FA4" w:rsidRDefault="006F5897" w:rsidP="003F1DA7">
      <w:pPr>
        <w:pStyle w:val="AAAAAAATEXXXX"/>
        <w:rPr>
          <w:lang w:val="sq-AL"/>
        </w:rPr>
      </w:pPr>
      <w:r w:rsidRPr="00050FA4">
        <w:rPr>
          <w:lang w:val="sq-AL"/>
        </w:rPr>
        <w:t>l</w:t>
      </w:r>
      <w:r w:rsidR="000D67FC" w:rsidRPr="00050FA4">
        <w:rPr>
          <w:lang w:val="sq-AL"/>
        </w:rPr>
        <w:t>)</w:t>
      </w:r>
      <w:r w:rsidRPr="00050FA4">
        <w:rPr>
          <w:lang w:val="sq-AL"/>
        </w:rPr>
        <w:t xml:space="preserve"> </w:t>
      </w:r>
      <w:r w:rsidR="002F6FE6" w:rsidRPr="00050FA4">
        <w:rPr>
          <w:lang w:val="sq-AL"/>
        </w:rPr>
        <w:t>Zbatimi i planit sektorial të informalitetit në tregun e punës në 4 komponentët e tij.</w:t>
      </w:r>
    </w:p>
    <w:p w14:paraId="0015FBB3" w14:textId="6EA53F13" w:rsidR="004F312A" w:rsidRPr="00050FA4" w:rsidRDefault="006F5897" w:rsidP="003F1DA7">
      <w:pPr>
        <w:pStyle w:val="AAAAAAATEXXXX"/>
        <w:rPr>
          <w:lang w:val="sq-AL"/>
        </w:rPr>
      </w:pPr>
      <w:r w:rsidRPr="00050FA4">
        <w:rPr>
          <w:lang w:val="sq-AL"/>
        </w:rPr>
        <w:t xml:space="preserve">2. </w:t>
      </w:r>
      <w:r w:rsidR="00B2062A" w:rsidRPr="00050FA4">
        <w:rPr>
          <w:lang w:val="sq-AL"/>
        </w:rPr>
        <w:t>Treguesit e rezultateve</w:t>
      </w:r>
    </w:p>
    <w:p w14:paraId="5F2C40F3" w14:textId="77777777" w:rsidR="006C029C" w:rsidRPr="00050FA4" w:rsidRDefault="006C029C" w:rsidP="003F1DA7">
      <w:pPr>
        <w:pStyle w:val="AAAAAAATEXXXX"/>
        <w:rPr>
          <w:lang w:val="sq-AL"/>
        </w:rPr>
      </w:pPr>
    </w:p>
    <w:tbl>
      <w:tblPr>
        <w:tblStyle w:val="TableGrid"/>
        <w:tblW w:w="10485" w:type="dxa"/>
        <w:jc w:val="center"/>
        <w:tblLook w:val="04A0" w:firstRow="1" w:lastRow="0" w:firstColumn="1" w:lastColumn="0" w:noHBand="0" w:noVBand="1"/>
      </w:tblPr>
      <w:tblGrid>
        <w:gridCol w:w="6091"/>
        <w:gridCol w:w="1559"/>
        <w:gridCol w:w="1552"/>
        <w:gridCol w:w="1283"/>
      </w:tblGrid>
      <w:tr w:rsidR="00FA29AB" w:rsidRPr="00050FA4" w14:paraId="55A2D187" w14:textId="77777777" w:rsidTr="000D67FC">
        <w:trPr>
          <w:tblHeader/>
          <w:jc w:val="center"/>
        </w:trPr>
        <w:tc>
          <w:tcPr>
            <w:tcW w:w="6091" w:type="dxa"/>
            <w:vAlign w:val="center"/>
          </w:tcPr>
          <w:p w14:paraId="60D6067D" w14:textId="01F836EC" w:rsidR="00D225B7" w:rsidRPr="00050FA4" w:rsidRDefault="00B2062A"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1559" w:type="dxa"/>
            <w:vAlign w:val="center"/>
          </w:tcPr>
          <w:p w14:paraId="0DC3C55A" w14:textId="041E24D2" w:rsidR="00D225B7" w:rsidRPr="00050FA4" w:rsidRDefault="00B2062A"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Bazë</w:t>
            </w:r>
            <w:r w:rsidR="00D225B7" w:rsidRPr="00050FA4">
              <w:rPr>
                <w:rFonts w:ascii="Garamond" w:hAnsi="Garamond" w:cstheme="majorBidi"/>
                <w:b/>
                <w:color w:val="0D0D0D" w:themeColor="text1" w:themeTint="F2"/>
                <w:sz w:val="18"/>
                <w:szCs w:val="18"/>
              </w:rPr>
              <w:t xml:space="preserve"> (2022)</w:t>
            </w:r>
          </w:p>
        </w:tc>
        <w:tc>
          <w:tcPr>
            <w:tcW w:w="1552" w:type="dxa"/>
            <w:vAlign w:val="center"/>
          </w:tcPr>
          <w:p w14:paraId="2A76BC4D" w14:textId="587AC468" w:rsidR="00D225B7" w:rsidRPr="00050FA4" w:rsidRDefault="00B2062A"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I ndërmjetëm</w:t>
            </w:r>
            <w:r w:rsidR="00D225B7" w:rsidRPr="00050FA4">
              <w:rPr>
                <w:rFonts w:ascii="Garamond" w:hAnsi="Garamond" w:cstheme="majorBidi"/>
                <w:b/>
                <w:color w:val="0D0D0D" w:themeColor="text1" w:themeTint="F2"/>
                <w:sz w:val="18"/>
                <w:szCs w:val="18"/>
              </w:rPr>
              <w:t xml:space="preserve"> (2023)</w:t>
            </w:r>
          </w:p>
        </w:tc>
        <w:tc>
          <w:tcPr>
            <w:tcW w:w="1283" w:type="dxa"/>
            <w:vAlign w:val="center"/>
          </w:tcPr>
          <w:p w14:paraId="2822AF10" w14:textId="1177CF2E" w:rsidR="00D225B7" w:rsidRPr="00050FA4" w:rsidRDefault="00B2062A"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w:t>
            </w:r>
            <w:r w:rsidR="00D225B7" w:rsidRPr="00050FA4">
              <w:rPr>
                <w:rFonts w:ascii="Garamond" w:hAnsi="Garamond" w:cstheme="majorBidi"/>
                <w:b/>
                <w:color w:val="0D0D0D" w:themeColor="text1" w:themeTint="F2"/>
                <w:sz w:val="18"/>
                <w:szCs w:val="18"/>
              </w:rPr>
              <w:t xml:space="preserve"> (2024)</w:t>
            </w:r>
          </w:p>
        </w:tc>
      </w:tr>
      <w:tr w:rsidR="00FA29AB" w:rsidRPr="00050FA4" w14:paraId="0E4FB204" w14:textId="77777777" w:rsidTr="000D67FC">
        <w:trPr>
          <w:jc w:val="center"/>
        </w:trPr>
        <w:tc>
          <w:tcPr>
            <w:tcW w:w="6091" w:type="dxa"/>
          </w:tcPr>
          <w:p w14:paraId="624D0447" w14:textId="404805A9" w:rsidR="00020EB1" w:rsidRPr="00050FA4" w:rsidRDefault="00857902"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Krijimi i listës me individët më të pasur bazuar të informacioni brenda dhe jashtë sistemit tatimor</w:t>
            </w:r>
          </w:p>
        </w:tc>
        <w:tc>
          <w:tcPr>
            <w:tcW w:w="1559" w:type="dxa"/>
            <w:vAlign w:val="center"/>
          </w:tcPr>
          <w:p w14:paraId="3FAA08A3" w14:textId="065DF709" w:rsidR="00020EB1" w:rsidRPr="00050FA4" w:rsidRDefault="00020EB1" w:rsidP="00A95D23">
            <w:pPr>
              <w:snapToGrid w:val="0"/>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100 </w:t>
            </w:r>
            <w:r w:rsidR="00857902" w:rsidRPr="00050FA4">
              <w:rPr>
                <w:rFonts w:ascii="Garamond" w:hAnsi="Garamond" w:cstheme="majorBidi"/>
                <w:color w:val="0D0D0D" w:themeColor="text1" w:themeTint="F2"/>
                <w:sz w:val="18"/>
                <w:szCs w:val="18"/>
              </w:rPr>
              <w:t>individë</w:t>
            </w:r>
          </w:p>
        </w:tc>
        <w:tc>
          <w:tcPr>
            <w:tcW w:w="1552" w:type="dxa"/>
            <w:vAlign w:val="center"/>
          </w:tcPr>
          <w:p w14:paraId="791A1DD1" w14:textId="2CC360D8" w:rsidR="00020EB1" w:rsidRPr="00050FA4" w:rsidRDefault="00020EB1" w:rsidP="00A95D23">
            <w:pPr>
              <w:snapToGrid w:val="0"/>
              <w:jc w:val="center"/>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200</w:t>
            </w:r>
            <w:r w:rsidRPr="00050FA4">
              <w:rPr>
                <w:rFonts w:ascii="Garamond" w:hAnsi="Garamond" w:cstheme="majorBidi"/>
                <w:color w:val="0D0D0D" w:themeColor="text1" w:themeTint="F2"/>
                <w:sz w:val="18"/>
                <w:szCs w:val="18"/>
              </w:rPr>
              <w:t xml:space="preserve"> </w:t>
            </w:r>
            <w:r w:rsidR="00857902" w:rsidRPr="00050FA4">
              <w:rPr>
                <w:rFonts w:ascii="Garamond" w:hAnsi="Garamond" w:cstheme="majorBidi"/>
                <w:color w:val="0D0D0D" w:themeColor="text1" w:themeTint="F2"/>
                <w:sz w:val="18"/>
                <w:szCs w:val="18"/>
              </w:rPr>
              <w:t>individë</w:t>
            </w:r>
          </w:p>
        </w:tc>
        <w:tc>
          <w:tcPr>
            <w:tcW w:w="1283" w:type="dxa"/>
            <w:vAlign w:val="center"/>
          </w:tcPr>
          <w:p w14:paraId="79F6DB80" w14:textId="33E5C2D4" w:rsidR="00020EB1" w:rsidRPr="00050FA4" w:rsidRDefault="00020EB1" w:rsidP="00A95D23">
            <w:pPr>
              <w:snapToGrid w:val="0"/>
              <w:jc w:val="center"/>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 xml:space="preserve">350 </w:t>
            </w:r>
            <w:r w:rsidR="00857902" w:rsidRPr="00050FA4">
              <w:rPr>
                <w:rFonts w:ascii="Garamond" w:hAnsi="Garamond" w:cstheme="majorBidi"/>
                <w:color w:val="0D0D0D" w:themeColor="text1" w:themeTint="F2"/>
                <w:sz w:val="18"/>
                <w:szCs w:val="18"/>
              </w:rPr>
              <w:t>individë</w:t>
            </w:r>
          </w:p>
        </w:tc>
      </w:tr>
      <w:tr w:rsidR="00FA29AB" w:rsidRPr="00050FA4" w14:paraId="1524671F" w14:textId="77777777" w:rsidTr="000D67FC">
        <w:trPr>
          <w:jc w:val="center"/>
        </w:trPr>
        <w:tc>
          <w:tcPr>
            <w:tcW w:w="6091" w:type="dxa"/>
          </w:tcPr>
          <w:p w14:paraId="1A93AE6B" w14:textId="05049E22" w:rsidR="00020EB1" w:rsidRPr="00050FA4" w:rsidRDefault="0085790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Niveli i realizimit: </w:t>
            </w:r>
            <w:r w:rsidRPr="00050FA4">
              <w:rPr>
                <w:rFonts w:ascii="Garamond" w:hAnsi="Garamond"/>
                <w:color w:val="0D0D0D" w:themeColor="text1" w:themeTint="F2"/>
                <w:sz w:val="18"/>
                <w:szCs w:val="18"/>
              </w:rPr>
              <w:t>Matja e hendekut tatimor për individët më të pasur, hartëzimi i risqeve dhe përcaktimi i strategjive trajtuese</w:t>
            </w:r>
          </w:p>
        </w:tc>
        <w:tc>
          <w:tcPr>
            <w:tcW w:w="1559" w:type="dxa"/>
            <w:vAlign w:val="center"/>
          </w:tcPr>
          <w:p w14:paraId="2E96F532" w14:textId="7C100A90" w:rsidR="00020EB1" w:rsidRPr="00050FA4" w:rsidRDefault="00020EB1" w:rsidP="00A95D23">
            <w:pPr>
              <w:snapToGrid w:val="0"/>
              <w:jc w:val="center"/>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80%</w:t>
            </w:r>
          </w:p>
        </w:tc>
        <w:tc>
          <w:tcPr>
            <w:tcW w:w="1552" w:type="dxa"/>
            <w:vAlign w:val="center"/>
          </w:tcPr>
          <w:p w14:paraId="70494D16" w14:textId="0E7224D6" w:rsidR="00020EB1" w:rsidRPr="00050FA4" w:rsidRDefault="00020EB1" w:rsidP="00A95D23">
            <w:pPr>
              <w:snapToGrid w:val="0"/>
              <w:jc w:val="center"/>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90%</w:t>
            </w:r>
          </w:p>
        </w:tc>
        <w:tc>
          <w:tcPr>
            <w:tcW w:w="1283" w:type="dxa"/>
            <w:vAlign w:val="center"/>
          </w:tcPr>
          <w:p w14:paraId="471F4199" w14:textId="4BFBD638" w:rsidR="00020EB1" w:rsidRPr="00050FA4" w:rsidRDefault="00020EB1" w:rsidP="00A95D23">
            <w:pPr>
              <w:snapToGrid w:val="0"/>
              <w:jc w:val="center"/>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100%</w:t>
            </w:r>
          </w:p>
        </w:tc>
      </w:tr>
    </w:tbl>
    <w:p w14:paraId="0A067934" w14:textId="77777777" w:rsidR="00D225B7" w:rsidRPr="00050FA4" w:rsidRDefault="00D225B7" w:rsidP="003F1DA7">
      <w:pPr>
        <w:snapToGrid w:val="0"/>
        <w:ind w:firstLine="284"/>
        <w:rPr>
          <w:rFonts w:ascii="Garamond" w:hAnsi="Garamond" w:cstheme="majorBidi"/>
          <w:color w:val="0D0D0D" w:themeColor="text1" w:themeTint="F2"/>
          <w:sz w:val="20"/>
          <w:szCs w:val="20"/>
        </w:rPr>
      </w:pPr>
    </w:p>
    <w:tbl>
      <w:tblPr>
        <w:tblStyle w:val="TableGrid"/>
        <w:tblW w:w="10485" w:type="dxa"/>
        <w:jc w:val="center"/>
        <w:tblLayout w:type="fixed"/>
        <w:tblLook w:val="04A0" w:firstRow="1" w:lastRow="0" w:firstColumn="1" w:lastColumn="0" w:noHBand="0" w:noVBand="1"/>
      </w:tblPr>
      <w:tblGrid>
        <w:gridCol w:w="6091"/>
        <w:gridCol w:w="1559"/>
        <w:gridCol w:w="1559"/>
        <w:gridCol w:w="1276"/>
      </w:tblGrid>
      <w:tr w:rsidR="00FA29AB" w:rsidRPr="00050FA4" w14:paraId="5DA84E1C" w14:textId="77777777" w:rsidTr="000D67FC">
        <w:trPr>
          <w:jc w:val="center"/>
        </w:trPr>
        <w:tc>
          <w:tcPr>
            <w:tcW w:w="6091" w:type="dxa"/>
            <w:vAlign w:val="center"/>
          </w:tcPr>
          <w:p w14:paraId="48140626" w14:textId="4F07F3B3" w:rsidR="00020EB1" w:rsidRPr="00050FA4" w:rsidRDefault="00857902"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1559" w:type="dxa"/>
            <w:vAlign w:val="center"/>
          </w:tcPr>
          <w:p w14:paraId="433CC389" w14:textId="4F3FC3B0" w:rsidR="00020EB1" w:rsidRPr="00050FA4" w:rsidRDefault="00857902"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 xml:space="preserve">Bazë </w:t>
            </w:r>
            <w:r w:rsidR="00020EB1" w:rsidRPr="00050FA4">
              <w:rPr>
                <w:rFonts w:ascii="Garamond" w:hAnsi="Garamond" w:cstheme="majorBidi"/>
                <w:b/>
                <w:color w:val="0D0D0D" w:themeColor="text1" w:themeTint="F2"/>
                <w:sz w:val="18"/>
                <w:szCs w:val="18"/>
              </w:rPr>
              <w:t>(2022)</w:t>
            </w:r>
          </w:p>
        </w:tc>
        <w:tc>
          <w:tcPr>
            <w:tcW w:w="1559" w:type="dxa"/>
            <w:vAlign w:val="center"/>
          </w:tcPr>
          <w:p w14:paraId="0D262F8C" w14:textId="70ACC745" w:rsidR="00020EB1" w:rsidRPr="00050FA4" w:rsidRDefault="00020EB1"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 xml:space="preserve">I </w:t>
            </w:r>
            <w:r w:rsidR="0026453E" w:rsidRPr="00050FA4">
              <w:rPr>
                <w:rFonts w:ascii="Garamond" w:hAnsi="Garamond" w:cstheme="majorBidi"/>
                <w:b/>
                <w:color w:val="0D0D0D" w:themeColor="text1" w:themeTint="F2"/>
                <w:sz w:val="18"/>
                <w:szCs w:val="18"/>
              </w:rPr>
              <w:t>ndërmjetëm</w:t>
            </w:r>
            <w:r w:rsidRPr="00050FA4">
              <w:rPr>
                <w:rFonts w:ascii="Garamond" w:hAnsi="Garamond" w:cstheme="majorBidi"/>
                <w:b/>
                <w:color w:val="0D0D0D" w:themeColor="text1" w:themeTint="F2"/>
                <w:sz w:val="18"/>
                <w:szCs w:val="18"/>
              </w:rPr>
              <w:t xml:space="preserve"> (2023)</w:t>
            </w:r>
          </w:p>
        </w:tc>
        <w:tc>
          <w:tcPr>
            <w:tcW w:w="1276" w:type="dxa"/>
            <w:vAlign w:val="center"/>
          </w:tcPr>
          <w:p w14:paraId="0CFAB9FF" w14:textId="19413D34" w:rsidR="00020EB1" w:rsidRPr="00050FA4" w:rsidRDefault="00020EB1"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 (2024)</w:t>
            </w:r>
          </w:p>
        </w:tc>
      </w:tr>
      <w:tr w:rsidR="00FA29AB" w:rsidRPr="00050FA4" w14:paraId="7834F352" w14:textId="77777777" w:rsidTr="000D67FC">
        <w:trPr>
          <w:jc w:val="center"/>
        </w:trPr>
        <w:tc>
          <w:tcPr>
            <w:tcW w:w="6091" w:type="dxa"/>
          </w:tcPr>
          <w:p w14:paraId="1CC97E69" w14:textId="29CB22D9" w:rsidR="00020EB1" w:rsidRPr="00050FA4" w:rsidRDefault="00020EB1" w:rsidP="006C029C">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Rritja (me 4% çdo vit) e TVSH</w:t>
            </w:r>
            <w:r w:rsidR="006C029C" w:rsidRPr="00050FA4">
              <w:rPr>
                <w:rFonts w:ascii="Garamond" w:hAnsi="Garamond" w:cstheme="majorBidi"/>
                <w:color w:val="0D0D0D" w:themeColor="text1" w:themeTint="F2"/>
                <w:sz w:val="18"/>
                <w:szCs w:val="18"/>
              </w:rPr>
              <w:t>-së</w:t>
            </w:r>
            <w:r w:rsidRPr="00050FA4">
              <w:rPr>
                <w:rFonts w:ascii="Garamond" w:hAnsi="Garamond" w:cstheme="majorBidi"/>
                <w:color w:val="0D0D0D" w:themeColor="text1" w:themeTint="F2"/>
                <w:sz w:val="18"/>
                <w:szCs w:val="18"/>
              </w:rPr>
              <w:t xml:space="preserve"> s</w:t>
            </w:r>
            <w:r w:rsidR="006C029C"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pagueshme n</w:t>
            </w:r>
            <w:r w:rsidR="004A6944"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sektorin e turizmit</w:t>
            </w:r>
          </w:p>
        </w:tc>
        <w:tc>
          <w:tcPr>
            <w:tcW w:w="1559" w:type="dxa"/>
            <w:vAlign w:val="center"/>
          </w:tcPr>
          <w:p w14:paraId="79034DBE"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570.020 mln Lek</w:t>
            </w:r>
          </w:p>
        </w:tc>
        <w:tc>
          <w:tcPr>
            <w:tcW w:w="1559" w:type="dxa"/>
            <w:vAlign w:val="center"/>
          </w:tcPr>
          <w:p w14:paraId="0ECA7CCB"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4%</w:t>
            </w:r>
          </w:p>
        </w:tc>
        <w:tc>
          <w:tcPr>
            <w:tcW w:w="1276" w:type="dxa"/>
            <w:vAlign w:val="center"/>
          </w:tcPr>
          <w:p w14:paraId="09223A83"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4%</w:t>
            </w:r>
          </w:p>
        </w:tc>
      </w:tr>
      <w:tr w:rsidR="00FA29AB" w:rsidRPr="00050FA4" w14:paraId="559C98B9" w14:textId="77777777" w:rsidTr="000D67FC">
        <w:trPr>
          <w:jc w:val="center"/>
        </w:trPr>
        <w:tc>
          <w:tcPr>
            <w:tcW w:w="6091" w:type="dxa"/>
          </w:tcPr>
          <w:p w14:paraId="22678515" w14:textId="2CE8099E" w:rsidR="00020EB1" w:rsidRPr="00050FA4" w:rsidRDefault="00020EB1" w:rsidP="000C71F9">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Reduktimi i </w:t>
            </w:r>
            <w:r w:rsidR="0026453E" w:rsidRPr="00050FA4">
              <w:rPr>
                <w:rFonts w:ascii="Garamond" w:hAnsi="Garamond" w:cstheme="majorBidi"/>
                <w:color w:val="0D0D0D" w:themeColor="text1" w:themeTint="F2"/>
                <w:sz w:val="18"/>
                <w:szCs w:val="18"/>
              </w:rPr>
              <w:t>punës</w:t>
            </w:r>
            <w:r w:rsidRPr="00050FA4">
              <w:rPr>
                <w:rFonts w:ascii="Garamond" w:hAnsi="Garamond" w:cstheme="majorBidi"/>
                <w:color w:val="0D0D0D" w:themeColor="text1" w:themeTint="F2"/>
                <w:sz w:val="18"/>
                <w:szCs w:val="18"/>
              </w:rPr>
              <w:t xml:space="preserve"> s</w:t>
            </w:r>
            <w:r w:rsidR="0026453E"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padeklaruar dhe rritja (me 1% çdo vit) e </w:t>
            </w:r>
            <w:r w:rsidR="0026453E" w:rsidRPr="00050FA4">
              <w:rPr>
                <w:rFonts w:ascii="Garamond" w:hAnsi="Garamond" w:cstheme="majorBidi"/>
                <w:color w:val="0D0D0D" w:themeColor="text1" w:themeTint="F2"/>
                <w:sz w:val="18"/>
                <w:szCs w:val="18"/>
              </w:rPr>
              <w:t>punonjësve</w:t>
            </w:r>
            <w:r w:rsidRPr="00050FA4">
              <w:rPr>
                <w:rFonts w:ascii="Garamond" w:hAnsi="Garamond" w:cstheme="majorBidi"/>
                <w:color w:val="0D0D0D" w:themeColor="text1" w:themeTint="F2"/>
                <w:sz w:val="18"/>
                <w:szCs w:val="18"/>
              </w:rPr>
              <w:t xml:space="preserve"> t</w:t>
            </w:r>
            <w:r w:rsidR="000C71F9"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deklaruar</w:t>
            </w:r>
          </w:p>
        </w:tc>
        <w:tc>
          <w:tcPr>
            <w:tcW w:w="1559" w:type="dxa"/>
            <w:vAlign w:val="center"/>
          </w:tcPr>
          <w:p w14:paraId="7869320B" w14:textId="3D7F96CE"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 xml:space="preserve">701.739 </w:t>
            </w:r>
            <w:r w:rsidR="0026453E" w:rsidRPr="00050FA4">
              <w:rPr>
                <w:rFonts w:ascii="Garamond" w:eastAsia="Times New Roman" w:hAnsi="Garamond" w:cstheme="majorBidi"/>
                <w:color w:val="0D0D0D" w:themeColor="text1" w:themeTint="F2"/>
                <w:sz w:val="18"/>
                <w:szCs w:val="18"/>
              </w:rPr>
              <w:t>punonjës</w:t>
            </w:r>
          </w:p>
        </w:tc>
        <w:tc>
          <w:tcPr>
            <w:tcW w:w="1559" w:type="dxa"/>
            <w:vAlign w:val="center"/>
          </w:tcPr>
          <w:p w14:paraId="76B1D1C5"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w:t>
            </w:r>
          </w:p>
        </w:tc>
        <w:tc>
          <w:tcPr>
            <w:tcW w:w="1276" w:type="dxa"/>
            <w:vAlign w:val="center"/>
          </w:tcPr>
          <w:p w14:paraId="1EC9637C"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w:t>
            </w:r>
          </w:p>
        </w:tc>
      </w:tr>
      <w:tr w:rsidR="00FA29AB" w:rsidRPr="00050FA4" w14:paraId="6617B87C" w14:textId="77777777" w:rsidTr="000D67FC">
        <w:trPr>
          <w:jc w:val="center"/>
        </w:trPr>
        <w:tc>
          <w:tcPr>
            <w:tcW w:w="6091" w:type="dxa"/>
          </w:tcPr>
          <w:p w14:paraId="739BE1F9" w14:textId="7A66DD22" w:rsidR="00020EB1" w:rsidRPr="00050FA4" w:rsidRDefault="00857902" w:rsidP="004A6944">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Ulja (me 3% çdo vit) e numrit të pagave të nëndeklaruara </w:t>
            </w:r>
            <w:r w:rsidR="006C029C" w:rsidRPr="00050FA4">
              <w:rPr>
                <w:rFonts w:ascii="Garamond" w:hAnsi="Garamond" w:cstheme="majorBidi"/>
                <w:color w:val="0D0D0D" w:themeColor="text1" w:themeTint="F2"/>
                <w:sz w:val="18"/>
                <w:szCs w:val="18"/>
              </w:rPr>
              <w:t xml:space="preserve">(ne nivelin minimal ose me pak </w:t>
            </w:r>
            <w:r w:rsidRPr="00050FA4">
              <w:rPr>
                <w:rFonts w:ascii="Garamond" w:hAnsi="Garamond" w:cstheme="majorBidi"/>
                <w:color w:val="0D0D0D" w:themeColor="text1" w:themeTint="F2"/>
                <w:sz w:val="18"/>
                <w:szCs w:val="18"/>
              </w:rPr>
              <w:t>(338.877 paga të tilla n</w:t>
            </w:r>
            <w:r w:rsidR="004A6944" w:rsidRPr="00050FA4">
              <w:rPr>
                <w:rFonts w:ascii="Garamond" w:hAnsi="Garamond" w:cstheme="majorBidi"/>
                <w:color w:val="0D0D0D" w:themeColor="text1" w:themeTint="F2"/>
                <w:sz w:val="18"/>
                <w:szCs w:val="18"/>
              </w:rPr>
              <w:t>ë</w:t>
            </w:r>
            <w:r w:rsidR="006C029C" w:rsidRPr="00050FA4">
              <w:rPr>
                <w:rFonts w:ascii="Garamond" w:hAnsi="Garamond" w:cstheme="majorBidi"/>
                <w:color w:val="0D0D0D" w:themeColor="text1" w:themeTint="F2"/>
                <w:sz w:val="18"/>
                <w:szCs w:val="18"/>
              </w:rPr>
              <w:t xml:space="preserve"> vitin 2021)</w:t>
            </w:r>
          </w:p>
        </w:tc>
        <w:tc>
          <w:tcPr>
            <w:tcW w:w="1559" w:type="dxa"/>
            <w:vAlign w:val="center"/>
          </w:tcPr>
          <w:p w14:paraId="3E38F575"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338.877 paga</w:t>
            </w:r>
          </w:p>
        </w:tc>
        <w:tc>
          <w:tcPr>
            <w:tcW w:w="1559" w:type="dxa"/>
            <w:vAlign w:val="center"/>
          </w:tcPr>
          <w:p w14:paraId="2A2D67D7"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3%</w:t>
            </w:r>
          </w:p>
        </w:tc>
        <w:tc>
          <w:tcPr>
            <w:tcW w:w="1276" w:type="dxa"/>
            <w:vAlign w:val="center"/>
          </w:tcPr>
          <w:p w14:paraId="2AF570E2" w14:textId="77777777" w:rsidR="00020EB1" w:rsidRPr="00050FA4" w:rsidRDefault="00020EB1" w:rsidP="00A95D23">
            <w:pPr>
              <w:snapToGrid w:val="0"/>
              <w:jc w:val="cente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3%</w:t>
            </w:r>
          </w:p>
        </w:tc>
      </w:tr>
    </w:tbl>
    <w:p w14:paraId="168471A4" w14:textId="77777777" w:rsidR="00020EB1" w:rsidRPr="00050FA4" w:rsidRDefault="00020EB1" w:rsidP="003F1DA7">
      <w:pPr>
        <w:snapToGrid w:val="0"/>
        <w:ind w:firstLine="284"/>
        <w:rPr>
          <w:rFonts w:ascii="Garamond" w:hAnsi="Garamond" w:cstheme="majorBidi"/>
          <w:color w:val="0D0D0D" w:themeColor="text1" w:themeTint="F2"/>
          <w:sz w:val="20"/>
          <w:szCs w:val="20"/>
        </w:rPr>
      </w:pPr>
    </w:p>
    <w:tbl>
      <w:tblPr>
        <w:tblStyle w:val="TableGrid"/>
        <w:tblW w:w="10485" w:type="dxa"/>
        <w:jc w:val="center"/>
        <w:tblLook w:val="04A0" w:firstRow="1" w:lastRow="0" w:firstColumn="1" w:lastColumn="0" w:noHBand="0" w:noVBand="1"/>
      </w:tblPr>
      <w:tblGrid>
        <w:gridCol w:w="6091"/>
        <w:gridCol w:w="1559"/>
        <w:gridCol w:w="1559"/>
        <w:gridCol w:w="1276"/>
      </w:tblGrid>
      <w:tr w:rsidR="00FA29AB" w:rsidRPr="00050FA4" w14:paraId="4B3074BB" w14:textId="77777777" w:rsidTr="000D67FC">
        <w:trPr>
          <w:jc w:val="center"/>
        </w:trPr>
        <w:tc>
          <w:tcPr>
            <w:tcW w:w="6091" w:type="dxa"/>
            <w:vAlign w:val="center"/>
          </w:tcPr>
          <w:p w14:paraId="206B7486" w14:textId="15A7731B" w:rsidR="00020EB1" w:rsidRPr="00050FA4" w:rsidRDefault="00857902"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1559" w:type="dxa"/>
            <w:vAlign w:val="center"/>
          </w:tcPr>
          <w:p w14:paraId="5561EACE" w14:textId="1B1D4ADE" w:rsidR="00020EB1" w:rsidRPr="00050FA4" w:rsidRDefault="00857902"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 xml:space="preserve">Bazë </w:t>
            </w:r>
            <w:r w:rsidR="00020EB1" w:rsidRPr="00050FA4">
              <w:rPr>
                <w:rFonts w:ascii="Garamond" w:hAnsi="Garamond" w:cstheme="majorBidi"/>
                <w:b/>
                <w:color w:val="0D0D0D" w:themeColor="text1" w:themeTint="F2"/>
                <w:sz w:val="18"/>
                <w:szCs w:val="18"/>
              </w:rPr>
              <w:t>(2021)</w:t>
            </w:r>
          </w:p>
        </w:tc>
        <w:tc>
          <w:tcPr>
            <w:tcW w:w="1559" w:type="dxa"/>
            <w:vAlign w:val="center"/>
          </w:tcPr>
          <w:p w14:paraId="2879CE88" w14:textId="69AA3BD4" w:rsidR="00020EB1" w:rsidRPr="00050FA4" w:rsidRDefault="00020EB1"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 xml:space="preserve">I </w:t>
            </w:r>
            <w:r w:rsidR="0026453E" w:rsidRPr="00050FA4">
              <w:rPr>
                <w:rFonts w:ascii="Garamond" w:hAnsi="Garamond" w:cstheme="majorBidi"/>
                <w:b/>
                <w:color w:val="0D0D0D" w:themeColor="text1" w:themeTint="F2"/>
                <w:sz w:val="18"/>
                <w:szCs w:val="18"/>
              </w:rPr>
              <w:t>ndërmjetëm</w:t>
            </w:r>
            <w:r w:rsidRPr="00050FA4">
              <w:rPr>
                <w:rFonts w:ascii="Garamond" w:hAnsi="Garamond" w:cstheme="majorBidi"/>
                <w:b/>
                <w:color w:val="0D0D0D" w:themeColor="text1" w:themeTint="F2"/>
                <w:sz w:val="18"/>
                <w:szCs w:val="18"/>
              </w:rPr>
              <w:t xml:space="preserve"> (2022)</w:t>
            </w:r>
          </w:p>
        </w:tc>
        <w:tc>
          <w:tcPr>
            <w:tcW w:w="1276" w:type="dxa"/>
            <w:vAlign w:val="center"/>
          </w:tcPr>
          <w:p w14:paraId="63F50E3F" w14:textId="5E041E2B" w:rsidR="00020EB1" w:rsidRPr="00050FA4" w:rsidRDefault="005D24B4" w:rsidP="000D67F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w:t>
            </w:r>
            <w:r w:rsidR="00020EB1" w:rsidRPr="00050FA4">
              <w:rPr>
                <w:rFonts w:ascii="Garamond" w:hAnsi="Garamond" w:cstheme="majorBidi"/>
                <w:b/>
                <w:color w:val="0D0D0D" w:themeColor="text1" w:themeTint="F2"/>
                <w:sz w:val="18"/>
                <w:szCs w:val="18"/>
              </w:rPr>
              <w:t xml:space="preserve"> (2023)</w:t>
            </w:r>
          </w:p>
        </w:tc>
      </w:tr>
      <w:tr w:rsidR="00FA29AB" w:rsidRPr="00050FA4" w14:paraId="7B41E15E" w14:textId="77777777" w:rsidTr="000D67FC">
        <w:trPr>
          <w:jc w:val="center"/>
        </w:trPr>
        <w:tc>
          <w:tcPr>
            <w:tcW w:w="6091" w:type="dxa"/>
          </w:tcPr>
          <w:p w14:paraId="1CFB0EB7" w14:textId="37E66414" w:rsidR="00020EB1" w:rsidRPr="00050FA4" w:rsidRDefault="00020EB1" w:rsidP="000C71F9">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Niveli i realizimit: - </w:t>
            </w:r>
            <w:r w:rsidR="0026453E" w:rsidRPr="00050FA4">
              <w:rPr>
                <w:rFonts w:ascii="Garamond" w:hAnsi="Garamond" w:cstheme="majorBidi"/>
                <w:color w:val="0D0D0D" w:themeColor="text1" w:themeTint="F2"/>
                <w:sz w:val="18"/>
                <w:szCs w:val="18"/>
              </w:rPr>
              <w:t>Ndërtimi</w:t>
            </w:r>
            <w:r w:rsidRPr="00050FA4">
              <w:rPr>
                <w:rFonts w:ascii="Garamond" w:hAnsi="Garamond" w:cstheme="majorBidi"/>
                <w:color w:val="0D0D0D" w:themeColor="text1" w:themeTint="F2"/>
                <w:sz w:val="18"/>
                <w:szCs w:val="18"/>
              </w:rPr>
              <w:t xml:space="preserve"> i</w:t>
            </w:r>
            <w:r w:rsidRPr="00050FA4">
              <w:rPr>
                <w:rFonts w:ascii="Garamond" w:hAnsi="Garamond" w:cstheme="majorBidi"/>
                <w:i/>
                <w:iCs/>
                <w:color w:val="0D0D0D" w:themeColor="text1" w:themeTint="F2"/>
                <w:sz w:val="18"/>
                <w:szCs w:val="18"/>
              </w:rPr>
              <w:t xml:space="preserve"> Data Warehouse</w:t>
            </w:r>
            <w:r w:rsidR="000C71F9" w:rsidRPr="00050FA4">
              <w:rPr>
                <w:rFonts w:ascii="Garamond" w:hAnsi="Garamond" w:cstheme="majorBidi"/>
                <w:color w:val="0D0D0D" w:themeColor="text1" w:themeTint="F2"/>
                <w:sz w:val="18"/>
                <w:szCs w:val="18"/>
              </w:rPr>
              <w:t xml:space="preserve"> dhe popullimi i tij me të</w:t>
            </w:r>
            <w:r w:rsidRPr="00050FA4">
              <w:rPr>
                <w:rFonts w:ascii="Garamond" w:hAnsi="Garamond" w:cstheme="majorBidi"/>
                <w:color w:val="0D0D0D" w:themeColor="text1" w:themeTint="F2"/>
                <w:sz w:val="18"/>
                <w:szCs w:val="18"/>
              </w:rPr>
              <w:t xml:space="preserve"> </w:t>
            </w:r>
            <w:r w:rsidR="0026453E" w:rsidRPr="00050FA4">
              <w:rPr>
                <w:rFonts w:ascii="Garamond" w:hAnsi="Garamond" w:cstheme="majorBidi"/>
                <w:color w:val="0D0D0D" w:themeColor="text1" w:themeTint="F2"/>
                <w:sz w:val="18"/>
                <w:szCs w:val="18"/>
              </w:rPr>
              <w:t>dhëna</w:t>
            </w:r>
            <w:r w:rsidRPr="00050FA4">
              <w:rPr>
                <w:rFonts w:ascii="Garamond" w:hAnsi="Garamond" w:cstheme="majorBidi"/>
                <w:color w:val="0D0D0D" w:themeColor="text1" w:themeTint="F2"/>
                <w:sz w:val="18"/>
                <w:szCs w:val="18"/>
              </w:rPr>
              <w:t xml:space="preserve"> t</w:t>
            </w:r>
            <w:r w:rsidR="000C71F9"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brendshme dhe </w:t>
            </w:r>
            <w:r w:rsidRPr="00D01FA3">
              <w:rPr>
                <w:rFonts w:ascii="Garamond" w:hAnsi="Garamond" w:cstheme="majorBidi"/>
                <w:color w:val="0D0D0D" w:themeColor="text1" w:themeTint="F2"/>
                <w:sz w:val="18"/>
                <w:szCs w:val="18"/>
              </w:rPr>
              <w:t>nga pal</w:t>
            </w:r>
            <w:r w:rsidR="000C71F9" w:rsidRPr="00D01FA3">
              <w:rPr>
                <w:rFonts w:ascii="Garamond" w:hAnsi="Garamond" w:cstheme="majorBidi"/>
                <w:color w:val="0D0D0D" w:themeColor="text1" w:themeTint="F2"/>
                <w:sz w:val="18"/>
                <w:szCs w:val="18"/>
              </w:rPr>
              <w:t>ë</w:t>
            </w:r>
            <w:r w:rsidR="00D01FA3">
              <w:rPr>
                <w:rFonts w:ascii="Garamond" w:hAnsi="Garamond" w:cstheme="majorBidi"/>
                <w:color w:val="0D0D0D" w:themeColor="text1" w:themeTint="F2"/>
                <w:sz w:val="18"/>
                <w:szCs w:val="18"/>
              </w:rPr>
              <w:t xml:space="preserve"> të</w:t>
            </w:r>
            <w:r w:rsidRPr="00D01FA3">
              <w:rPr>
                <w:rFonts w:ascii="Garamond" w:hAnsi="Garamond" w:cstheme="majorBidi"/>
                <w:color w:val="0D0D0D" w:themeColor="text1" w:themeTint="F2"/>
                <w:sz w:val="18"/>
                <w:szCs w:val="18"/>
              </w:rPr>
              <w:t xml:space="preserve"> treta</w:t>
            </w:r>
          </w:p>
        </w:tc>
        <w:tc>
          <w:tcPr>
            <w:tcW w:w="1559" w:type="dxa"/>
          </w:tcPr>
          <w:p w14:paraId="667041B8" w14:textId="77777777" w:rsidR="00020EB1" w:rsidRPr="00050FA4" w:rsidRDefault="00020EB1" w:rsidP="00A95D23">
            <w:pPr>
              <w:snapToGrid w:val="0"/>
              <w:jc w:val="center"/>
              <w:rPr>
                <w:rFonts w:ascii="Garamond" w:hAnsi="Garamond" w:cstheme="majorBidi"/>
                <w:bCs/>
                <w:color w:val="0D0D0D" w:themeColor="text1" w:themeTint="F2"/>
                <w:sz w:val="18"/>
                <w:szCs w:val="18"/>
              </w:rPr>
            </w:pPr>
            <w:r w:rsidRPr="00050FA4">
              <w:rPr>
                <w:rFonts w:ascii="Garamond" w:hAnsi="Garamond" w:cstheme="majorBidi"/>
                <w:bCs/>
                <w:color w:val="0D0D0D" w:themeColor="text1" w:themeTint="F2"/>
                <w:sz w:val="18"/>
                <w:szCs w:val="18"/>
              </w:rPr>
              <w:t>50%</w:t>
            </w:r>
          </w:p>
        </w:tc>
        <w:tc>
          <w:tcPr>
            <w:tcW w:w="1559" w:type="dxa"/>
          </w:tcPr>
          <w:p w14:paraId="7B96155E" w14:textId="77777777" w:rsidR="00020EB1" w:rsidRPr="00050FA4" w:rsidRDefault="00020EB1" w:rsidP="00A95D23">
            <w:pPr>
              <w:snapToGrid w:val="0"/>
              <w:jc w:val="center"/>
              <w:rPr>
                <w:rFonts w:ascii="Garamond" w:hAnsi="Garamond" w:cstheme="majorBidi"/>
                <w:bCs/>
                <w:color w:val="0D0D0D" w:themeColor="text1" w:themeTint="F2"/>
                <w:sz w:val="18"/>
                <w:szCs w:val="18"/>
              </w:rPr>
            </w:pPr>
            <w:r w:rsidRPr="00050FA4">
              <w:rPr>
                <w:rFonts w:ascii="Garamond" w:hAnsi="Garamond" w:cstheme="majorBidi"/>
                <w:bCs/>
                <w:color w:val="0D0D0D" w:themeColor="text1" w:themeTint="F2"/>
                <w:sz w:val="18"/>
                <w:szCs w:val="18"/>
              </w:rPr>
              <w:t>80%</w:t>
            </w:r>
          </w:p>
        </w:tc>
        <w:tc>
          <w:tcPr>
            <w:tcW w:w="1276" w:type="dxa"/>
          </w:tcPr>
          <w:p w14:paraId="47BEBC12" w14:textId="77777777" w:rsidR="00020EB1" w:rsidRPr="00050FA4" w:rsidRDefault="00020EB1" w:rsidP="00A95D23">
            <w:pPr>
              <w:snapToGrid w:val="0"/>
              <w:jc w:val="center"/>
              <w:rPr>
                <w:rFonts w:ascii="Garamond" w:hAnsi="Garamond" w:cstheme="majorBidi"/>
                <w:bCs/>
                <w:color w:val="0D0D0D" w:themeColor="text1" w:themeTint="F2"/>
                <w:sz w:val="18"/>
                <w:szCs w:val="18"/>
              </w:rPr>
            </w:pPr>
            <w:r w:rsidRPr="00050FA4">
              <w:rPr>
                <w:rFonts w:ascii="Garamond" w:hAnsi="Garamond" w:cstheme="majorBidi"/>
                <w:bCs/>
                <w:color w:val="0D0D0D" w:themeColor="text1" w:themeTint="F2"/>
                <w:sz w:val="18"/>
                <w:szCs w:val="18"/>
              </w:rPr>
              <w:t>100%</w:t>
            </w:r>
          </w:p>
        </w:tc>
      </w:tr>
      <w:tr w:rsidR="00FA29AB" w:rsidRPr="00050FA4" w14:paraId="7DAE7FFB" w14:textId="77777777" w:rsidTr="000D67FC">
        <w:trPr>
          <w:jc w:val="center"/>
        </w:trPr>
        <w:tc>
          <w:tcPr>
            <w:tcW w:w="6091" w:type="dxa"/>
          </w:tcPr>
          <w:p w14:paraId="296FC365" w14:textId="75CA7535" w:rsidR="00020EB1" w:rsidRPr="00050FA4" w:rsidRDefault="00020EB1" w:rsidP="000C71F9">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Niveli i realizimit – </w:t>
            </w:r>
            <w:r w:rsidR="0026453E" w:rsidRPr="00050FA4">
              <w:rPr>
                <w:rFonts w:ascii="Garamond" w:hAnsi="Garamond" w:cstheme="majorBidi"/>
                <w:color w:val="0D0D0D" w:themeColor="text1" w:themeTint="F2"/>
                <w:sz w:val="18"/>
                <w:szCs w:val="18"/>
              </w:rPr>
              <w:t>Ndërtimi</w:t>
            </w:r>
            <w:r w:rsidRPr="00050FA4">
              <w:rPr>
                <w:rFonts w:ascii="Garamond" w:hAnsi="Garamond" w:cstheme="majorBidi"/>
                <w:color w:val="0D0D0D" w:themeColor="text1" w:themeTint="F2"/>
                <w:sz w:val="18"/>
                <w:szCs w:val="18"/>
              </w:rPr>
              <w:t xml:space="preserve"> </w:t>
            </w:r>
            <w:r w:rsidR="000C71F9" w:rsidRPr="00050FA4">
              <w:rPr>
                <w:rFonts w:ascii="Garamond" w:hAnsi="Garamond" w:cstheme="majorBidi"/>
                <w:color w:val="0D0D0D" w:themeColor="text1" w:themeTint="F2"/>
                <w:sz w:val="18"/>
                <w:szCs w:val="18"/>
              </w:rPr>
              <w:t xml:space="preserve">i Regjistrit të </w:t>
            </w:r>
            <w:r w:rsidRPr="00050FA4">
              <w:rPr>
                <w:rFonts w:ascii="Garamond" w:hAnsi="Garamond" w:cstheme="majorBidi"/>
                <w:color w:val="0D0D0D" w:themeColor="text1" w:themeTint="F2"/>
                <w:sz w:val="18"/>
                <w:szCs w:val="18"/>
              </w:rPr>
              <w:t>Aseteve t</w:t>
            </w:r>
            <w:r w:rsidR="000C71F9"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Tatimpaguesve</w:t>
            </w:r>
          </w:p>
        </w:tc>
        <w:tc>
          <w:tcPr>
            <w:tcW w:w="1559" w:type="dxa"/>
          </w:tcPr>
          <w:p w14:paraId="3FA7B110" w14:textId="77777777" w:rsidR="00020EB1" w:rsidRPr="00050FA4" w:rsidRDefault="00020EB1" w:rsidP="00A95D23">
            <w:pPr>
              <w:snapToGrid w:val="0"/>
              <w:jc w:val="center"/>
              <w:rPr>
                <w:rFonts w:ascii="Garamond" w:hAnsi="Garamond" w:cstheme="majorBidi"/>
                <w:bCs/>
                <w:color w:val="0D0D0D" w:themeColor="text1" w:themeTint="F2"/>
                <w:sz w:val="18"/>
                <w:szCs w:val="18"/>
              </w:rPr>
            </w:pPr>
            <w:r w:rsidRPr="00050FA4">
              <w:rPr>
                <w:rFonts w:ascii="Garamond" w:hAnsi="Garamond" w:cstheme="majorBidi"/>
                <w:bCs/>
                <w:color w:val="0D0D0D" w:themeColor="text1" w:themeTint="F2"/>
                <w:sz w:val="18"/>
                <w:szCs w:val="18"/>
              </w:rPr>
              <w:t>20%</w:t>
            </w:r>
          </w:p>
        </w:tc>
        <w:tc>
          <w:tcPr>
            <w:tcW w:w="1559" w:type="dxa"/>
          </w:tcPr>
          <w:p w14:paraId="1F409592" w14:textId="77777777" w:rsidR="00020EB1" w:rsidRPr="00050FA4" w:rsidRDefault="00020EB1" w:rsidP="00A95D23">
            <w:pPr>
              <w:snapToGrid w:val="0"/>
              <w:jc w:val="center"/>
              <w:rPr>
                <w:rFonts w:ascii="Garamond" w:hAnsi="Garamond" w:cstheme="majorBidi"/>
                <w:bCs/>
                <w:color w:val="0D0D0D" w:themeColor="text1" w:themeTint="F2"/>
                <w:sz w:val="18"/>
                <w:szCs w:val="18"/>
              </w:rPr>
            </w:pPr>
            <w:r w:rsidRPr="00050FA4">
              <w:rPr>
                <w:rFonts w:ascii="Garamond" w:hAnsi="Garamond" w:cstheme="majorBidi"/>
                <w:bCs/>
                <w:color w:val="0D0D0D" w:themeColor="text1" w:themeTint="F2"/>
                <w:sz w:val="18"/>
                <w:szCs w:val="18"/>
              </w:rPr>
              <w:t>50%</w:t>
            </w:r>
          </w:p>
        </w:tc>
        <w:tc>
          <w:tcPr>
            <w:tcW w:w="1276" w:type="dxa"/>
          </w:tcPr>
          <w:p w14:paraId="0BB6C4F4" w14:textId="77777777" w:rsidR="00020EB1" w:rsidRPr="00050FA4" w:rsidRDefault="00020EB1" w:rsidP="00A95D23">
            <w:pPr>
              <w:snapToGrid w:val="0"/>
              <w:jc w:val="center"/>
              <w:rPr>
                <w:rFonts w:ascii="Garamond" w:hAnsi="Garamond" w:cstheme="majorBidi"/>
                <w:bCs/>
                <w:color w:val="0D0D0D" w:themeColor="text1" w:themeTint="F2"/>
                <w:sz w:val="18"/>
                <w:szCs w:val="18"/>
              </w:rPr>
            </w:pPr>
            <w:r w:rsidRPr="00050FA4">
              <w:rPr>
                <w:rFonts w:ascii="Garamond" w:hAnsi="Garamond" w:cstheme="majorBidi"/>
                <w:bCs/>
                <w:color w:val="0D0D0D" w:themeColor="text1" w:themeTint="F2"/>
                <w:sz w:val="18"/>
                <w:szCs w:val="18"/>
              </w:rPr>
              <w:t>100%</w:t>
            </w:r>
          </w:p>
        </w:tc>
      </w:tr>
    </w:tbl>
    <w:p w14:paraId="72086B94" w14:textId="77777777" w:rsidR="00020EB1" w:rsidRPr="00050FA4" w:rsidRDefault="00020EB1" w:rsidP="003F1DA7">
      <w:pPr>
        <w:snapToGrid w:val="0"/>
        <w:ind w:firstLine="284"/>
        <w:rPr>
          <w:rFonts w:ascii="Garamond" w:hAnsi="Garamond" w:cstheme="majorBidi"/>
          <w:color w:val="0D0D0D" w:themeColor="text1" w:themeTint="F2"/>
        </w:rPr>
      </w:pPr>
    </w:p>
    <w:p w14:paraId="74997C6C" w14:textId="18D5BA16" w:rsidR="004F312A" w:rsidRPr="00050FA4" w:rsidRDefault="006F5897" w:rsidP="003F1DA7">
      <w:pPr>
        <w:pStyle w:val="AAAAAAATEXXXX"/>
        <w:rPr>
          <w:lang w:val="sq-AL"/>
        </w:rPr>
      </w:pPr>
      <w:r w:rsidRPr="00050FA4">
        <w:rPr>
          <w:lang w:val="sq-AL"/>
        </w:rPr>
        <w:t xml:space="preserve">3. </w:t>
      </w:r>
      <w:r w:rsidR="00B2062A" w:rsidRPr="00050FA4">
        <w:rPr>
          <w:lang w:val="sq-AL"/>
        </w:rPr>
        <w:t>Ndikimi i pritshëm në konkurrueshmëri</w:t>
      </w:r>
    </w:p>
    <w:p w14:paraId="0D115D1E" w14:textId="4A02ADB0" w:rsidR="005D24B4" w:rsidRPr="00050FA4" w:rsidRDefault="00857902" w:rsidP="003F1DA7">
      <w:pPr>
        <w:pStyle w:val="AAAAAAATEXXXX"/>
        <w:rPr>
          <w:lang w:val="sq-AL"/>
        </w:rPr>
      </w:pPr>
      <w:r w:rsidRPr="00050FA4">
        <w:rPr>
          <w:lang w:val="sq-AL"/>
        </w:rPr>
        <w:t>Forcimi i luftës kundër informalitetit në ekonomi do të krijojë një klimë më të mirë të taksimit të drejt</w:t>
      </w:r>
      <w:r w:rsidR="006C029C" w:rsidRPr="00050FA4">
        <w:rPr>
          <w:lang w:val="sq-AL"/>
        </w:rPr>
        <w:t>ë</w:t>
      </w:r>
      <w:r w:rsidRPr="00050FA4">
        <w:rPr>
          <w:lang w:val="sq-AL"/>
        </w:rPr>
        <w:t xml:space="preserve"> dhe do të rrisë besimin e taksapaguesve ndaj administratës tatimore. Gjithashtu</w:t>
      </w:r>
      <w:r w:rsidR="006C029C" w:rsidRPr="00050FA4">
        <w:rPr>
          <w:lang w:val="sq-AL"/>
        </w:rPr>
        <w:t>,</w:t>
      </w:r>
      <w:r w:rsidRPr="00050FA4">
        <w:rPr>
          <w:lang w:val="sq-AL"/>
        </w:rPr>
        <w:t xml:space="preserve"> do të reduktojë konkurrencën e pandershme ndërmjet bizneseve formale dhe atyre informale, do të rrisë të ardhurat dhe, në mënyrë indirekte, fondet e disponueshme për investime në infrastrukturë</w:t>
      </w:r>
      <w:r w:rsidR="005D24B4" w:rsidRPr="00050FA4">
        <w:rPr>
          <w:lang w:val="sq-AL"/>
        </w:rPr>
        <w:t>.</w:t>
      </w:r>
    </w:p>
    <w:p w14:paraId="5BE5FF9B" w14:textId="60915D5E" w:rsidR="004F312A" w:rsidRPr="00050FA4" w:rsidRDefault="006F5897" w:rsidP="003F1DA7">
      <w:pPr>
        <w:pStyle w:val="AAAAAAATEXXXX"/>
        <w:rPr>
          <w:lang w:val="sq-AL"/>
        </w:rPr>
      </w:pPr>
      <w:r w:rsidRPr="00050FA4">
        <w:rPr>
          <w:lang w:val="sq-AL"/>
        </w:rPr>
        <w:t xml:space="preserve">4. </w:t>
      </w:r>
      <w:r w:rsidR="00B2062A" w:rsidRPr="00050FA4">
        <w:rPr>
          <w:lang w:val="sq-AL"/>
        </w:rPr>
        <w:t>Kosto</w:t>
      </w:r>
      <w:r w:rsidR="000D67FC" w:rsidRPr="00050FA4">
        <w:rPr>
          <w:lang w:val="sq-AL"/>
        </w:rPr>
        <w:t>ja</w:t>
      </w:r>
      <w:r w:rsidR="00B2062A" w:rsidRPr="00050FA4">
        <w:rPr>
          <w:lang w:val="sq-AL"/>
        </w:rPr>
        <w:t xml:space="preserve"> e parashikuar e aktiviteteve dhe burimi i financimit</w:t>
      </w:r>
    </w:p>
    <w:p w14:paraId="0C3C8D98" w14:textId="33805A39" w:rsidR="004F312A" w:rsidRPr="00050FA4" w:rsidRDefault="005D24B4" w:rsidP="003F1DA7">
      <w:pPr>
        <w:pStyle w:val="AAAAAAATEXXXX"/>
        <w:rPr>
          <w:lang w:val="sq-AL"/>
        </w:rPr>
      </w:pPr>
      <w:r w:rsidRPr="00050FA4">
        <w:rPr>
          <w:lang w:val="sq-AL"/>
        </w:rPr>
        <w:t>Buxheti i shtetit.</w:t>
      </w:r>
    </w:p>
    <w:p w14:paraId="0A10C262" w14:textId="6261DDD0" w:rsidR="004F312A" w:rsidRPr="00050FA4" w:rsidRDefault="006F5897"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5C726626" w14:textId="72C498B2" w:rsidR="005D24B4" w:rsidRPr="00050FA4" w:rsidRDefault="00857902" w:rsidP="003F1DA7">
      <w:pPr>
        <w:pStyle w:val="AAAAAAATEXXXX"/>
        <w:rPr>
          <w:lang w:val="sq-AL"/>
        </w:rPr>
      </w:pPr>
      <w:r w:rsidRPr="00050FA4">
        <w:rPr>
          <w:lang w:val="sq-AL"/>
        </w:rPr>
        <w:t>Kjo masë reforme kontribuon në konkurrencën dhe do të lejojë</w:t>
      </w:r>
      <w:r w:rsidR="006C029C" w:rsidRPr="00050FA4">
        <w:rPr>
          <w:lang w:val="sq-AL"/>
        </w:rPr>
        <w:t>,</w:t>
      </w:r>
      <w:r w:rsidRPr="00050FA4">
        <w:rPr>
          <w:lang w:val="sq-AL"/>
        </w:rPr>
        <w:t xml:space="preserve"> gjithashtu</w:t>
      </w:r>
      <w:r w:rsidR="006C029C" w:rsidRPr="00050FA4">
        <w:rPr>
          <w:lang w:val="sq-AL"/>
        </w:rPr>
        <w:t>,</w:t>
      </w:r>
      <w:r w:rsidRPr="00050FA4">
        <w:rPr>
          <w:lang w:val="sq-AL"/>
        </w:rPr>
        <w:t xml:space="preserve"> pakësimin</w:t>
      </w:r>
      <w:r w:rsidR="009B1D6B" w:rsidRPr="00050FA4">
        <w:rPr>
          <w:lang w:val="sq-AL"/>
        </w:rPr>
        <w:t xml:space="preserve"> </w:t>
      </w:r>
      <w:r w:rsidRPr="00050FA4">
        <w:rPr>
          <w:lang w:val="sq-AL"/>
        </w:rPr>
        <w:t xml:space="preserve">e kostos së mbledhjes së të ardhurave. Duke rritur numrin e punonjësve të deklaruar dhe numrin e pagave të deklaruara në nivelin real të tyre, kjo do të kontribuojë indirekt në krijimin e vendeve të punës, taksimin e drejtë dhe sigurimin më të mirë shoqëror për punonjësit. Kjo masë reforme mund të ndikojë pozitivisht në barazinë gjinore, do të rrisë punësimin formal, do të rrisë të ardhurat dhe rrjedhimisht edhe fondet e </w:t>
      </w:r>
      <w:r w:rsidRPr="00050FA4">
        <w:rPr>
          <w:lang w:val="sq-AL"/>
        </w:rPr>
        <w:lastRenderedPageBreak/>
        <w:t>disponueshme për investime në infrastrukturë dhe për mbulim shëndetësor</w:t>
      </w:r>
      <w:r w:rsidR="005D24B4" w:rsidRPr="00050FA4">
        <w:rPr>
          <w:lang w:val="sq-AL"/>
        </w:rPr>
        <w:t>.</w:t>
      </w:r>
    </w:p>
    <w:p w14:paraId="0F0735D2" w14:textId="5F875C09" w:rsidR="004F312A" w:rsidRPr="00050FA4" w:rsidRDefault="006F5897"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4CE23041" w14:textId="0FA01B36" w:rsidR="005D24B4" w:rsidRPr="00050FA4" w:rsidRDefault="005D24B4" w:rsidP="003F1DA7">
      <w:pPr>
        <w:pStyle w:val="AAAAAAATEXXXX"/>
        <w:rPr>
          <w:lang w:val="sq-AL"/>
        </w:rPr>
      </w:pPr>
      <w:r w:rsidRPr="00050FA4">
        <w:rPr>
          <w:lang w:val="sq-AL"/>
        </w:rPr>
        <w:t>Nuk ka impakt t</w:t>
      </w:r>
      <w:r w:rsidR="0026453E" w:rsidRPr="00050FA4">
        <w:rPr>
          <w:lang w:val="sq-AL"/>
        </w:rPr>
        <w:t>ë</w:t>
      </w:r>
      <w:r w:rsidRPr="00050FA4">
        <w:rPr>
          <w:lang w:val="sq-AL"/>
        </w:rPr>
        <w:t xml:space="preserve"> </w:t>
      </w:r>
      <w:r w:rsidR="0026453E" w:rsidRPr="00050FA4">
        <w:rPr>
          <w:lang w:val="sq-AL"/>
        </w:rPr>
        <w:t>pritshëm</w:t>
      </w:r>
      <w:r w:rsidRPr="00050FA4">
        <w:rPr>
          <w:lang w:val="sq-AL"/>
        </w:rPr>
        <w:t xml:space="preserve"> n</w:t>
      </w:r>
      <w:r w:rsidR="0084264C" w:rsidRPr="00050FA4">
        <w:rPr>
          <w:lang w:val="sq-AL"/>
        </w:rPr>
        <w:t>ë</w:t>
      </w:r>
      <w:r w:rsidRPr="00050FA4">
        <w:rPr>
          <w:lang w:val="sq-AL"/>
        </w:rPr>
        <w:t xml:space="preserve"> mjedis apo n</w:t>
      </w:r>
      <w:r w:rsidR="0084264C" w:rsidRPr="00050FA4">
        <w:rPr>
          <w:lang w:val="sq-AL"/>
        </w:rPr>
        <w:t>ë</w:t>
      </w:r>
      <w:r w:rsidRPr="00050FA4">
        <w:rPr>
          <w:lang w:val="sq-AL"/>
        </w:rPr>
        <w:t xml:space="preserve"> ndryshime klimatike nga masa e propozuar e </w:t>
      </w:r>
      <w:r w:rsidR="0026453E" w:rsidRPr="00050FA4">
        <w:rPr>
          <w:lang w:val="sq-AL"/>
        </w:rPr>
        <w:t>reformës</w:t>
      </w:r>
      <w:r w:rsidRPr="00050FA4">
        <w:rPr>
          <w:lang w:val="sq-AL"/>
        </w:rPr>
        <w:t>.</w:t>
      </w:r>
    </w:p>
    <w:p w14:paraId="28D252E7" w14:textId="66E2BF8D" w:rsidR="004F312A" w:rsidRPr="00050FA4" w:rsidRDefault="006F5897" w:rsidP="003F1DA7">
      <w:pPr>
        <w:pStyle w:val="AAAAAAATEXXXX"/>
        <w:rPr>
          <w:lang w:val="sq-AL"/>
        </w:rPr>
      </w:pPr>
      <w:r w:rsidRPr="00050FA4">
        <w:rPr>
          <w:lang w:val="sq-AL"/>
        </w:rPr>
        <w:t xml:space="preserve">7. </w:t>
      </w:r>
      <w:r w:rsidR="00B2062A" w:rsidRPr="00050FA4">
        <w:rPr>
          <w:lang w:val="sq-AL"/>
        </w:rPr>
        <w:t>Rreziqet e mundshme</w:t>
      </w:r>
    </w:p>
    <w:p w14:paraId="7B22E131" w14:textId="77777777" w:rsidR="006C029C" w:rsidRPr="00050FA4" w:rsidRDefault="006C029C" w:rsidP="003F1DA7">
      <w:pPr>
        <w:pStyle w:val="AAAAAAATEXXXX"/>
        <w:rPr>
          <w:lang w:val="sq-AL"/>
        </w:rPr>
      </w:pPr>
    </w:p>
    <w:tbl>
      <w:tblPr>
        <w:tblStyle w:val="TableGrid"/>
        <w:tblW w:w="0" w:type="auto"/>
        <w:jc w:val="center"/>
        <w:tblLook w:val="04A0" w:firstRow="1" w:lastRow="0" w:firstColumn="1" w:lastColumn="0" w:noHBand="0" w:noVBand="1"/>
      </w:tblPr>
      <w:tblGrid>
        <w:gridCol w:w="3823"/>
        <w:gridCol w:w="1559"/>
        <w:gridCol w:w="4240"/>
      </w:tblGrid>
      <w:tr w:rsidR="00FA29AB" w:rsidRPr="00050FA4" w14:paraId="30C210F6" w14:textId="77777777" w:rsidTr="00E229FE">
        <w:trPr>
          <w:jc w:val="center"/>
        </w:trPr>
        <w:tc>
          <w:tcPr>
            <w:tcW w:w="3823" w:type="dxa"/>
            <w:vAlign w:val="center"/>
          </w:tcPr>
          <w:p w14:paraId="5FE4D0B3" w14:textId="5CBE03BF" w:rsidR="00DA769F"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559" w:type="dxa"/>
            <w:vAlign w:val="center"/>
          </w:tcPr>
          <w:p w14:paraId="042610D0" w14:textId="77777777" w:rsidR="006C029C"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DA769F" w:rsidRPr="00050FA4">
              <w:rPr>
                <w:rFonts w:ascii="Garamond" w:hAnsi="Garamond" w:cstheme="majorBidi"/>
                <w:b/>
                <w:color w:val="0D0D0D" w:themeColor="text1" w:themeTint="F2"/>
                <w:sz w:val="18"/>
                <w:szCs w:val="18"/>
              </w:rPr>
              <w:t xml:space="preserve"> </w:t>
            </w:r>
          </w:p>
          <w:p w14:paraId="68273D04" w14:textId="435FA05A" w:rsidR="00DA769F" w:rsidRPr="00050FA4" w:rsidRDefault="00DA769F"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4240" w:type="dxa"/>
            <w:vAlign w:val="center"/>
          </w:tcPr>
          <w:p w14:paraId="445CA210" w14:textId="50C59E9B" w:rsidR="00DA769F"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369BDA3C" w14:textId="77777777" w:rsidTr="00E229FE">
        <w:trPr>
          <w:jc w:val="center"/>
        </w:trPr>
        <w:tc>
          <w:tcPr>
            <w:tcW w:w="3823" w:type="dxa"/>
            <w:vAlign w:val="center"/>
          </w:tcPr>
          <w:p w14:paraId="20117C58" w14:textId="6E398DF8" w:rsidR="005D24B4" w:rsidRPr="00050FA4" w:rsidRDefault="005D24B4" w:rsidP="00A95D23">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pacing w:val="-1"/>
                <w:sz w:val="18"/>
                <w:szCs w:val="18"/>
              </w:rPr>
              <w:t>V</w:t>
            </w:r>
            <w:r w:rsidR="000C71F9" w:rsidRPr="00050FA4">
              <w:rPr>
                <w:rFonts w:ascii="Garamond" w:hAnsi="Garamond" w:cstheme="majorBidi"/>
                <w:color w:val="0D0D0D" w:themeColor="text1" w:themeTint="F2"/>
                <w:spacing w:val="-1"/>
                <w:sz w:val="18"/>
                <w:szCs w:val="18"/>
              </w:rPr>
              <w:t>onesa në</w:t>
            </w:r>
            <w:r w:rsidRPr="00050FA4">
              <w:rPr>
                <w:rFonts w:ascii="Garamond" w:hAnsi="Garamond" w:cstheme="majorBidi"/>
                <w:color w:val="0D0D0D" w:themeColor="text1" w:themeTint="F2"/>
                <w:spacing w:val="-1"/>
                <w:sz w:val="18"/>
                <w:szCs w:val="18"/>
              </w:rPr>
              <w:t xml:space="preserve"> aktivitete </w:t>
            </w:r>
          </w:p>
        </w:tc>
        <w:tc>
          <w:tcPr>
            <w:tcW w:w="1559" w:type="dxa"/>
            <w:vAlign w:val="center"/>
          </w:tcPr>
          <w:p w14:paraId="59DC00AD" w14:textId="5EDB7F3F" w:rsidR="005D24B4" w:rsidRPr="00050FA4" w:rsidRDefault="000C71F9" w:rsidP="000C71F9">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I u</w:t>
            </w:r>
            <w:r w:rsidR="005D24B4" w:rsidRPr="00050FA4">
              <w:rPr>
                <w:rFonts w:ascii="Garamond" w:hAnsi="Garamond" w:cstheme="majorBidi"/>
                <w:color w:val="0D0D0D" w:themeColor="text1" w:themeTint="F2"/>
                <w:sz w:val="18"/>
                <w:szCs w:val="18"/>
              </w:rPr>
              <w:t>l</w:t>
            </w:r>
            <w:r w:rsidRPr="00050FA4">
              <w:rPr>
                <w:rFonts w:ascii="Garamond" w:hAnsi="Garamond" w:cstheme="majorBidi"/>
                <w:color w:val="0D0D0D" w:themeColor="text1" w:themeTint="F2"/>
                <w:sz w:val="18"/>
                <w:szCs w:val="18"/>
              </w:rPr>
              <w:t>ë</w:t>
            </w:r>
            <w:r w:rsidR="005D24B4" w:rsidRPr="00050FA4">
              <w:rPr>
                <w:rFonts w:ascii="Garamond" w:hAnsi="Garamond" w:cstheme="majorBidi"/>
                <w:color w:val="0D0D0D" w:themeColor="text1" w:themeTint="F2"/>
                <w:sz w:val="18"/>
                <w:szCs w:val="18"/>
              </w:rPr>
              <w:t>t</w:t>
            </w:r>
          </w:p>
        </w:tc>
        <w:tc>
          <w:tcPr>
            <w:tcW w:w="4240" w:type="dxa"/>
            <w:vAlign w:val="center"/>
          </w:tcPr>
          <w:p w14:paraId="6812DC57" w14:textId="12D0256E" w:rsidR="005D24B4" w:rsidRPr="00050FA4" w:rsidRDefault="005D24B4"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Mo</w:t>
            </w:r>
            <w:r w:rsidR="000C71F9" w:rsidRPr="00050FA4">
              <w:rPr>
                <w:rFonts w:ascii="Garamond" w:hAnsi="Garamond" w:cstheme="majorBidi"/>
                <w:color w:val="0D0D0D" w:themeColor="text1" w:themeTint="F2"/>
                <w:sz w:val="18"/>
                <w:szCs w:val="18"/>
              </w:rPr>
              <w:t>nitorim i rregullt i zbatimit të</w:t>
            </w:r>
            <w:r w:rsidRPr="00050FA4">
              <w:rPr>
                <w:rFonts w:ascii="Garamond" w:hAnsi="Garamond" w:cstheme="majorBidi"/>
                <w:color w:val="0D0D0D" w:themeColor="text1" w:themeTint="F2"/>
                <w:sz w:val="18"/>
                <w:szCs w:val="18"/>
              </w:rPr>
              <w:t xml:space="preserve"> aktiviteteve</w:t>
            </w:r>
          </w:p>
        </w:tc>
      </w:tr>
    </w:tbl>
    <w:p w14:paraId="1DB2543F" w14:textId="77777777" w:rsidR="00DA769F" w:rsidRPr="00050FA4" w:rsidRDefault="00DA769F" w:rsidP="003F1DA7">
      <w:pPr>
        <w:snapToGrid w:val="0"/>
        <w:ind w:firstLine="284"/>
        <w:rPr>
          <w:rFonts w:ascii="Garamond" w:hAnsi="Garamond" w:cstheme="majorBidi"/>
          <w:color w:val="0D0D0D" w:themeColor="text1" w:themeTint="F2"/>
        </w:rPr>
      </w:pPr>
    </w:p>
    <w:p w14:paraId="0551BF8D" w14:textId="6898DB80" w:rsidR="00DB22AB"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07</w:t>
      </w:r>
      <w:r w:rsidR="00DB22AB" w:rsidRPr="00050FA4">
        <w:rPr>
          <w:rFonts w:ascii="Garamond" w:hAnsi="Garamond" w:cstheme="majorBidi"/>
          <w:color w:val="0D0D0D" w:themeColor="text1" w:themeTint="F2"/>
          <w:sz w:val="24"/>
          <w:szCs w:val="24"/>
        </w:rPr>
        <w:t xml:space="preserve">: </w:t>
      </w:r>
      <w:r w:rsidR="00405262" w:rsidRPr="00050FA4">
        <w:rPr>
          <w:rFonts w:ascii="Garamond" w:hAnsi="Garamond" w:cstheme="majorBidi"/>
          <w:color w:val="0D0D0D" w:themeColor="text1" w:themeTint="F2"/>
          <w:sz w:val="24"/>
          <w:szCs w:val="24"/>
        </w:rPr>
        <w:t xml:space="preserve">Zhvillimi i kuadrit ligjor për të mbështetur </w:t>
      </w:r>
      <w:r w:rsidR="00E708DC" w:rsidRPr="00050FA4">
        <w:rPr>
          <w:rFonts w:ascii="Garamond" w:hAnsi="Garamond" w:cstheme="majorBidi"/>
          <w:color w:val="0D0D0D" w:themeColor="text1" w:themeTint="F2"/>
          <w:sz w:val="24"/>
          <w:szCs w:val="24"/>
        </w:rPr>
        <w:t>start-up</w:t>
      </w:r>
      <w:r w:rsidR="00405262" w:rsidRPr="00050FA4">
        <w:rPr>
          <w:rFonts w:ascii="Garamond" w:hAnsi="Garamond" w:cstheme="majorBidi"/>
          <w:color w:val="0D0D0D" w:themeColor="text1" w:themeTint="F2"/>
          <w:sz w:val="24"/>
          <w:szCs w:val="24"/>
        </w:rPr>
        <w:t xml:space="preserve"> inovative</w:t>
      </w:r>
    </w:p>
    <w:p w14:paraId="2C2E31DB" w14:textId="4A693A0C" w:rsidR="00DB22AB" w:rsidRPr="00050FA4" w:rsidRDefault="006F5897" w:rsidP="003F1DA7">
      <w:pPr>
        <w:pStyle w:val="AAAAAAATEXXXX"/>
        <w:rPr>
          <w:lang w:val="sq-AL"/>
        </w:rPr>
      </w:pPr>
      <w:r w:rsidRPr="00050FA4">
        <w:rPr>
          <w:lang w:val="sq-AL"/>
        </w:rPr>
        <w:t xml:space="preserve">1. </w:t>
      </w:r>
      <w:r w:rsidR="00B2062A" w:rsidRPr="00050FA4">
        <w:rPr>
          <w:lang w:val="sq-AL"/>
        </w:rPr>
        <w:t>Përshkrimi i masës</w:t>
      </w:r>
    </w:p>
    <w:p w14:paraId="455C95EB" w14:textId="1AE0F9C1" w:rsidR="00E51C16" w:rsidRPr="00050FA4" w:rsidRDefault="00E51C16" w:rsidP="003F1DA7">
      <w:pPr>
        <w:pStyle w:val="AAAAAAATEXXXX"/>
        <w:rPr>
          <w:lang w:val="sq-AL"/>
        </w:rPr>
      </w:pPr>
      <w:r w:rsidRPr="00050FA4">
        <w:rPr>
          <w:lang w:val="sq-AL"/>
        </w:rPr>
        <w:t xml:space="preserve">Vitet e fundit, roli i </w:t>
      </w:r>
      <w:r w:rsidR="00E708DC" w:rsidRPr="00050FA4">
        <w:rPr>
          <w:i/>
          <w:lang w:val="sq-AL"/>
        </w:rPr>
        <w:t>start-up</w:t>
      </w:r>
      <w:r w:rsidRPr="00050FA4">
        <w:rPr>
          <w:lang w:val="sq-AL"/>
        </w:rPr>
        <w:t>-eve ka fituar vazhdimisht rëndësi si një forcë lëvizëse për zhvillimin ekonomik dhe social drejt një shoqërie të bazuar në dije. Suksesi i kompanive fillestare dhe potenciali i tyre për t'u rritur varet nga një sërë faktorësh.</w:t>
      </w:r>
    </w:p>
    <w:p w14:paraId="0BF02B18" w14:textId="40ED371F" w:rsidR="00E51C16" w:rsidRPr="00050FA4" w:rsidRDefault="00E51C16" w:rsidP="003F1DA7">
      <w:pPr>
        <w:pStyle w:val="AAAAAAATEXXXX"/>
        <w:rPr>
          <w:lang w:val="sq-AL"/>
        </w:rPr>
      </w:pPr>
      <w:r w:rsidRPr="00050FA4">
        <w:rPr>
          <w:lang w:val="sq-AL"/>
        </w:rPr>
        <w:t xml:space="preserve">Ekosistemi shqiptar është mbështetur nga projekti i BE-së </w:t>
      </w:r>
      <w:r w:rsidR="008A0E5B" w:rsidRPr="00050FA4">
        <w:rPr>
          <w:lang w:val="sq-AL"/>
        </w:rPr>
        <w:t>“</w:t>
      </w:r>
      <w:r w:rsidRPr="00050FA4">
        <w:rPr>
          <w:lang w:val="sq-AL"/>
        </w:rPr>
        <w:t xml:space="preserve">BE për </w:t>
      </w:r>
      <w:r w:rsidR="00731DD1" w:rsidRPr="00050FA4">
        <w:rPr>
          <w:lang w:val="sq-AL"/>
        </w:rPr>
        <w:t>inovacionin</w:t>
      </w:r>
      <w:r w:rsidR="008A0E5B" w:rsidRPr="00050FA4">
        <w:rPr>
          <w:lang w:val="sq-AL"/>
        </w:rPr>
        <w:t>”</w:t>
      </w:r>
      <w:r w:rsidRPr="00050FA4">
        <w:rPr>
          <w:lang w:val="sq-AL"/>
        </w:rPr>
        <w:t xml:space="preserve">. Qëllimi kryesor i këtij projekti është përmirësimi i ekosistemit të </w:t>
      </w:r>
      <w:r w:rsidR="00E708DC" w:rsidRPr="00050FA4">
        <w:rPr>
          <w:i/>
          <w:lang w:val="sq-AL"/>
        </w:rPr>
        <w:t>start-up</w:t>
      </w:r>
      <w:r w:rsidRPr="00050FA4">
        <w:rPr>
          <w:lang w:val="sq-AL"/>
        </w:rPr>
        <w:t xml:space="preserve">-eve dhe promovimi i </w:t>
      </w:r>
      <w:r w:rsidR="00E708DC" w:rsidRPr="00050FA4">
        <w:rPr>
          <w:i/>
          <w:lang w:val="sq-AL"/>
        </w:rPr>
        <w:t>start-up</w:t>
      </w:r>
      <w:r w:rsidRPr="00050FA4">
        <w:rPr>
          <w:lang w:val="sq-AL"/>
        </w:rPr>
        <w:t>-eve në Shqipëri. Ky projekt financohet nga IPA II 2014</w:t>
      </w:r>
      <w:r w:rsidR="00731DD1" w:rsidRPr="00050FA4">
        <w:rPr>
          <w:lang w:val="sq-AL"/>
        </w:rPr>
        <w:t>–</w:t>
      </w:r>
      <w:r w:rsidRPr="00050FA4">
        <w:rPr>
          <w:lang w:val="sq-AL"/>
        </w:rPr>
        <w:t xml:space="preserve">2020 për sektorin e </w:t>
      </w:r>
      <w:r w:rsidR="00731DD1" w:rsidRPr="00050FA4">
        <w:rPr>
          <w:lang w:val="sq-AL"/>
        </w:rPr>
        <w:t xml:space="preserve">konkurrueshmërisë dhe inovacionit, </w:t>
      </w:r>
      <w:r w:rsidRPr="00050FA4">
        <w:rPr>
          <w:lang w:val="sq-AL"/>
        </w:rPr>
        <w:t>në vlerë prej 6,600,000 euro</w:t>
      </w:r>
      <w:r w:rsidR="006A27AC" w:rsidRPr="00050FA4">
        <w:rPr>
          <w:lang w:val="sq-AL"/>
        </w:rPr>
        <w:t>sh</w:t>
      </w:r>
      <w:r w:rsidRPr="00050FA4">
        <w:rPr>
          <w:lang w:val="sq-AL"/>
        </w:rPr>
        <w:t xml:space="preserve">, dhe me mbështetjen e </w:t>
      </w:r>
      <w:r w:rsidR="00731DD1" w:rsidRPr="00050FA4">
        <w:rPr>
          <w:lang w:val="sq-AL"/>
        </w:rPr>
        <w:t xml:space="preserve">qeverisë gjermane, </w:t>
      </w:r>
      <w:r w:rsidRPr="00050FA4">
        <w:rPr>
          <w:lang w:val="sq-AL"/>
        </w:rPr>
        <w:t>në vlerë prej 719,238 euro</w:t>
      </w:r>
      <w:r w:rsidR="006A27AC" w:rsidRPr="00050FA4">
        <w:rPr>
          <w:lang w:val="sq-AL"/>
        </w:rPr>
        <w:t>sh</w:t>
      </w:r>
      <w:r w:rsidRPr="00050FA4">
        <w:rPr>
          <w:lang w:val="sq-AL"/>
        </w:rPr>
        <w:t xml:space="preserve"> dhe </w:t>
      </w:r>
      <w:r w:rsidR="00731DD1" w:rsidRPr="00050FA4">
        <w:rPr>
          <w:lang w:val="sq-AL"/>
        </w:rPr>
        <w:t xml:space="preserve">qeverisë </w:t>
      </w:r>
      <w:r w:rsidRPr="00050FA4">
        <w:rPr>
          <w:lang w:val="sq-AL"/>
        </w:rPr>
        <w:t>Suedeze</w:t>
      </w:r>
      <w:r w:rsidR="00731DD1" w:rsidRPr="00050FA4">
        <w:rPr>
          <w:lang w:val="sq-AL"/>
        </w:rPr>
        <w:t>,</w:t>
      </w:r>
      <w:r w:rsidRPr="00050FA4">
        <w:rPr>
          <w:lang w:val="sq-AL"/>
        </w:rPr>
        <w:t xml:space="preserve"> në vlerë prej 220,000 euro</w:t>
      </w:r>
      <w:r w:rsidR="006A27AC" w:rsidRPr="00050FA4">
        <w:rPr>
          <w:lang w:val="sq-AL"/>
        </w:rPr>
        <w:t>sh</w:t>
      </w:r>
      <w:r w:rsidRPr="00050FA4">
        <w:rPr>
          <w:lang w:val="sq-AL"/>
        </w:rPr>
        <w:t xml:space="preserve">. Buxheti i përgjithshëm i këtij projekti është 7.539.238 euro. Projekti përfundon në </w:t>
      </w:r>
      <w:r w:rsidR="006A27AC" w:rsidRPr="00050FA4">
        <w:rPr>
          <w:lang w:val="sq-AL"/>
        </w:rPr>
        <w:t xml:space="preserve">mars </w:t>
      </w:r>
      <w:r w:rsidRPr="00050FA4">
        <w:rPr>
          <w:lang w:val="sq-AL"/>
        </w:rPr>
        <w:t xml:space="preserve">2022. Komponenti i grantit </w:t>
      </w:r>
      <w:r w:rsidR="008A0E5B" w:rsidRPr="00050FA4">
        <w:rPr>
          <w:lang w:val="sq-AL"/>
        </w:rPr>
        <w:t>“</w:t>
      </w:r>
      <w:r w:rsidRPr="00050FA4">
        <w:rPr>
          <w:lang w:val="sq-AL"/>
        </w:rPr>
        <w:t xml:space="preserve">Fondi i </w:t>
      </w:r>
      <w:r w:rsidR="006A27AC" w:rsidRPr="00050FA4">
        <w:rPr>
          <w:lang w:val="sq-AL"/>
        </w:rPr>
        <w:t>sfidës</w:t>
      </w:r>
      <w:r w:rsidR="008A0E5B" w:rsidRPr="00050FA4">
        <w:rPr>
          <w:lang w:val="sq-AL"/>
        </w:rPr>
        <w:t>”</w:t>
      </w:r>
      <w:r w:rsidRPr="00050FA4">
        <w:rPr>
          <w:lang w:val="sq-AL"/>
        </w:rPr>
        <w:t xml:space="preserve"> ishte 2.2 milionë euro nga BE-ja dhe 220.000 euro nga qeveria suedeze. Përfitues kanë qenë 33 </w:t>
      </w:r>
      <w:r w:rsidR="00E708DC" w:rsidRPr="00050FA4">
        <w:rPr>
          <w:i/>
          <w:lang w:val="sq-AL"/>
        </w:rPr>
        <w:t>start-up</w:t>
      </w:r>
      <w:r w:rsidR="00944AA5" w:rsidRPr="00050FA4">
        <w:rPr>
          <w:lang w:val="sq-AL"/>
        </w:rPr>
        <w:t xml:space="preserve"> </w:t>
      </w:r>
      <w:r w:rsidRPr="00050FA4">
        <w:rPr>
          <w:lang w:val="sq-AL"/>
        </w:rPr>
        <w:t>inovative për të cilat është dhënë kontrata dhe ISO (</w:t>
      </w:r>
      <w:r w:rsidR="00731DD1" w:rsidRPr="00050FA4">
        <w:rPr>
          <w:lang w:val="sq-AL"/>
        </w:rPr>
        <w:t>organizatat mbështetëse të inovacionit</w:t>
      </w:r>
      <w:r w:rsidRPr="00050FA4">
        <w:rPr>
          <w:lang w:val="sq-AL"/>
        </w:rPr>
        <w:t>).</w:t>
      </w:r>
    </w:p>
    <w:p w14:paraId="17B1FF94" w14:textId="1D32073D" w:rsidR="00E51C16" w:rsidRPr="00050FA4" w:rsidRDefault="00E51C16" w:rsidP="003F1DA7">
      <w:pPr>
        <w:pStyle w:val="AAAAAAATEXXXX"/>
        <w:rPr>
          <w:lang w:val="sq-AL"/>
        </w:rPr>
      </w:pPr>
      <w:r w:rsidRPr="00050FA4">
        <w:rPr>
          <w:lang w:val="sq-AL"/>
        </w:rPr>
        <w:t xml:space="preserve">Një draft për një ligj të ri </w:t>
      </w:r>
      <w:r w:rsidRPr="00050FA4">
        <w:rPr>
          <w:i/>
          <w:lang w:val="sq-AL"/>
        </w:rPr>
        <w:t>start-up</w:t>
      </w:r>
      <w:r w:rsidRPr="00050FA4">
        <w:rPr>
          <w:lang w:val="sq-AL"/>
        </w:rPr>
        <w:t xml:space="preserve"> u miratua nga një grup pune ndërministror pranë </w:t>
      </w:r>
      <w:r w:rsidR="00731DD1" w:rsidRPr="00050FA4">
        <w:rPr>
          <w:lang w:val="sq-AL"/>
        </w:rPr>
        <w:t xml:space="preserve">ministrit </w:t>
      </w:r>
      <w:r w:rsidRPr="00050FA4">
        <w:rPr>
          <w:lang w:val="sq-AL"/>
        </w:rPr>
        <w:t xml:space="preserve">të Shtetit për </w:t>
      </w:r>
      <w:r w:rsidR="00731DD1" w:rsidRPr="00050FA4">
        <w:rPr>
          <w:lang w:val="sq-AL"/>
        </w:rPr>
        <w:t>sipërmarrjen</w:t>
      </w:r>
      <w:r w:rsidRPr="00050FA4">
        <w:rPr>
          <w:lang w:val="sq-AL"/>
        </w:rPr>
        <w:t xml:space="preserve">. Projektligji </w:t>
      </w:r>
      <w:r w:rsidR="008A0E5B" w:rsidRPr="00050FA4">
        <w:rPr>
          <w:lang w:val="sq-AL"/>
        </w:rPr>
        <w:t>“</w:t>
      </w:r>
      <w:r w:rsidRPr="00050FA4">
        <w:rPr>
          <w:lang w:val="sq-AL"/>
        </w:rPr>
        <w:t>Për mbështetjen dhe zhvillimin e bizneseve fillestare</w:t>
      </w:r>
      <w:r w:rsidR="008A0E5B" w:rsidRPr="00050FA4">
        <w:rPr>
          <w:lang w:val="sq-AL"/>
        </w:rPr>
        <w:t>”</w:t>
      </w:r>
      <w:r w:rsidR="00731DD1" w:rsidRPr="00050FA4">
        <w:rPr>
          <w:lang w:val="sq-AL"/>
        </w:rPr>
        <w:t>,</w:t>
      </w:r>
      <w:r w:rsidRPr="00050FA4">
        <w:rPr>
          <w:lang w:val="sq-AL"/>
        </w:rPr>
        <w:t xml:space="preserve"> i është paraqitur për miratim Këshillit të Ministrave. Ai synohet të miratohet brenda vitit 2021.</w:t>
      </w:r>
    </w:p>
    <w:p w14:paraId="22A68BA9" w14:textId="02D52027" w:rsidR="00E51C16" w:rsidRPr="00050FA4" w:rsidRDefault="00E51C16" w:rsidP="003F1DA7">
      <w:pPr>
        <w:pStyle w:val="AAAAAAATEXXXX"/>
        <w:rPr>
          <w:lang w:val="sq-AL"/>
        </w:rPr>
      </w:pPr>
      <w:r w:rsidRPr="00050FA4">
        <w:rPr>
          <w:lang w:val="sq-AL"/>
        </w:rPr>
        <w:t xml:space="preserve">Qëllimi i këtij projektligji është krijimi i një kuadri të favorshëm rregullator dhe institucional për krijimin dhe zhvillimin e </w:t>
      </w:r>
      <w:r w:rsidR="00E708DC" w:rsidRPr="00050FA4">
        <w:rPr>
          <w:i/>
          <w:lang w:val="sq-AL"/>
        </w:rPr>
        <w:t>start-up</w:t>
      </w:r>
      <w:r w:rsidRPr="00050FA4">
        <w:rPr>
          <w:lang w:val="sq-AL"/>
        </w:rPr>
        <w:t xml:space="preserve">-eve, për të nxitur kërkimin, zbatimin dhe përdorimin e ideve, modeleve, produkteve dhe proceseve të reja, të cilat nxisin ekonominë dhe përçarjen e tyre. vjen me të. Ky projektligj do të përcaktojë masat mbështetëse, organet shtetërore, kriteret, rregullat dhe procedurat që zbatohen për vetë deklarimin dhe mbështetjen </w:t>
      </w:r>
      <w:r w:rsidRPr="00050FA4">
        <w:rPr>
          <w:i/>
          <w:lang w:val="sq-AL"/>
        </w:rPr>
        <w:t>online</w:t>
      </w:r>
      <w:r w:rsidRPr="00050FA4">
        <w:rPr>
          <w:lang w:val="sq-AL"/>
        </w:rPr>
        <w:t xml:space="preserve"> të </w:t>
      </w:r>
      <w:r w:rsidR="00E708DC" w:rsidRPr="00050FA4">
        <w:rPr>
          <w:i/>
          <w:lang w:val="sq-AL"/>
        </w:rPr>
        <w:t>start-up</w:t>
      </w:r>
      <w:r w:rsidRPr="00050FA4">
        <w:rPr>
          <w:lang w:val="sq-AL"/>
        </w:rPr>
        <w:t>-ve dhe krijimin e një ekosistemi të favorshëm për to në Republikën e Shqipërisë.</w:t>
      </w:r>
    </w:p>
    <w:p w14:paraId="6A48A364" w14:textId="260C6D00" w:rsidR="00E51C16" w:rsidRPr="00050FA4" w:rsidRDefault="00E51C16" w:rsidP="003F1DA7">
      <w:pPr>
        <w:pStyle w:val="AAAAAAATEXXXX"/>
        <w:rPr>
          <w:lang w:val="sq-AL"/>
        </w:rPr>
      </w:pPr>
      <w:r w:rsidRPr="00050FA4">
        <w:rPr>
          <w:lang w:val="sq-AL"/>
        </w:rPr>
        <w:t xml:space="preserve">Ligji ka paraparë masa mbështetëse për </w:t>
      </w:r>
      <w:r w:rsidR="00E708DC" w:rsidRPr="00050FA4">
        <w:rPr>
          <w:i/>
          <w:lang w:val="sq-AL"/>
        </w:rPr>
        <w:t>start-up</w:t>
      </w:r>
      <w:r w:rsidRPr="00050FA4">
        <w:rPr>
          <w:lang w:val="sq-AL"/>
        </w:rPr>
        <w:t>-et dhe themelimin e Këshillit të sipërmarrjeve fillestare.</w:t>
      </w:r>
    </w:p>
    <w:p w14:paraId="7FB11ABA" w14:textId="301B9833" w:rsidR="00E51C16" w:rsidRPr="00050FA4" w:rsidRDefault="00E51C16" w:rsidP="003F1DA7">
      <w:pPr>
        <w:pStyle w:val="AAAAAAATEXXXX"/>
        <w:rPr>
          <w:lang w:val="sq-AL"/>
        </w:rPr>
      </w:pPr>
      <w:r w:rsidRPr="00050FA4">
        <w:rPr>
          <w:lang w:val="sq-AL"/>
        </w:rPr>
        <w:t>Në VKM</w:t>
      </w:r>
      <w:r w:rsidR="00731DD1" w:rsidRPr="00050FA4">
        <w:rPr>
          <w:lang w:val="sq-AL"/>
        </w:rPr>
        <w:t>-në</w:t>
      </w:r>
      <w:r w:rsidRPr="00050FA4">
        <w:rPr>
          <w:lang w:val="sq-AL"/>
        </w:rPr>
        <w:t xml:space="preserve"> nr. 466/2021</w:t>
      </w:r>
      <w:r w:rsidR="00731DD1" w:rsidRPr="00050FA4">
        <w:rPr>
          <w:lang w:val="sq-AL"/>
        </w:rPr>
        <w:t>,</w:t>
      </w:r>
      <w:r w:rsidRPr="00050FA4">
        <w:rPr>
          <w:lang w:val="sq-AL"/>
        </w:rPr>
        <w:t xml:space="preserve"> </w:t>
      </w:r>
      <w:r w:rsidR="008A0E5B" w:rsidRPr="00050FA4">
        <w:rPr>
          <w:lang w:val="sq-AL"/>
        </w:rPr>
        <w:t>“</w:t>
      </w:r>
      <w:r w:rsidRPr="00050FA4">
        <w:rPr>
          <w:lang w:val="sq-AL"/>
        </w:rPr>
        <w:t xml:space="preserve">Strategjia për </w:t>
      </w:r>
      <w:r w:rsidR="00CF56B2" w:rsidRPr="00050FA4">
        <w:rPr>
          <w:lang w:val="sq-AL"/>
        </w:rPr>
        <w:t xml:space="preserve">zhvillimin e biznesit dhe investimeve dhe </w:t>
      </w:r>
      <w:r w:rsidRPr="00050FA4">
        <w:rPr>
          <w:lang w:val="sq-AL"/>
        </w:rPr>
        <w:t>plani i veprimit 2021</w:t>
      </w:r>
      <w:r w:rsidR="00CF56B2" w:rsidRPr="00050FA4">
        <w:rPr>
          <w:lang w:val="sq-AL"/>
        </w:rPr>
        <w:t>–</w:t>
      </w:r>
      <w:r w:rsidRPr="00050FA4">
        <w:rPr>
          <w:lang w:val="sq-AL"/>
        </w:rPr>
        <w:t>2027</w:t>
      </w:r>
      <w:r w:rsidR="008A0E5B" w:rsidRPr="00050FA4">
        <w:rPr>
          <w:lang w:val="sq-AL"/>
        </w:rPr>
        <w:t>”</w:t>
      </w:r>
      <w:r w:rsidRPr="00050FA4">
        <w:rPr>
          <w:lang w:val="sq-AL"/>
        </w:rPr>
        <w:t xml:space="preserve">, fusha e ndërhyrjes </w:t>
      </w:r>
      <w:r w:rsidR="008A0E5B" w:rsidRPr="00050FA4">
        <w:rPr>
          <w:lang w:val="sq-AL"/>
        </w:rPr>
        <w:t>“</w:t>
      </w:r>
      <w:r w:rsidRPr="00050FA4">
        <w:rPr>
          <w:lang w:val="sq-AL"/>
        </w:rPr>
        <w:t>Zhvillimi i NVM-ve, sipërmarrja dhe inovacioni</w:t>
      </w:r>
      <w:r w:rsidR="008A0E5B" w:rsidRPr="00050FA4">
        <w:rPr>
          <w:lang w:val="sq-AL"/>
        </w:rPr>
        <w:t>”</w:t>
      </w:r>
      <w:r w:rsidRPr="00050FA4">
        <w:rPr>
          <w:lang w:val="sq-AL"/>
        </w:rPr>
        <w:t xml:space="preserve"> njeh kontributin e rëndësishëm që SME-të dhe bizneset e reja mund të japin për një më shumë inovacion dhe njohuri. ekonomia e drejtuar. Ai pranon</w:t>
      </w:r>
      <w:r w:rsidR="00CF56B2" w:rsidRPr="00050FA4">
        <w:rPr>
          <w:lang w:val="sq-AL"/>
        </w:rPr>
        <w:t>,</w:t>
      </w:r>
      <w:r w:rsidRPr="00050FA4">
        <w:rPr>
          <w:lang w:val="sq-AL"/>
        </w:rPr>
        <w:t xml:space="preserve"> gjithashtu</w:t>
      </w:r>
      <w:r w:rsidR="00CF56B2" w:rsidRPr="00050FA4">
        <w:rPr>
          <w:lang w:val="sq-AL"/>
        </w:rPr>
        <w:t>,</w:t>
      </w:r>
      <w:r w:rsidRPr="00050FA4">
        <w:rPr>
          <w:lang w:val="sq-AL"/>
        </w:rPr>
        <w:t xml:space="preserve"> se ekosistemi i sipërmarrjes dhe i inovacionit është ende në një fazë fillestare dhe </w:t>
      </w:r>
      <w:r w:rsidR="008A0E5B" w:rsidRPr="00050FA4">
        <w:rPr>
          <w:lang w:val="sq-AL"/>
        </w:rPr>
        <w:t>“</w:t>
      </w:r>
      <w:r w:rsidRPr="00050FA4">
        <w:rPr>
          <w:lang w:val="sq-AL"/>
        </w:rPr>
        <w:t>masa kritike</w:t>
      </w:r>
      <w:r w:rsidR="008A0E5B" w:rsidRPr="00050FA4">
        <w:rPr>
          <w:lang w:val="sq-AL"/>
        </w:rPr>
        <w:t>”</w:t>
      </w:r>
      <w:r w:rsidR="00CF56B2" w:rsidRPr="00050FA4">
        <w:rPr>
          <w:lang w:val="sq-AL"/>
        </w:rPr>
        <w:t>,</w:t>
      </w:r>
      <w:r w:rsidRPr="00050FA4">
        <w:rPr>
          <w:lang w:val="sq-AL"/>
        </w:rPr>
        <w:t xml:space="preserve"> që lejon organizatat mbështetëse të bëhen të vetë qëndrueshme nuk është arritur ende.</w:t>
      </w:r>
    </w:p>
    <w:p w14:paraId="485B44E3" w14:textId="5C0798F3" w:rsidR="00E51C16" w:rsidRPr="00050FA4" w:rsidRDefault="00E51C16" w:rsidP="003F1DA7">
      <w:pPr>
        <w:widowControl w:val="0"/>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xml:space="preserve">Qëllimi dhe objektivat e politikës marrin parasysh se kushtet aktuale janë sfiduese për NVM-të dhe bizneset fillestare. Ndër të tjera, kjo lidhet me aksesin në financa dhe tregje, ndikimin e pandemisë COVID-19 dhe sfidat në kontekstin e tranzicionit të gjelbër dhe </w:t>
      </w:r>
      <w:r w:rsidR="00C948AF" w:rsidRPr="00050FA4">
        <w:rPr>
          <w:rFonts w:ascii="Garamond" w:hAnsi="Garamond" w:cstheme="majorBidi"/>
          <w:color w:val="0D0D0D" w:themeColor="text1" w:themeTint="F2"/>
        </w:rPr>
        <w:t>digjital</w:t>
      </w:r>
      <w:r w:rsidRPr="00050FA4">
        <w:rPr>
          <w:rFonts w:ascii="Garamond" w:hAnsi="Garamond" w:cstheme="majorBidi"/>
          <w:color w:val="0D0D0D" w:themeColor="text1" w:themeTint="F2"/>
        </w:rPr>
        <w:t>.</w:t>
      </w:r>
    </w:p>
    <w:p w14:paraId="4B049315" w14:textId="57142064" w:rsidR="00E51C16" w:rsidRPr="00050FA4" w:rsidRDefault="00E51C16" w:rsidP="003F1DA7">
      <w:pPr>
        <w:pStyle w:val="AAAAAAATEXXXX"/>
        <w:rPr>
          <w:lang w:val="sq-AL"/>
        </w:rPr>
      </w:pPr>
      <w:r w:rsidRPr="00050FA4">
        <w:rPr>
          <w:lang w:val="sq-AL"/>
        </w:rPr>
        <w:t xml:space="preserve">Ekziston nevoja për të përmirësuar skemat ekzistuese të granteve për NVM-të dhe për të hartuar mjete dhe instrumente të reja financiare për të përmirësuar aksesin në financa. Për më tepër, ekziston nevoja për të rritur dinamikën e inovacionit dhe bizneseve fillestare dhe për të nxitur specializimin për të arritur këtë </w:t>
      </w:r>
      <w:r w:rsidR="008A0E5B" w:rsidRPr="00050FA4">
        <w:rPr>
          <w:lang w:val="sq-AL"/>
        </w:rPr>
        <w:t>“</w:t>
      </w:r>
      <w:r w:rsidRPr="00050FA4">
        <w:rPr>
          <w:lang w:val="sq-AL"/>
        </w:rPr>
        <w:t>masë kritike</w:t>
      </w:r>
      <w:r w:rsidR="008A0E5B" w:rsidRPr="00050FA4">
        <w:rPr>
          <w:lang w:val="sq-AL"/>
        </w:rPr>
        <w:t>”</w:t>
      </w:r>
      <w:r w:rsidRPr="00050FA4">
        <w:rPr>
          <w:lang w:val="sq-AL"/>
        </w:rPr>
        <w:t xml:space="preserve"> duke u fokusuar në zinxhirët më premtues të vlerës. Në këtë sfond, për këtë fushë ndërhyrjeje parashikohet një qasje e integruar dhe e synuar që promovon specializimin e zgjuar. Forcimi i lidhjeve ndërmjet të gjithë aktorëve dhe komponentëve të ekosistemit konsiderohet si një faktor suksesi ndërsektorial.</w:t>
      </w:r>
    </w:p>
    <w:p w14:paraId="19E0BA49" w14:textId="6409B0AF" w:rsidR="00DB22AB" w:rsidRPr="00050FA4" w:rsidRDefault="006F5897" w:rsidP="003F1DA7">
      <w:pPr>
        <w:pStyle w:val="AAAAAAATEXXXX"/>
        <w:rPr>
          <w:b/>
          <w:lang w:val="sq-AL"/>
        </w:rPr>
      </w:pPr>
      <w:r w:rsidRPr="00050FA4">
        <w:rPr>
          <w:b/>
          <w:lang w:val="sq-AL"/>
        </w:rPr>
        <w:t>a</w:t>
      </w:r>
      <w:r w:rsidR="00E229FE" w:rsidRPr="00050FA4">
        <w:rPr>
          <w:b/>
          <w:lang w:val="sq-AL"/>
        </w:rPr>
        <w:t>)</w:t>
      </w:r>
      <w:r w:rsidRPr="00050FA4">
        <w:rPr>
          <w:b/>
          <w:lang w:val="sq-AL"/>
        </w:rPr>
        <w:t xml:space="preserve"> </w:t>
      </w:r>
      <w:r w:rsidR="00B2062A" w:rsidRPr="00050FA4">
        <w:rPr>
          <w:b/>
          <w:lang w:val="sq-AL"/>
        </w:rPr>
        <w:t xml:space="preserve">Aktivitete të planifikuara </w:t>
      </w:r>
      <w:r w:rsidR="00944AA5" w:rsidRPr="00050FA4">
        <w:rPr>
          <w:b/>
          <w:lang w:val="sq-AL"/>
        </w:rPr>
        <w:t>më</w:t>
      </w:r>
      <w:r w:rsidR="00DB22AB" w:rsidRPr="00050FA4">
        <w:rPr>
          <w:b/>
          <w:lang w:val="sq-AL"/>
        </w:rPr>
        <w:t xml:space="preserve"> 2022</w:t>
      </w:r>
      <w:r w:rsidR="00944AA5" w:rsidRPr="00050FA4">
        <w:rPr>
          <w:b/>
          <w:lang w:val="sq-AL"/>
        </w:rPr>
        <w:t>-shin</w:t>
      </w:r>
    </w:p>
    <w:p w14:paraId="7174389D" w14:textId="310AB9AA" w:rsidR="00CC1612" w:rsidRPr="00050FA4" w:rsidRDefault="006F5897" w:rsidP="003F1DA7">
      <w:pPr>
        <w:pStyle w:val="AAAAAAATEXXXX"/>
        <w:rPr>
          <w:lang w:val="sq-AL"/>
        </w:rPr>
      </w:pPr>
      <w:r w:rsidRPr="00050FA4">
        <w:rPr>
          <w:bCs/>
          <w:lang w:val="sq-AL"/>
        </w:rPr>
        <w:t>a</w:t>
      </w:r>
      <w:r w:rsidR="00E229FE" w:rsidRPr="00050FA4">
        <w:rPr>
          <w:bCs/>
          <w:lang w:val="sq-AL"/>
        </w:rPr>
        <w:t>)</w:t>
      </w:r>
      <w:r w:rsidRPr="00050FA4">
        <w:rPr>
          <w:bCs/>
          <w:lang w:val="sq-AL"/>
        </w:rPr>
        <w:t xml:space="preserve"> </w:t>
      </w:r>
      <w:r w:rsidR="00E51C16" w:rsidRPr="00050FA4">
        <w:rPr>
          <w:bCs/>
          <w:lang w:val="sq-AL"/>
        </w:rPr>
        <w:t>Miratimi i projektligjit të ri për bizneset fillestare</w:t>
      </w:r>
      <w:r w:rsidR="00CF56B2" w:rsidRPr="00050FA4">
        <w:rPr>
          <w:rFonts w:eastAsia="Calibri"/>
          <w:lang w:val="sq-AL"/>
        </w:rPr>
        <w:t>:</w:t>
      </w:r>
    </w:p>
    <w:p w14:paraId="7C9CC5E8" w14:textId="195F9E68" w:rsidR="00E51C16" w:rsidRPr="00050FA4" w:rsidRDefault="006F5897" w:rsidP="003F1DA7">
      <w:pPr>
        <w:pStyle w:val="AAAAAAATEXXXX"/>
        <w:rPr>
          <w:lang w:val="sq-AL"/>
        </w:rPr>
      </w:pPr>
      <w:r w:rsidRPr="00050FA4">
        <w:rPr>
          <w:bCs/>
          <w:lang w:val="sq-AL"/>
        </w:rPr>
        <w:t>b</w:t>
      </w:r>
      <w:r w:rsidR="00E229FE" w:rsidRPr="00050FA4">
        <w:rPr>
          <w:bCs/>
          <w:lang w:val="sq-AL"/>
        </w:rPr>
        <w:t>)</w:t>
      </w:r>
      <w:r w:rsidRPr="00050FA4">
        <w:rPr>
          <w:bCs/>
          <w:lang w:val="sq-AL"/>
        </w:rPr>
        <w:t xml:space="preserve"> </w:t>
      </w:r>
      <w:r w:rsidR="00E51C16" w:rsidRPr="00050FA4">
        <w:rPr>
          <w:bCs/>
          <w:lang w:val="sq-AL"/>
        </w:rPr>
        <w:t>Hartimi i akteve nënligjore të ligjit të miratuar për bizneset fillestare</w:t>
      </w:r>
      <w:r w:rsidR="00CF56B2" w:rsidRPr="00050FA4">
        <w:rPr>
          <w:bCs/>
          <w:lang w:val="sq-AL"/>
        </w:rPr>
        <w:t>:</w:t>
      </w:r>
    </w:p>
    <w:p w14:paraId="7D53F05D" w14:textId="0E2B5A4C" w:rsidR="00E51C16" w:rsidRPr="00050FA4" w:rsidRDefault="006F5897" w:rsidP="003F1DA7">
      <w:pPr>
        <w:pStyle w:val="AAAAAAATEXXXX"/>
        <w:rPr>
          <w:lang w:val="sq-AL"/>
        </w:rPr>
      </w:pPr>
      <w:r w:rsidRPr="00050FA4">
        <w:rPr>
          <w:bCs/>
          <w:lang w:val="sq-AL"/>
        </w:rPr>
        <w:t>c</w:t>
      </w:r>
      <w:r w:rsidR="00E229FE" w:rsidRPr="00050FA4">
        <w:rPr>
          <w:bCs/>
          <w:lang w:val="sq-AL"/>
        </w:rPr>
        <w:t>)</w:t>
      </w:r>
      <w:r w:rsidRPr="00050FA4">
        <w:rPr>
          <w:bCs/>
          <w:lang w:val="sq-AL"/>
        </w:rPr>
        <w:t xml:space="preserve"> </w:t>
      </w:r>
      <w:r w:rsidR="00E51C16" w:rsidRPr="00050FA4">
        <w:rPr>
          <w:bCs/>
          <w:lang w:val="sq-AL"/>
        </w:rPr>
        <w:t xml:space="preserve">Krijimi i Këshillit të </w:t>
      </w:r>
      <w:r w:rsidR="00E708DC" w:rsidRPr="00050FA4">
        <w:rPr>
          <w:bCs/>
          <w:i/>
          <w:lang w:val="sq-AL"/>
        </w:rPr>
        <w:t>start-up</w:t>
      </w:r>
      <w:r w:rsidR="00E51C16" w:rsidRPr="00050FA4">
        <w:rPr>
          <w:bCs/>
          <w:lang w:val="sq-AL"/>
        </w:rPr>
        <w:t>-ve</w:t>
      </w:r>
      <w:r w:rsidR="00CF56B2" w:rsidRPr="00050FA4">
        <w:rPr>
          <w:bCs/>
          <w:lang w:val="sq-AL"/>
        </w:rPr>
        <w:t>:</w:t>
      </w:r>
    </w:p>
    <w:p w14:paraId="31DA5C23" w14:textId="7B6D6340" w:rsidR="00E51C16" w:rsidRPr="00050FA4" w:rsidRDefault="006F5897" w:rsidP="003F1DA7">
      <w:pPr>
        <w:pStyle w:val="AAAAAAATEXXXX"/>
        <w:rPr>
          <w:lang w:val="sq-AL"/>
        </w:rPr>
      </w:pPr>
      <w:r w:rsidRPr="00050FA4">
        <w:rPr>
          <w:bCs/>
          <w:lang w:val="sq-AL"/>
        </w:rPr>
        <w:t>d</w:t>
      </w:r>
      <w:r w:rsidR="00E229FE" w:rsidRPr="00050FA4">
        <w:rPr>
          <w:bCs/>
          <w:lang w:val="sq-AL"/>
        </w:rPr>
        <w:t>)</w:t>
      </w:r>
      <w:r w:rsidRPr="00050FA4">
        <w:rPr>
          <w:bCs/>
          <w:lang w:val="sq-AL"/>
        </w:rPr>
        <w:t xml:space="preserve"> </w:t>
      </w:r>
      <w:r w:rsidR="00E51C16" w:rsidRPr="00050FA4">
        <w:rPr>
          <w:bCs/>
          <w:lang w:val="sq-AL"/>
        </w:rPr>
        <w:t xml:space="preserve">Krijimi i portalit </w:t>
      </w:r>
      <w:r w:rsidR="00E51C16" w:rsidRPr="00050FA4">
        <w:rPr>
          <w:bCs/>
          <w:i/>
          <w:lang w:val="sq-AL"/>
        </w:rPr>
        <w:t>online</w:t>
      </w:r>
      <w:r w:rsidR="00E51C16" w:rsidRPr="00050FA4">
        <w:rPr>
          <w:bCs/>
          <w:lang w:val="sq-AL"/>
        </w:rPr>
        <w:t xml:space="preserve"> për vetë regjistrimin </w:t>
      </w:r>
      <w:r w:rsidR="00E51C16" w:rsidRPr="00050FA4">
        <w:rPr>
          <w:bCs/>
          <w:i/>
          <w:lang w:val="sq-AL"/>
        </w:rPr>
        <w:t>online</w:t>
      </w:r>
      <w:r w:rsidR="00E51C16" w:rsidRPr="00050FA4">
        <w:rPr>
          <w:bCs/>
          <w:lang w:val="sq-AL"/>
        </w:rPr>
        <w:t xml:space="preserve"> të bizneseve fillestare dhe lehtësuesve.</w:t>
      </w:r>
    </w:p>
    <w:p w14:paraId="78010F50" w14:textId="62CC0A88" w:rsidR="00DB22AB" w:rsidRPr="00050FA4" w:rsidRDefault="006F5897" w:rsidP="003F1DA7">
      <w:pPr>
        <w:pStyle w:val="AAAAAAATEXXXX"/>
        <w:rPr>
          <w:b/>
          <w:lang w:val="sq-AL"/>
        </w:rPr>
      </w:pPr>
      <w:r w:rsidRPr="00050FA4">
        <w:rPr>
          <w:b/>
          <w:lang w:val="sq-AL"/>
        </w:rPr>
        <w:t>b</w:t>
      </w:r>
      <w:r w:rsidR="00E229FE" w:rsidRPr="00050FA4">
        <w:rPr>
          <w:b/>
          <w:lang w:val="sq-AL"/>
        </w:rPr>
        <w:t>)</w:t>
      </w:r>
      <w:r w:rsidRPr="00050FA4">
        <w:rPr>
          <w:b/>
          <w:lang w:val="sq-AL"/>
        </w:rPr>
        <w:t xml:space="preserve"> </w:t>
      </w:r>
      <w:r w:rsidR="00B2062A" w:rsidRPr="00050FA4">
        <w:rPr>
          <w:b/>
          <w:lang w:val="sq-AL"/>
        </w:rPr>
        <w:t xml:space="preserve">Aktivitete të planifikuara </w:t>
      </w:r>
      <w:r w:rsidR="00944AA5" w:rsidRPr="00050FA4">
        <w:rPr>
          <w:b/>
          <w:lang w:val="sq-AL"/>
        </w:rPr>
        <w:t>m</w:t>
      </w:r>
      <w:r w:rsidR="00B2062A" w:rsidRPr="00050FA4">
        <w:rPr>
          <w:b/>
          <w:lang w:val="sq-AL"/>
        </w:rPr>
        <w:t>ë</w:t>
      </w:r>
      <w:r w:rsidR="00DB22AB" w:rsidRPr="00050FA4">
        <w:rPr>
          <w:b/>
          <w:lang w:val="sq-AL"/>
        </w:rPr>
        <w:t xml:space="preserve"> 2023</w:t>
      </w:r>
      <w:r w:rsidR="00944AA5" w:rsidRPr="00050FA4">
        <w:rPr>
          <w:b/>
          <w:lang w:val="sq-AL"/>
        </w:rPr>
        <w:t>-shin</w:t>
      </w:r>
    </w:p>
    <w:p w14:paraId="28A43D37" w14:textId="4E14FE65" w:rsidR="00CC1612" w:rsidRPr="00050FA4" w:rsidRDefault="006F5897" w:rsidP="003F1DA7">
      <w:pPr>
        <w:pStyle w:val="AAAAAAATEXXXX"/>
        <w:rPr>
          <w:lang w:val="sq-AL"/>
        </w:rPr>
      </w:pPr>
      <w:r w:rsidRPr="00050FA4">
        <w:rPr>
          <w:bCs/>
          <w:lang w:val="sq-AL"/>
        </w:rPr>
        <w:t>a</w:t>
      </w:r>
      <w:r w:rsidR="00E229FE" w:rsidRPr="00050FA4">
        <w:rPr>
          <w:bCs/>
          <w:lang w:val="sq-AL"/>
        </w:rPr>
        <w:t>)</w:t>
      </w:r>
      <w:r w:rsidRPr="00050FA4">
        <w:rPr>
          <w:bCs/>
          <w:lang w:val="sq-AL"/>
        </w:rPr>
        <w:t xml:space="preserve"> </w:t>
      </w:r>
      <w:r w:rsidR="00E51C16" w:rsidRPr="00050FA4">
        <w:rPr>
          <w:bCs/>
          <w:lang w:val="sq-AL"/>
        </w:rPr>
        <w:t xml:space="preserve">Plotësisht funksional krijimi i Këshillit të </w:t>
      </w:r>
      <w:r w:rsidR="00E708DC" w:rsidRPr="00050FA4">
        <w:rPr>
          <w:bCs/>
          <w:i/>
          <w:lang w:val="sq-AL"/>
        </w:rPr>
        <w:t>start-up</w:t>
      </w:r>
      <w:r w:rsidR="00E51C16" w:rsidRPr="00050FA4">
        <w:rPr>
          <w:bCs/>
          <w:lang w:val="sq-AL"/>
        </w:rPr>
        <w:t>-ve</w:t>
      </w:r>
      <w:r w:rsidR="00CF56B2" w:rsidRPr="00050FA4">
        <w:rPr>
          <w:lang w:val="sq-AL"/>
        </w:rPr>
        <w:t>:</w:t>
      </w:r>
    </w:p>
    <w:p w14:paraId="3BFACFC3" w14:textId="6E41AFB8" w:rsidR="00E51C16" w:rsidRPr="00050FA4" w:rsidRDefault="006F5897" w:rsidP="003F1DA7">
      <w:pPr>
        <w:pStyle w:val="AAAAAAATEXXXX"/>
        <w:rPr>
          <w:lang w:val="sq-AL"/>
        </w:rPr>
      </w:pPr>
      <w:r w:rsidRPr="00050FA4">
        <w:rPr>
          <w:bCs/>
          <w:lang w:val="sq-AL"/>
        </w:rPr>
        <w:lastRenderedPageBreak/>
        <w:t>b</w:t>
      </w:r>
      <w:r w:rsidR="00E229FE" w:rsidRPr="00050FA4">
        <w:rPr>
          <w:bCs/>
          <w:lang w:val="sq-AL"/>
        </w:rPr>
        <w:t>)</w:t>
      </w:r>
      <w:r w:rsidRPr="00050FA4">
        <w:rPr>
          <w:bCs/>
          <w:lang w:val="sq-AL"/>
        </w:rPr>
        <w:t xml:space="preserve"> </w:t>
      </w:r>
      <w:r w:rsidR="00E51C16" w:rsidRPr="00050FA4">
        <w:rPr>
          <w:bCs/>
          <w:lang w:val="sq-AL"/>
        </w:rPr>
        <w:t xml:space="preserve">Zbatimi i ligjit për </w:t>
      </w:r>
      <w:r w:rsidR="00E708DC" w:rsidRPr="00050FA4">
        <w:rPr>
          <w:bCs/>
          <w:i/>
          <w:lang w:val="sq-AL"/>
        </w:rPr>
        <w:t>start-up</w:t>
      </w:r>
      <w:r w:rsidR="00E51C16" w:rsidRPr="00050FA4">
        <w:rPr>
          <w:bCs/>
          <w:lang w:val="sq-AL"/>
        </w:rPr>
        <w:t>, me fokus në masat mbështetëse</w:t>
      </w:r>
      <w:r w:rsidR="00CF56B2" w:rsidRPr="00050FA4">
        <w:rPr>
          <w:bCs/>
          <w:lang w:val="sq-AL"/>
        </w:rPr>
        <w:t>:</w:t>
      </w:r>
    </w:p>
    <w:p w14:paraId="7823D078" w14:textId="5D571545" w:rsidR="00E51C16" w:rsidRPr="00050FA4" w:rsidRDefault="006F5897" w:rsidP="003F1DA7">
      <w:pPr>
        <w:pStyle w:val="AAAAAAATEXXXX"/>
        <w:rPr>
          <w:lang w:val="sq-AL"/>
        </w:rPr>
      </w:pPr>
      <w:r w:rsidRPr="00050FA4">
        <w:rPr>
          <w:bCs/>
          <w:lang w:val="sq-AL"/>
        </w:rPr>
        <w:t>c</w:t>
      </w:r>
      <w:r w:rsidR="00E229FE" w:rsidRPr="00050FA4">
        <w:rPr>
          <w:bCs/>
          <w:lang w:val="sq-AL"/>
        </w:rPr>
        <w:t xml:space="preserve">) </w:t>
      </w:r>
      <w:r w:rsidR="00E51C16" w:rsidRPr="00050FA4">
        <w:rPr>
          <w:bCs/>
          <w:lang w:val="sq-AL"/>
        </w:rPr>
        <w:t xml:space="preserve">Drejtimi i portalit </w:t>
      </w:r>
      <w:r w:rsidR="00F21FEB" w:rsidRPr="00050FA4">
        <w:rPr>
          <w:bCs/>
          <w:i/>
          <w:lang w:val="sq-AL"/>
        </w:rPr>
        <w:t>online</w:t>
      </w:r>
      <w:r w:rsidR="00F21FEB" w:rsidRPr="00050FA4">
        <w:rPr>
          <w:bCs/>
          <w:lang w:val="sq-AL"/>
        </w:rPr>
        <w:t xml:space="preserve"> </w:t>
      </w:r>
      <w:r w:rsidR="00E51C16" w:rsidRPr="00050FA4">
        <w:rPr>
          <w:bCs/>
          <w:lang w:val="sq-AL"/>
        </w:rPr>
        <w:t xml:space="preserve">për vetë regjistrimin </w:t>
      </w:r>
      <w:r w:rsidR="00F21FEB" w:rsidRPr="00050FA4">
        <w:rPr>
          <w:bCs/>
          <w:i/>
          <w:lang w:val="sq-AL"/>
        </w:rPr>
        <w:t>online</w:t>
      </w:r>
      <w:r w:rsidR="00E51C16" w:rsidRPr="00050FA4">
        <w:rPr>
          <w:bCs/>
          <w:lang w:val="sq-AL"/>
        </w:rPr>
        <w:t xml:space="preserve"> të bizneseve fillestare dhe lehtësuesve.</w:t>
      </w:r>
    </w:p>
    <w:p w14:paraId="57287A7C" w14:textId="2BA03AA6" w:rsidR="00DB22AB" w:rsidRPr="00050FA4" w:rsidRDefault="00E229FE" w:rsidP="003F1DA7">
      <w:pPr>
        <w:pStyle w:val="AAAAAAATEXXXX"/>
        <w:rPr>
          <w:b/>
          <w:lang w:val="sq-AL"/>
        </w:rPr>
      </w:pPr>
      <w:r w:rsidRPr="00050FA4">
        <w:rPr>
          <w:b/>
          <w:lang w:val="sq-AL"/>
        </w:rPr>
        <w:t>c)</w:t>
      </w:r>
      <w:r w:rsidR="000E7A85" w:rsidRPr="00050FA4">
        <w:rPr>
          <w:b/>
          <w:lang w:val="sq-AL"/>
        </w:rPr>
        <w:t xml:space="preserve"> </w:t>
      </w:r>
      <w:r w:rsidR="00B2062A" w:rsidRPr="00050FA4">
        <w:rPr>
          <w:b/>
          <w:lang w:val="sq-AL"/>
        </w:rPr>
        <w:t xml:space="preserve">Aktivitete të planifikuara </w:t>
      </w:r>
      <w:r w:rsidR="00F21FEB" w:rsidRPr="00050FA4">
        <w:rPr>
          <w:b/>
          <w:lang w:val="sq-AL"/>
        </w:rPr>
        <w:t>m</w:t>
      </w:r>
      <w:r w:rsidR="00B2062A" w:rsidRPr="00050FA4">
        <w:rPr>
          <w:b/>
          <w:lang w:val="sq-AL"/>
        </w:rPr>
        <w:t>ë</w:t>
      </w:r>
      <w:r w:rsidR="00DB22AB" w:rsidRPr="00050FA4">
        <w:rPr>
          <w:b/>
          <w:lang w:val="sq-AL"/>
        </w:rPr>
        <w:t xml:space="preserve"> 2024</w:t>
      </w:r>
      <w:r w:rsidR="00F21FEB" w:rsidRPr="00050FA4">
        <w:rPr>
          <w:b/>
          <w:lang w:val="sq-AL"/>
        </w:rPr>
        <w:t>-ën</w:t>
      </w:r>
    </w:p>
    <w:p w14:paraId="29F61FE1" w14:textId="1D1BE649" w:rsidR="00CC1612" w:rsidRPr="00050FA4" w:rsidRDefault="000E7A85" w:rsidP="003F1DA7">
      <w:pPr>
        <w:pStyle w:val="AAAAAAATEXXXX"/>
        <w:rPr>
          <w:lang w:val="sq-AL"/>
        </w:rPr>
      </w:pPr>
      <w:r w:rsidRPr="00050FA4">
        <w:rPr>
          <w:bCs/>
          <w:lang w:val="sq-AL"/>
        </w:rPr>
        <w:t>a</w:t>
      </w:r>
      <w:r w:rsidR="00E229FE" w:rsidRPr="00050FA4">
        <w:rPr>
          <w:bCs/>
          <w:lang w:val="sq-AL"/>
        </w:rPr>
        <w:t>)</w:t>
      </w:r>
      <w:r w:rsidRPr="00050FA4">
        <w:rPr>
          <w:bCs/>
          <w:lang w:val="sq-AL"/>
        </w:rPr>
        <w:t xml:space="preserve"> </w:t>
      </w:r>
      <w:r w:rsidR="00E51C16" w:rsidRPr="00050FA4">
        <w:rPr>
          <w:bCs/>
          <w:lang w:val="sq-AL"/>
        </w:rPr>
        <w:t xml:space="preserve">Drejtimi i Këshillit të </w:t>
      </w:r>
      <w:r w:rsidR="00E708DC" w:rsidRPr="00050FA4">
        <w:rPr>
          <w:bCs/>
          <w:i/>
          <w:lang w:val="sq-AL"/>
        </w:rPr>
        <w:t>start-up</w:t>
      </w:r>
      <w:r w:rsidR="00F21FEB" w:rsidRPr="00050FA4">
        <w:rPr>
          <w:bCs/>
          <w:i/>
          <w:lang w:val="sq-AL"/>
        </w:rPr>
        <w:t>-</w:t>
      </w:r>
      <w:r w:rsidR="00E51C16" w:rsidRPr="00050FA4">
        <w:rPr>
          <w:bCs/>
          <w:lang w:val="sq-AL"/>
        </w:rPr>
        <w:t>ve</w:t>
      </w:r>
      <w:r w:rsidR="00CF56B2" w:rsidRPr="00050FA4">
        <w:rPr>
          <w:rFonts w:eastAsia="Calibri"/>
          <w:lang w:val="sq-AL"/>
        </w:rPr>
        <w:t>:</w:t>
      </w:r>
    </w:p>
    <w:p w14:paraId="69A1180E" w14:textId="7093F01B" w:rsidR="00E51C16" w:rsidRPr="00050FA4" w:rsidRDefault="000E7A85" w:rsidP="003F1DA7">
      <w:pPr>
        <w:pStyle w:val="AAAAAAATEXXXX"/>
        <w:rPr>
          <w:lang w:val="sq-AL"/>
        </w:rPr>
      </w:pPr>
      <w:r w:rsidRPr="00050FA4">
        <w:rPr>
          <w:bCs/>
          <w:lang w:val="sq-AL"/>
        </w:rPr>
        <w:t>b</w:t>
      </w:r>
      <w:r w:rsidR="00E229FE" w:rsidRPr="00050FA4">
        <w:rPr>
          <w:bCs/>
          <w:lang w:val="sq-AL"/>
        </w:rPr>
        <w:t>)</w:t>
      </w:r>
      <w:r w:rsidRPr="00050FA4">
        <w:rPr>
          <w:bCs/>
          <w:lang w:val="sq-AL"/>
        </w:rPr>
        <w:t xml:space="preserve"> </w:t>
      </w:r>
      <w:r w:rsidR="00E51C16" w:rsidRPr="00050FA4">
        <w:rPr>
          <w:bCs/>
          <w:lang w:val="sq-AL"/>
        </w:rPr>
        <w:t xml:space="preserve">Zbatimi i ligjit për </w:t>
      </w:r>
      <w:r w:rsidR="00E708DC" w:rsidRPr="00050FA4">
        <w:rPr>
          <w:bCs/>
          <w:i/>
          <w:lang w:val="sq-AL"/>
        </w:rPr>
        <w:t>start-up</w:t>
      </w:r>
      <w:r w:rsidR="00E51C16" w:rsidRPr="00050FA4">
        <w:rPr>
          <w:bCs/>
          <w:lang w:val="sq-AL"/>
        </w:rPr>
        <w:t xml:space="preserve">, me fokus në dhënien e masave mbështetëse për </w:t>
      </w:r>
      <w:r w:rsidR="00E708DC" w:rsidRPr="00050FA4">
        <w:rPr>
          <w:bCs/>
          <w:i/>
          <w:lang w:val="sq-AL"/>
        </w:rPr>
        <w:t>start-up</w:t>
      </w:r>
      <w:r w:rsidR="00E51C16" w:rsidRPr="00050FA4">
        <w:rPr>
          <w:bCs/>
          <w:lang w:val="sq-AL"/>
        </w:rPr>
        <w:t xml:space="preserve">-et e vetëdeklaruara </w:t>
      </w:r>
      <w:r w:rsidR="00E51C16" w:rsidRPr="00050FA4">
        <w:rPr>
          <w:bCs/>
          <w:i/>
          <w:lang w:val="sq-AL"/>
        </w:rPr>
        <w:t>online</w:t>
      </w:r>
      <w:r w:rsidR="00CF56B2" w:rsidRPr="00050FA4">
        <w:rPr>
          <w:bCs/>
          <w:lang w:val="sq-AL"/>
        </w:rPr>
        <w:t>:</w:t>
      </w:r>
    </w:p>
    <w:p w14:paraId="46921682" w14:textId="26F5D8D2" w:rsidR="00E51C16" w:rsidRPr="00050FA4" w:rsidRDefault="000E7A85" w:rsidP="003F1DA7">
      <w:pPr>
        <w:pStyle w:val="AAAAAAATEXXXX"/>
        <w:rPr>
          <w:lang w:val="sq-AL"/>
        </w:rPr>
      </w:pPr>
      <w:r w:rsidRPr="00050FA4">
        <w:rPr>
          <w:bCs/>
          <w:lang w:val="sq-AL"/>
        </w:rPr>
        <w:t>c</w:t>
      </w:r>
      <w:r w:rsidR="00E229FE" w:rsidRPr="00050FA4">
        <w:rPr>
          <w:bCs/>
          <w:lang w:val="sq-AL"/>
        </w:rPr>
        <w:t>)</w:t>
      </w:r>
      <w:r w:rsidRPr="00050FA4">
        <w:rPr>
          <w:bCs/>
          <w:lang w:val="sq-AL"/>
        </w:rPr>
        <w:t xml:space="preserve"> </w:t>
      </w:r>
      <w:r w:rsidR="00E51C16" w:rsidRPr="00050FA4">
        <w:rPr>
          <w:bCs/>
          <w:lang w:val="sq-AL"/>
        </w:rPr>
        <w:t xml:space="preserve">Drejtimi dhe mirëmbajtja e portalit </w:t>
      </w:r>
      <w:r w:rsidR="00E51C16" w:rsidRPr="00050FA4">
        <w:rPr>
          <w:bCs/>
          <w:i/>
          <w:lang w:val="sq-AL"/>
        </w:rPr>
        <w:t>online</w:t>
      </w:r>
      <w:r w:rsidR="00E51C16" w:rsidRPr="00050FA4">
        <w:rPr>
          <w:bCs/>
          <w:lang w:val="sq-AL"/>
        </w:rPr>
        <w:t xml:space="preserve"> për vetë regjistrimin </w:t>
      </w:r>
      <w:r w:rsidR="00E51C16" w:rsidRPr="00050FA4">
        <w:rPr>
          <w:bCs/>
          <w:i/>
          <w:lang w:val="sq-AL"/>
        </w:rPr>
        <w:t>online</w:t>
      </w:r>
      <w:r w:rsidR="00E51C16" w:rsidRPr="00050FA4">
        <w:rPr>
          <w:bCs/>
          <w:lang w:val="sq-AL"/>
        </w:rPr>
        <w:t xml:space="preserve"> të bizneseve fillestare dhe lehtësuesve.</w:t>
      </w:r>
    </w:p>
    <w:p w14:paraId="1094FD9A" w14:textId="637CF20A" w:rsidR="00DB22AB" w:rsidRPr="00050FA4" w:rsidRDefault="000E7A85" w:rsidP="003F1DA7">
      <w:pPr>
        <w:pStyle w:val="AAAAAAATEXXXX"/>
        <w:rPr>
          <w:lang w:val="sq-AL"/>
        </w:rPr>
      </w:pPr>
      <w:r w:rsidRPr="00050FA4">
        <w:rPr>
          <w:lang w:val="sq-AL"/>
        </w:rPr>
        <w:t xml:space="preserve">2. </w:t>
      </w:r>
      <w:r w:rsidR="00B2062A" w:rsidRPr="00050FA4">
        <w:rPr>
          <w:lang w:val="sq-AL"/>
        </w:rPr>
        <w:t>Treguesit e rezultateve</w:t>
      </w:r>
    </w:p>
    <w:p w14:paraId="766F200F" w14:textId="77777777" w:rsidR="00CF56B2" w:rsidRPr="00050FA4" w:rsidRDefault="00CF56B2" w:rsidP="003F1DA7">
      <w:pPr>
        <w:pStyle w:val="AAAAAAATEXXXX"/>
        <w:rPr>
          <w:lang w:val="sq-AL"/>
        </w:rPr>
      </w:pPr>
    </w:p>
    <w:tbl>
      <w:tblPr>
        <w:tblStyle w:val="TableGrid"/>
        <w:tblW w:w="10485" w:type="dxa"/>
        <w:jc w:val="center"/>
        <w:tblLook w:val="04A0" w:firstRow="1" w:lastRow="0" w:firstColumn="1" w:lastColumn="0" w:noHBand="0" w:noVBand="1"/>
      </w:tblPr>
      <w:tblGrid>
        <w:gridCol w:w="4587"/>
        <w:gridCol w:w="3205"/>
        <w:gridCol w:w="1559"/>
        <w:gridCol w:w="1134"/>
      </w:tblGrid>
      <w:tr w:rsidR="00FA29AB" w:rsidRPr="00050FA4" w14:paraId="40EA9D7D" w14:textId="77777777" w:rsidTr="00E229FE">
        <w:trPr>
          <w:jc w:val="center"/>
        </w:trPr>
        <w:tc>
          <w:tcPr>
            <w:tcW w:w="4587" w:type="dxa"/>
            <w:vAlign w:val="center"/>
          </w:tcPr>
          <w:p w14:paraId="0A0160E9" w14:textId="314219C7" w:rsidR="00CC1612"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3205" w:type="dxa"/>
            <w:vAlign w:val="center"/>
          </w:tcPr>
          <w:p w14:paraId="71EF738D" w14:textId="5E88CE63" w:rsidR="00CC1612"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Bazë</w:t>
            </w:r>
          </w:p>
        </w:tc>
        <w:tc>
          <w:tcPr>
            <w:tcW w:w="1559" w:type="dxa"/>
            <w:vAlign w:val="center"/>
          </w:tcPr>
          <w:p w14:paraId="0A30EF2C" w14:textId="58598C74" w:rsidR="00CC1612"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I ndërmjetëm</w:t>
            </w:r>
            <w:r w:rsidR="00655282" w:rsidRPr="00050FA4">
              <w:rPr>
                <w:rFonts w:ascii="Garamond" w:hAnsi="Garamond" w:cstheme="majorBidi"/>
                <w:b/>
                <w:color w:val="0D0D0D" w:themeColor="text1" w:themeTint="F2"/>
                <w:sz w:val="18"/>
                <w:szCs w:val="18"/>
              </w:rPr>
              <w:t xml:space="preserve"> (2022)</w:t>
            </w:r>
          </w:p>
        </w:tc>
        <w:tc>
          <w:tcPr>
            <w:tcW w:w="1134" w:type="dxa"/>
            <w:vAlign w:val="center"/>
          </w:tcPr>
          <w:p w14:paraId="125423B5" w14:textId="317997F7" w:rsidR="00CC1612"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w:t>
            </w:r>
            <w:r w:rsidR="00655282" w:rsidRPr="00050FA4">
              <w:rPr>
                <w:rFonts w:ascii="Garamond" w:hAnsi="Garamond" w:cstheme="majorBidi"/>
                <w:b/>
                <w:color w:val="0D0D0D" w:themeColor="text1" w:themeTint="F2"/>
                <w:sz w:val="18"/>
                <w:szCs w:val="18"/>
              </w:rPr>
              <w:t xml:space="preserve"> (2024)</w:t>
            </w:r>
          </w:p>
        </w:tc>
      </w:tr>
      <w:tr w:rsidR="00FA29AB" w:rsidRPr="00050FA4" w14:paraId="51C74C73" w14:textId="77777777" w:rsidTr="00E229FE">
        <w:trPr>
          <w:jc w:val="center"/>
        </w:trPr>
        <w:tc>
          <w:tcPr>
            <w:tcW w:w="4587" w:type="dxa"/>
          </w:tcPr>
          <w:p w14:paraId="03A889DF" w14:textId="5736DD50"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Miratimi i ligjit të ri </w:t>
            </w:r>
            <w:r w:rsidR="008A0E5B" w:rsidRPr="00050FA4">
              <w:rPr>
                <w:rFonts w:ascii="Garamond" w:hAnsi="Garamond" w:cstheme="majorBidi"/>
                <w:color w:val="0D0D0D" w:themeColor="text1" w:themeTint="F2"/>
                <w:sz w:val="18"/>
                <w:szCs w:val="18"/>
              </w:rPr>
              <w:t>“</w:t>
            </w:r>
            <w:r w:rsidRPr="00050FA4">
              <w:rPr>
                <w:rFonts w:ascii="Garamond" w:hAnsi="Garamond" w:cstheme="majorBidi"/>
                <w:color w:val="0D0D0D" w:themeColor="text1" w:themeTint="F2"/>
                <w:sz w:val="18"/>
                <w:szCs w:val="18"/>
              </w:rPr>
              <w:t xml:space="preserve">Për </w:t>
            </w:r>
            <w:r w:rsidR="00E708DC" w:rsidRPr="00050FA4">
              <w:rPr>
                <w:rFonts w:ascii="Garamond" w:hAnsi="Garamond" w:cstheme="majorBidi"/>
                <w:i/>
                <w:color w:val="0D0D0D" w:themeColor="text1" w:themeTint="F2"/>
                <w:sz w:val="18"/>
                <w:szCs w:val="18"/>
              </w:rPr>
              <w:t>start-up</w:t>
            </w:r>
            <w:r w:rsidRPr="00050FA4">
              <w:rPr>
                <w:rFonts w:ascii="Garamond" w:hAnsi="Garamond" w:cstheme="majorBidi"/>
                <w:color w:val="0D0D0D" w:themeColor="text1" w:themeTint="F2"/>
                <w:sz w:val="18"/>
                <w:szCs w:val="18"/>
              </w:rPr>
              <w:t>-et</w:t>
            </w:r>
            <w:r w:rsidR="008A0E5B" w:rsidRPr="00050FA4">
              <w:rPr>
                <w:rFonts w:ascii="Garamond" w:hAnsi="Garamond" w:cstheme="majorBidi"/>
                <w:color w:val="0D0D0D" w:themeColor="text1" w:themeTint="F2"/>
                <w:sz w:val="18"/>
                <w:szCs w:val="18"/>
              </w:rPr>
              <w:t>”</w:t>
            </w:r>
            <w:r w:rsidRPr="00050FA4">
              <w:rPr>
                <w:rFonts w:ascii="Garamond" w:hAnsi="Garamond" w:cstheme="majorBidi"/>
                <w:color w:val="0D0D0D" w:themeColor="text1" w:themeTint="F2"/>
                <w:sz w:val="18"/>
                <w:szCs w:val="18"/>
              </w:rPr>
              <w:t xml:space="preserve"> dhe akteve nënligjore</w:t>
            </w:r>
          </w:p>
        </w:tc>
        <w:tc>
          <w:tcPr>
            <w:tcW w:w="3205" w:type="dxa"/>
            <w:vAlign w:val="center"/>
          </w:tcPr>
          <w:p w14:paraId="73BDF218" w14:textId="563D0DAB"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N</w:t>
            </w:r>
            <w:r w:rsidRPr="00050FA4">
              <w:rPr>
                <w:rFonts w:ascii="Garamond" w:hAnsi="Garamond" w:cstheme="majorBidi"/>
                <w:color w:val="0D0D0D" w:themeColor="text1" w:themeTint="F2"/>
                <w:sz w:val="18"/>
                <w:szCs w:val="18"/>
              </w:rPr>
              <w:t>ë</w:t>
            </w:r>
            <w:r w:rsidRPr="00050FA4">
              <w:rPr>
                <w:rFonts w:ascii="Garamond" w:eastAsia="Times New Roman" w:hAnsi="Garamond" w:cstheme="majorBidi"/>
                <w:color w:val="0D0D0D" w:themeColor="text1" w:themeTint="F2"/>
                <w:sz w:val="18"/>
                <w:szCs w:val="18"/>
              </w:rPr>
              <w:t xml:space="preserve"> ripunim</w:t>
            </w:r>
          </w:p>
        </w:tc>
        <w:tc>
          <w:tcPr>
            <w:tcW w:w="1559" w:type="dxa"/>
            <w:vAlign w:val="center"/>
          </w:tcPr>
          <w:p w14:paraId="58FD8ADD" w14:textId="35915252"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Zbatim</w:t>
            </w:r>
          </w:p>
        </w:tc>
        <w:tc>
          <w:tcPr>
            <w:tcW w:w="1134" w:type="dxa"/>
            <w:vAlign w:val="center"/>
          </w:tcPr>
          <w:p w14:paraId="11C51BC7" w14:textId="4C473F38"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Zbatim</w:t>
            </w:r>
          </w:p>
        </w:tc>
      </w:tr>
      <w:tr w:rsidR="00FA29AB" w:rsidRPr="00050FA4" w14:paraId="33B7F8A4" w14:textId="77777777" w:rsidTr="00E229FE">
        <w:trPr>
          <w:jc w:val="center"/>
        </w:trPr>
        <w:tc>
          <w:tcPr>
            <w:tcW w:w="4587" w:type="dxa"/>
          </w:tcPr>
          <w:p w14:paraId="65CCC997" w14:textId="76AA1E15" w:rsidR="00655282" w:rsidRPr="00050FA4" w:rsidRDefault="00655282" w:rsidP="00E708DC">
            <w:pPr>
              <w:snapToGrid w:val="0"/>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Krijimi i Këshillit të </w:t>
            </w:r>
            <w:r w:rsidR="00E708DC" w:rsidRPr="00050FA4">
              <w:rPr>
                <w:rFonts w:ascii="Garamond" w:hAnsi="Garamond" w:cstheme="majorBidi"/>
                <w:i/>
                <w:color w:val="0D0D0D" w:themeColor="text1" w:themeTint="F2"/>
                <w:sz w:val="18"/>
                <w:szCs w:val="18"/>
              </w:rPr>
              <w:t>start-up-</w:t>
            </w:r>
            <w:r w:rsidRPr="00050FA4">
              <w:rPr>
                <w:rFonts w:ascii="Garamond" w:hAnsi="Garamond" w:cstheme="majorBidi"/>
                <w:color w:val="0D0D0D" w:themeColor="text1" w:themeTint="F2"/>
                <w:sz w:val="18"/>
                <w:szCs w:val="18"/>
              </w:rPr>
              <w:t>ve</w:t>
            </w:r>
          </w:p>
        </w:tc>
        <w:tc>
          <w:tcPr>
            <w:tcW w:w="3205" w:type="dxa"/>
            <w:vAlign w:val="center"/>
          </w:tcPr>
          <w:p w14:paraId="7C5EA2AF" w14:textId="2B227F1A" w:rsidR="00655282" w:rsidRPr="00050FA4" w:rsidRDefault="00655282" w:rsidP="00A95D23">
            <w:pPr>
              <w:snapToGrid w:val="0"/>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N</w:t>
            </w:r>
            <w:r w:rsidRPr="00050FA4">
              <w:rPr>
                <w:rFonts w:ascii="Garamond" w:hAnsi="Garamond" w:cstheme="majorBidi"/>
                <w:color w:val="0D0D0D" w:themeColor="text1" w:themeTint="F2"/>
                <w:sz w:val="18"/>
                <w:szCs w:val="18"/>
              </w:rPr>
              <w:t>ë</w:t>
            </w:r>
            <w:r w:rsidRPr="00050FA4">
              <w:rPr>
                <w:rFonts w:ascii="Garamond" w:eastAsia="Times New Roman" w:hAnsi="Garamond" w:cstheme="majorBidi"/>
                <w:color w:val="0D0D0D" w:themeColor="text1" w:themeTint="F2"/>
                <w:sz w:val="18"/>
                <w:szCs w:val="18"/>
              </w:rPr>
              <w:t xml:space="preserve"> ripunim</w:t>
            </w:r>
          </w:p>
        </w:tc>
        <w:tc>
          <w:tcPr>
            <w:tcW w:w="1559" w:type="dxa"/>
            <w:vAlign w:val="center"/>
          </w:tcPr>
          <w:p w14:paraId="559404F1" w14:textId="30EA6B6D" w:rsidR="00655282" w:rsidRPr="00050FA4" w:rsidRDefault="00655282" w:rsidP="00A95D23">
            <w:pPr>
              <w:snapToGrid w:val="0"/>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Zbatim</w:t>
            </w:r>
          </w:p>
        </w:tc>
        <w:tc>
          <w:tcPr>
            <w:tcW w:w="1134" w:type="dxa"/>
            <w:vAlign w:val="center"/>
          </w:tcPr>
          <w:p w14:paraId="2A8E64A6" w14:textId="1652B554" w:rsidR="00655282" w:rsidRPr="00050FA4" w:rsidRDefault="00655282" w:rsidP="00A95D23">
            <w:pPr>
              <w:snapToGrid w:val="0"/>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Zbatim</w:t>
            </w:r>
          </w:p>
        </w:tc>
      </w:tr>
      <w:tr w:rsidR="00FA29AB" w:rsidRPr="00050FA4" w14:paraId="40A816FB" w14:textId="77777777" w:rsidTr="00E229FE">
        <w:trPr>
          <w:jc w:val="center"/>
        </w:trPr>
        <w:tc>
          <w:tcPr>
            <w:tcW w:w="4587" w:type="dxa"/>
          </w:tcPr>
          <w:p w14:paraId="33CA783B" w14:textId="7A93CCFB"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Miratimi i kuadrit të politikave dhe skemave mbështetëse për bizneset fillestare</w:t>
            </w:r>
          </w:p>
        </w:tc>
        <w:tc>
          <w:tcPr>
            <w:tcW w:w="3205" w:type="dxa"/>
            <w:vAlign w:val="center"/>
          </w:tcPr>
          <w:p w14:paraId="7973424D" w14:textId="0D61A72D"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0</w:t>
            </w:r>
          </w:p>
        </w:tc>
        <w:tc>
          <w:tcPr>
            <w:tcW w:w="1559" w:type="dxa"/>
            <w:vAlign w:val="center"/>
          </w:tcPr>
          <w:p w14:paraId="55C38021" w14:textId="17DB6F12"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Zbatim</w:t>
            </w:r>
          </w:p>
        </w:tc>
        <w:tc>
          <w:tcPr>
            <w:tcW w:w="1134" w:type="dxa"/>
            <w:vAlign w:val="center"/>
          </w:tcPr>
          <w:p w14:paraId="48174B14" w14:textId="7D599D25" w:rsidR="00655282" w:rsidRPr="00050FA4" w:rsidRDefault="00655282" w:rsidP="00A95D23">
            <w:pPr>
              <w:snapToGrid w:val="0"/>
              <w:rPr>
                <w:rFonts w:ascii="Garamond"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Zbatim</w:t>
            </w:r>
          </w:p>
        </w:tc>
      </w:tr>
      <w:tr w:rsidR="00FA29AB" w:rsidRPr="00050FA4" w14:paraId="01BF5AC7" w14:textId="77777777" w:rsidTr="00E229FE">
        <w:trPr>
          <w:jc w:val="center"/>
        </w:trPr>
        <w:tc>
          <w:tcPr>
            <w:tcW w:w="4587" w:type="dxa"/>
          </w:tcPr>
          <w:p w14:paraId="0B86776D" w14:textId="3BC1B7EC" w:rsidR="00CC1612" w:rsidRPr="00050FA4" w:rsidRDefault="00E51C16"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Të paktën dy thirrje për aplikime për skemat mbështetëse për </w:t>
            </w:r>
            <w:r w:rsidR="00E708DC" w:rsidRPr="00050FA4">
              <w:rPr>
                <w:rFonts w:ascii="Garamond" w:hAnsi="Garamond" w:cstheme="majorBidi"/>
                <w:i/>
                <w:color w:val="0D0D0D" w:themeColor="text1" w:themeTint="F2"/>
                <w:sz w:val="18"/>
                <w:szCs w:val="18"/>
              </w:rPr>
              <w:t>start-up</w:t>
            </w:r>
            <w:r w:rsidRPr="00050FA4">
              <w:rPr>
                <w:rFonts w:ascii="Garamond" w:hAnsi="Garamond" w:cstheme="majorBidi"/>
                <w:color w:val="0D0D0D" w:themeColor="text1" w:themeTint="F2"/>
                <w:sz w:val="18"/>
                <w:szCs w:val="18"/>
              </w:rPr>
              <w:t>-et dhe të paktën 10 fillime të financuara nga thirrjet</w:t>
            </w:r>
          </w:p>
        </w:tc>
        <w:tc>
          <w:tcPr>
            <w:tcW w:w="3205" w:type="dxa"/>
            <w:vAlign w:val="center"/>
          </w:tcPr>
          <w:p w14:paraId="40A034B7" w14:textId="015EEC57" w:rsidR="00CC1612" w:rsidRPr="00050FA4" w:rsidRDefault="00E51C16" w:rsidP="00E708DC">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23 </w:t>
            </w:r>
            <w:r w:rsidR="00E708DC" w:rsidRPr="00050FA4">
              <w:rPr>
                <w:rFonts w:ascii="Garamond" w:hAnsi="Garamond" w:cstheme="majorBidi"/>
                <w:i/>
                <w:color w:val="0D0D0D" w:themeColor="text1" w:themeTint="F2"/>
                <w:sz w:val="18"/>
                <w:szCs w:val="18"/>
              </w:rPr>
              <w:t>start-up-</w:t>
            </w:r>
            <w:r w:rsidR="00E708DC" w:rsidRPr="00050FA4">
              <w:rPr>
                <w:rFonts w:ascii="Garamond" w:hAnsi="Garamond" w:cstheme="majorBidi"/>
                <w:color w:val="0D0D0D" w:themeColor="text1" w:themeTint="F2"/>
                <w:sz w:val="18"/>
                <w:szCs w:val="18"/>
              </w:rPr>
              <w:t>et</w:t>
            </w:r>
            <w:r w:rsidRPr="00050FA4">
              <w:rPr>
                <w:rFonts w:ascii="Garamond" w:hAnsi="Garamond" w:cstheme="majorBidi"/>
                <w:color w:val="0D0D0D" w:themeColor="text1" w:themeTint="F2"/>
                <w:sz w:val="18"/>
                <w:szCs w:val="18"/>
              </w:rPr>
              <w:t xml:space="preserve"> dhe 4 grante të </w:t>
            </w:r>
            <w:r w:rsidR="00E708DC" w:rsidRPr="00050FA4">
              <w:rPr>
                <w:rFonts w:ascii="Garamond" w:hAnsi="Garamond" w:cstheme="majorBidi"/>
                <w:color w:val="0D0D0D" w:themeColor="text1" w:themeTint="F2"/>
                <w:sz w:val="18"/>
                <w:szCs w:val="18"/>
              </w:rPr>
              <w:t xml:space="preserve">organizatave mbështetëse të inovacionit, </w:t>
            </w:r>
            <w:r w:rsidRPr="00050FA4">
              <w:rPr>
                <w:rFonts w:ascii="Garamond" w:hAnsi="Garamond" w:cstheme="majorBidi"/>
                <w:color w:val="0D0D0D" w:themeColor="text1" w:themeTint="F2"/>
                <w:sz w:val="18"/>
                <w:szCs w:val="18"/>
              </w:rPr>
              <w:t>në kuadër të thirrjeve të para dhe të dyta të nisura gjatë vitit 2019. Thirrja e tretë ka nisur në vitin 2020 dhe aktualisht është në fa</w:t>
            </w:r>
            <w:r w:rsidR="00CD1086" w:rsidRPr="00050FA4">
              <w:rPr>
                <w:rFonts w:ascii="Garamond" w:hAnsi="Garamond" w:cstheme="majorBidi"/>
                <w:color w:val="0D0D0D" w:themeColor="text1" w:themeTint="F2"/>
                <w:sz w:val="18"/>
                <w:szCs w:val="18"/>
              </w:rPr>
              <w:t>zën përfundimtare të vlerësimit.</w:t>
            </w:r>
          </w:p>
        </w:tc>
        <w:tc>
          <w:tcPr>
            <w:tcW w:w="1559" w:type="dxa"/>
            <w:vAlign w:val="center"/>
          </w:tcPr>
          <w:p w14:paraId="40B63B35" w14:textId="1CC510D0" w:rsidR="00CC1612" w:rsidRPr="00050FA4" w:rsidRDefault="00CC1612" w:rsidP="00A95D23">
            <w:pPr>
              <w:snapToGrid w:val="0"/>
              <w:rPr>
                <w:rFonts w:ascii="Garamond" w:hAnsi="Garamond" w:cstheme="majorBidi"/>
                <w:color w:val="0D0D0D" w:themeColor="text1" w:themeTint="F2"/>
                <w:sz w:val="18"/>
                <w:szCs w:val="18"/>
              </w:rPr>
            </w:pPr>
          </w:p>
        </w:tc>
        <w:tc>
          <w:tcPr>
            <w:tcW w:w="1134" w:type="dxa"/>
            <w:vAlign w:val="center"/>
          </w:tcPr>
          <w:p w14:paraId="63A31090" w14:textId="3FBEFB8C" w:rsidR="00CC1612" w:rsidRPr="00050FA4" w:rsidRDefault="00CC1612" w:rsidP="00A95D23">
            <w:pPr>
              <w:snapToGrid w:val="0"/>
              <w:rPr>
                <w:rFonts w:ascii="Garamond" w:hAnsi="Garamond" w:cstheme="majorBidi"/>
                <w:color w:val="0D0D0D" w:themeColor="text1" w:themeTint="F2"/>
                <w:sz w:val="18"/>
                <w:szCs w:val="18"/>
              </w:rPr>
            </w:pPr>
          </w:p>
        </w:tc>
      </w:tr>
    </w:tbl>
    <w:p w14:paraId="1C51D266" w14:textId="77777777" w:rsidR="00CC1612" w:rsidRPr="00050FA4" w:rsidRDefault="00CC1612" w:rsidP="003F1DA7">
      <w:pPr>
        <w:snapToGrid w:val="0"/>
        <w:ind w:firstLine="284"/>
        <w:rPr>
          <w:rFonts w:ascii="Garamond" w:hAnsi="Garamond" w:cstheme="majorBidi"/>
          <w:color w:val="0D0D0D" w:themeColor="text1" w:themeTint="F2"/>
        </w:rPr>
      </w:pPr>
    </w:p>
    <w:p w14:paraId="7670794B" w14:textId="64537103" w:rsidR="00DB22AB" w:rsidRPr="00050FA4" w:rsidRDefault="000E7A85" w:rsidP="003F1DA7">
      <w:pPr>
        <w:pStyle w:val="AAAAAAATEXXXX"/>
        <w:rPr>
          <w:lang w:val="sq-AL"/>
        </w:rPr>
      </w:pPr>
      <w:r w:rsidRPr="00050FA4">
        <w:rPr>
          <w:lang w:val="sq-AL"/>
        </w:rPr>
        <w:t xml:space="preserve">3. </w:t>
      </w:r>
      <w:r w:rsidR="00B2062A" w:rsidRPr="00050FA4">
        <w:rPr>
          <w:lang w:val="sq-AL"/>
        </w:rPr>
        <w:t>Ndikimi i pritshëm në konkurrueshmëri</w:t>
      </w:r>
    </w:p>
    <w:p w14:paraId="364CEA31" w14:textId="319D7D94" w:rsidR="00E51C16" w:rsidRPr="00050FA4" w:rsidRDefault="00E51C16" w:rsidP="003F1DA7">
      <w:pPr>
        <w:pStyle w:val="AAAAAAATEXXXX"/>
        <w:rPr>
          <w:lang w:val="sq-AL"/>
        </w:rPr>
      </w:pPr>
      <w:r w:rsidRPr="00050FA4">
        <w:rPr>
          <w:lang w:val="sq-AL"/>
        </w:rPr>
        <w:t>Politikat e sipërmarrjes dhe fillimit mund të inkurajojnë shfaqjen dhe rritjen e kompanive fillestare</w:t>
      </w:r>
      <w:r w:rsidR="00CD1086" w:rsidRPr="00050FA4">
        <w:rPr>
          <w:lang w:val="sq-AL"/>
        </w:rPr>
        <w:t>,</w:t>
      </w:r>
      <w:r w:rsidRPr="00050FA4">
        <w:rPr>
          <w:lang w:val="sq-AL"/>
        </w:rPr>
        <w:t xml:space="preserve"> duke ofruar një mjedis miqësor ndaj sipërmarrjes (p.sh. përmes lehtësimit të barrës financiare për bizneset fillestare). Me fokusin e tyre në idetë dhe shërbimet e reja të biznesit, </w:t>
      </w:r>
      <w:r w:rsidR="00E708DC" w:rsidRPr="00050FA4">
        <w:rPr>
          <w:i/>
          <w:lang w:val="sq-AL"/>
        </w:rPr>
        <w:t>start-up</w:t>
      </w:r>
      <w:r w:rsidRPr="00050FA4">
        <w:rPr>
          <w:lang w:val="sq-AL"/>
        </w:rPr>
        <w:t>-et përfaqësojnë një segment specifik të ekonomisë, i cili ka potencialin të përcaktojë suksesin dhe mirëqenien e ekonomisë në afat të gjatë. Ndërmarrjet fillestare sjellin ndërhyrje të reja, përshtatin teknologjitë ekzistuese në treg dhe për këtë arsye krijojnë mundësi për komercializimin e rezultateve të kërkimit shkencor.</w:t>
      </w:r>
    </w:p>
    <w:p w14:paraId="39F7B389" w14:textId="4A890BAE" w:rsidR="00DB22AB" w:rsidRPr="00050FA4" w:rsidRDefault="000E7A85" w:rsidP="003F1DA7">
      <w:pPr>
        <w:pStyle w:val="AAAAAAATEXXXX"/>
        <w:rPr>
          <w:lang w:val="sq-AL"/>
        </w:rPr>
      </w:pPr>
      <w:r w:rsidRPr="00050FA4">
        <w:rPr>
          <w:lang w:val="sq-AL"/>
        </w:rPr>
        <w:t xml:space="preserve">4. </w:t>
      </w:r>
      <w:r w:rsidR="00B2062A" w:rsidRPr="00050FA4">
        <w:rPr>
          <w:lang w:val="sq-AL"/>
        </w:rPr>
        <w:t>Kosto</w:t>
      </w:r>
      <w:r w:rsidR="00E229FE" w:rsidRPr="00050FA4">
        <w:rPr>
          <w:lang w:val="sq-AL"/>
        </w:rPr>
        <w:t>ja</w:t>
      </w:r>
      <w:r w:rsidR="00B2062A" w:rsidRPr="00050FA4">
        <w:rPr>
          <w:lang w:val="sq-AL"/>
        </w:rPr>
        <w:t xml:space="preserve"> e parashikuar e aktiviteteve dhe burimi i financimit</w:t>
      </w:r>
    </w:p>
    <w:p w14:paraId="0C83349C" w14:textId="50342877" w:rsidR="00E51C16" w:rsidRPr="00050FA4" w:rsidRDefault="00E51C16" w:rsidP="003F1DA7">
      <w:pPr>
        <w:pStyle w:val="AAAAAAATEXXXX"/>
        <w:rPr>
          <w:lang w:val="sq-AL"/>
        </w:rPr>
      </w:pPr>
      <w:r w:rsidRPr="00050FA4">
        <w:rPr>
          <w:lang w:val="sq-AL"/>
        </w:rPr>
        <w:t>Kostoja e aktiviteteve dhe burimi i financimit janë të detajuara përkatësisht në tabelën 10a dhe tabelën 10b.</w:t>
      </w:r>
    </w:p>
    <w:p w14:paraId="013B97D6" w14:textId="01E7648C" w:rsidR="00DB22AB" w:rsidRPr="00050FA4" w:rsidRDefault="000E7A85" w:rsidP="003F1DA7">
      <w:pPr>
        <w:pStyle w:val="AAAAAAATEXXXX"/>
        <w:rPr>
          <w:lang w:val="sq-AL"/>
        </w:rPr>
      </w:pPr>
      <w:r w:rsidRPr="00050FA4">
        <w:rPr>
          <w:lang w:val="sq-AL"/>
        </w:rPr>
        <w:t xml:space="preserve">5. </w:t>
      </w:r>
      <w:r w:rsidR="00B2062A" w:rsidRPr="00050FA4">
        <w:rPr>
          <w:lang w:val="sq-AL"/>
        </w:rPr>
        <w:t>Ndikimi i pritshëm në përfundimet sociale</w:t>
      </w:r>
      <w:r w:rsidR="00CD1086" w:rsidRPr="00050FA4">
        <w:rPr>
          <w:lang w:val="sq-AL"/>
        </w:rPr>
        <w:t>,</w:t>
      </w:r>
      <w:r w:rsidR="00B2062A" w:rsidRPr="00050FA4">
        <w:rPr>
          <w:lang w:val="sq-AL"/>
        </w:rPr>
        <w:t xml:space="preserve"> si punësimi, ulja e varfërisë, barazia gjinore dhe aksesi në kujdesin shëndetësor</w:t>
      </w:r>
    </w:p>
    <w:p w14:paraId="03D6DCD2" w14:textId="77777777" w:rsidR="00FB30AC" w:rsidRPr="00050FA4" w:rsidRDefault="00FB30AC" w:rsidP="003F1DA7">
      <w:pPr>
        <w:pStyle w:val="AAAAAAATEXXXX"/>
        <w:rPr>
          <w:lang w:val="sq-AL"/>
        </w:rPr>
      </w:pPr>
      <w:r w:rsidRPr="00050FA4">
        <w:rPr>
          <w:lang w:val="sq-AL"/>
        </w:rPr>
        <w:t>Bizneset e reja krijojnë vende pune në sektorë të ekonomisë të orientuar drejt së ardhmes dhe sjellin një impuls proaktiv në ekonomi përmes mënyrës së tyre konkurruese dhe dinamike të funksionimit. Aktivitetet e planifikuara të fillimit dhe sipërmarrjes do të fokusohen në:</w:t>
      </w:r>
    </w:p>
    <w:p w14:paraId="64E21B82" w14:textId="77777777" w:rsidR="00FB30AC" w:rsidRPr="00050FA4" w:rsidRDefault="00FB30AC" w:rsidP="003F1DA7">
      <w:pPr>
        <w:pStyle w:val="AAAAAAATEXXXX"/>
        <w:rPr>
          <w:lang w:val="sq-AL"/>
        </w:rPr>
      </w:pPr>
      <w:r w:rsidRPr="00050FA4">
        <w:rPr>
          <w:lang w:val="sq-AL"/>
        </w:rPr>
        <w:t>a) mbështetjen e inovacionit në fushat prioritare për zhvillimin e vendit;</w:t>
      </w:r>
    </w:p>
    <w:p w14:paraId="51464568" w14:textId="77777777" w:rsidR="00FB30AC" w:rsidRPr="00050FA4" w:rsidRDefault="00FB30AC" w:rsidP="003F1DA7">
      <w:pPr>
        <w:pStyle w:val="AAAAAAATEXXXX"/>
        <w:rPr>
          <w:lang w:val="sq-AL"/>
        </w:rPr>
      </w:pPr>
      <w:r w:rsidRPr="00050FA4">
        <w:rPr>
          <w:lang w:val="sq-AL"/>
        </w:rPr>
        <w:t>b) mbështetjen e nismave që kanë një ndikim pozitiv mjedisor;</w:t>
      </w:r>
    </w:p>
    <w:p w14:paraId="0FE1984D" w14:textId="77777777" w:rsidR="00FB30AC" w:rsidRPr="00050FA4" w:rsidRDefault="00FB30AC" w:rsidP="003F1DA7">
      <w:pPr>
        <w:pStyle w:val="AAAAAAATEXXXX"/>
        <w:rPr>
          <w:lang w:val="sq-AL"/>
        </w:rPr>
      </w:pPr>
      <w:r w:rsidRPr="00050FA4">
        <w:rPr>
          <w:lang w:val="sq-AL"/>
        </w:rPr>
        <w:t>c) fuqizimi i grave sipërmarrëse;</w:t>
      </w:r>
    </w:p>
    <w:p w14:paraId="4EDAAFF9" w14:textId="7A63A229" w:rsidR="00E51C16" w:rsidRPr="00050FA4" w:rsidRDefault="00FB30AC" w:rsidP="003F1DA7">
      <w:pPr>
        <w:pStyle w:val="AAAAAAATEXXXX"/>
        <w:rPr>
          <w:lang w:val="sq-AL"/>
        </w:rPr>
      </w:pPr>
      <w:r w:rsidRPr="00050FA4">
        <w:rPr>
          <w:lang w:val="sq-AL"/>
        </w:rPr>
        <w:t>d) forcimin e përfshirjes sociale, diversitetit dhe ndikimit social.</w:t>
      </w:r>
    </w:p>
    <w:p w14:paraId="0553859C" w14:textId="34C62DE9" w:rsidR="00DB22AB" w:rsidRPr="00050FA4" w:rsidRDefault="000E7A85"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54E162A3" w14:textId="3A557889" w:rsidR="00FB30AC" w:rsidRPr="00050FA4" w:rsidRDefault="00FB30AC" w:rsidP="003F1DA7">
      <w:pPr>
        <w:pStyle w:val="AAAAAAATEXXXX"/>
        <w:rPr>
          <w:lang w:val="sq-AL"/>
        </w:rPr>
      </w:pPr>
      <w:r w:rsidRPr="00050FA4">
        <w:rPr>
          <w:lang w:val="sq-AL"/>
        </w:rPr>
        <w:t>Masa nuk parashikon ndikim të drejtpërdrejtë në mjedis.</w:t>
      </w:r>
    </w:p>
    <w:p w14:paraId="48FE94EC" w14:textId="31DC07D5" w:rsidR="00DB22AB" w:rsidRPr="00050FA4" w:rsidRDefault="000E7A85" w:rsidP="003F1DA7">
      <w:pPr>
        <w:pStyle w:val="AAAAAAATEXXXX"/>
        <w:rPr>
          <w:lang w:val="sq-AL"/>
        </w:rPr>
      </w:pPr>
      <w:r w:rsidRPr="00050FA4">
        <w:rPr>
          <w:lang w:val="sq-AL"/>
        </w:rPr>
        <w:t xml:space="preserve">7. </w:t>
      </w:r>
      <w:r w:rsidR="00B2062A" w:rsidRPr="00050FA4">
        <w:rPr>
          <w:lang w:val="sq-AL"/>
        </w:rPr>
        <w:t>Rreziqet e mundshme</w:t>
      </w:r>
    </w:p>
    <w:p w14:paraId="2508FC4E" w14:textId="77777777" w:rsidR="00CD1086" w:rsidRPr="00050FA4" w:rsidRDefault="00CD1086" w:rsidP="003F1DA7">
      <w:pPr>
        <w:pStyle w:val="AAAAAAATEXXXX"/>
        <w:rPr>
          <w:lang w:val="sq-AL"/>
        </w:rPr>
      </w:pPr>
    </w:p>
    <w:tbl>
      <w:tblPr>
        <w:tblStyle w:val="TableGrid"/>
        <w:tblW w:w="0" w:type="auto"/>
        <w:jc w:val="center"/>
        <w:tblLook w:val="04A0" w:firstRow="1" w:lastRow="0" w:firstColumn="1" w:lastColumn="0" w:noHBand="0" w:noVBand="1"/>
      </w:tblPr>
      <w:tblGrid>
        <w:gridCol w:w="4815"/>
        <w:gridCol w:w="1559"/>
        <w:gridCol w:w="3248"/>
      </w:tblGrid>
      <w:tr w:rsidR="00FA29AB" w:rsidRPr="00050FA4" w14:paraId="567F297D" w14:textId="77777777" w:rsidTr="00E229FE">
        <w:trPr>
          <w:jc w:val="center"/>
        </w:trPr>
        <w:tc>
          <w:tcPr>
            <w:tcW w:w="4815" w:type="dxa"/>
            <w:vAlign w:val="center"/>
          </w:tcPr>
          <w:p w14:paraId="5815F27B" w14:textId="77B79069" w:rsidR="00CC1612"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559" w:type="dxa"/>
            <w:vAlign w:val="center"/>
          </w:tcPr>
          <w:p w14:paraId="069201EF" w14:textId="77777777" w:rsidR="00E229FE"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CC1612" w:rsidRPr="00050FA4">
              <w:rPr>
                <w:rFonts w:ascii="Garamond" w:hAnsi="Garamond" w:cstheme="majorBidi"/>
                <w:b/>
                <w:color w:val="0D0D0D" w:themeColor="text1" w:themeTint="F2"/>
                <w:sz w:val="18"/>
                <w:szCs w:val="18"/>
              </w:rPr>
              <w:t xml:space="preserve"> </w:t>
            </w:r>
          </w:p>
          <w:p w14:paraId="5D044CF9" w14:textId="2A60DAA2" w:rsidR="00CC1612" w:rsidRPr="00050FA4" w:rsidRDefault="00CC1612"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3248" w:type="dxa"/>
            <w:vAlign w:val="center"/>
          </w:tcPr>
          <w:p w14:paraId="0909C2B4" w14:textId="05A9ED55" w:rsidR="00CC1612" w:rsidRPr="00050FA4" w:rsidRDefault="00B2062A" w:rsidP="00E229F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6983CDDA" w14:textId="77777777" w:rsidTr="00E229FE">
        <w:trPr>
          <w:jc w:val="center"/>
        </w:trPr>
        <w:tc>
          <w:tcPr>
            <w:tcW w:w="4815" w:type="dxa"/>
          </w:tcPr>
          <w:p w14:paraId="67677FCB" w14:textId="4FA6AB34" w:rsidR="00CC1612" w:rsidRPr="00050FA4" w:rsidRDefault="00FB30AC"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Niveli i ulët ose mungesa e bashkëpunimit dhe </w:t>
            </w:r>
            <w:r w:rsidR="00CD1086" w:rsidRPr="00050FA4">
              <w:rPr>
                <w:rFonts w:ascii="Garamond" w:hAnsi="Garamond" w:cstheme="majorBidi"/>
                <w:color w:val="0D0D0D" w:themeColor="text1" w:themeTint="F2"/>
                <w:sz w:val="18"/>
                <w:szCs w:val="18"/>
              </w:rPr>
              <w:t xml:space="preserve">e </w:t>
            </w:r>
            <w:r w:rsidRPr="00050FA4">
              <w:rPr>
                <w:rFonts w:ascii="Garamond" w:hAnsi="Garamond" w:cstheme="majorBidi"/>
                <w:color w:val="0D0D0D" w:themeColor="text1" w:themeTint="F2"/>
                <w:sz w:val="18"/>
                <w:szCs w:val="18"/>
              </w:rPr>
              <w:t>koordinimit ndërmjet organeve kompetente qeveritare dhe organizatave joqeveritare</w:t>
            </w:r>
          </w:p>
        </w:tc>
        <w:tc>
          <w:tcPr>
            <w:tcW w:w="1559" w:type="dxa"/>
          </w:tcPr>
          <w:p w14:paraId="089E715B" w14:textId="6A1BA40C" w:rsidR="00CC1612" w:rsidRPr="00050FA4" w:rsidRDefault="00FB30AC"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ulët</w:t>
            </w:r>
          </w:p>
        </w:tc>
        <w:tc>
          <w:tcPr>
            <w:tcW w:w="3248" w:type="dxa"/>
          </w:tcPr>
          <w:p w14:paraId="416F6508" w14:textId="542EC152" w:rsidR="00CC1612" w:rsidRPr="00050FA4" w:rsidRDefault="00FB30AC"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Rritja e nivelit të bashkëpunimit përmes tryezave të përbashkëta, grupeve të punës etj.</w:t>
            </w:r>
          </w:p>
        </w:tc>
      </w:tr>
      <w:tr w:rsidR="00FA29AB" w:rsidRPr="00050FA4" w14:paraId="56AEFC6E" w14:textId="77777777" w:rsidTr="00E229FE">
        <w:trPr>
          <w:jc w:val="center"/>
        </w:trPr>
        <w:tc>
          <w:tcPr>
            <w:tcW w:w="4815" w:type="dxa"/>
          </w:tcPr>
          <w:p w14:paraId="007D1E42" w14:textId="7C95CCCF" w:rsidR="00CC1612" w:rsidRPr="00050FA4" w:rsidRDefault="00FB30AC"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Shtyrja e miratimit të ligjit të ri për </w:t>
            </w:r>
            <w:r w:rsidR="00E708DC" w:rsidRPr="00050FA4">
              <w:rPr>
                <w:rFonts w:ascii="Garamond" w:hAnsi="Garamond" w:cstheme="majorBidi"/>
                <w:i/>
                <w:color w:val="0D0D0D" w:themeColor="text1" w:themeTint="F2"/>
                <w:sz w:val="18"/>
                <w:szCs w:val="18"/>
              </w:rPr>
              <w:t>start-up</w:t>
            </w:r>
            <w:r w:rsidRPr="00050FA4">
              <w:rPr>
                <w:rFonts w:ascii="Garamond" w:hAnsi="Garamond" w:cstheme="majorBidi"/>
                <w:color w:val="0D0D0D" w:themeColor="text1" w:themeTint="F2"/>
                <w:sz w:val="18"/>
                <w:szCs w:val="18"/>
              </w:rPr>
              <w:t>-et</w:t>
            </w:r>
          </w:p>
        </w:tc>
        <w:tc>
          <w:tcPr>
            <w:tcW w:w="1559" w:type="dxa"/>
          </w:tcPr>
          <w:p w14:paraId="5AFE7954" w14:textId="48C8DD9F" w:rsidR="00CC1612" w:rsidRPr="00050FA4" w:rsidRDefault="00FB30AC"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lartë</w:t>
            </w:r>
          </w:p>
        </w:tc>
        <w:tc>
          <w:tcPr>
            <w:tcW w:w="3248" w:type="dxa"/>
          </w:tcPr>
          <w:p w14:paraId="6F8183ED" w14:textId="14C0DB54" w:rsidR="00CC1612" w:rsidRPr="00050FA4" w:rsidRDefault="00FB30AC"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Rritja e ndërgjegjësimit në nivel politik për nevojën e këtij ligji</w:t>
            </w:r>
          </w:p>
        </w:tc>
      </w:tr>
    </w:tbl>
    <w:p w14:paraId="6BB4AFF3" w14:textId="77777777" w:rsidR="00CC1612" w:rsidRPr="00050FA4" w:rsidRDefault="00CC1612" w:rsidP="003F1DA7">
      <w:pPr>
        <w:snapToGrid w:val="0"/>
        <w:ind w:firstLine="284"/>
        <w:rPr>
          <w:rFonts w:ascii="Garamond" w:hAnsi="Garamond" w:cstheme="majorBidi"/>
          <w:color w:val="0D0D0D" w:themeColor="text1" w:themeTint="F2"/>
        </w:rPr>
      </w:pPr>
    </w:p>
    <w:p w14:paraId="7A057DF1" w14:textId="2A1735F5" w:rsidR="00DB22AB"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F21FEB" w:rsidRPr="00050FA4">
        <w:rPr>
          <w:rFonts w:ascii="Garamond" w:hAnsi="Garamond" w:cstheme="majorBidi"/>
          <w:color w:val="0D0D0D" w:themeColor="text1" w:themeTint="F2"/>
          <w:sz w:val="24"/>
          <w:szCs w:val="24"/>
        </w:rPr>
        <w:t xml:space="preserve"> </w:t>
      </w:r>
      <w:r w:rsidR="005358F8" w:rsidRPr="00050FA4">
        <w:rPr>
          <w:rFonts w:ascii="Garamond" w:hAnsi="Garamond" w:cstheme="majorBidi"/>
          <w:color w:val="0D0D0D" w:themeColor="text1" w:themeTint="F2"/>
          <w:sz w:val="24"/>
          <w:szCs w:val="24"/>
        </w:rPr>
        <w:t>08</w:t>
      </w:r>
      <w:r w:rsidR="00DB22AB" w:rsidRPr="00050FA4">
        <w:rPr>
          <w:rFonts w:ascii="Garamond" w:hAnsi="Garamond" w:cstheme="majorBidi"/>
          <w:color w:val="0D0D0D" w:themeColor="text1" w:themeTint="F2"/>
          <w:sz w:val="24"/>
          <w:szCs w:val="24"/>
        </w:rPr>
        <w:t xml:space="preserve">: </w:t>
      </w:r>
      <w:r w:rsidR="001E4FC2" w:rsidRPr="00050FA4">
        <w:rPr>
          <w:rFonts w:ascii="Garamond" w:hAnsi="Garamond" w:cstheme="majorBidi"/>
          <w:color w:val="0D0D0D" w:themeColor="text1" w:themeTint="F2"/>
          <w:sz w:val="24"/>
          <w:szCs w:val="24"/>
        </w:rPr>
        <w:t>Masat mbështetëse për NMVM</w:t>
      </w:r>
      <w:r w:rsidR="00CD1086" w:rsidRPr="00050FA4">
        <w:rPr>
          <w:rFonts w:ascii="Garamond" w:hAnsi="Garamond" w:cstheme="majorBidi"/>
          <w:color w:val="0D0D0D" w:themeColor="text1" w:themeTint="F2"/>
          <w:sz w:val="24"/>
          <w:szCs w:val="24"/>
        </w:rPr>
        <w:t>-në</w:t>
      </w:r>
    </w:p>
    <w:p w14:paraId="3FBD7AB1" w14:textId="3EB7B5D2" w:rsidR="00DB22AB" w:rsidRPr="00050FA4" w:rsidRDefault="000E7A85" w:rsidP="003F1DA7">
      <w:pPr>
        <w:pStyle w:val="AAAAAAATEXXXX"/>
        <w:rPr>
          <w:lang w:val="sq-AL"/>
        </w:rPr>
      </w:pPr>
      <w:r w:rsidRPr="00050FA4">
        <w:rPr>
          <w:lang w:val="sq-AL"/>
        </w:rPr>
        <w:t xml:space="preserve">1. </w:t>
      </w:r>
      <w:r w:rsidR="00B2062A" w:rsidRPr="00050FA4">
        <w:rPr>
          <w:lang w:val="sq-AL"/>
        </w:rPr>
        <w:t>Përshkrimi i masës</w:t>
      </w:r>
    </w:p>
    <w:p w14:paraId="6C5CB4B8" w14:textId="6EF6FDE6" w:rsidR="00405262" w:rsidRPr="00050FA4" w:rsidRDefault="00CD0E63" w:rsidP="003F1DA7">
      <w:pPr>
        <w:pStyle w:val="AAAAAAATEXXXX"/>
        <w:rPr>
          <w:lang w:val="sq-AL"/>
        </w:rPr>
      </w:pPr>
      <w:r w:rsidRPr="00050FA4">
        <w:rPr>
          <w:lang w:val="sq-AL"/>
        </w:rPr>
        <w:t xml:space="preserve">SME-të në Shqipëri janë kontribues të rëndësishëm në ekonomi. Në vitin 2019, Ndërmarrjet e Vogla dhe të Mesme (NVM) përbëjnë 99.8% të të gjitha ndërmarrjeve, 81.6% të punësimit total dhe 72.4% të </w:t>
      </w:r>
      <w:r w:rsidRPr="00050FA4">
        <w:rPr>
          <w:lang w:val="sq-AL"/>
        </w:rPr>
        <w:lastRenderedPageBreak/>
        <w:t>vlerës së shtuar – më shumë se në shumicën e vendeve të rajonit. Vlera e shtuar e NVM-ve u rrit me 17.4% midis 2017</w:t>
      </w:r>
      <w:r w:rsidR="00945718" w:rsidRPr="00050FA4">
        <w:rPr>
          <w:lang w:val="sq-AL"/>
        </w:rPr>
        <w:t>-ës</w:t>
      </w:r>
      <w:r w:rsidRPr="00050FA4">
        <w:rPr>
          <w:lang w:val="sq-AL"/>
        </w:rPr>
        <w:t xml:space="preserve"> dhe 2019</w:t>
      </w:r>
      <w:r w:rsidR="00945718" w:rsidRPr="00050FA4">
        <w:rPr>
          <w:lang w:val="sq-AL"/>
        </w:rPr>
        <w:t>-ës</w:t>
      </w:r>
      <w:r w:rsidRPr="00050FA4">
        <w:rPr>
          <w:lang w:val="sq-AL"/>
        </w:rPr>
        <w:t xml:space="preserve"> dhe me 28.3% midis 2016</w:t>
      </w:r>
      <w:r w:rsidR="00945718" w:rsidRPr="00050FA4">
        <w:rPr>
          <w:lang w:val="sq-AL"/>
        </w:rPr>
        <w:t>-ës</w:t>
      </w:r>
      <w:r w:rsidRPr="00050FA4">
        <w:rPr>
          <w:lang w:val="sq-AL"/>
        </w:rPr>
        <w:t xml:space="preserve"> dhe 2019</w:t>
      </w:r>
      <w:r w:rsidR="00945718" w:rsidRPr="00050FA4">
        <w:rPr>
          <w:lang w:val="sq-AL"/>
        </w:rPr>
        <w:t>-ës</w:t>
      </w:r>
      <w:r w:rsidRPr="00050FA4">
        <w:rPr>
          <w:lang w:val="sq-AL"/>
        </w:rPr>
        <w:t>. Ndërmarrjet mikro përbëjnë shumicën e NVM-ve. Sipas Raportit të Konkurrueshmërisë të OECD-së për vitin 2021, rezultati i aksesit në financa të Shqipërisë është rritur lehtë – nga 2.4 në 2.5 – që nga vlerësimi i mëparshëm, duke reflektuar disa element</w:t>
      </w:r>
      <w:r w:rsidR="00097DAF" w:rsidRPr="00050FA4">
        <w:rPr>
          <w:lang w:val="sq-AL"/>
        </w:rPr>
        <w:t>e</w:t>
      </w:r>
      <w:r w:rsidRPr="00050FA4">
        <w:rPr>
          <w:lang w:val="sq-AL"/>
        </w:rPr>
        <w:t xml:space="preserve"> të r</w:t>
      </w:r>
      <w:r w:rsidR="004625CE" w:rsidRPr="00050FA4">
        <w:rPr>
          <w:lang w:val="sq-AL"/>
        </w:rPr>
        <w:t>eja</w:t>
      </w:r>
      <w:r w:rsidRPr="00050FA4">
        <w:rPr>
          <w:lang w:val="sq-AL"/>
        </w:rPr>
        <w:t xml:space="preserve"> të futur në këtë cikël. Ka pasur disa përmirësime në aksesin në financat bankare, veçanërisht miratimi i ligjit të ri të tregut të kapitalit i cili do të ndihmojë në mobilizimin e financimit afatgjatë. Burimet alternative të financimit mbeten shumë të kufizuara në Shqipëri, duke krijuar një pengesë të madhe për bizneset që nuk plotësojnë kriteret tradicionale bankare. </w:t>
      </w:r>
      <w:r w:rsidRPr="00050FA4">
        <w:rPr>
          <w:i/>
          <w:lang w:val="sq-AL"/>
        </w:rPr>
        <w:t xml:space="preserve">Factoring </w:t>
      </w:r>
      <w:r w:rsidRPr="00050FA4">
        <w:rPr>
          <w:lang w:val="sq-AL"/>
        </w:rPr>
        <w:t xml:space="preserve">dhe </w:t>
      </w:r>
      <w:r w:rsidRPr="00050FA4">
        <w:rPr>
          <w:i/>
          <w:lang w:val="sq-AL"/>
        </w:rPr>
        <w:t>leasing</w:t>
      </w:r>
      <w:r w:rsidRPr="00050FA4">
        <w:rPr>
          <w:lang w:val="sq-AL"/>
        </w:rPr>
        <w:t xml:space="preserve"> janë të disponueshme dhe të mbështetura nga korniza ligjore të </w:t>
      </w:r>
      <w:r w:rsidR="00F21FEB" w:rsidRPr="00050FA4">
        <w:rPr>
          <w:lang w:val="sq-AL"/>
        </w:rPr>
        <w:t xml:space="preserve">zhvilluara mirë, por financimi </w:t>
      </w:r>
      <w:r w:rsidR="00F21FEB" w:rsidRPr="00050FA4">
        <w:rPr>
          <w:i/>
          <w:lang w:val="sq-AL"/>
        </w:rPr>
        <w:t>crowd funding</w:t>
      </w:r>
      <w:r w:rsidRPr="00050FA4">
        <w:rPr>
          <w:lang w:val="sq-AL"/>
        </w:rPr>
        <w:t>, kapitali sipërmarrës dhe rrjetet e engjëjve të biznesit nuk ekzistojnë. Megjithatë, nga viti 2022, Shqipëria do të përqendrohet në zhvillim</w:t>
      </w:r>
      <w:r w:rsidR="00F21FEB" w:rsidRPr="00050FA4">
        <w:rPr>
          <w:lang w:val="sq-AL"/>
        </w:rPr>
        <w:t xml:space="preserve">in e platformave të financimit </w:t>
      </w:r>
      <w:r w:rsidR="00F21FEB" w:rsidRPr="00050FA4">
        <w:rPr>
          <w:i/>
          <w:lang w:val="sq-AL"/>
        </w:rPr>
        <w:t>crowd funding</w:t>
      </w:r>
      <w:r w:rsidRPr="00050FA4">
        <w:rPr>
          <w:lang w:val="sq-AL"/>
        </w:rPr>
        <w:t xml:space="preserve">, kapitaleve sipërmarrëse dhe rrjeteve të engjëjve të biznesit për sipërmarrësit dhe bizneset </w:t>
      </w:r>
      <w:r w:rsidRPr="00050FA4">
        <w:rPr>
          <w:i/>
          <w:lang w:val="sq-AL"/>
        </w:rPr>
        <w:t>start-up</w:t>
      </w:r>
      <w:r w:rsidR="002A529D" w:rsidRPr="00050FA4">
        <w:rPr>
          <w:i/>
          <w:lang w:val="sq-AL"/>
        </w:rPr>
        <w:t>,</w:t>
      </w:r>
      <w:r w:rsidRPr="00050FA4">
        <w:rPr>
          <w:lang w:val="sq-AL"/>
        </w:rPr>
        <w:t xml:space="preserve"> që nuk janë të pranueshëm për huadhënien tradicionale bankare. Në kuadër të programit të BE-së për inovacion (faza e parë) është në zhvillim e sipër testimi i krijimit të një rrjeti pilot të engjëjve të biznesit. Edhe në fazën e dytë të EU4Innovation, një ndarje shumë e konsiderueshme buxhetore i kushtohet rritjes së aksesit në financa të bizneseve </w:t>
      </w:r>
      <w:r w:rsidR="00E708DC" w:rsidRPr="00050FA4">
        <w:rPr>
          <w:i/>
          <w:lang w:val="sq-AL"/>
        </w:rPr>
        <w:t>start-up</w:t>
      </w:r>
      <w:r w:rsidRPr="00050FA4">
        <w:rPr>
          <w:lang w:val="sq-AL"/>
        </w:rPr>
        <w:t xml:space="preserve"> jo vetëm nëpërmjet granteve, por edhe nëpërmjet zhvillimit të instrumenteve të tjera financiare alternative. Me ndihmën e BERZH-it, Ministria e Financave dhe Ekonomisë</w:t>
      </w:r>
      <w:r w:rsidR="00E51C0C" w:rsidRPr="00050FA4">
        <w:rPr>
          <w:lang w:val="sq-AL"/>
        </w:rPr>
        <w:t>,</w:t>
      </w:r>
      <w:r w:rsidRPr="00050FA4">
        <w:rPr>
          <w:lang w:val="sq-AL"/>
        </w:rPr>
        <w:t xml:space="preserve"> në maj 2020</w:t>
      </w:r>
      <w:r w:rsidR="00E51C0C" w:rsidRPr="00050FA4">
        <w:rPr>
          <w:lang w:val="sq-AL"/>
        </w:rPr>
        <w:t>,</w:t>
      </w:r>
      <w:r w:rsidRPr="00050FA4">
        <w:rPr>
          <w:lang w:val="sq-AL"/>
        </w:rPr>
        <w:t xml:space="preserve"> krijoi një portal të centralizuar informacioni</w:t>
      </w:r>
      <w:r w:rsidR="00E51C0C" w:rsidRPr="00050FA4">
        <w:rPr>
          <w:lang w:val="sq-AL"/>
        </w:rPr>
        <w:t>,</w:t>
      </w:r>
      <w:r w:rsidRPr="00050FA4">
        <w:rPr>
          <w:lang w:val="sq-AL"/>
        </w:rPr>
        <w:t xml:space="preserve"> i cili ofron informacion mbi të gjitha instrumentet financiare në dispozicion për NVM-të. Kjo platformë është plotësisht funksionale.</w:t>
      </w:r>
    </w:p>
    <w:p w14:paraId="7E7033DD" w14:textId="66C43DA4" w:rsidR="00CD0E63" w:rsidRPr="00050FA4" w:rsidRDefault="00405262" w:rsidP="003F1DA7">
      <w:pPr>
        <w:pStyle w:val="AAAAAAATEXXXX"/>
        <w:rPr>
          <w:lang w:val="sq-AL"/>
        </w:rPr>
      </w:pPr>
      <w:r w:rsidRPr="00050FA4">
        <w:rPr>
          <w:lang w:val="sq-AL"/>
        </w:rPr>
        <w:t xml:space="preserve">Gjithashtu, një raport për </w:t>
      </w:r>
      <w:r w:rsidR="008A0E5B" w:rsidRPr="00050FA4">
        <w:rPr>
          <w:lang w:val="sq-AL"/>
        </w:rPr>
        <w:t>“</w:t>
      </w:r>
      <w:r w:rsidRPr="00050FA4">
        <w:rPr>
          <w:lang w:val="sq-AL"/>
        </w:rPr>
        <w:t xml:space="preserve">Mbështetje për </w:t>
      </w:r>
      <w:r w:rsidR="00C948AF" w:rsidRPr="00050FA4">
        <w:rPr>
          <w:lang w:val="sq-AL"/>
        </w:rPr>
        <w:t>digjital</w:t>
      </w:r>
      <w:r w:rsidRPr="00050FA4">
        <w:rPr>
          <w:lang w:val="sq-AL"/>
        </w:rPr>
        <w:t>izimin e SME-ve në Shqipëri</w:t>
      </w:r>
      <w:r w:rsidR="00E51C0C" w:rsidRPr="00050FA4">
        <w:rPr>
          <w:lang w:val="sq-AL"/>
        </w:rPr>
        <w:t>,</w:t>
      </w:r>
      <w:r w:rsidRPr="00050FA4">
        <w:rPr>
          <w:lang w:val="sq-AL"/>
        </w:rPr>
        <w:t xml:space="preserve"> për të zbutur ndikimin negativ ekonomik të COVID-19</w:t>
      </w:r>
      <w:r w:rsidR="008A0E5B" w:rsidRPr="00050FA4">
        <w:rPr>
          <w:lang w:val="sq-AL"/>
        </w:rPr>
        <w:t>”</w:t>
      </w:r>
      <w:r w:rsidRPr="00050FA4">
        <w:rPr>
          <w:lang w:val="sq-AL"/>
        </w:rPr>
        <w:t xml:space="preserve"> është përgatitur nga MFE</w:t>
      </w:r>
      <w:r w:rsidR="00E51C0C" w:rsidRPr="00050FA4">
        <w:rPr>
          <w:lang w:val="sq-AL"/>
        </w:rPr>
        <w:t>-ja</w:t>
      </w:r>
      <w:r w:rsidRPr="00050FA4">
        <w:rPr>
          <w:lang w:val="sq-AL"/>
        </w:rPr>
        <w:t xml:space="preserve"> me mbështetjen e BERZH</w:t>
      </w:r>
      <w:r w:rsidR="00A766AD" w:rsidRPr="00050FA4">
        <w:rPr>
          <w:lang w:val="sq-AL"/>
        </w:rPr>
        <w:t>-it</w:t>
      </w:r>
      <w:r w:rsidRPr="00050FA4">
        <w:rPr>
          <w:lang w:val="sq-AL"/>
        </w:rPr>
        <w:t xml:space="preserve">. Bazuar në këtë raport në </w:t>
      </w:r>
      <w:r w:rsidR="008A0E5B" w:rsidRPr="00050FA4">
        <w:rPr>
          <w:lang w:val="sq-AL"/>
        </w:rPr>
        <w:t>“</w:t>
      </w:r>
      <w:r w:rsidRPr="00050FA4">
        <w:rPr>
          <w:lang w:val="sq-AL"/>
        </w:rPr>
        <w:t xml:space="preserve">Strategjinë e re për zhvillimin e </w:t>
      </w:r>
      <w:r w:rsidR="00A766AD" w:rsidRPr="00050FA4">
        <w:rPr>
          <w:lang w:val="sq-AL"/>
        </w:rPr>
        <w:t xml:space="preserve">biznesit dhe investimeve </w:t>
      </w:r>
      <w:r w:rsidRPr="00050FA4">
        <w:rPr>
          <w:lang w:val="sq-AL"/>
        </w:rPr>
        <w:t>2021</w:t>
      </w:r>
      <w:r w:rsidR="00A766AD" w:rsidRPr="00050FA4">
        <w:rPr>
          <w:lang w:val="sq-AL"/>
        </w:rPr>
        <w:t>–</w:t>
      </w:r>
      <w:r w:rsidRPr="00050FA4">
        <w:rPr>
          <w:lang w:val="sq-AL"/>
        </w:rPr>
        <w:t>2027</w:t>
      </w:r>
      <w:r w:rsidR="008A0E5B" w:rsidRPr="00050FA4">
        <w:rPr>
          <w:lang w:val="sq-AL"/>
        </w:rPr>
        <w:t>”</w:t>
      </w:r>
      <w:r w:rsidRPr="00050FA4">
        <w:rPr>
          <w:lang w:val="sq-AL"/>
        </w:rPr>
        <w:t xml:space="preserve"> është formuluar një masë e re prioritare që është </w:t>
      </w:r>
      <w:r w:rsidR="008A0E5B" w:rsidRPr="00050FA4">
        <w:rPr>
          <w:lang w:val="sq-AL"/>
        </w:rPr>
        <w:t>“</w:t>
      </w:r>
      <w:r w:rsidRPr="00050FA4">
        <w:rPr>
          <w:lang w:val="sq-AL"/>
        </w:rPr>
        <w:t>iniciativ</w:t>
      </w:r>
      <w:r w:rsidR="00CD0E63" w:rsidRPr="00050FA4">
        <w:rPr>
          <w:lang w:val="sq-AL"/>
        </w:rPr>
        <w:t xml:space="preserve">a për zhvillimin e </w:t>
      </w:r>
      <w:r w:rsidR="00CD0E63" w:rsidRPr="00050FA4">
        <w:rPr>
          <w:i/>
          <w:lang w:val="sq-AL"/>
        </w:rPr>
        <w:t>e-</w:t>
      </w:r>
      <w:r w:rsidR="00A766AD" w:rsidRPr="00050FA4">
        <w:rPr>
          <w:i/>
          <w:lang w:val="sq-AL"/>
        </w:rPr>
        <w:t>Biznesit</w:t>
      </w:r>
      <w:r w:rsidR="008A0E5B" w:rsidRPr="00050FA4">
        <w:rPr>
          <w:i/>
          <w:lang w:val="sq-AL"/>
        </w:rPr>
        <w:t>”</w:t>
      </w:r>
      <w:r w:rsidR="00CD0E63" w:rsidRPr="00050FA4">
        <w:rPr>
          <w:i/>
          <w:lang w:val="sq-AL"/>
        </w:rPr>
        <w:t>.</w:t>
      </w:r>
    </w:p>
    <w:p w14:paraId="4E09932D" w14:textId="318291DC" w:rsidR="00405262" w:rsidRPr="00050FA4" w:rsidRDefault="00405262" w:rsidP="003F1DA7">
      <w:pPr>
        <w:pStyle w:val="AAAAAAATEXXXX"/>
        <w:rPr>
          <w:lang w:val="sq-AL"/>
        </w:rPr>
      </w:pPr>
      <w:r w:rsidRPr="00050FA4">
        <w:rPr>
          <w:lang w:val="sq-AL"/>
        </w:rPr>
        <w:t>Kjo masë synon:</w:t>
      </w:r>
    </w:p>
    <w:p w14:paraId="605FFD03" w14:textId="4ED6C004" w:rsidR="00405262" w:rsidRPr="00050FA4" w:rsidRDefault="00E229FE" w:rsidP="003F1DA7">
      <w:pPr>
        <w:pStyle w:val="AAAAAAATEXXXX"/>
        <w:rPr>
          <w:lang w:val="sq-AL"/>
        </w:rPr>
      </w:pPr>
      <w:r w:rsidRPr="00050FA4">
        <w:rPr>
          <w:lang w:val="sq-AL"/>
        </w:rPr>
        <w:t>-</w:t>
      </w:r>
      <w:r w:rsidR="00405262" w:rsidRPr="00050FA4">
        <w:rPr>
          <w:lang w:val="sq-AL"/>
        </w:rPr>
        <w:t xml:space="preserve"> Përmirësimin e konkurrueshmërisë dhe aksesit të SME-ve në tregje</w:t>
      </w:r>
      <w:r w:rsidR="00E85B13" w:rsidRPr="00050FA4">
        <w:rPr>
          <w:lang w:val="sq-AL"/>
        </w:rPr>
        <w:t>,</w:t>
      </w:r>
      <w:r w:rsidR="00405262" w:rsidRPr="00050FA4">
        <w:rPr>
          <w:lang w:val="sq-AL"/>
        </w:rPr>
        <w:t xml:space="preserve"> duke i ndihmuar ato të ad</w:t>
      </w:r>
      <w:r w:rsidR="00E85B13" w:rsidRPr="00050FA4">
        <w:rPr>
          <w:lang w:val="sq-AL"/>
        </w:rPr>
        <w:t>a</w:t>
      </w:r>
      <w:r w:rsidR="00405262" w:rsidRPr="00050FA4">
        <w:rPr>
          <w:lang w:val="sq-AL"/>
        </w:rPr>
        <w:t xml:space="preserve">ptojnë zgjidhje </w:t>
      </w:r>
      <w:r w:rsidR="00C948AF" w:rsidRPr="00050FA4">
        <w:rPr>
          <w:lang w:val="sq-AL"/>
        </w:rPr>
        <w:t>digjital</w:t>
      </w:r>
      <w:r w:rsidR="00405262" w:rsidRPr="00050FA4">
        <w:rPr>
          <w:lang w:val="sq-AL"/>
        </w:rPr>
        <w:t xml:space="preserve">e për tregtinë elektronike dhe biznesin elektronik. </w:t>
      </w:r>
    </w:p>
    <w:p w14:paraId="5D7A49DC" w14:textId="1F91310C" w:rsidR="00405262" w:rsidRPr="00050FA4" w:rsidRDefault="00E229FE" w:rsidP="003F1DA7">
      <w:pPr>
        <w:pStyle w:val="AAAAAAATEXXXX"/>
        <w:rPr>
          <w:lang w:val="sq-AL"/>
        </w:rPr>
      </w:pPr>
      <w:r w:rsidRPr="00050FA4">
        <w:rPr>
          <w:lang w:val="sq-AL"/>
        </w:rPr>
        <w:t>-</w:t>
      </w:r>
      <w:r w:rsidR="00405262" w:rsidRPr="00050FA4">
        <w:rPr>
          <w:lang w:val="sq-AL"/>
        </w:rPr>
        <w:t xml:space="preserve"> Forcimi i aftësive </w:t>
      </w:r>
      <w:r w:rsidR="00C948AF" w:rsidRPr="00050FA4">
        <w:rPr>
          <w:lang w:val="sq-AL"/>
        </w:rPr>
        <w:t>digjital</w:t>
      </w:r>
      <w:r w:rsidR="00405262" w:rsidRPr="00050FA4">
        <w:rPr>
          <w:lang w:val="sq-AL"/>
        </w:rPr>
        <w:t>e të NVM-ve</w:t>
      </w:r>
      <w:r w:rsidR="00E85B13" w:rsidRPr="00050FA4">
        <w:rPr>
          <w:lang w:val="sq-AL"/>
        </w:rPr>
        <w:t>.</w:t>
      </w:r>
      <w:r w:rsidR="00405262" w:rsidRPr="00050FA4">
        <w:rPr>
          <w:lang w:val="sq-AL"/>
        </w:rPr>
        <w:t xml:space="preserve"> </w:t>
      </w:r>
    </w:p>
    <w:p w14:paraId="6C55A1A8" w14:textId="249747C7" w:rsidR="00405262" w:rsidRPr="00050FA4" w:rsidRDefault="00E229FE" w:rsidP="003F1DA7">
      <w:pPr>
        <w:pStyle w:val="AAAAAAATEXXXX"/>
        <w:rPr>
          <w:lang w:val="sq-AL"/>
        </w:rPr>
      </w:pPr>
      <w:r w:rsidRPr="00050FA4">
        <w:rPr>
          <w:lang w:val="sq-AL"/>
        </w:rPr>
        <w:t>-</w:t>
      </w:r>
      <w:r w:rsidR="00405262" w:rsidRPr="00050FA4">
        <w:rPr>
          <w:lang w:val="sq-AL"/>
        </w:rPr>
        <w:t xml:space="preserve"> Sigurimi i një mjedisi të përshtatshëm dhe rregullator biznesi për tregtinë elektronike për të mbështetur sipërmarrësit dhe SME-të</w:t>
      </w:r>
      <w:r w:rsidR="00E85B13" w:rsidRPr="00050FA4">
        <w:rPr>
          <w:lang w:val="sq-AL"/>
        </w:rPr>
        <w:t>,</w:t>
      </w:r>
      <w:r w:rsidR="00405262" w:rsidRPr="00050FA4">
        <w:rPr>
          <w:lang w:val="sq-AL"/>
        </w:rPr>
        <w:t xml:space="preserve"> duke përdorur sinergji me masat e parashikuara </w:t>
      </w:r>
      <w:r w:rsidR="00E85B13" w:rsidRPr="00050FA4">
        <w:rPr>
          <w:lang w:val="sq-AL"/>
        </w:rPr>
        <w:t xml:space="preserve">në agjendën e re digjitale </w:t>
      </w:r>
      <w:r w:rsidR="00405262" w:rsidRPr="00050FA4">
        <w:rPr>
          <w:lang w:val="sq-AL"/>
        </w:rPr>
        <w:t>dhe CRM 2021</w:t>
      </w:r>
      <w:r w:rsidRPr="00050FA4">
        <w:rPr>
          <w:lang w:val="sq-AL"/>
        </w:rPr>
        <w:t>–</w:t>
      </w:r>
      <w:r w:rsidR="00405262" w:rsidRPr="00050FA4">
        <w:rPr>
          <w:lang w:val="sq-AL"/>
        </w:rPr>
        <w:t xml:space="preserve">2024. </w:t>
      </w:r>
    </w:p>
    <w:p w14:paraId="0F255BF8" w14:textId="6BE036A1" w:rsidR="00CD0E63" w:rsidRPr="00050FA4" w:rsidRDefault="00CD0E63" w:rsidP="003F1DA7">
      <w:pPr>
        <w:pStyle w:val="AAAAAAATEXXXX"/>
        <w:rPr>
          <w:lang w:val="sq-AL"/>
        </w:rPr>
      </w:pPr>
      <w:r w:rsidRPr="00050FA4">
        <w:rPr>
          <w:lang w:val="sq-AL" w:eastAsia="zh-CN" w:bidi="hi-IN"/>
        </w:rPr>
        <w:t xml:space="preserve">Bazuar në këtë raport, duke pasur parasysh bazën e </w:t>
      </w:r>
      <w:r w:rsidR="00C948AF" w:rsidRPr="00050FA4">
        <w:rPr>
          <w:lang w:val="sq-AL" w:eastAsia="zh-CN" w:bidi="hi-IN"/>
        </w:rPr>
        <w:t>digjital</w:t>
      </w:r>
      <w:r w:rsidRPr="00050FA4">
        <w:rPr>
          <w:lang w:val="sq-AL" w:eastAsia="zh-CN" w:bidi="hi-IN"/>
        </w:rPr>
        <w:t>izimit, lidhjes me internetin, SME-të shqiptare po performojnë në një nivel adekuat. Rreth 98% e SME-ve shqiptare janë të lidhura me internetin ose thënë ndryshe kanë të paktën një punonjës që përdor internetin për qëllime biznesi. Gjithashtu, projekti ProSEED</w:t>
      </w:r>
      <w:r w:rsidR="00E85B13" w:rsidRPr="00050FA4">
        <w:rPr>
          <w:lang w:val="sq-AL" w:eastAsia="zh-CN" w:bidi="hi-IN"/>
        </w:rPr>
        <w:t>,</w:t>
      </w:r>
      <w:r w:rsidRPr="00050FA4">
        <w:rPr>
          <w:lang w:val="sq-AL" w:eastAsia="zh-CN" w:bidi="hi-IN"/>
        </w:rPr>
        <w:t xml:space="preserve"> që nga shkurti i vitit 2021</w:t>
      </w:r>
      <w:r w:rsidR="00E85B13" w:rsidRPr="00050FA4">
        <w:rPr>
          <w:lang w:val="sq-AL" w:eastAsia="zh-CN" w:bidi="hi-IN"/>
        </w:rPr>
        <w:t>,</w:t>
      </w:r>
      <w:r w:rsidRPr="00050FA4">
        <w:rPr>
          <w:lang w:val="sq-AL" w:eastAsia="zh-CN" w:bidi="hi-IN"/>
        </w:rPr>
        <w:t xml:space="preserve"> po zbaton </w:t>
      </w:r>
      <w:r w:rsidR="00E85B13" w:rsidRPr="00050FA4">
        <w:rPr>
          <w:lang w:val="sq-AL" w:eastAsia="zh-CN" w:bidi="hi-IN"/>
        </w:rPr>
        <w:t xml:space="preserve">instrumentin këshillimor </w:t>
      </w:r>
      <w:r w:rsidRPr="00050FA4">
        <w:rPr>
          <w:lang w:val="sq-AL" w:eastAsia="zh-CN" w:bidi="hi-IN"/>
        </w:rPr>
        <w:t xml:space="preserve">që ofron shërbime trajnimi dhe këshillimore për MSME-të, me mundësinë e marrjes së granteve të vogla, për t'iu përshtatur situatës së krijuar nga </w:t>
      </w:r>
      <w:r w:rsidR="00E85B13" w:rsidRPr="00050FA4">
        <w:rPr>
          <w:lang w:val="sq-AL" w:eastAsia="zh-CN" w:bidi="hi-IN"/>
        </w:rPr>
        <w:t>COVID</w:t>
      </w:r>
      <w:r w:rsidRPr="00050FA4">
        <w:rPr>
          <w:lang w:val="sq-AL" w:eastAsia="zh-CN" w:bidi="hi-IN"/>
        </w:rPr>
        <w:t xml:space="preserve">-19. Instrumenti këshillues i titulluar </w:t>
      </w:r>
      <w:r w:rsidR="008A0E5B" w:rsidRPr="00050FA4">
        <w:rPr>
          <w:lang w:val="sq-AL" w:eastAsia="zh-CN" w:bidi="hi-IN"/>
        </w:rPr>
        <w:t>“</w:t>
      </w:r>
      <w:r w:rsidRPr="00050FA4">
        <w:rPr>
          <w:lang w:val="sq-AL" w:eastAsia="zh-CN" w:bidi="hi-IN"/>
        </w:rPr>
        <w:t>CoSolve 19</w:t>
      </w:r>
      <w:r w:rsidR="008A0E5B" w:rsidRPr="00050FA4">
        <w:rPr>
          <w:lang w:val="sq-AL" w:eastAsia="zh-CN" w:bidi="hi-IN"/>
        </w:rPr>
        <w:t>”</w:t>
      </w:r>
      <w:r w:rsidRPr="00050FA4">
        <w:rPr>
          <w:lang w:val="sq-AL" w:eastAsia="zh-CN" w:bidi="hi-IN"/>
        </w:rPr>
        <w:t xml:space="preserve"> është një nismë e përbashkët e programeve dypalëshe të </w:t>
      </w:r>
      <w:r w:rsidR="00E85B13" w:rsidRPr="00050FA4">
        <w:rPr>
          <w:lang w:val="sq-AL" w:eastAsia="zh-CN" w:bidi="hi-IN"/>
        </w:rPr>
        <w:t xml:space="preserve">Bashkëpunimit Gjermano-Shqiptar </w:t>
      </w:r>
      <w:r w:rsidRPr="00050FA4">
        <w:rPr>
          <w:lang w:val="sq-AL" w:eastAsia="zh-CN" w:bidi="hi-IN"/>
        </w:rPr>
        <w:t xml:space="preserve">për Zhvillim: </w:t>
      </w:r>
      <w:r w:rsidR="008A0E5B" w:rsidRPr="00050FA4">
        <w:rPr>
          <w:lang w:val="sq-AL" w:eastAsia="zh-CN" w:bidi="hi-IN"/>
        </w:rPr>
        <w:t>“</w:t>
      </w:r>
      <w:r w:rsidRPr="00050FA4">
        <w:rPr>
          <w:lang w:val="sq-AL" w:eastAsia="zh-CN" w:bidi="hi-IN"/>
        </w:rPr>
        <w:t>Zhvillimi i qëndrueshëm ekonomik dhe rajonal, nxitja e punësimit arsim dhe trajnim profesional</w:t>
      </w:r>
      <w:r w:rsidR="008A0E5B" w:rsidRPr="00050FA4">
        <w:rPr>
          <w:lang w:val="sq-AL" w:eastAsia="zh-CN" w:bidi="hi-IN"/>
        </w:rPr>
        <w:t>”</w:t>
      </w:r>
      <w:r w:rsidRPr="00050FA4">
        <w:rPr>
          <w:lang w:val="sq-AL" w:eastAsia="zh-CN" w:bidi="hi-IN"/>
        </w:rPr>
        <w:t xml:space="preserve"> (ProSEED) dhe Zhvillimi i Qëndrueshëm Rural (SRD). Qëllimi i këtij instrumenti është të mbështesë NMVM-të e prekura rëndë nga pasojat e krizës COVID-19 në Shqipëri, të ruajnë punësimin dhe të përshtatin aktivitetin e tyre të biznesit</w:t>
      </w:r>
      <w:r w:rsidR="00E85B13" w:rsidRPr="00050FA4">
        <w:rPr>
          <w:lang w:val="sq-AL" w:eastAsia="zh-CN" w:bidi="hi-IN"/>
        </w:rPr>
        <w:t>,</w:t>
      </w:r>
      <w:r w:rsidRPr="00050FA4">
        <w:rPr>
          <w:lang w:val="sq-AL" w:eastAsia="zh-CN" w:bidi="hi-IN"/>
        </w:rPr>
        <w:t xml:space="preserve"> sipas situatës së re pas COVID-19. Në zbatimin e kësaj nisme, ProSEED dhe SRD synojnë të japin një kontribut të rëndësishëm për MSME-të në Shqipëri në bujqësi, turizëm apo sektorë të tjerë. Projekti do të zbatohet për periudhën 2021</w:t>
      </w:r>
      <w:r w:rsidR="00C15619" w:rsidRPr="00050FA4">
        <w:rPr>
          <w:lang w:val="sq-AL"/>
        </w:rPr>
        <w:t>–</w:t>
      </w:r>
      <w:r w:rsidRPr="00050FA4">
        <w:rPr>
          <w:lang w:val="sq-AL" w:eastAsia="zh-CN" w:bidi="hi-IN"/>
        </w:rPr>
        <w:t>2022. Numri i përgjithshëm i NMVM-ve përfituese është 900</w:t>
      </w:r>
      <w:r w:rsidR="00681158" w:rsidRPr="00050FA4">
        <w:rPr>
          <w:lang w:val="sq-AL" w:eastAsia="zh-CN" w:bidi="hi-IN"/>
        </w:rPr>
        <w:t>,</w:t>
      </w:r>
      <w:r w:rsidRPr="00050FA4">
        <w:rPr>
          <w:lang w:val="sq-AL" w:eastAsia="zh-CN" w:bidi="hi-IN"/>
        </w:rPr>
        <w:t xml:space="preserve"> të cilat do të marrin shërbime këshillimore. Vëllimi i përgjithshëm përfundimtar i CoSolve-19 është </w:t>
      </w:r>
      <w:r w:rsidRPr="00377D61">
        <w:rPr>
          <w:lang w:val="sq-AL" w:eastAsia="zh-CN" w:bidi="hi-IN"/>
        </w:rPr>
        <w:t>4,35 Mio EUR</w:t>
      </w:r>
      <w:r w:rsidRPr="00050FA4">
        <w:rPr>
          <w:lang w:val="sq-AL" w:eastAsia="zh-CN" w:bidi="hi-IN"/>
        </w:rPr>
        <w:t xml:space="preserve"> dhe ndarja e fondeve totale është 40% këshilla dhe 60% grante për të gjithë sektorët. Masat mbështetëse për sipërmarrjet mikro, të vogla dhe të mesme nga bujqësia, turizmi, tregtia me pakicë dhe prodhimi do t</w:t>
      </w:r>
      <w:r w:rsidR="00681158" w:rsidRPr="00050FA4">
        <w:rPr>
          <w:lang w:val="sq-AL" w:eastAsia="zh-CN" w:bidi="hi-IN"/>
        </w:rPr>
        <w:t>’</w:t>
      </w:r>
      <w:r w:rsidRPr="00050FA4">
        <w:rPr>
          <w:lang w:val="sq-AL" w:eastAsia="zh-CN" w:bidi="hi-IN"/>
        </w:rPr>
        <w:t>u mundësojnë atyre të kapërcejnë me sukses krizën COVID-19, të ruajnë dhe në afat të mesëm të rrisin punësimin</w:t>
      </w:r>
      <w:r w:rsidR="00681158" w:rsidRPr="00050FA4">
        <w:rPr>
          <w:lang w:val="sq-AL" w:eastAsia="zh-CN" w:bidi="hi-IN"/>
        </w:rPr>
        <w:t>,</w:t>
      </w:r>
      <w:r w:rsidRPr="00050FA4">
        <w:rPr>
          <w:lang w:val="sq-AL" w:eastAsia="zh-CN" w:bidi="hi-IN"/>
        </w:rPr>
        <w:t xml:space="preserve"> si dhe të prezantojnë zgjidhje dhe m</w:t>
      </w:r>
      <w:r w:rsidR="0026453E" w:rsidRPr="00050FA4">
        <w:rPr>
          <w:lang w:val="sq-AL" w:eastAsia="zh-CN" w:bidi="hi-IN"/>
        </w:rPr>
        <w:t xml:space="preserve">jete të reja biznesi </w:t>
      </w:r>
      <w:r w:rsidR="00C948AF" w:rsidRPr="00050FA4">
        <w:rPr>
          <w:lang w:val="sq-AL" w:eastAsia="zh-CN" w:bidi="hi-IN"/>
        </w:rPr>
        <w:t>digjital</w:t>
      </w:r>
      <w:r w:rsidR="0026453E" w:rsidRPr="00050FA4">
        <w:rPr>
          <w:lang w:val="sq-AL" w:eastAsia="zh-CN" w:bidi="hi-IN"/>
        </w:rPr>
        <w:t>e.</w:t>
      </w:r>
      <w:r w:rsidRPr="00050FA4">
        <w:rPr>
          <w:lang w:val="sq-AL" w:eastAsia="zh-CN" w:bidi="hi-IN"/>
        </w:rPr>
        <w:t xml:space="preserve"> Vendimi i Këshillit të Ministrave nr. 466, datë 30.7.2021</w:t>
      </w:r>
      <w:r w:rsidR="00681158" w:rsidRPr="00050FA4">
        <w:rPr>
          <w:lang w:val="sq-AL" w:eastAsia="zh-CN" w:bidi="hi-IN"/>
        </w:rPr>
        <w:t>,</w:t>
      </w:r>
      <w:r w:rsidRPr="00050FA4">
        <w:rPr>
          <w:lang w:val="sq-AL" w:eastAsia="zh-CN" w:bidi="hi-IN"/>
        </w:rPr>
        <w:t xml:space="preserve"> </w:t>
      </w:r>
      <w:r w:rsidR="008A0E5B" w:rsidRPr="00050FA4">
        <w:rPr>
          <w:lang w:val="sq-AL" w:eastAsia="zh-CN" w:bidi="hi-IN"/>
        </w:rPr>
        <w:t>“</w:t>
      </w:r>
      <w:r w:rsidRPr="00050FA4">
        <w:rPr>
          <w:lang w:val="sq-AL" w:eastAsia="zh-CN" w:bidi="hi-IN"/>
        </w:rPr>
        <w:t>Strategjia për Zhvillimin e Biznesit dhe Investimeve 2021</w:t>
      </w:r>
      <w:r w:rsidR="00681158" w:rsidRPr="00050FA4">
        <w:rPr>
          <w:lang w:val="sq-AL"/>
        </w:rPr>
        <w:t>–</w:t>
      </w:r>
      <w:r w:rsidRPr="00050FA4">
        <w:rPr>
          <w:lang w:val="sq-AL" w:eastAsia="zh-CN" w:bidi="hi-IN"/>
        </w:rPr>
        <w:t xml:space="preserve">2027 dhe </w:t>
      </w:r>
      <w:r w:rsidR="00681158" w:rsidRPr="00050FA4">
        <w:rPr>
          <w:lang w:val="sq-AL" w:eastAsia="zh-CN" w:bidi="hi-IN"/>
        </w:rPr>
        <w:t>plani i veprimit</w:t>
      </w:r>
      <w:r w:rsidR="008A0E5B" w:rsidRPr="00050FA4">
        <w:rPr>
          <w:lang w:val="sq-AL" w:eastAsia="zh-CN" w:bidi="hi-IN"/>
        </w:rPr>
        <w:t>”</w:t>
      </w:r>
      <w:r w:rsidRPr="00050FA4">
        <w:rPr>
          <w:lang w:val="sq-AL" w:eastAsia="zh-CN" w:bidi="hi-IN"/>
        </w:rPr>
        <w:t xml:space="preserve"> (BIDS 2021</w:t>
      </w:r>
      <w:r w:rsidR="00C15619" w:rsidRPr="00050FA4">
        <w:rPr>
          <w:lang w:val="sq-AL"/>
        </w:rPr>
        <w:t>–</w:t>
      </w:r>
      <w:r w:rsidRPr="00050FA4">
        <w:rPr>
          <w:lang w:val="sq-AL" w:eastAsia="zh-CN" w:bidi="hi-IN"/>
        </w:rPr>
        <w:t xml:space="preserve">2027). Vizioni i strategjisë është </w:t>
      </w:r>
      <w:r w:rsidR="008A0E5B" w:rsidRPr="00050FA4">
        <w:rPr>
          <w:lang w:val="sq-AL" w:eastAsia="zh-CN" w:bidi="hi-IN"/>
        </w:rPr>
        <w:t>“</w:t>
      </w:r>
      <w:r w:rsidRPr="00050FA4">
        <w:rPr>
          <w:lang w:val="sq-AL" w:eastAsia="zh-CN" w:bidi="hi-IN"/>
        </w:rPr>
        <w:t>Një ekonomi shqiptare më konkurruese, e drejtuar nga inovacioni dhe e bazuar në njohuri, që krijon vende pune të reja dhe me cilësi më të lartë</w:t>
      </w:r>
      <w:r w:rsidR="00681158" w:rsidRPr="00050FA4">
        <w:rPr>
          <w:lang w:val="sq-AL" w:eastAsia="zh-CN" w:bidi="hi-IN"/>
        </w:rPr>
        <w:t>,</w:t>
      </w:r>
      <w:r w:rsidRPr="00050FA4">
        <w:rPr>
          <w:lang w:val="sq-AL" w:eastAsia="zh-CN" w:bidi="hi-IN"/>
        </w:rPr>
        <w:t xml:space="preserve"> duke shfrytëzuar potencialet e tranzicionit </w:t>
      </w:r>
      <w:r w:rsidR="00C948AF" w:rsidRPr="00050FA4">
        <w:rPr>
          <w:lang w:val="sq-AL" w:eastAsia="zh-CN" w:bidi="hi-IN"/>
        </w:rPr>
        <w:t>digjital</w:t>
      </w:r>
      <w:r w:rsidRPr="00050FA4">
        <w:rPr>
          <w:lang w:val="sq-AL" w:eastAsia="zh-CN" w:bidi="hi-IN"/>
        </w:rPr>
        <w:t xml:space="preserve"> dhe transformimin e zinxhirëve ndërkombëtarë të vlerave dhe duke theksuar zhvillimin e qëndrueshëm, BE dhe </w:t>
      </w:r>
      <w:r w:rsidRPr="003570C4">
        <w:rPr>
          <w:lang w:val="sq-AL" w:eastAsia="zh-CN" w:bidi="hi-IN"/>
        </w:rPr>
        <w:t>rajonal</w:t>
      </w:r>
      <w:r w:rsidR="00681158" w:rsidRPr="003570C4">
        <w:rPr>
          <w:lang w:val="sq-AL" w:eastAsia="zh-CN" w:bidi="hi-IN"/>
        </w:rPr>
        <w:t>,</w:t>
      </w:r>
      <w:r w:rsidRPr="003570C4">
        <w:rPr>
          <w:lang w:val="sq-AL" w:eastAsia="zh-CN" w:bidi="hi-IN"/>
        </w:rPr>
        <w:t xml:space="preserve"> integrim</w:t>
      </w:r>
      <w:r w:rsidR="003570C4">
        <w:rPr>
          <w:lang w:val="sq-AL" w:eastAsia="zh-CN" w:bidi="hi-IN"/>
        </w:rPr>
        <w:t>.</w:t>
      </w:r>
      <w:r w:rsidR="008A0E5B" w:rsidRPr="003570C4">
        <w:rPr>
          <w:lang w:val="sq-AL" w:eastAsia="zh-CN" w:bidi="hi-IN"/>
        </w:rPr>
        <w:t>”</w:t>
      </w:r>
    </w:p>
    <w:p w14:paraId="7725EF31" w14:textId="336F3362" w:rsidR="00405262" w:rsidRPr="00050FA4" w:rsidRDefault="00CD0E63" w:rsidP="003F1DA7">
      <w:pPr>
        <w:pStyle w:val="AAAAAAATEXXXX"/>
        <w:rPr>
          <w:lang w:val="sq-AL"/>
        </w:rPr>
      </w:pPr>
      <w:r w:rsidRPr="00050FA4">
        <w:rPr>
          <w:lang w:val="sq-AL"/>
        </w:rPr>
        <w:lastRenderedPageBreak/>
        <w:t>BIDS 2021</w:t>
      </w:r>
      <w:r w:rsidR="00C15619" w:rsidRPr="00050FA4">
        <w:rPr>
          <w:lang w:val="sq-AL"/>
        </w:rPr>
        <w:t>–</w:t>
      </w:r>
      <w:r w:rsidRPr="00050FA4">
        <w:rPr>
          <w:lang w:val="sq-AL"/>
        </w:rPr>
        <w:t>2027 është në përputhje me strategjitë dhe programet gjithëpërfshirëse në nivel kombëtar si Strategjia Kombëtare për Zhvillim dhe Integrim II 2015-2020, Plani Kombëtar për Integrimin Evropian (PKIE), Programi i Reformës Ekonomike (ERP), si dhe si ndërkombëtarisht si Plani i Veprimit për Tregun e Përbashkët 2021</w:t>
      </w:r>
      <w:r w:rsidR="00C93EE9" w:rsidRPr="00050FA4">
        <w:rPr>
          <w:lang w:val="sq-AL"/>
        </w:rPr>
        <w:t>–</w:t>
      </w:r>
      <w:r w:rsidRPr="00050FA4">
        <w:rPr>
          <w:lang w:val="sq-AL"/>
        </w:rPr>
        <w:t>2024 (CRM) për Ballkanin Perëndimor dhe Strategjia e re e BE-së për SME-të. Kuadri strategjik dhe plani i veprimit i BIDS-it të ri është hartuar me qëllim zhvillimin dhe plotësimin e masave dhe nismave për zbatimin e këtyre strategjive dhe programeve. Tre objektivat kryesor</w:t>
      </w:r>
      <w:r w:rsidR="00E80EE3" w:rsidRPr="00050FA4">
        <w:rPr>
          <w:lang w:val="sq-AL"/>
        </w:rPr>
        <w:t>ë</w:t>
      </w:r>
      <w:r w:rsidRPr="00050FA4">
        <w:rPr>
          <w:lang w:val="sq-AL"/>
        </w:rPr>
        <w:t xml:space="preserve"> të strategjisë janë si më poshtë</w:t>
      </w:r>
      <w:r w:rsidR="00405262" w:rsidRPr="00050FA4">
        <w:rPr>
          <w:lang w:val="sq-AL"/>
        </w:rPr>
        <w:t>:</w:t>
      </w:r>
    </w:p>
    <w:p w14:paraId="0556295C" w14:textId="455E4706" w:rsidR="00405262" w:rsidRPr="00050FA4" w:rsidRDefault="000E7A85" w:rsidP="003F1DA7">
      <w:pPr>
        <w:pStyle w:val="AAAAAAATEXXXX"/>
        <w:rPr>
          <w:lang w:val="sq-AL"/>
        </w:rPr>
      </w:pPr>
      <w:r w:rsidRPr="00050FA4">
        <w:rPr>
          <w:lang w:val="sq-AL"/>
        </w:rPr>
        <w:t xml:space="preserve">- </w:t>
      </w:r>
      <w:r w:rsidR="00C15619" w:rsidRPr="00050FA4">
        <w:rPr>
          <w:lang w:val="sq-AL"/>
        </w:rPr>
        <w:t xml:space="preserve">tërheqja </w:t>
      </w:r>
      <w:r w:rsidR="00405262" w:rsidRPr="00050FA4">
        <w:rPr>
          <w:lang w:val="sq-AL"/>
        </w:rPr>
        <w:t>e investimeve dhe ndërkombëtarizimi</w:t>
      </w:r>
      <w:r w:rsidR="00C15619" w:rsidRPr="00050FA4">
        <w:rPr>
          <w:lang w:val="sq-AL"/>
        </w:rPr>
        <w:t>;</w:t>
      </w:r>
      <w:r w:rsidR="00405262" w:rsidRPr="00050FA4">
        <w:rPr>
          <w:lang w:val="sq-AL"/>
        </w:rPr>
        <w:t xml:space="preserve"> </w:t>
      </w:r>
    </w:p>
    <w:p w14:paraId="557D59F4" w14:textId="4CD787DF" w:rsidR="00405262" w:rsidRPr="00050FA4" w:rsidRDefault="000E7A85" w:rsidP="003F1DA7">
      <w:pPr>
        <w:pStyle w:val="AAAAAAATEXXXX"/>
        <w:rPr>
          <w:lang w:val="sq-AL"/>
        </w:rPr>
      </w:pPr>
      <w:r w:rsidRPr="00050FA4">
        <w:rPr>
          <w:lang w:val="sq-AL"/>
        </w:rPr>
        <w:t xml:space="preserve">- </w:t>
      </w:r>
      <w:r w:rsidR="00C15619" w:rsidRPr="00050FA4">
        <w:rPr>
          <w:lang w:val="sq-AL"/>
        </w:rPr>
        <w:t xml:space="preserve">zhvillimi </w:t>
      </w:r>
      <w:r w:rsidR="00405262" w:rsidRPr="00050FA4">
        <w:rPr>
          <w:lang w:val="sq-AL"/>
        </w:rPr>
        <w:t>i NVM-ve, sipërmarrja dhe inovacioni</w:t>
      </w:r>
      <w:r w:rsidR="00C15619" w:rsidRPr="00050FA4">
        <w:rPr>
          <w:lang w:val="sq-AL"/>
        </w:rPr>
        <w:t>;</w:t>
      </w:r>
      <w:r w:rsidR="00405262" w:rsidRPr="00050FA4">
        <w:rPr>
          <w:lang w:val="sq-AL"/>
        </w:rPr>
        <w:t xml:space="preserve"> </w:t>
      </w:r>
    </w:p>
    <w:p w14:paraId="65FF600C" w14:textId="038455ED" w:rsidR="00405262" w:rsidRPr="00050FA4" w:rsidRDefault="000E7A85" w:rsidP="003F1DA7">
      <w:pPr>
        <w:pStyle w:val="AAAAAAATEXXXX"/>
        <w:rPr>
          <w:lang w:val="sq-AL"/>
        </w:rPr>
      </w:pPr>
      <w:r w:rsidRPr="00050FA4">
        <w:rPr>
          <w:lang w:val="sq-AL"/>
        </w:rPr>
        <w:t xml:space="preserve">- </w:t>
      </w:r>
      <w:r w:rsidR="00C15619" w:rsidRPr="00050FA4">
        <w:rPr>
          <w:lang w:val="sq-AL"/>
        </w:rPr>
        <w:t xml:space="preserve">zhvillimi </w:t>
      </w:r>
      <w:r w:rsidR="00405262" w:rsidRPr="00050FA4">
        <w:rPr>
          <w:lang w:val="sq-AL"/>
        </w:rPr>
        <w:t>i kapitalit njerëzor</w:t>
      </w:r>
      <w:r w:rsidR="00C15619" w:rsidRPr="00050FA4">
        <w:rPr>
          <w:lang w:val="sq-AL"/>
        </w:rPr>
        <w:t>.</w:t>
      </w:r>
      <w:r w:rsidR="00405262" w:rsidRPr="00050FA4">
        <w:rPr>
          <w:lang w:val="sq-AL"/>
        </w:rPr>
        <w:t xml:space="preserve"> </w:t>
      </w:r>
    </w:p>
    <w:p w14:paraId="043D7653" w14:textId="6A12DE18" w:rsidR="00405262" w:rsidRPr="00050FA4" w:rsidRDefault="00CD0E63" w:rsidP="003F1DA7">
      <w:pPr>
        <w:pStyle w:val="AAAAAAATEXXXX"/>
        <w:rPr>
          <w:lang w:val="sq-AL"/>
        </w:rPr>
      </w:pPr>
      <w:r w:rsidRPr="00050FA4">
        <w:rPr>
          <w:lang w:val="sq-AL"/>
        </w:rPr>
        <w:t>Gjatë vitit 2021, Sektori i Nxitjes së Biznesit, në Drejtorinë e Politikave të Zhvillimit Ekonomik në Ministrinë e Financave dhe Ekonomisë</w:t>
      </w:r>
      <w:r w:rsidR="00C93EE9" w:rsidRPr="00050FA4">
        <w:rPr>
          <w:lang w:val="sq-AL"/>
        </w:rPr>
        <w:t>,</w:t>
      </w:r>
      <w:r w:rsidRPr="00050FA4">
        <w:rPr>
          <w:lang w:val="sq-AL"/>
        </w:rPr>
        <w:t xml:space="preserve"> ka hartuar projektligjin </w:t>
      </w:r>
      <w:r w:rsidR="008A0E5B" w:rsidRPr="00050FA4">
        <w:rPr>
          <w:lang w:val="sq-AL"/>
        </w:rPr>
        <w:t>“</w:t>
      </w:r>
      <w:r w:rsidRPr="00050FA4">
        <w:rPr>
          <w:lang w:val="sq-AL"/>
        </w:rPr>
        <w:t>Për zhvillimin e ndërmarrjeve mikro, të vogla dhe të mesme</w:t>
      </w:r>
      <w:r w:rsidR="008A0E5B" w:rsidRPr="00050FA4">
        <w:rPr>
          <w:lang w:val="sq-AL"/>
        </w:rPr>
        <w:t>”</w:t>
      </w:r>
      <w:r w:rsidRPr="00050FA4">
        <w:rPr>
          <w:lang w:val="sq-AL"/>
        </w:rPr>
        <w:t xml:space="preserve">. Miratimi i projektligjit parashikohet të bëhet brenda vitit 2021. Elementet kryesore të projektligjit të ri, që ia vlen të theksohen janë: Përafrimi i Rekomandimit të Komisionit të BE-së të datës 6 maj 2003, lidhur me mbledhjen e të dhënave dhe metodat në llogaritjet për kategorizimin e sipërmarrjeve mikro, të vogla dhe të mesme dhe zbatimin e metodologjisë së përdorimit të saj nga bizneset. Është shtuar edhe përkufizimi për ndërmarrjet e mesme; </w:t>
      </w:r>
      <w:r w:rsidR="00C93EE9" w:rsidRPr="00050FA4">
        <w:rPr>
          <w:lang w:val="sq-AL"/>
        </w:rPr>
        <w:t xml:space="preserve">ofrimi </w:t>
      </w:r>
      <w:r w:rsidRPr="00050FA4">
        <w:rPr>
          <w:lang w:val="sq-AL"/>
        </w:rPr>
        <w:t xml:space="preserve">i mbështetjes shtetërore për ndërmarrjet mikro, të vogla dhe të mesme, në përputhje me rregullat e ndihmës shtetërore; Përcaktimi i formave të mbështetjes shtetërore për ndërmarrjet mikro, të vogla dhe të mesme, si: mbështetje financiare nga buxheti i shtetit, nga partnerë zhvillimi </w:t>
      </w:r>
      <w:r w:rsidR="00643BAF" w:rsidRPr="00050FA4">
        <w:rPr>
          <w:lang w:val="sq-AL"/>
        </w:rPr>
        <w:t>vendës</w:t>
      </w:r>
      <w:r w:rsidRPr="00050FA4">
        <w:rPr>
          <w:lang w:val="sq-AL"/>
        </w:rPr>
        <w:t xml:space="preserve"> ose të huaj, garancitë e kredive shtetërore sipas ligjit në fuqi për borxhin dhe garancitë shtetërore, në zbatim të politikat specifike të Këshillit të Ministrave, në përputhje me parimet dhe rregullat fiskale për qëndrueshmërinë e borxhit publik dhe kufizimet e borxhit shtetëror dhe garancive të kredive shtetërore, si dhe ofrimin e shërbimeve mbështetëse publike për ndërmarrjet mikro, të vogla dhe të mesme nga AIDA; përgatitjen e raportit vjetor nga AIDA, bazuar në bazën e të dhënave për skemat financiare dhe mbështetjen e shërbimeve publike për NMVM-të e ofruara nga autoritetet shtetërore</w:t>
      </w:r>
      <w:r w:rsidR="00C93EE9" w:rsidRPr="00050FA4">
        <w:rPr>
          <w:lang w:val="sq-AL"/>
        </w:rPr>
        <w:t>,</w:t>
      </w:r>
      <w:r w:rsidRPr="00050FA4">
        <w:rPr>
          <w:lang w:val="sq-AL"/>
        </w:rPr>
        <w:t xml:space="preserve"> si dhe nga partnerë zhvillimi </w:t>
      </w:r>
      <w:r w:rsidR="00643BAF" w:rsidRPr="00050FA4">
        <w:rPr>
          <w:lang w:val="sq-AL"/>
        </w:rPr>
        <w:t>vendës</w:t>
      </w:r>
      <w:r w:rsidRPr="00050FA4">
        <w:rPr>
          <w:lang w:val="sq-AL"/>
        </w:rPr>
        <w:t xml:space="preserve"> apo të huaj; </w:t>
      </w:r>
      <w:r w:rsidR="00C93EE9" w:rsidRPr="00050FA4">
        <w:rPr>
          <w:lang w:val="sq-AL"/>
        </w:rPr>
        <w:t xml:space="preserve">krijimi </w:t>
      </w:r>
      <w:r w:rsidRPr="00050FA4">
        <w:rPr>
          <w:lang w:val="sq-AL"/>
        </w:rPr>
        <w:t xml:space="preserve">dhe funksionimi i Këshillit Konsultativ për ndërmarrjet; si dhe referencë ligjore për hartimin dhe miratimin e </w:t>
      </w:r>
      <w:r w:rsidR="00C93EE9" w:rsidRPr="00050FA4">
        <w:rPr>
          <w:lang w:val="sq-AL"/>
        </w:rPr>
        <w:t xml:space="preserve">Strategjisë </w:t>
      </w:r>
      <w:r w:rsidRPr="00050FA4">
        <w:rPr>
          <w:lang w:val="sq-AL"/>
        </w:rPr>
        <w:t>për Zhvillimin e Biznesit dhe Investimeve</w:t>
      </w:r>
      <w:r w:rsidR="00405262" w:rsidRPr="00050FA4">
        <w:rPr>
          <w:lang w:val="sq-AL"/>
        </w:rPr>
        <w:t>.</w:t>
      </w:r>
    </w:p>
    <w:p w14:paraId="0CC90882" w14:textId="591A25C7" w:rsidR="00DB22AB" w:rsidRPr="00050FA4" w:rsidRDefault="000E7A85" w:rsidP="003F1DA7">
      <w:pPr>
        <w:pStyle w:val="AAAAAAATEXXXX"/>
        <w:rPr>
          <w:b/>
          <w:lang w:val="sq-AL"/>
        </w:rPr>
      </w:pPr>
      <w:r w:rsidRPr="00050FA4">
        <w:rPr>
          <w:b/>
          <w:lang w:val="sq-AL"/>
        </w:rPr>
        <w:t>a</w:t>
      </w:r>
      <w:r w:rsidR="00791E6B" w:rsidRPr="00050FA4">
        <w:rPr>
          <w:b/>
          <w:lang w:val="sq-AL"/>
        </w:rPr>
        <w:t>)</w:t>
      </w:r>
      <w:r w:rsidRPr="00050FA4">
        <w:rPr>
          <w:b/>
          <w:lang w:val="sq-AL"/>
        </w:rPr>
        <w:t xml:space="preserve"> </w:t>
      </w:r>
      <w:r w:rsidR="00B2062A" w:rsidRPr="00050FA4">
        <w:rPr>
          <w:b/>
          <w:lang w:val="sq-AL"/>
        </w:rPr>
        <w:t xml:space="preserve">Aktivitete të planifikuara </w:t>
      </w:r>
      <w:r w:rsidR="00F21FEB" w:rsidRPr="00050FA4">
        <w:rPr>
          <w:b/>
          <w:lang w:val="sq-AL"/>
        </w:rPr>
        <w:t>m</w:t>
      </w:r>
      <w:r w:rsidR="00B2062A" w:rsidRPr="00050FA4">
        <w:rPr>
          <w:b/>
          <w:lang w:val="sq-AL"/>
        </w:rPr>
        <w:t>ë</w:t>
      </w:r>
      <w:r w:rsidR="00DB22AB" w:rsidRPr="00050FA4">
        <w:rPr>
          <w:b/>
          <w:lang w:val="sq-AL"/>
        </w:rPr>
        <w:t xml:space="preserve"> 2022</w:t>
      </w:r>
      <w:r w:rsidR="00F21FEB" w:rsidRPr="00050FA4">
        <w:rPr>
          <w:b/>
          <w:lang w:val="sq-AL"/>
        </w:rPr>
        <w:t>-shin</w:t>
      </w:r>
    </w:p>
    <w:p w14:paraId="6A0EB7C7" w14:textId="3C83F7AE" w:rsidR="00405262" w:rsidRPr="00050FA4" w:rsidRDefault="000E7A85" w:rsidP="003F1DA7">
      <w:pPr>
        <w:pStyle w:val="AAAAAAATEXXXX"/>
        <w:rPr>
          <w:lang w:val="sq-AL"/>
        </w:rPr>
      </w:pPr>
      <w:r w:rsidRPr="00050FA4">
        <w:rPr>
          <w:lang w:val="sq-AL"/>
        </w:rPr>
        <w:t>a</w:t>
      </w:r>
      <w:r w:rsidR="00791E6B" w:rsidRPr="00050FA4">
        <w:rPr>
          <w:lang w:val="sq-AL"/>
        </w:rPr>
        <w:t>)</w:t>
      </w:r>
      <w:r w:rsidRPr="00050FA4">
        <w:rPr>
          <w:lang w:val="sq-AL"/>
        </w:rPr>
        <w:t xml:space="preserve"> </w:t>
      </w:r>
      <w:r w:rsidR="00405262" w:rsidRPr="00050FA4">
        <w:rPr>
          <w:lang w:val="sq-AL"/>
        </w:rPr>
        <w:t>Hartimi i skemave vjetore të granteve të buxhetit të shtetit për NVM-të</w:t>
      </w:r>
      <w:r w:rsidR="00C93EE9" w:rsidRPr="00050FA4">
        <w:rPr>
          <w:lang w:val="sq-AL"/>
        </w:rPr>
        <w:t>;</w:t>
      </w:r>
    </w:p>
    <w:p w14:paraId="6314471F" w14:textId="7639B058" w:rsidR="00405262" w:rsidRPr="00050FA4" w:rsidRDefault="000E7A85" w:rsidP="003F1DA7">
      <w:pPr>
        <w:pStyle w:val="AAAAAAATEXXXX"/>
        <w:rPr>
          <w:lang w:val="sq-AL"/>
        </w:rPr>
      </w:pPr>
      <w:r w:rsidRPr="00050FA4">
        <w:rPr>
          <w:lang w:val="sq-AL"/>
        </w:rPr>
        <w:t>b</w:t>
      </w:r>
      <w:r w:rsidR="00791E6B" w:rsidRPr="00050FA4">
        <w:rPr>
          <w:lang w:val="sq-AL"/>
        </w:rPr>
        <w:t>)</w:t>
      </w:r>
      <w:r w:rsidRPr="00050FA4">
        <w:rPr>
          <w:lang w:val="sq-AL"/>
        </w:rPr>
        <w:t xml:space="preserve"> </w:t>
      </w:r>
      <w:r w:rsidR="00405262" w:rsidRPr="00050FA4">
        <w:rPr>
          <w:lang w:val="sq-AL"/>
        </w:rPr>
        <w:t>Krijimi i sektorit të ri të trajnimit në AIDA</w:t>
      </w:r>
      <w:r w:rsidR="00C93EE9" w:rsidRPr="00050FA4">
        <w:rPr>
          <w:lang w:val="sq-AL"/>
        </w:rPr>
        <w:t>;</w:t>
      </w:r>
    </w:p>
    <w:p w14:paraId="2A32B7B7" w14:textId="10179390" w:rsidR="00405262" w:rsidRPr="00050FA4" w:rsidRDefault="000E7A85" w:rsidP="003F1DA7">
      <w:pPr>
        <w:pStyle w:val="AAAAAAATEXXXX"/>
        <w:rPr>
          <w:lang w:val="sq-AL"/>
        </w:rPr>
      </w:pPr>
      <w:r w:rsidRPr="00050FA4">
        <w:rPr>
          <w:lang w:val="sq-AL"/>
        </w:rPr>
        <w:t>c</w:t>
      </w:r>
      <w:r w:rsidR="00791E6B" w:rsidRPr="00050FA4">
        <w:rPr>
          <w:lang w:val="sq-AL"/>
        </w:rPr>
        <w:t>)</w:t>
      </w:r>
      <w:r w:rsidRPr="00050FA4">
        <w:rPr>
          <w:lang w:val="sq-AL"/>
        </w:rPr>
        <w:t xml:space="preserve"> </w:t>
      </w:r>
      <w:r w:rsidR="00405262" w:rsidRPr="00050FA4">
        <w:rPr>
          <w:lang w:val="sq-AL"/>
        </w:rPr>
        <w:t>Zbatimi i një programi trajnimi modular dhe mentorim për sipërmarrësit aspirantë</w:t>
      </w:r>
      <w:r w:rsidR="00C93EE9" w:rsidRPr="00050FA4">
        <w:rPr>
          <w:lang w:val="sq-AL"/>
        </w:rPr>
        <w:t>;</w:t>
      </w:r>
    </w:p>
    <w:p w14:paraId="677B119A" w14:textId="461DD6F1" w:rsidR="00405262" w:rsidRPr="00050FA4" w:rsidRDefault="000E7A85" w:rsidP="003F1DA7">
      <w:pPr>
        <w:pStyle w:val="AAAAAAATEXXXX"/>
        <w:rPr>
          <w:lang w:val="sq-AL"/>
        </w:rPr>
      </w:pPr>
      <w:r w:rsidRPr="00050FA4">
        <w:rPr>
          <w:lang w:val="sq-AL"/>
        </w:rPr>
        <w:t>d</w:t>
      </w:r>
      <w:r w:rsidR="00791E6B" w:rsidRPr="00050FA4">
        <w:rPr>
          <w:lang w:val="sq-AL"/>
        </w:rPr>
        <w:t>)</w:t>
      </w:r>
      <w:r w:rsidRPr="00050FA4">
        <w:rPr>
          <w:lang w:val="sq-AL"/>
        </w:rPr>
        <w:t xml:space="preserve"> </w:t>
      </w:r>
      <w:r w:rsidR="00405262" w:rsidRPr="00050FA4">
        <w:rPr>
          <w:lang w:val="sq-AL"/>
        </w:rPr>
        <w:t>Organizimi i webinarit mbi tregtinë elektronike për MSME</w:t>
      </w:r>
      <w:r w:rsidR="00C93EE9" w:rsidRPr="00050FA4">
        <w:rPr>
          <w:lang w:val="sq-AL"/>
        </w:rPr>
        <w:t>;</w:t>
      </w:r>
    </w:p>
    <w:p w14:paraId="50CE9D59" w14:textId="7CCCE816" w:rsidR="00405262" w:rsidRPr="00050FA4" w:rsidRDefault="000E7A85" w:rsidP="003F1DA7">
      <w:pPr>
        <w:pStyle w:val="AAAAAAATEXXXX"/>
        <w:rPr>
          <w:lang w:val="sq-AL"/>
        </w:rPr>
      </w:pPr>
      <w:r w:rsidRPr="00050FA4">
        <w:rPr>
          <w:lang w:val="sq-AL"/>
        </w:rPr>
        <w:t>e</w:t>
      </w:r>
      <w:r w:rsidR="00791E6B" w:rsidRPr="00050FA4">
        <w:rPr>
          <w:lang w:val="sq-AL"/>
        </w:rPr>
        <w:t xml:space="preserve">) </w:t>
      </w:r>
      <w:r w:rsidR="00405262" w:rsidRPr="00050FA4">
        <w:rPr>
          <w:lang w:val="sq-AL"/>
        </w:rPr>
        <w:t xml:space="preserve">Krijimi i portalit të tregut </w:t>
      </w:r>
      <w:r w:rsidR="00C948AF" w:rsidRPr="00050FA4">
        <w:rPr>
          <w:lang w:val="sq-AL"/>
        </w:rPr>
        <w:t>digjital</w:t>
      </w:r>
      <w:r w:rsidR="00405262" w:rsidRPr="00050FA4">
        <w:rPr>
          <w:lang w:val="sq-AL"/>
        </w:rPr>
        <w:t xml:space="preserve"> nga Bashkimi i Dhomave të Shqipërisë</w:t>
      </w:r>
      <w:r w:rsidR="00C93EE9" w:rsidRPr="00050FA4">
        <w:rPr>
          <w:lang w:val="sq-AL"/>
        </w:rPr>
        <w:t>;</w:t>
      </w:r>
    </w:p>
    <w:p w14:paraId="0B827A4E" w14:textId="77D78F4B" w:rsidR="00405262" w:rsidRPr="00050FA4" w:rsidRDefault="000E7A85" w:rsidP="003F1DA7">
      <w:pPr>
        <w:pStyle w:val="AAAAAAATEXXXX"/>
        <w:rPr>
          <w:lang w:val="sq-AL"/>
        </w:rPr>
      </w:pPr>
      <w:r w:rsidRPr="00050FA4">
        <w:rPr>
          <w:lang w:val="sq-AL"/>
        </w:rPr>
        <w:t>f</w:t>
      </w:r>
      <w:r w:rsidR="00791E6B" w:rsidRPr="00050FA4">
        <w:rPr>
          <w:lang w:val="sq-AL"/>
        </w:rPr>
        <w:t>)</w:t>
      </w:r>
      <w:r w:rsidRPr="00050FA4">
        <w:rPr>
          <w:lang w:val="sq-AL"/>
        </w:rPr>
        <w:t xml:space="preserve"> </w:t>
      </w:r>
      <w:r w:rsidR="00405262" w:rsidRPr="00050FA4">
        <w:rPr>
          <w:lang w:val="sq-AL"/>
        </w:rPr>
        <w:t xml:space="preserve">Krijimi i një faqe interneti informative (përfshirë udhëzuesit dhe mjetin e vetëvlerësimit) nën iniciativën e zhvillimit të </w:t>
      </w:r>
      <w:r w:rsidR="00405262" w:rsidRPr="00050FA4">
        <w:rPr>
          <w:i/>
          <w:lang w:val="sq-AL"/>
        </w:rPr>
        <w:t>e-</w:t>
      </w:r>
      <w:r w:rsidR="00C93EE9" w:rsidRPr="00050FA4">
        <w:rPr>
          <w:i/>
          <w:lang w:val="sq-AL"/>
        </w:rPr>
        <w:t>Biznesit</w:t>
      </w:r>
      <w:r w:rsidR="00405262" w:rsidRPr="00050FA4">
        <w:rPr>
          <w:i/>
          <w:lang w:val="sq-AL"/>
        </w:rPr>
        <w:t>,</w:t>
      </w:r>
      <w:r w:rsidR="00405262" w:rsidRPr="00050FA4">
        <w:rPr>
          <w:lang w:val="sq-AL"/>
        </w:rPr>
        <w:t xml:space="preserve"> pranë AIDA</w:t>
      </w:r>
      <w:r w:rsidR="00C93EE9" w:rsidRPr="00050FA4">
        <w:rPr>
          <w:lang w:val="sq-AL"/>
        </w:rPr>
        <w:t>-s;</w:t>
      </w:r>
    </w:p>
    <w:p w14:paraId="535E1CC3" w14:textId="78344FE3" w:rsidR="00405262" w:rsidRPr="00050FA4" w:rsidRDefault="000E7A85" w:rsidP="003F1DA7">
      <w:pPr>
        <w:pStyle w:val="AAAAAAATEXXXX"/>
        <w:rPr>
          <w:lang w:val="sq-AL"/>
        </w:rPr>
      </w:pPr>
      <w:r w:rsidRPr="00050FA4">
        <w:rPr>
          <w:lang w:val="sq-AL"/>
        </w:rPr>
        <w:t>g</w:t>
      </w:r>
      <w:r w:rsidR="00791E6B" w:rsidRPr="00050FA4">
        <w:rPr>
          <w:lang w:val="sq-AL"/>
        </w:rPr>
        <w:t>)</w:t>
      </w:r>
      <w:r w:rsidRPr="00050FA4">
        <w:rPr>
          <w:lang w:val="sq-AL"/>
        </w:rPr>
        <w:t xml:space="preserve"> </w:t>
      </w:r>
      <w:r w:rsidR="00405262" w:rsidRPr="00050FA4">
        <w:rPr>
          <w:lang w:val="sq-AL"/>
        </w:rPr>
        <w:t>Zhvillimi i strategjisë së eksportit (iniciativat kryesore, veprimet)</w:t>
      </w:r>
      <w:r w:rsidR="00C93EE9" w:rsidRPr="00050FA4">
        <w:rPr>
          <w:lang w:val="sq-AL"/>
        </w:rPr>
        <w:t>;</w:t>
      </w:r>
    </w:p>
    <w:p w14:paraId="08F5CB31" w14:textId="565FEB3D" w:rsidR="00405262" w:rsidRPr="00050FA4" w:rsidRDefault="000E7A85" w:rsidP="003F1DA7">
      <w:pPr>
        <w:pStyle w:val="AAAAAAATEXXXX"/>
        <w:rPr>
          <w:lang w:val="sq-AL"/>
        </w:rPr>
      </w:pPr>
      <w:r w:rsidRPr="00050FA4">
        <w:rPr>
          <w:lang w:val="sq-AL"/>
        </w:rPr>
        <w:t>h</w:t>
      </w:r>
      <w:r w:rsidR="00791E6B" w:rsidRPr="00050FA4">
        <w:rPr>
          <w:lang w:val="sq-AL"/>
        </w:rPr>
        <w:t>)</w:t>
      </w:r>
      <w:r w:rsidRPr="00050FA4">
        <w:rPr>
          <w:lang w:val="sq-AL"/>
        </w:rPr>
        <w:t xml:space="preserve"> </w:t>
      </w:r>
      <w:r w:rsidR="00405262" w:rsidRPr="00050FA4">
        <w:rPr>
          <w:lang w:val="sq-AL"/>
        </w:rPr>
        <w:t xml:space="preserve">Krijimi i një engjëlli biznesi pilot për </w:t>
      </w:r>
      <w:r w:rsidR="00405262" w:rsidRPr="00050FA4">
        <w:rPr>
          <w:i/>
          <w:lang w:val="sq-AL"/>
        </w:rPr>
        <w:t>start-up</w:t>
      </w:r>
      <w:r w:rsidR="00C93EE9" w:rsidRPr="00050FA4">
        <w:rPr>
          <w:i/>
          <w:lang w:val="sq-AL"/>
        </w:rPr>
        <w:t>;</w:t>
      </w:r>
    </w:p>
    <w:p w14:paraId="0A9B80FA" w14:textId="485D6996" w:rsidR="00405262" w:rsidRPr="00050FA4" w:rsidRDefault="000E7A85" w:rsidP="003F1DA7">
      <w:pPr>
        <w:pStyle w:val="AAAAAAATEXXXX"/>
        <w:rPr>
          <w:lang w:val="sq-AL"/>
        </w:rPr>
      </w:pPr>
      <w:r w:rsidRPr="00050FA4">
        <w:rPr>
          <w:lang w:val="sq-AL"/>
        </w:rPr>
        <w:t>i</w:t>
      </w:r>
      <w:r w:rsidR="00791E6B" w:rsidRPr="00050FA4">
        <w:rPr>
          <w:lang w:val="sq-AL"/>
        </w:rPr>
        <w:t>)</w:t>
      </w:r>
      <w:r w:rsidRPr="00050FA4">
        <w:rPr>
          <w:lang w:val="sq-AL"/>
        </w:rPr>
        <w:t xml:space="preserve"> </w:t>
      </w:r>
      <w:r w:rsidR="00405262" w:rsidRPr="00050FA4">
        <w:rPr>
          <w:lang w:val="sq-AL"/>
        </w:rPr>
        <w:t>Monitorimi i ecurisë së zbatimit të objektivave dhe masave të BIDS 2021</w:t>
      </w:r>
      <w:r w:rsidR="00C93EE9" w:rsidRPr="00050FA4">
        <w:rPr>
          <w:lang w:val="sq-AL"/>
        </w:rPr>
        <w:t>–</w:t>
      </w:r>
      <w:r w:rsidR="00405262" w:rsidRPr="00050FA4">
        <w:rPr>
          <w:lang w:val="sq-AL"/>
        </w:rPr>
        <w:t>2027</w:t>
      </w:r>
      <w:r w:rsidR="00C93EE9" w:rsidRPr="00050FA4">
        <w:rPr>
          <w:lang w:val="sq-AL"/>
        </w:rPr>
        <w:t>;</w:t>
      </w:r>
    </w:p>
    <w:p w14:paraId="2BE70C7C" w14:textId="7FEEB976" w:rsidR="00DB22AB" w:rsidRPr="00050FA4" w:rsidRDefault="000E7A85" w:rsidP="003F1DA7">
      <w:pPr>
        <w:pStyle w:val="AAAAAAATEXXXX"/>
        <w:rPr>
          <w:b/>
          <w:lang w:val="sq-AL"/>
        </w:rPr>
      </w:pPr>
      <w:r w:rsidRPr="00050FA4">
        <w:rPr>
          <w:b/>
          <w:lang w:val="sq-AL"/>
        </w:rPr>
        <w:t>b</w:t>
      </w:r>
      <w:r w:rsidR="00791E6B" w:rsidRPr="00050FA4">
        <w:rPr>
          <w:b/>
          <w:lang w:val="sq-AL"/>
        </w:rPr>
        <w:t>)</w:t>
      </w:r>
      <w:r w:rsidRPr="00050FA4">
        <w:rPr>
          <w:b/>
          <w:lang w:val="sq-AL"/>
        </w:rPr>
        <w:t xml:space="preserve"> </w:t>
      </w:r>
      <w:r w:rsidR="00B2062A" w:rsidRPr="00050FA4">
        <w:rPr>
          <w:b/>
          <w:lang w:val="sq-AL"/>
        </w:rPr>
        <w:t xml:space="preserve">Aktivitete të planifikuara </w:t>
      </w:r>
      <w:r w:rsidR="00C93EE9" w:rsidRPr="00050FA4">
        <w:rPr>
          <w:b/>
          <w:lang w:val="sq-AL"/>
        </w:rPr>
        <w:t>m</w:t>
      </w:r>
      <w:r w:rsidR="00B2062A" w:rsidRPr="00050FA4">
        <w:rPr>
          <w:b/>
          <w:lang w:val="sq-AL"/>
        </w:rPr>
        <w:t>ë</w:t>
      </w:r>
      <w:r w:rsidR="00DB22AB" w:rsidRPr="00050FA4">
        <w:rPr>
          <w:b/>
          <w:lang w:val="sq-AL"/>
        </w:rPr>
        <w:t xml:space="preserve"> 2023</w:t>
      </w:r>
      <w:r w:rsidR="00C93EE9" w:rsidRPr="00050FA4">
        <w:rPr>
          <w:b/>
          <w:lang w:val="sq-AL"/>
        </w:rPr>
        <w:t>-shin</w:t>
      </w:r>
    </w:p>
    <w:p w14:paraId="3F16A488" w14:textId="39420EBC" w:rsidR="00405262" w:rsidRPr="00050FA4" w:rsidRDefault="000E7A85" w:rsidP="003F1DA7">
      <w:pPr>
        <w:pStyle w:val="AAAAAAATEXXXX"/>
        <w:rPr>
          <w:lang w:val="sq-AL"/>
        </w:rPr>
      </w:pPr>
      <w:r w:rsidRPr="00050FA4">
        <w:rPr>
          <w:lang w:val="sq-AL"/>
        </w:rPr>
        <w:t>a</w:t>
      </w:r>
      <w:r w:rsidR="00791E6B" w:rsidRPr="00050FA4">
        <w:rPr>
          <w:lang w:val="sq-AL"/>
        </w:rPr>
        <w:t>)</w:t>
      </w:r>
      <w:r w:rsidRPr="00050FA4">
        <w:rPr>
          <w:lang w:val="sq-AL"/>
        </w:rPr>
        <w:t xml:space="preserve"> </w:t>
      </w:r>
      <w:r w:rsidR="00405262" w:rsidRPr="00050FA4">
        <w:rPr>
          <w:lang w:val="sq-AL"/>
        </w:rPr>
        <w:t>Hartimi i skemës vjetore të granteve të buxhetit të shtetit për SME-të</w:t>
      </w:r>
      <w:r w:rsidR="00C93EE9" w:rsidRPr="00050FA4">
        <w:rPr>
          <w:lang w:val="sq-AL"/>
        </w:rPr>
        <w:t>;</w:t>
      </w:r>
    </w:p>
    <w:p w14:paraId="34342CB4" w14:textId="3AB160A8" w:rsidR="00405262" w:rsidRPr="00050FA4" w:rsidRDefault="000E7A85" w:rsidP="003F1DA7">
      <w:pPr>
        <w:pStyle w:val="AAAAAAATEXXXX"/>
        <w:rPr>
          <w:lang w:val="sq-AL"/>
        </w:rPr>
      </w:pPr>
      <w:r w:rsidRPr="00050FA4">
        <w:rPr>
          <w:lang w:val="sq-AL"/>
        </w:rPr>
        <w:t>b</w:t>
      </w:r>
      <w:r w:rsidR="00791E6B" w:rsidRPr="00050FA4">
        <w:rPr>
          <w:lang w:val="sq-AL"/>
        </w:rPr>
        <w:t>)</w:t>
      </w:r>
      <w:r w:rsidRPr="00050FA4">
        <w:rPr>
          <w:lang w:val="sq-AL"/>
        </w:rPr>
        <w:t xml:space="preserve"> </w:t>
      </w:r>
      <w:r w:rsidR="00405262" w:rsidRPr="00050FA4">
        <w:rPr>
          <w:lang w:val="sq-AL"/>
        </w:rPr>
        <w:t>Kryerja e trajnimeve dhe trajnimeve për MSME-të nga AIDA</w:t>
      </w:r>
      <w:r w:rsidR="00C93EE9" w:rsidRPr="00050FA4">
        <w:rPr>
          <w:lang w:val="sq-AL"/>
        </w:rPr>
        <w:t>;</w:t>
      </w:r>
    </w:p>
    <w:p w14:paraId="72668B6D" w14:textId="6547157E" w:rsidR="00405262" w:rsidRPr="00050FA4" w:rsidRDefault="000E7A85" w:rsidP="003F1DA7">
      <w:pPr>
        <w:pStyle w:val="AAAAAAATEXXXX"/>
        <w:rPr>
          <w:lang w:val="sq-AL"/>
        </w:rPr>
      </w:pPr>
      <w:r w:rsidRPr="00050FA4">
        <w:rPr>
          <w:lang w:val="sq-AL"/>
        </w:rPr>
        <w:t>c</w:t>
      </w:r>
      <w:r w:rsidR="00791E6B" w:rsidRPr="00050FA4">
        <w:rPr>
          <w:lang w:val="sq-AL"/>
        </w:rPr>
        <w:t>)</w:t>
      </w:r>
      <w:r w:rsidRPr="00050FA4">
        <w:rPr>
          <w:lang w:val="sq-AL"/>
        </w:rPr>
        <w:t xml:space="preserve"> </w:t>
      </w:r>
      <w:r w:rsidR="00405262" w:rsidRPr="00050FA4">
        <w:rPr>
          <w:lang w:val="sq-AL"/>
        </w:rPr>
        <w:t xml:space="preserve">Zbatimi i masave për ngritjen e kapaciteteve (programe trajnimi dhe </w:t>
      </w:r>
      <w:r w:rsidR="00F21FEB" w:rsidRPr="00050FA4">
        <w:rPr>
          <w:lang w:val="sq-AL"/>
        </w:rPr>
        <w:t>trajnimi</w:t>
      </w:r>
      <w:r w:rsidR="00405262" w:rsidRPr="00050FA4">
        <w:rPr>
          <w:lang w:val="sq-AL"/>
        </w:rPr>
        <w:t xml:space="preserve"> për SME-të) nën iniciativën për zhvillimin e </w:t>
      </w:r>
      <w:r w:rsidR="00405262" w:rsidRPr="00050FA4">
        <w:rPr>
          <w:i/>
          <w:lang w:val="sq-AL"/>
        </w:rPr>
        <w:t>e-</w:t>
      </w:r>
      <w:r w:rsidR="00C93EE9" w:rsidRPr="00050FA4">
        <w:rPr>
          <w:i/>
          <w:lang w:val="sq-AL"/>
        </w:rPr>
        <w:t>Biznesit;</w:t>
      </w:r>
    </w:p>
    <w:p w14:paraId="17372E37" w14:textId="5907FED0" w:rsidR="00405262" w:rsidRPr="00050FA4" w:rsidRDefault="000E7A85" w:rsidP="003F1DA7">
      <w:pPr>
        <w:pStyle w:val="AAAAAAATEXXXX"/>
        <w:rPr>
          <w:lang w:val="sq-AL"/>
        </w:rPr>
      </w:pPr>
      <w:r w:rsidRPr="00050FA4">
        <w:rPr>
          <w:lang w:val="sq-AL"/>
        </w:rPr>
        <w:t>d</w:t>
      </w:r>
      <w:r w:rsidR="00791E6B" w:rsidRPr="00050FA4">
        <w:rPr>
          <w:lang w:val="sq-AL"/>
        </w:rPr>
        <w:t xml:space="preserve">) </w:t>
      </w:r>
      <w:r w:rsidR="00405262" w:rsidRPr="00050FA4">
        <w:rPr>
          <w:lang w:val="sq-AL"/>
        </w:rPr>
        <w:t>Hartimi i një programi të zhvillimit të furnitorëve dhe zbatimi i një faze pilot</w:t>
      </w:r>
      <w:r w:rsidR="00C93EE9" w:rsidRPr="00050FA4">
        <w:rPr>
          <w:lang w:val="sq-AL"/>
        </w:rPr>
        <w:t>;</w:t>
      </w:r>
    </w:p>
    <w:p w14:paraId="71780859" w14:textId="559B5DF2" w:rsidR="00405262" w:rsidRPr="00050FA4" w:rsidRDefault="000E7A85" w:rsidP="003F1DA7">
      <w:pPr>
        <w:pStyle w:val="AAAAAAATEXXXX"/>
        <w:rPr>
          <w:lang w:val="sq-AL"/>
        </w:rPr>
      </w:pPr>
      <w:r w:rsidRPr="00050FA4">
        <w:rPr>
          <w:lang w:val="sq-AL"/>
        </w:rPr>
        <w:t>e</w:t>
      </w:r>
      <w:r w:rsidR="00791E6B" w:rsidRPr="00050FA4">
        <w:rPr>
          <w:lang w:val="sq-AL"/>
        </w:rPr>
        <w:t>)</w:t>
      </w:r>
      <w:r w:rsidRPr="00050FA4">
        <w:rPr>
          <w:lang w:val="sq-AL"/>
        </w:rPr>
        <w:t xml:space="preserve"> </w:t>
      </w:r>
      <w:r w:rsidR="00405262" w:rsidRPr="00050FA4">
        <w:rPr>
          <w:lang w:val="sq-AL"/>
        </w:rPr>
        <w:t>Krijimi i rrjetit të engjëjve të biznesit</w:t>
      </w:r>
      <w:r w:rsidR="00C93EE9" w:rsidRPr="00050FA4">
        <w:rPr>
          <w:lang w:val="sq-AL"/>
        </w:rPr>
        <w:t>;</w:t>
      </w:r>
    </w:p>
    <w:p w14:paraId="0E35D8F7" w14:textId="372659E2" w:rsidR="00405262" w:rsidRPr="00050FA4" w:rsidRDefault="000E7A85" w:rsidP="003F1DA7">
      <w:pPr>
        <w:pStyle w:val="AAAAAAATEXXXX"/>
        <w:rPr>
          <w:lang w:val="sq-AL"/>
        </w:rPr>
      </w:pPr>
      <w:r w:rsidRPr="00050FA4">
        <w:rPr>
          <w:lang w:val="sq-AL"/>
        </w:rPr>
        <w:t>f</w:t>
      </w:r>
      <w:r w:rsidR="00791E6B" w:rsidRPr="00050FA4">
        <w:rPr>
          <w:lang w:val="sq-AL"/>
        </w:rPr>
        <w:t>)</w:t>
      </w:r>
      <w:r w:rsidRPr="00050FA4">
        <w:rPr>
          <w:lang w:val="sq-AL"/>
        </w:rPr>
        <w:t xml:space="preserve"> </w:t>
      </w:r>
      <w:r w:rsidR="00405262" w:rsidRPr="00050FA4">
        <w:rPr>
          <w:lang w:val="sq-AL"/>
        </w:rPr>
        <w:t>Monitorimi i ecurisë së zbatimit të objektivave dhe masave të BIDS 2021</w:t>
      </w:r>
      <w:r w:rsidR="00C93EE9" w:rsidRPr="00050FA4">
        <w:rPr>
          <w:lang w:val="sq-AL"/>
        </w:rPr>
        <w:t>–</w:t>
      </w:r>
      <w:r w:rsidR="00405262" w:rsidRPr="00050FA4">
        <w:rPr>
          <w:lang w:val="sq-AL"/>
        </w:rPr>
        <w:t>2027</w:t>
      </w:r>
      <w:r w:rsidR="00C93EE9" w:rsidRPr="00050FA4">
        <w:rPr>
          <w:lang w:val="sq-AL"/>
        </w:rPr>
        <w:t>;</w:t>
      </w:r>
    </w:p>
    <w:p w14:paraId="1BDF89EE" w14:textId="437354F6" w:rsidR="00DB22AB" w:rsidRPr="00050FA4" w:rsidRDefault="000E7A85" w:rsidP="003F1DA7">
      <w:pPr>
        <w:pStyle w:val="AAAAAAATEXXXX"/>
        <w:rPr>
          <w:b/>
          <w:lang w:val="sq-AL"/>
        </w:rPr>
      </w:pPr>
      <w:r w:rsidRPr="00050FA4">
        <w:rPr>
          <w:b/>
          <w:lang w:val="sq-AL"/>
        </w:rPr>
        <w:t>c</w:t>
      </w:r>
      <w:r w:rsidR="00791E6B" w:rsidRPr="00050FA4">
        <w:rPr>
          <w:b/>
          <w:lang w:val="sq-AL"/>
        </w:rPr>
        <w:t>)</w:t>
      </w:r>
      <w:r w:rsidRPr="00050FA4">
        <w:rPr>
          <w:b/>
          <w:lang w:val="sq-AL"/>
        </w:rPr>
        <w:t xml:space="preserve"> </w:t>
      </w:r>
      <w:r w:rsidR="00B2062A" w:rsidRPr="00050FA4">
        <w:rPr>
          <w:b/>
          <w:lang w:val="sq-AL"/>
        </w:rPr>
        <w:t xml:space="preserve">Aktivitete të planifikuara </w:t>
      </w:r>
      <w:r w:rsidR="00C93EE9" w:rsidRPr="00050FA4">
        <w:rPr>
          <w:b/>
          <w:lang w:val="sq-AL"/>
        </w:rPr>
        <w:t>m</w:t>
      </w:r>
      <w:r w:rsidR="00B2062A" w:rsidRPr="00050FA4">
        <w:rPr>
          <w:b/>
          <w:lang w:val="sq-AL"/>
        </w:rPr>
        <w:t>ë</w:t>
      </w:r>
      <w:r w:rsidR="00DB22AB" w:rsidRPr="00050FA4">
        <w:rPr>
          <w:b/>
          <w:lang w:val="sq-AL"/>
        </w:rPr>
        <w:t xml:space="preserve"> 2024</w:t>
      </w:r>
      <w:r w:rsidR="00C93EE9" w:rsidRPr="00050FA4">
        <w:rPr>
          <w:b/>
          <w:lang w:val="sq-AL"/>
        </w:rPr>
        <w:t>-ën</w:t>
      </w:r>
    </w:p>
    <w:p w14:paraId="5002BDEC" w14:textId="244F4CE2" w:rsidR="00405262" w:rsidRPr="00050FA4" w:rsidRDefault="000E7A85" w:rsidP="003F1DA7">
      <w:pPr>
        <w:pStyle w:val="AAAAAAATEXXXX"/>
        <w:rPr>
          <w:lang w:val="sq-AL"/>
        </w:rPr>
      </w:pPr>
      <w:r w:rsidRPr="00050FA4">
        <w:rPr>
          <w:lang w:val="sq-AL"/>
        </w:rPr>
        <w:t>a</w:t>
      </w:r>
      <w:r w:rsidR="00791E6B" w:rsidRPr="00050FA4">
        <w:rPr>
          <w:lang w:val="sq-AL"/>
        </w:rPr>
        <w:t>)</w:t>
      </w:r>
      <w:r w:rsidRPr="00050FA4">
        <w:rPr>
          <w:lang w:val="sq-AL"/>
        </w:rPr>
        <w:t xml:space="preserve"> </w:t>
      </w:r>
      <w:r w:rsidR="00405262" w:rsidRPr="00050FA4">
        <w:rPr>
          <w:lang w:val="sq-AL"/>
        </w:rPr>
        <w:t>Hartimi i skemës vjetore të granteve të buxhetit të shtetit për NVM-të (MFE)</w:t>
      </w:r>
      <w:r w:rsidR="00C93EE9" w:rsidRPr="00050FA4">
        <w:rPr>
          <w:lang w:val="sq-AL"/>
        </w:rPr>
        <w:t>;</w:t>
      </w:r>
    </w:p>
    <w:p w14:paraId="4537C8AD" w14:textId="2A8A038B" w:rsidR="00405262" w:rsidRPr="00050FA4" w:rsidRDefault="000E7A85" w:rsidP="003F1DA7">
      <w:pPr>
        <w:pStyle w:val="AAAAAAATEXXXX"/>
        <w:rPr>
          <w:lang w:val="sq-AL"/>
        </w:rPr>
      </w:pPr>
      <w:r w:rsidRPr="00050FA4">
        <w:rPr>
          <w:lang w:val="sq-AL"/>
        </w:rPr>
        <w:t>b</w:t>
      </w:r>
      <w:r w:rsidR="007C06B0" w:rsidRPr="00050FA4">
        <w:rPr>
          <w:lang w:val="sq-AL"/>
        </w:rPr>
        <w:t>)</w:t>
      </w:r>
      <w:r w:rsidRPr="00050FA4">
        <w:rPr>
          <w:lang w:val="sq-AL"/>
        </w:rPr>
        <w:t xml:space="preserve"> </w:t>
      </w:r>
      <w:r w:rsidR="00405262" w:rsidRPr="00050FA4">
        <w:rPr>
          <w:lang w:val="sq-AL"/>
        </w:rPr>
        <w:t>Zbatimi i trajnimeve për MSME-të nga AIDA</w:t>
      </w:r>
      <w:r w:rsidR="00C93EE9" w:rsidRPr="00050FA4">
        <w:rPr>
          <w:lang w:val="sq-AL"/>
        </w:rPr>
        <w:t>;</w:t>
      </w:r>
    </w:p>
    <w:p w14:paraId="1407AD5F" w14:textId="7E0AE26B" w:rsidR="00405262" w:rsidRPr="00050FA4" w:rsidRDefault="000E7A85" w:rsidP="003F1DA7">
      <w:pPr>
        <w:pStyle w:val="AAAAAAATEXXXX"/>
        <w:rPr>
          <w:lang w:val="sq-AL"/>
        </w:rPr>
      </w:pPr>
      <w:r w:rsidRPr="00050FA4">
        <w:rPr>
          <w:lang w:val="sq-AL"/>
        </w:rPr>
        <w:t>c</w:t>
      </w:r>
      <w:r w:rsidR="007C06B0" w:rsidRPr="00050FA4">
        <w:rPr>
          <w:lang w:val="sq-AL"/>
        </w:rPr>
        <w:t>)</w:t>
      </w:r>
      <w:r w:rsidRPr="00050FA4">
        <w:rPr>
          <w:lang w:val="sq-AL"/>
        </w:rPr>
        <w:t xml:space="preserve"> </w:t>
      </w:r>
      <w:r w:rsidR="00405262" w:rsidRPr="00050FA4">
        <w:rPr>
          <w:lang w:val="sq-AL"/>
        </w:rPr>
        <w:t>Përshtatja e</w:t>
      </w:r>
      <w:r w:rsidR="00F21FEB" w:rsidRPr="00050FA4">
        <w:rPr>
          <w:lang w:val="sq-AL"/>
        </w:rPr>
        <w:t xml:space="preserve"> kuadrit ligjor për financimin </w:t>
      </w:r>
      <w:r w:rsidR="00F21FEB" w:rsidRPr="00050FA4">
        <w:rPr>
          <w:i/>
          <w:lang w:val="sq-AL"/>
        </w:rPr>
        <w:t>croud funding</w:t>
      </w:r>
      <w:r w:rsidR="00C93EE9" w:rsidRPr="00050FA4">
        <w:rPr>
          <w:lang w:val="sq-AL"/>
        </w:rPr>
        <w:t>;</w:t>
      </w:r>
    </w:p>
    <w:p w14:paraId="76D4D6FD" w14:textId="42077C8E" w:rsidR="00405262" w:rsidRPr="00050FA4" w:rsidRDefault="000E7A85" w:rsidP="003F1DA7">
      <w:pPr>
        <w:pStyle w:val="AAAAAAATEXXXX"/>
        <w:rPr>
          <w:lang w:val="sq-AL"/>
        </w:rPr>
      </w:pPr>
      <w:r w:rsidRPr="00050FA4">
        <w:rPr>
          <w:lang w:val="sq-AL"/>
        </w:rPr>
        <w:t>d</w:t>
      </w:r>
      <w:r w:rsidR="007C06B0" w:rsidRPr="00050FA4">
        <w:rPr>
          <w:lang w:val="sq-AL"/>
        </w:rPr>
        <w:t>)</w:t>
      </w:r>
      <w:r w:rsidRPr="00050FA4">
        <w:rPr>
          <w:lang w:val="sq-AL"/>
        </w:rPr>
        <w:t xml:space="preserve"> </w:t>
      </w:r>
      <w:r w:rsidR="00405262" w:rsidRPr="00050FA4">
        <w:rPr>
          <w:lang w:val="sq-AL"/>
        </w:rPr>
        <w:t>Monitorimi i ecurisë së zbatimit të objektivave dhe masave të BIDS 2021</w:t>
      </w:r>
      <w:r w:rsidR="00C93EE9" w:rsidRPr="00050FA4">
        <w:rPr>
          <w:lang w:val="sq-AL"/>
        </w:rPr>
        <w:t>–</w:t>
      </w:r>
      <w:r w:rsidR="00405262" w:rsidRPr="00050FA4">
        <w:rPr>
          <w:lang w:val="sq-AL"/>
        </w:rPr>
        <w:t>2027</w:t>
      </w:r>
      <w:r w:rsidR="00C93EE9" w:rsidRPr="00050FA4">
        <w:rPr>
          <w:lang w:val="sq-AL"/>
        </w:rPr>
        <w:t>;</w:t>
      </w:r>
    </w:p>
    <w:p w14:paraId="0B0CA1C3" w14:textId="77777777" w:rsidR="00CB4F25" w:rsidRPr="00050FA4" w:rsidRDefault="00CB4F25" w:rsidP="003F1DA7">
      <w:pPr>
        <w:pStyle w:val="AAAAAAATEXXXX"/>
        <w:rPr>
          <w:lang w:val="sq-AL"/>
        </w:rPr>
      </w:pPr>
    </w:p>
    <w:p w14:paraId="126BE756" w14:textId="77777777" w:rsidR="00F21FEB" w:rsidRPr="00050FA4" w:rsidRDefault="00F21FEB" w:rsidP="003F1DA7">
      <w:pPr>
        <w:pStyle w:val="AAAAAAATEXXXX"/>
        <w:rPr>
          <w:lang w:val="sq-AL"/>
        </w:rPr>
      </w:pPr>
    </w:p>
    <w:p w14:paraId="50969AE5" w14:textId="77777777" w:rsidR="00F21FEB" w:rsidRPr="00050FA4" w:rsidRDefault="00F21FEB" w:rsidP="003F1DA7">
      <w:pPr>
        <w:pStyle w:val="AAAAAAATEXXXX"/>
        <w:rPr>
          <w:lang w:val="sq-AL"/>
        </w:rPr>
      </w:pPr>
    </w:p>
    <w:p w14:paraId="024D61F6" w14:textId="7D3A3F63" w:rsidR="00DB22AB" w:rsidRPr="00050FA4" w:rsidRDefault="000E7A85"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2. </w:t>
      </w:r>
      <w:r w:rsidR="00B2062A" w:rsidRPr="00050FA4">
        <w:rPr>
          <w:rFonts w:cstheme="majorBidi"/>
          <w:color w:val="0D0D0D" w:themeColor="text1" w:themeTint="F2"/>
          <w:lang w:val="sq-AL"/>
        </w:rPr>
        <w:t>Treguesit e rezultateve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2"/>
        <w:gridCol w:w="1598"/>
        <w:gridCol w:w="1880"/>
        <w:gridCol w:w="1356"/>
      </w:tblGrid>
      <w:tr w:rsidR="00FA29AB" w:rsidRPr="00050FA4" w14:paraId="0290237C" w14:textId="77777777" w:rsidTr="00C93EE9">
        <w:trPr>
          <w:trHeight w:val="20"/>
          <w:jc w:val="center"/>
        </w:trPr>
        <w:tc>
          <w:tcPr>
            <w:tcW w:w="2611" w:type="pct"/>
            <w:shd w:val="clear" w:color="auto" w:fill="auto"/>
            <w:vAlign w:val="center"/>
            <w:hideMark/>
          </w:tcPr>
          <w:p w14:paraId="0F751C3E" w14:textId="6FEAE1B8" w:rsidR="00D51B02" w:rsidRPr="00050FA4" w:rsidRDefault="00B2062A"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Tregues</w:t>
            </w:r>
          </w:p>
        </w:tc>
        <w:tc>
          <w:tcPr>
            <w:tcW w:w="790" w:type="pct"/>
            <w:shd w:val="clear" w:color="auto" w:fill="auto"/>
            <w:vAlign w:val="center"/>
            <w:hideMark/>
          </w:tcPr>
          <w:p w14:paraId="1AC92C2D" w14:textId="7BC260DC" w:rsidR="00D51B02" w:rsidRPr="00050FA4" w:rsidRDefault="00B2062A"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Bazë</w:t>
            </w:r>
          </w:p>
        </w:tc>
        <w:tc>
          <w:tcPr>
            <w:tcW w:w="929" w:type="pct"/>
            <w:shd w:val="clear" w:color="auto" w:fill="auto"/>
            <w:vAlign w:val="center"/>
            <w:hideMark/>
          </w:tcPr>
          <w:p w14:paraId="32B06FEC" w14:textId="4D692E71" w:rsidR="00D51B02" w:rsidRPr="00050FA4" w:rsidRDefault="00B2062A"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I ndërmjetëm</w:t>
            </w:r>
          </w:p>
        </w:tc>
        <w:tc>
          <w:tcPr>
            <w:tcW w:w="670" w:type="pct"/>
            <w:shd w:val="clear" w:color="auto" w:fill="auto"/>
            <w:vAlign w:val="center"/>
            <w:hideMark/>
          </w:tcPr>
          <w:p w14:paraId="35C285B4" w14:textId="215FB2DC" w:rsidR="00D51B02" w:rsidRPr="00050FA4" w:rsidRDefault="00B2062A"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Synimi</w:t>
            </w:r>
          </w:p>
        </w:tc>
      </w:tr>
      <w:tr w:rsidR="00FA29AB" w:rsidRPr="00050FA4" w14:paraId="1CF532FF" w14:textId="77777777" w:rsidTr="00C93EE9">
        <w:trPr>
          <w:trHeight w:val="20"/>
          <w:jc w:val="center"/>
        </w:trPr>
        <w:tc>
          <w:tcPr>
            <w:tcW w:w="2611" w:type="pct"/>
            <w:shd w:val="clear" w:color="auto" w:fill="auto"/>
            <w:vAlign w:val="bottom"/>
          </w:tcPr>
          <w:p w14:paraId="6EADFE65" w14:textId="7FCD6F57" w:rsidR="00405262" w:rsidRPr="00050FA4" w:rsidRDefault="00405262"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Miratimi i strukturës së re në MFE</w:t>
            </w:r>
          </w:p>
        </w:tc>
        <w:tc>
          <w:tcPr>
            <w:tcW w:w="790" w:type="pct"/>
            <w:shd w:val="clear" w:color="auto" w:fill="auto"/>
            <w:vAlign w:val="center"/>
          </w:tcPr>
          <w:p w14:paraId="24056B4C" w14:textId="599A0FB4" w:rsidR="00405262" w:rsidRPr="00050FA4" w:rsidRDefault="00405262"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w:t>
            </w:r>
          </w:p>
        </w:tc>
        <w:tc>
          <w:tcPr>
            <w:tcW w:w="929" w:type="pct"/>
            <w:shd w:val="clear" w:color="auto" w:fill="auto"/>
            <w:vAlign w:val="center"/>
          </w:tcPr>
          <w:p w14:paraId="7EF1FDB9" w14:textId="06595080" w:rsidR="00405262" w:rsidRPr="00050FA4" w:rsidRDefault="00405262"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Qershor 2022</w:t>
            </w:r>
          </w:p>
        </w:tc>
        <w:tc>
          <w:tcPr>
            <w:tcW w:w="670" w:type="pct"/>
            <w:shd w:val="clear" w:color="auto" w:fill="auto"/>
            <w:vAlign w:val="center"/>
          </w:tcPr>
          <w:p w14:paraId="249FAE7A" w14:textId="728DD52B" w:rsidR="00405262" w:rsidRPr="00050FA4" w:rsidRDefault="00405262" w:rsidP="00D6290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 xml:space="preserve">Dhjetor </w:t>
            </w:r>
            <w:r w:rsidR="007C06B0" w:rsidRPr="00050FA4">
              <w:rPr>
                <w:rFonts w:ascii="Garamond" w:eastAsia="Times New Roman" w:hAnsi="Garamond" w:cstheme="majorBidi"/>
                <w:b/>
                <w:color w:val="0D0D0D" w:themeColor="text1" w:themeTint="F2"/>
                <w:sz w:val="18"/>
                <w:szCs w:val="18"/>
              </w:rPr>
              <w:t>2</w:t>
            </w:r>
            <w:r w:rsidRPr="00050FA4">
              <w:rPr>
                <w:rFonts w:ascii="Garamond" w:eastAsia="Times New Roman" w:hAnsi="Garamond" w:cstheme="majorBidi"/>
                <w:b/>
                <w:color w:val="0D0D0D" w:themeColor="text1" w:themeTint="F2"/>
                <w:sz w:val="18"/>
                <w:szCs w:val="18"/>
              </w:rPr>
              <w:t>023</w:t>
            </w:r>
          </w:p>
        </w:tc>
      </w:tr>
      <w:tr w:rsidR="00FA29AB" w:rsidRPr="00050FA4" w14:paraId="67F90D5D" w14:textId="77777777" w:rsidTr="00C93EE9">
        <w:trPr>
          <w:trHeight w:val="20"/>
          <w:jc w:val="center"/>
        </w:trPr>
        <w:tc>
          <w:tcPr>
            <w:tcW w:w="2611" w:type="pct"/>
            <w:shd w:val="clear" w:color="auto" w:fill="auto"/>
            <w:vAlign w:val="bottom"/>
          </w:tcPr>
          <w:p w14:paraId="05B22EB7" w14:textId="4B79EB38" w:rsidR="00405262" w:rsidRPr="00050FA4" w:rsidRDefault="00405262"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Numri i përdoruesve të platformës së centralizuar të informacionit</w:t>
            </w:r>
          </w:p>
        </w:tc>
        <w:tc>
          <w:tcPr>
            <w:tcW w:w="790" w:type="pct"/>
            <w:shd w:val="clear" w:color="auto" w:fill="auto"/>
            <w:vAlign w:val="center"/>
          </w:tcPr>
          <w:p w14:paraId="1FB6E04C" w14:textId="1F419E89" w:rsidR="00405262" w:rsidRPr="00050FA4" w:rsidRDefault="00405262" w:rsidP="00A95D23">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1000</w:t>
            </w:r>
          </w:p>
        </w:tc>
        <w:tc>
          <w:tcPr>
            <w:tcW w:w="929" w:type="pct"/>
            <w:shd w:val="clear" w:color="auto" w:fill="auto"/>
            <w:vAlign w:val="center"/>
          </w:tcPr>
          <w:p w14:paraId="45C797D4" w14:textId="336BA36B" w:rsidR="00405262" w:rsidRPr="00050FA4" w:rsidRDefault="00405262" w:rsidP="00A95D23">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1500</w:t>
            </w:r>
          </w:p>
        </w:tc>
        <w:tc>
          <w:tcPr>
            <w:tcW w:w="670" w:type="pct"/>
            <w:shd w:val="clear" w:color="auto" w:fill="auto"/>
            <w:vAlign w:val="center"/>
          </w:tcPr>
          <w:p w14:paraId="15188027" w14:textId="43691BCF" w:rsidR="00405262" w:rsidRPr="00050FA4" w:rsidRDefault="00405262" w:rsidP="00A95D23">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2000</w:t>
            </w:r>
          </w:p>
        </w:tc>
      </w:tr>
      <w:tr w:rsidR="00FA29AB" w:rsidRPr="00050FA4" w14:paraId="53CEEB9B" w14:textId="77777777" w:rsidTr="00C93EE9">
        <w:trPr>
          <w:trHeight w:val="20"/>
          <w:jc w:val="center"/>
        </w:trPr>
        <w:tc>
          <w:tcPr>
            <w:tcW w:w="2611" w:type="pct"/>
            <w:shd w:val="clear" w:color="auto" w:fill="auto"/>
            <w:vAlign w:val="bottom"/>
          </w:tcPr>
          <w:p w14:paraId="5882A7A3" w14:textId="325CA92B" w:rsidR="00405262" w:rsidRPr="00050FA4" w:rsidRDefault="00405262" w:rsidP="00A95D23">
            <w:pPr>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Numri e përfitues MSME nga grantet AIDA</w:t>
            </w:r>
          </w:p>
        </w:tc>
        <w:tc>
          <w:tcPr>
            <w:tcW w:w="790" w:type="pct"/>
            <w:shd w:val="clear" w:color="auto" w:fill="auto"/>
            <w:vAlign w:val="center"/>
          </w:tcPr>
          <w:p w14:paraId="276605E9" w14:textId="27D2AFB6" w:rsidR="00405262" w:rsidRPr="00050FA4" w:rsidRDefault="00405262" w:rsidP="00A95D23">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373</w:t>
            </w:r>
          </w:p>
        </w:tc>
        <w:tc>
          <w:tcPr>
            <w:tcW w:w="929" w:type="pct"/>
            <w:shd w:val="clear" w:color="auto" w:fill="auto"/>
            <w:vAlign w:val="center"/>
          </w:tcPr>
          <w:p w14:paraId="0FFD927D" w14:textId="58ABB1D5" w:rsidR="00405262" w:rsidRPr="00050FA4" w:rsidRDefault="00405262" w:rsidP="00A95D23">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400</w:t>
            </w:r>
          </w:p>
        </w:tc>
        <w:tc>
          <w:tcPr>
            <w:tcW w:w="670" w:type="pct"/>
            <w:shd w:val="clear" w:color="auto" w:fill="auto"/>
            <w:vAlign w:val="center"/>
          </w:tcPr>
          <w:p w14:paraId="0DE98CE5" w14:textId="4DD2149D" w:rsidR="00405262" w:rsidRPr="00050FA4" w:rsidRDefault="00405262" w:rsidP="00A95D23">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450</w:t>
            </w:r>
          </w:p>
        </w:tc>
      </w:tr>
    </w:tbl>
    <w:p w14:paraId="4B5B7A71" w14:textId="77777777" w:rsidR="00D51B02" w:rsidRPr="00050FA4" w:rsidRDefault="00D51B02" w:rsidP="003F1DA7">
      <w:pPr>
        <w:pStyle w:val="AAAAAAATEXXXX"/>
        <w:rPr>
          <w:lang w:val="sq-AL"/>
        </w:rPr>
      </w:pPr>
    </w:p>
    <w:p w14:paraId="76A18C16" w14:textId="4274BF55" w:rsidR="00DB22AB" w:rsidRPr="00050FA4" w:rsidRDefault="000E7A85" w:rsidP="003F1DA7">
      <w:pPr>
        <w:pStyle w:val="AAAAAAATEXXXX"/>
        <w:rPr>
          <w:lang w:val="sq-AL"/>
        </w:rPr>
      </w:pPr>
      <w:r w:rsidRPr="00050FA4">
        <w:rPr>
          <w:lang w:val="sq-AL"/>
        </w:rPr>
        <w:t xml:space="preserve">3. </w:t>
      </w:r>
      <w:r w:rsidR="00B2062A" w:rsidRPr="00050FA4">
        <w:rPr>
          <w:lang w:val="sq-AL"/>
        </w:rPr>
        <w:t>Ndikimi i pritshëm në konkurrueshmëri</w:t>
      </w:r>
    </w:p>
    <w:p w14:paraId="2544A23A" w14:textId="31BD5655" w:rsidR="00405262" w:rsidRPr="00050FA4" w:rsidRDefault="00CD0E63" w:rsidP="003F1DA7">
      <w:pPr>
        <w:pStyle w:val="AAAAAAATEXXXX"/>
        <w:rPr>
          <w:lang w:val="sq-AL"/>
        </w:rPr>
      </w:pPr>
      <w:r w:rsidRPr="00050FA4">
        <w:rPr>
          <w:lang w:val="sq-AL"/>
        </w:rPr>
        <w:t>Përmirësimi i aksesit në financa për NVM-të dhe ndikimi i drejtpërdrejtë në konkurrueshmërinë më të lartë të asaj pjese të ekonomisë, e cila ka kontributin më të madh në PBB dhe punësim në sektorin jofinanciar. Rritja e investimeve e nxitur nga aksesi më i mirë në financa do të ketë një ndikim pozitiv në zgjerimin e kapaciteteve, modernizimin teknologjik të prodhimit, rritjen e produktivitetit dhe futjen e produkteve dhe shërbimeve të reja, inovative nga NVM-të</w:t>
      </w:r>
      <w:r w:rsidR="00405262" w:rsidRPr="00050FA4">
        <w:rPr>
          <w:lang w:val="sq-AL"/>
        </w:rPr>
        <w:t>.</w:t>
      </w:r>
    </w:p>
    <w:p w14:paraId="4E47AC94" w14:textId="0267B0D9" w:rsidR="00DB22AB" w:rsidRPr="00050FA4" w:rsidRDefault="000E7A85" w:rsidP="003F1DA7">
      <w:pPr>
        <w:pStyle w:val="AAAAAAATEXXXX"/>
        <w:rPr>
          <w:lang w:val="sq-AL"/>
        </w:rPr>
      </w:pPr>
      <w:r w:rsidRPr="00050FA4">
        <w:rPr>
          <w:lang w:val="sq-AL"/>
        </w:rPr>
        <w:t xml:space="preserve">4. </w:t>
      </w:r>
      <w:r w:rsidR="00B2062A" w:rsidRPr="00050FA4">
        <w:rPr>
          <w:lang w:val="sq-AL"/>
        </w:rPr>
        <w:t>Kosto</w:t>
      </w:r>
      <w:r w:rsidR="00D62903" w:rsidRPr="00050FA4">
        <w:rPr>
          <w:lang w:val="sq-AL"/>
        </w:rPr>
        <w:t>ja</w:t>
      </w:r>
      <w:r w:rsidR="00B2062A" w:rsidRPr="00050FA4">
        <w:rPr>
          <w:lang w:val="sq-AL"/>
        </w:rPr>
        <w:t xml:space="preserve"> e parashikuar e aktiviteteve dhe burimi i financimit</w:t>
      </w:r>
    </w:p>
    <w:p w14:paraId="4E64093B" w14:textId="4BB04799" w:rsidR="00405262" w:rsidRPr="00050FA4" w:rsidRDefault="00405262" w:rsidP="003F1DA7">
      <w:pPr>
        <w:pStyle w:val="AAAAAAATEXXXX"/>
        <w:rPr>
          <w:lang w:val="sq-AL"/>
        </w:rPr>
      </w:pPr>
      <w:r w:rsidRPr="00050FA4">
        <w:rPr>
          <w:lang w:val="sq-AL"/>
        </w:rPr>
        <w:t>Kostoja e aktiviteteve dhe burimi i financimit janë të detajuara përkatësisht në tabelën 10a dhe tabelën 10b.</w:t>
      </w:r>
    </w:p>
    <w:p w14:paraId="103703CB" w14:textId="205C0E65" w:rsidR="00DB22AB" w:rsidRPr="00050FA4" w:rsidRDefault="000E7A85"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360FCAE3" w14:textId="6306DB94" w:rsidR="00405262" w:rsidRPr="00050FA4" w:rsidRDefault="00CD0E63" w:rsidP="003F1DA7">
      <w:pPr>
        <w:pStyle w:val="AAAAAAATEXXXX"/>
        <w:rPr>
          <w:lang w:val="sq-AL"/>
        </w:rPr>
      </w:pPr>
      <w:r w:rsidRPr="00050FA4">
        <w:rPr>
          <w:lang w:val="sq-AL"/>
        </w:rPr>
        <w:t>Futja e instrumenteve të reja financiare për fillimin e një biznesi dhe zhvillimin e NVM-ve do të kontribuojë drejtpërdrejt në krijimin e vendeve të punës dhe vetëpunësimit. Reforma është veçanërisht e rëndësishme</w:t>
      </w:r>
      <w:r w:rsidR="00E27315" w:rsidRPr="00050FA4">
        <w:rPr>
          <w:lang w:val="sq-AL"/>
        </w:rPr>
        <w:t xml:space="preserve">, </w:t>
      </w:r>
      <w:r w:rsidRPr="00050FA4">
        <w:rPr>
          <w:lang w:val="sq-AL"/>
        </w:rPr>
        <w:t>sepse do të ndihmojë në fuqizimin e sipërmarrjes së grave</w:t>
      </w:r>
      <w:r w:rsidR="00E27315" w:rsidRPr="00050FA4">
        <w:rPr>
          <w:lang w:val="sq-AL"/>
        </w:rPr>
        <w:t>,</w:t>
      </w:r>
      <w:r w:rsidRPr="00050FA4">
        <w:rPr>
          <w:lang w:val="sq-AL"/>
        </w:rPr>
        <w:t xml:space="preserve"> duke lehtësuar kanalet e komunikimit drejt financimit, gjë që është e rëndësishme për gratë sipërmarrëse</w:t>
      </w:r>
      <w:r w:rsidR="00405262" w:rsidRPr="00050FA4">
        <w:rPr>
          <w:lang w:val="sq-AL"/>
        </w:rPr>
        <w:t>.</w:t>
      </w:r>
    </w:p>
    <w:p w14:paraId="4F1C5FAD" w14:textId="06A108F2" w:rsidR="00DB22AB" w:rsidRPr="00050FA4" w:rsidRDefault="000E7A85"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7113029F" w14:textId="3B0388A8" w:rsidR="002B45F2" w:rsidRPr="00050FA4" w:rsidRDefault="002B45F2" w:rsidP="003F1DA7">
      <w:pPr>
        <w:pStyle w:val="AAAAAAATEXXXX"/>
        <w:rPr>
          <w:lang w:val="sq-AL"/>
        </w:rPr>
      </w:pPr>
      <w:r w:rsidRPr="00050FA4">
        <w:rPr>
          <w:lang w:val="sq-AL"/>
        </w:rPr>
        <w:t>Masa nuk parashikon ndikim të drejtpërdrejtë në mjedis.</w:t>
      </w:r>
    </w:p>
    <w:p w14:paraId="5A8C123F" w14:textId="6AE0CDA1" w:rsidR="00DB22AB" w:rsidRPr="00050FA4" w:rsidRDefault="000E7A85" w:rsidP="003F1DA7">
      <w:pPr>
        <w:pStyle w:val="AAAAAAATEXXXX"/>
        <w:rPr>
          <w:lang w:val="sq-AL"/>
        </w:rPr>
      </w:pPr>
      <w:r w:rsidRPr="00050FA4">
        <w:rPr>
          <w:lang w:val="sq-AL"/>
        </w:rPr>
        <w:t xml:space="preserve">7. </w:t>
      </w:r>
      <w:r w:rsidR="00B2062A" w:rsidRPr="00050FA4">
        <w:rPr>
          <w:lang w:val="sq-AL"/>
        </w:rPr>
        <w:t>Rreziqet e mundshme</w:t>
      </w:r>
    </w:p>
    <w:p w14:paraId="3CC11610" w14:textId="77777777" w:rsidR="00F21FEB" w:rsidRPr="00050FA4" w:rsidRDefault="00F21FEB" w:rsidP="003F1DA7">
      <w:pPr>
        <w:pStyle w:val="AAAAAAATEXXXX"/>
        <w:rPr>
          <w:lang w:val="sq-AL"/>
        </w:rPr>
      </w:pPr>
    </w:p>
    <w:tbl>
      <w:tblPr>
        <w:tblStyle w:val="TableGrid"/>
        <w:tblW w:w="0" w:type="auto"/>
        <w:jc w:val="center"/>
        <w:tblLook w:val="04A0" w:firstRow="1" w:lastRow="0" w:firstColumn="1" w:lastColumn="0" w:noHBand="0" w:noVBand="1"/>
      </w:tblPr>
      <w:tblGrid>
        <w:gridCol w:w="4091"/>
        <w:gridCol w:w="1710"/>
        <w:gridCol w:w="3821"/>
      </w:tblGrid>
      <w:tr w:rsidR="00FA29AB" w:rsidRPr="00050FA4" w14:paraId="4B279471" w14:textId="77777777" w:rsidTr="006A4152">
        <w:trPr>
          <w:trHeight w:val="20"/>
          <w:jc w:val="center"/>
        </w:trPr>
        <w:tc>
          <w:tcPr>
            <w:tcW w:w="4091" w:type="dxa"/>
            <w:vAlign w:val="center"/>
          </w:tcPr>
          <w:p w14:paraId="45A90B80" w14:textId="2D330C00" w:rsidR="00CC1612" w:rsidRPr="00050FA4" w:rsidRDefault="00B2062A"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710" w:type="dxa"/>
            <w:vAlign w:val="center"/>
          </w:tcPr>
          <w:p w14:paraId="3BA52380" w14:textId="77777777" w:rsidR="006A4152" w:rsidRPr="00050FA4" w:rsidRDefault="00B2062A"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CC1612" w:rsidRPr="00050FA4">
              <w:rPr>
                <w:rFonts w:ascii="Garamond" w:hAnsi="Garamond" w:cstheme="majorBidi"/>
                <w:b/>
                <w:color w:val="0D0D0D" w:themeColor="text1" w:themeTint="F2"/>
                <w:sz w:val="18"/>
                <w:szCs w:val="18"/>
              </w:rPr>
              <w:t xml:space="preserve"> </w:t>
            </w:r>
          </w:p>
          <w:p w14:paraId="012B16EE" w14:textId="494FB84C" w:rsidR="00CC1612" w:rsidRPr="00050FA4" w:rsidRDefault="00CC1612"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3821" w:type="dxa"/>
            <w:vAlign w:val="center"/>
          </w:tcPr>
          <w:p w14:paraId="6D1B4B60" w14:textId="74A10B1D" w:rsidR="00CC1612" w:rsidRPr="00050FA4" w:rsidRDefault="00B2062A"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63411F4C" w14:textId="77777777" w:rsidTr="006A4152">
        <w:trPr>
          <w:trHeight w:val="20"/>
          <w:jc w:val="center"/>
        </w:trPr>
        <w:tc>
          <w:tcPr>
            <w:tcW w:w="4091" w:type="dxa"/>
          </w:tcPr>
          <w:p w14:paraId="48768E17" w14:textId="5B09714A" w:rsidR="002B45F2" w:rsidRPr="00050FA4" w:rsidRDefault="002B45F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Shtyrja e miratimit të ligjit të ri për NVM-të</w:t>
            </w:r>
          </w:p>
        </w:tc>
        <w:tc>
          <w:tcPr>
            <w:tcW w:w="1710" w:type="dxa"/>
          </w:tcPr>
          <w:p w14:paraId="0735D66F" w14:textId="144C08D0" w:rsidR="002B45F2" w:rsidRPr="00050FA4" w:rsidRDefault="002B45F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I lartë</w:t>
            </w:r>
          </w:p>
        </w:tc>
        <w:tc>
          <w:tcPr>
            <w:tcW w:w="3821" w:type="dxa"/>
          </w:tcPr>
          <w:p w14:paraId="37701E24" w14:textId="43FAE0BD" w:rsidR="002B45F2" w:rsidRPr="00050FA4" w:rsidRDefault="002B45F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Rritja e ndërgjegjësimit në nivel politik për nevojën e këtij ligji</w:t>
            </w:r>
          </w:p>
        </w:tc>
      </w:tr>
      <w:tr w:rsidR="00FA29AB" w:rsidRPr="00050FA4" w14:paraId="081EE6E2" w14:textId="77777777" w:rsidTr="006A4152">
        <w:trPr>
          <w:trHeight w:val="20"/>
          <w:jc w:val="center"/>
        </w:trPr>
        <w:tc>
          <w:tcPr>
            <w:tcW w:w="4091" w:type="dxa"/>
          </w:tcPr>
          <w:p w14:paraId="545A86BE" w14:textId="0A8C8FF3" w:rsidR="002B45F2" w:rsidRPr="00050FA4" w:rsidRDefault="002B45F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Vonesat në zbatimin e masave të parashikuara në BIDS</w:t>
            </w:r>
          </w:p>
        </w:tc>
        <w:tc>
          <w:tcPr>
            <w:tcW w:w="1710" w:type="dxa"/>
          </w:tcPr>
          <w:p w14:paraId="2FF00296" w14:textId="4D7B1639" w:rsidR="002B45F2" w:rsidRPr="00050FA4" w:rsidRDefault="002B45F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I lartë</w:t>
            </w:r>
          </w:p>
        </w:tc>
        <w:tc>
          <w:tcPr>
            <w:tcW w:w="3821" w:type="dxa"/>
          </w:tcPr>
          <w:p w14:paraId="25A00CFC" w14:textId="06106459" w:rsidR="002B45F2" w:rsidRPr="00050FA4" w:rsidRDefault="002B45F2"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Rritja e ndërgjegjësimit për rëndësinë e BIDS.</w:t>
            </w:r>
          </w:p>
        </w:tc>
      </w:tr>
    </w:tbl>
    <w:p w14:paraId="19D2C3AA" w14:textId="77777777" w:rsidR="00CC1612" w:rsidRPr="00050FA4" w:rsidRDefault="00CC1612" w:rsidP="003F1DA7">
      <w:pPr>
        <w:snapToGrid w:val="0"/>
        <w:ind w:firstLine="284"/>
        <w:rPr>
          <w:rFonts w:ascii="Garamond" w:hAnsi="Garamond" w:cstheme="majorBidi"/>
          <w:color w:val="0D0D0D" w:themeColor="text1" w:themeTint="F2"/>
        </w:rPr>
      </w:pPr>
    </w:p>
    <w:p w14:paraId="1ECDB22E" w14:textId="5B4FD0A1" w:rsidR="00DB22AB"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09</w:t>
      </w:r>
      <w:r w:rsidR="00DB22AB" w:rsidRPr="00050FA4">
        <w:rPr>
          <w:rFonts w:ascii="Garamond" w:hAnsi="Garamond" w:cstheme="majorBidi"/>
          <w:color w:val="0D0D0D" w:themeColor="text1" w:themeTint="F2"/>
          <w:sz w:val="24"/>
          <w:szCs w:val="24"/>
        </w:rPr>
        <w:t xml:space="preserve">: </w:t>
      </w:r>
      <w:r w:rsidR="00635B15" w:rsidRPr="00050FA4">
        <w:rPr>
          <w:rFonts w:ascii="Garamond" w:hAnsi="Garamond"/>
          <w:color w:val="0D0D0D" w:themeColor="text1" w:themeTint="F2"/>
          <w:sz w:val="24"/>
          <w:szCs w:val="24"/>
        </w:rPr>
        <w:t>Modernizimi i instrumenteve të pagesave me vlerë të vogël</w:t>
      </w:r>
    </w:p>
    <w:p w14:paraId="54394781" w14:textId="6ADD8D16" w:rsidR="00DB22AB" w:rsidRPr="00050FA4" w:rsidRDefault="000E7A85" w:rsidP="003F1DA7">
      <w:pPr>
        <w:pStyle w:val="AAAAAAATEXXXX"/>
        <w:rPr>
          <w:lang w:val="sq-AL"/>
        </w:rPr>
      </w:pPr>
      <w:r w:rsidRPr="00050FA4">
        <w:rPr>
          <w:lang w:val="sq-AL"/>
        </w:rPr>
        <w:t xml:space="preserve">1. </w:t>
      </w:r>
      <w:r w:rsidR="00B2062A" w:rsidRPr="00050FA4">
        <w:rPr>
          <w:lang w:val="sq-AL"/>
        </w:rPr>
        <w:t>Përshkrimi i masës</w:t>
      </w:r>
    </w:p>
    <w:p w14:paraId="1DE74872" w14:textId="77777777" w:rsidR="005661AC" w:rsidRPr="00050FA4" w:rsidRDefault="005661AC" w:rsidP="003F1DA7">
      <w:pPr>
        <w:pStyle w:val="AAAAAAATEXXXX"/>
        <w:rPr>
          <w:rFonts w:eastAsia="SimSun"/>
          <w:lang w:val="sq-AL"/>
        </w:rPr>
      </w:pPr>
      <w:r w:rsidRPr="00050FA4">
        <w:rPr>
          <w:rFonts w:eastAsia="SimSun"/>
          <w:lang w:val="sq-AL"/>
        </w:rPr>
        <w:t xml:space="preserve">Kjo masë rrjedh nga lista e veprimeve të përfshira në strategjinë kombëtare për pagesat me vlerë të vogël, të cilat janë në përgjegjësinë e Bankës së Shqipërisë. Objektivi kryesor i Strategjisë Kombëtare për Pagesat me Vlerë të Vogël është që të promovojë përdorimin e shpeshtë të instrumenteve të pagesave modernë në të gjithë vendin, me qëllimin për të arritur 10 pagesa jo </w:t>
      </w:r>
      <w:r w:rsidRPr="00050FA4">
        <w:rPr>
          <w:rFonts w:eastAsia="SimSun"/>
          <w:i/>
          <w:lang w:val="sq-AL"/>
        </w:rPr>
        <w:t>cash</w:t>
      </w:r>
      <w:r w:rsidRPr="00050FA4">
        <w:rPr>
          <w:rFonts w:eastAsia="SimSun"/>
          <w:lang w:val="sq-AL"/>
        </w:rPr>
        <w:t xml:space="preserve"> për person deri në fund të vitit 2023. Rritja e qasjes në llogari bankare është kusht i nevojshëm për të arritur objektivin kryesor. Në këtë aspekt, Shqipëria synon të arrijë një raport të llogarive për qytetarët e rritur në 70% deri në fund të vitit 2023. Kjo masë është pjesë e reformave kombëtare prej vitit 2020.</w:t>
      </w:r>
    </w:p>
    <w:p w14:paraId="4CD3068B" w14:textId="6BDEB551" w:rsidR="005661AC" w:rsidRPr="00050FA4" w:rsidRDefault="005661AC" w:rsidP="003F1DA7">
      <w:pPr>
        <w:pStyle w:val="AAAAAAATEXXXX"/>
        <w:rPr>
          <w:rFonts w:eastAsia="SimSun"/>
          <w:lang w:val="sq-AL"/>
        </w:rPr>
      </w:pPr>
      <w:r w:rsidRPr="00050FA4">
        <w:rPr>
          <w:rFonts w:eastAsia="SimSun"/>
          <w:lang w:val="sq-AL"/>
        </w:rPr>
        <w:t>Objektivat e sipërpërmendur do të realizohen nëpërmjet një plani veprimesh të detajuar, i cili parashikon disa veprime të natyrës ligjore e rregullative dhe infrastrukturore.</w:t>
      </w:r>
    </w:p>
    <w:p w14:paraId="56AEE720" w14:textId="66AC20D3" w:rsidR="005661AC" w:rsidRPr="00050FA4" w:rsidRDefault="000E7A85" w:rsidP="003F1DA7">
      <w:pPr>
        <w:pStyle w:val="AAAAAAATEXXXX"/>
        <w:rPr>
          <w:rFonts w:eastAsia="SimSun"/>
          <w:lang w:val="sq-AL"/>
        </w:rPr>
      </w:pPr>
      <w:r w:rsidRPr="00050FA4">
        <w:rPr>
          <w:rFonts w:eastAsia="SimSun"/>
          <w:lang w:val="sq-AL"/>
        </w:rPr>
        <w:t>1</w:t>
      </w:r>
      <w:r w:rsidR="006A27AC" w:rsidRPr="00050FA4">
        <w:rPr>
          <w:rFonts w:eastAsia="SimSun"/>
          <w:lang w:val="sq-AL"/>
        </w:rPr>
        <w:t>.</w:t>
      </w:r>
      <w:r w:rsidRPr="00050FA4">
        <w:rPr>
          <w:rFonts w:eastAsia="SimSun"/>
          <w:lang w:val="sq-AL"/>
        </w:rPr>
        <w:t xml:space="preserve"> </w:t>
      </w:r>
      <w:r w:rsidR="005661AC" w:rsidRPr="00050FA4">
        <w:rPr>
          <w:rFonts w:eastAsia="SimSun"/>
          <w:lang w:val="sq-AL"/>
        </w:rPr>
        <w:t>Përmirësimi i kuadrit ligjor dhe rregullativ</w:t>
      </w:r>
    </w:p>
    <w:p w14:paraId="0EE58E4B" w14:textId="2B126681" w:rsidR="005661AC" w:rsidRPr="00050FA4" w:rsidRDefault="000E7A85" w:rsidP="003F1DA7">
      <w:pPr>
        <w:pStyle w:val="AAAAAAATEXXXX"/>
        <w:rPr>
          <w:rFonts w:eastAsia="SimSun"/>
          <w:lang w:val="sq-AL"/>
        </w:rPr>
      </w:pPr>
      <w:r w:rsidRPr="00050FA4">
        <w:rPr>
          <w:rFonts w:eastAsia="SimSun"/>
          <w:lang w:val="sq-AL"/>
        </w:rPr>
        <w:t xml:space="preserve">a) </w:t>
      </w:r>
      <w:r w:rsidR="005661AC" w:rsidRPr="00050FA4">
        <w:rPr>
          <w:rFonts w:eastAsia="SimSun"/>
          <w:lang w:val="sq-AL"/>
        </w:rPr>
        <w:t xml:space="preserve">Miratimi i projektligjit </w:t>
      </w:r>
      <w:r w:rsidR="008A0E5B" w:rsidRPr="00050FA4">
        <w:rPr>
          <w:rFonts w:eastAsia="SimSun"/>
          <w:lang w:val="sq-AL"/>
        </w:rPr>
        <w:t>“</w:t>
      </w:r>
      <w:r w:rsidR="005661AC" w:rsidRPr="00050FA4">
        <w:rPr>
          <w:rFonts w:eastAsia="SimSun"/>
          <w:lang w:val="sq-AL"/>
        </w:rPr>
        <w:t>Mbi sistemet e pagesave</w:t>
      </w:r>
      <w:r w:rsidR="008A0E5B" w:rsidRPr="00050FA4">
        <w:rPr>
          <w:rFonts w:eastAsia="SimSun"/>
          <w:lang w:val="sq-AL"/>
        </w:rPr>
        <w:t>”</w:t>
      </w:r>
      <w:r w:rsidR="00CC05C5" w:rsidRPr="00050FA4">
        <w:rPr>
          <w:rFonts w:eastAsia="SimSun"/>
          <w:lang w:val="sq-AL"/>
        </w:rPr>
        <w:t>,</w:t>
      </w:r>
      <w:r w:rsidR="005661AC" w:rsidRPr="00050FA4">
        <w:rPr>
          <w:rFonts w:eastAsia="SimSun"/>
          <w:lang w:val="sq-AL"/>
        </w:rPr>
        <w:t xml:space="preserve"> i cili transpozon direktivën e rishikuar të BE 2015/2366 dhe zbatimi i tij nga aktorët e tregjeve</w:t>
      </w:r>
    </w:p>
    <w:p w14:paraId="17909AA8" w14:textId="3621EB61" w:rsidR="005661AC" w:rsidRPr="00050FA4" w:rsidRDefault="000E7A85" w:rsidP="003F1DA7">
      <w:pPr>
        <w:pStyle w:val="AAAAAAATEXXXX"/>
        <w:rPr>
          <w:rFonts w:eastAsia="SimSun"/>
          <w:lang w:val="sq-AL"/>
        </w:rPr>
      </w:pPr>
      <w:r w:rsidRPr="00050FA4">
        <w:rPr>
          <w:rFonts w:eastAsia="SimSun"/>
          <w:lang w:val="sq-AL"/>
        </w:rPr>
        <w:t xml:space="preserve">b) </w:t>
      </w:r>
      <w:r w:rsidR="005661AC" w:rsidRPr="00050FA4">
        <w:rPr>
          <w:rFonts w:eastAsia="SimSun"/>
          <w:lang w:val="sq-AL"/>
        </w:rPr>
        <w:t>Hartimi i një akti ligjor që të transpozojë direktivën e BE</w:t>
      </w:r>
      <w:r w:rsidR="003B4324" w:rsidRPr="00050FA4">
        <w:rPr>
          <w:rFonts w:eastAsia="SimSun"/>
          <w:lang w:val="sq-AL"/>
        </w:rPr>
        <w:t>-së</w:t>
      </w:r>
      <w:r w:rsidR="005661AC" w:rsidRPr="00050FA4">
        <w:rPr>
          <w:rFonts w:eastAsia="SimSun"/>
          <w:lang w:val="sq-AL"/>
        </w:rPr>
        <w:t xml:space="preserve"> </w:t>
      </w:r>
      <w:r w:rsidR="008A0E5B" w:rsidRPr="00050FA4">
        <w:rPr>
          <w:rFonts w:eastAsia="SimSun"/>
          <w:lang w:val="sq-AL"/>
        </w:rPr>
        <w:t>“</w:t>
      </w:r>
      <w:r w:rsidR="005661AC" w:rsidRPr="00050FA4">
        <w:rPr>
          <w:rFonts w:eastAsia="SimSun"/>
          <w:lang w:val="sq-AL"/>
        </w:rPr>
        <w:t>Mbi llogarinë e pagesave</w:t>
      </w:r>
      <w:r w:rsidR="008A0E5B" w:rsidRPr="00050FA4">
        <w:rPr>
          <w:rFonts w:eastAsia="SimSun"/>
          <w:lang w:val="sq-AL"/>
        </w:rPr>
        <w:t>”</w:t>
      </w:r>
      <w:r w:rsidR="005661AC" w:rsidRPr="00050FA4">
        <w:rPr>
          <w:rFonts w:eastAsia="SimSun"/>
          <w:lang w:val="sq-AL"/>
        </w:rPr>
        <w:t xml:space="preserve">. </w:t>
      </w:r>
    </w:p>
    <w:p w14:paraId="2189D67B" w14:textId="3B0D0D65" w:rsidR="005661AC" w:rsidRPr="00050FA4" w:rsidRDefault="005661AC" w:rsidP="003F1DA7">
      <w:pPr>
        <w:pStyle w:val="AAAAAAATEXXXX"/>
        <w:rPr>
          <w:rFonts w:eastAsia="SimSun"/>
          <w:lang w:val="sq-AL"/>
        </w:rPr>
      </w:pPr>
      <w:r w:rsidRPr="00050FA4">
        <w:rPr>
          <w:rFonts w:eastAsia="SimSun"/>
          <w:lang w:val="sq-AL"/>
        </w:rPr>
        <w:t xml:space="preserve">Ligji mbi </w:t>
      </w:r>
      <w:r w:rsidR="008A0E5B" w:rsidRPr="00050FA4">
        <w:rPr>
          <w:rFonts w:eastAsia="SimSun"/>
          <w:lang w:val="sq-AL"/>
        </w:rPr>
        <w:t>“</w:t>
      </w:r>
      <w:r w:rsidRPr="00050FA4">
        <w:rPr>
          <w:rFonts w:eastAsia="SimSun"/>
          <w:lang w:val="sq-AL"/>
        </w:rPr>
        <w:t>shërbimet e pagesave</w:t>
      </w:r>
      <w:r w:rsidR="008A0E5B" w:rsidRPr="00050FA4">
        <w:rPr>
          <w:rFonts w:eastAsia="SimSun"/>
          <w:lang w:val="sq-AL"/>
        </w:rPr>
        <w:t>”</w:t>
      </w:r>
      <w:r w:rsidR="003B4324" w:rsidRPr="00050FA4">
        <w:rPr>
          <w:rFonts w:eastAsia="SimSun"/>
          <w:lang w:val="sq-AL"/>
        </w:rPr>
        <w:t>,</w:t>
      </w:r>
      <w:r w:rsidRPr="00050FA4">
        <w:rPr>
          <w:rFonts w:eastAsia="SimSun"/>
          <w:lang w:val="sq-AL"/>
        </w:rPr>
        <w:t xml:space="preserve"> që transpozon direktivën e BE 2015/2366 është aprovuar </w:t>
      </w:r>
      <w:r w:rsidR="003B4324" w:rsidRPr="00050FA4">
        <w:rPr>
          <w:rFonts w:eastAsia="SimSun"/>
          <w:lang w:val="sq-AL"/>
        </w:rPr>
        <w:t>m</w:t>
      </w:r>
      <w:r w:rsidRPr="00050FA4">
        <w:rPr>
          <w:rFonts w:eastAsia="SimSun"/>
          <w:lang w:val="sq-AL"/>
        </w:rPr>
        <w:t>ë 2020</w:t>
      </w:r>
      <w:r w:rsidR="003B4324" w:rsidRPr="00050FA4">
        <w:rPr>
          <w:rFonts w:eastAsia="SimSun"/>
          <w:lang w:val="sq-AL"/>
        </w:rPr>
        <w:t>-ën</w:t>
      </w:r>
      <w:r w:rsidRPr="00050FA4">
        <w:rPr>
          <w:rFonts w:eastAsia="SimSun"/>
          <w:lang w:val="sq-AL"/>
        </w:rPr>
        <w:t>. Aktet nënligjore po hartohen dhe ligji do të zbatohet nga aktorët e tregjeve në 2022.</w:t>
      </w:r>
    </w:p>
    <w:p w14:paraId="723F94F6" w14:textId="68DE3A69" w:rsidR="00635B15" w:rsidRPr="00050FA4" w:rsidRDefault="005661AC" w:rsidP="003F1DA7">
      <w:pPr>
        <w:pStyle w:val="AAAAAAATEXXXX"/>
        <w:rPr>
          <w:lang w:val="sq-AL"/>
        </w:rPr>
      </w:pPr>
      <w:r w:rsidRPr="00050FA4">
        <w:rPr>
          <w:lang w:val="sq-AL"/>
        </w:rPr>
        <w:t xml:space="preserve">Një projektligj </w:t>
      </w:r>
      <w:r w:rsidR="008A0E5B" w:rsidRPr="00050FA4">
        <w:rPr>
          <w:lang w:val="sq-AL"/>
        </w:rPr>
        <w:t>“</w:t>
      </w:r>
      <w:r w:rsidR="00C1536D" w:rsidRPr="00050FA4">
        <w:rPr>
          <w:lang w:val="sq-AL"/>
        </w:rPr>
        <w:t xml:space="preserve">Mbi </w:t>
      </w:r>
      <w:r w:rsidRPr="00050FA4">
        <w:rPr>
          <w:lang w:val="sq-AL"/>
        </w:rPr>
        <w:t>llogarinë e pagesave</w:t>
      </w:r>
      <w:r w:rsidR="008A0E5B" w:rsidRPr="00050FA4">
        <w:rPr>
          <w:lang w:val="sq-AL"/>
        </w:rPr>
        <w:t>”</w:t>
      </w:r>
      <w:r w:rsidRPr="00050FA4">
        <w:rPr>
          <w:lang w:val="sq-AL"/>
        </w:rPr>
        <w:t xml:space="preserve"> është përfunduar nga BSH</w:t>
      </w:r>
      <w:r w:rsidR="00C1536D" w:rsidRPr="00050FA4">
        <w:rPr>
          <w:lang w:val="sq-AL"/>
        </w:rPr>
        <w:t>-ja</w:t>
      </w:r>
      <w:r w:rsidRPr="00050FA4">
        <w:rPr>
          <w:lang w:val="sq-AL"/>
        </w:rPr>
        <w:t xml:space="preserve"> </w:t>
      </w:r>
      <w:r w:rsidR="00C1536D" w:rsidRPr="00050FA4">
        <w:rPr>
          <w:lang w:val="sq-AL"/>
        </w:rPr>
        <w:t>m</w:t>
      </w:r>
      <w:r w:rsidRPr="00050FA4">
        <w:rPr>
          <w:lang w:val="sq-AL"/>
        </w:rPr>
        <w:t>ë 2021</w:t>
      </w:r>
      <w:r w:rsidR="00C1536D" w:rsidRPr="00050FA4">
        <w:rPr>
          <w:lang w:val="sq-AL"/>
        </w:rPr>
        <w:t>-shin</w:t>
      </w:r>
      <w:r w:rsidRPr="00050FA4">
        <w:rPr>
          <w:lang w:val="sq-AL"/>
        </w:rPr>
        <w:t>. Ndër përfitimet e shumta, zbatimi i akteve ligjore</w:t>
      </w:r>
      <w:r w:rsidR="00C1536D" w:rsidRPr="00050FA4">
        <w:rPr>
          <w:lang w:val="sq-AL"/>
        </w:rPr>
        <w:t>,</w:t>
      </w:r>
      <w:r w:rsidRPr="00050FA4">
        <w:rPr>
          <w:lang w:val="sq-AL"/>
        </w:rPr>
        <w:t xml:space="preserve"> që transpozojnë direktivën PAD mbështet arritjen e një shkalle të volumeve të pagesave</w:t>
      </w:r>
      <w:r w:rsidR="00C1536D" w:rsidRPr="00050FA4">
        <w:rPr>
          <w:lang w:val="sq-AL"/>
        </w:rPr>
        <w:t>,</w:t>
      </w:r>
      <w:r w:rsidRPr="00050FA4">
        <w:rPr>
          <w:lang w:val="sq-AL"/>
        </w:rPr>
        <w:t xml:space="preserve"> duke përcaktuar kriteret për përdorimin e një </w:t>
      </w:r>
      <w:r w:rsidR="008A0E5B" w:rsidRPr="00050FA4">
        <w:rPr>
          <w:lang w:val="sq-AL"/>
        </w:rPr>
        <w:t>“</w:t>
      </w:r>
      <w:r w:rsidRPr="00050FA4">
        <w:rPr>
          <w:lang w:val="sq-AL"/>
        </w:rPr>
        <w:t>llogarie bazë</w:t>
      </w:r>
      <w:r w:rsidR="008A0E5B" w:rsidRPr="00050FA4">
        <w:rPr>
          <w:lang w:val="sq-AL"/>
        </w:rPr>
        <w:t>”</w:t>
      </w:r>
      <w:r w:rsidR="00C1536D" w:rsidRPr="00050FA4">
        <w:rPr>
          <w:lang w:val="sq-AL"/>
        </w:rPr>
        <w:t>,</w:t>
      </w:r>
      <w:r w:rsidRPr="00050FA4">
        <w:rPr>
          <w:lang w:val="sq-AL"/>
        </w:rPr>
        <w:t xml:space="preserve"> e cila nuk ka kosto, ose një kosto të ulët,</w:t>
      </w:r>
      <w:r w:rsidR="009B1D6B" w:rsidRPr="00050FA4">
        <w:rPr>
          <w:lang w:val="sq-AL"/>
        </w:rPr>
        <w:t xml:space="preserve"> </w:t>
      </w:r>
      <w:r w:rsidRPr="00050FA4">
        <w:rPr>
          <w:lang w:val="sq-AL"/>
        </w:rPr>
        <w:t xml:space="preserve">për mbajtësin. Si e tillë, ajo do të ndihmojë, përtej segmenteve të tjera të tregut, edhe qeverinë që të përdorë produktet e </w:t>
      </w:r>
      <w:r w:rsidR="008A0E5B" w:rsidRPr="00050FA4">
        <w:rPr>
          <w:lang w:val="sq-AL"/>
        </w:rPr>
        <w:t>“</w:t>
      </w:r>
      <w:r w:rsidRPr="00050FA4">
        <w:rPr>
          <w:lang w:val="sq-AL"/>
        </w:rPr>
        <w:t>llogarisë bazë</w:t>
      </w:r>
      <w:r w:rsidR="008A0E5B" w:rsidRPr="00050FA4">
        <w:rPr>
          <w:lang w:val="sq-AL"/>
        </w:rPr>
        <w:t>”</w:t>
      </w:r>
      <w:r w:rsidRPr="00050FA4">
        <w:rPr>
          <w:lang w:val="sq-AL"/>
        </w:rPr>
        <w:t xml:space="preserve"> për të zgjeruar pagesat e saj, duke përfshirë pensionet dhe asistencat e papunësisë. Kështu, transpozimi krijon parakushtet për të përfshirë financiarisht edhe popullsinë</w:t>
      </w:r>
      <w:r w:rsidR="00C1536D" w:rsidRPr="00050FA4">
        <w:rPr>
          <w:lang w:val="sq-AL"/>
        </w:rPr>
        <w:t>,</w:t>
      </w:r>
      <w:r w:rsidRPr="00050FA4">
        <w:rPr>
          <w:lang w:val="sq-AL"/>
        </w:rPr>
        <w:t xml:space="preserve"> që </w:t>
      </w:r>
      <w:r w:rsidR="0026453E" w:rsidRPr="00050FA4">
        <w:rPr>
          <w:lang w:val="sq-AL"/>
        </w:rPr>
        <w:t>merr</w:t>
      </w:r>
      <w:r w:rsidRPr="00050FA4">
        <w:rPr>
          <w:lang w:val="sq-AL"/>
        </w:rPr>
        <w:t xml:space="preserve"> pagesat e sigurimeve shoqërore, pensionistët dhe studentët, duke llogaritur që nuk do </w:t>
      </w:r>
      <w:r w:rsidRPr="00050FA4">
        <w:rPr>
          <w:lang w:val="sq-AL"/>
        </w:rPr>
        <w:lastRenderedPageBreak/>
        <w:t xml:space="preserve">të përballen me kosto në </w:t>
      </w:r>
      <w:r w:rsidR="008A0E5B" w:rsidRPr="00050FA4">
        <w:rPr>
          <w:lang w:val="sq-AL"/>
        </w:rPr>
        <w:t>“</w:t>
      </w:r>
      <w:r w:rsidRPr="00050FA4">
        <w:rPr>
          <w:lang w:val="sq-AL"/>
        </w:rPr>
        <w:t>llogarinë bazë</w:t>
      </w:r>
      <w:r w:rsidR="008A0E5B" w:rsidRPr="00050FA4">
        <w:rPr>
          <w:lang w:val="sq-AL"/>
        </w:rPr>
        <w:t>”</w:t>
      </w:r>
      <w:r w:rsidRPr="00050FA4">
        <w:rPr>
          <w:lang w:val="sq-AL"/>
        </w:rPr>
        <w:t>. Përdorimi i llogarisë bazë për këtë qëllim është pjesë e SKPVV</w:t>
      </w:r>
      <w:r w:rsidRPr="00050FA4">
        <w:rPr>
          <w:rStyle w:val="FootnoteReference"/>
          <w:vertAlign w:val="baseline"/>
          <w:lang w:val="sq-AL"/>
        </w:rPr>
        <w:footnoteReference w:id="11"/>
      </w:r>
      <w:r w:rsidRPr="00050FA4">
        <w:rPr>
          <w:lang w:val="sq-AL"/>
        </w:rPr>
        <w:t>, si edhe pjesë e raportit të Bankës Botërore mbi Digjitalizimin e Pagesave të Qeverisë, e cila bazohet në të dhënat publike dhe takimet bilaterale me agjenci të ndryshme qeveritare. Rezultatet u ndanë me lojtarët e tregut dhe u prezantuan në takimin e pestë të Komitetit Kombëtar të Sistemit të Pagesave</w:t>
      </w:r>
      <w:r w:rsidRPr="00050FA4">
        <w:rPr>
          <w:rStyle w:val="FootnoteReference"/>
          <w:lang w:val="sq-AL"/>
        </w:rPr>
        <w:footnoteReference w:id="12"/>
      </w:r>
      <w:r w:rsidRPr="00050FA4">
        <w:rPr>
          <w:lang w:val="sq-AL"/>
        </w:rPr>
        <w:t>.</w:t>
      </w:r>
    </w:p>
    <w:p w14:paraId="63098BFD" w14:textId="3073AF2E" w:rsidR="00B9064C" w:rsidRPr="00050FA4" w:rsidRDefault="001C36BA" w:rsidP="003F1DA7">
      <w:pPr>
        <w:pStyle w:val="AAAAAAATEXXXX"/>
        <w:rPr>
          <w:lang w:val="sq-AL"/>
        </w:rPr>
      </w:pPr>
      <w:r w:rsidRPr="00050FA4">
        <w:rPr>
          <w:lang w:val="sq-AL"/>
        </w:rPr>
        <w:t xml:space="preserve">2. </w:t>
      </w:r>
      <w:r w:rsidR="00B9064C" w:rsidRPr="00050FA4">
        <w:rPr>
          <w:lang w:val="sq-AL"/>
        </w:rPr>
        <w:t>Përmirësimet infrastrukturore dhe teknologjike</w:t>
      </w:r>
      <w:r w:rsidR="00C1536D" w:rsidRPr="00050FA4">
        <w:rPr>
          <w:lang w:val="sq-AL"/>
        </w:rPr>
        <w:t>,</w:t>
      </w:r>
      <w:r w:rsidR="00B9064C" w:rsidRPr="00050FA4">
        <w:rPr>
          <w:lang w:val="sq-AL"/>
        </w:rPr>
        <w:t xml:space="preserve"> si:</w:t>
      </w:r>
    </w:p>
    <w:p w14:paraId="004C6179" w14:textId="33DC1241" w:rsidR="00B9064C" w:rsidRPr="00050FA4" w:rsidRDefault="001C36BA" w:rsidP="003F1DA7">
      <w:pPr>
        <w:pStyle w:val="AAAAAAATEXXXX"/>
        <w:rPr>
          <w:lang w:val="sq-AL"/>
        </w:rPr>
      </w:pPr>
      <w:r w:rsidRPr="00050FA4">
        <w:rPr>
          <w:lang w:val="sq-AL"/>
        </w:rPr>
        <w:t>a</w:t>
      </w:r>
      <w:r w:rsidR="006A4152" w:rsidRPr="00050FA4">
        <w:rPr>
          <w:lang w:val="sq-AL"/>
        </w:rPr>
        <w:t>)</w:t>
      </w:r>
      <w:r w:rsidRPr="00050FA4">
        <w:rPr>
          <w:lang w:val="sq-AL"/>
        </w:rPr>
        <w:t xml:space="preserve"> </w:t>
      </w:r>
      <w:r w:rsidR="00B9064C" w:rsidRPr="00050FA4">
        <w:rPr>
          <w:lang w:val="sq-AL"/>
        </w:rPr>
        <w:t>Mundësia e implementimit të një platforme kombëtare të procesimit të kartave (SWITCH/pagesa të menjëhershme). Një studim fizibiliteti është hartuar me mbështetjen e Bankës Botërore në vitin 2021. Raporti theksoi se tregu shqiptar duhet të përqendrohet më tepër në zgjidhjen e pagesave të menjëhershme se sa në platformën S</w:t>
      </w:r>
      <w:r w:rsidR="00A129DA" w:rsidRPr="00050FA4">
        <w:rPr>
          <w:lang w:val="sq-AL"/>
        </w:rPr>
        <w:t>W</w:t>
      </w:r>
      <w:r w:rsidR="00B9064C" w:rsidRPr="00050FA4">
        <w:rPr>
          <w:lang w:val="sq-AL"/>
        </w:rPr>
        <w:t>ITCH. Një infrastrukturë pagesash të menjëhershme do të plotësonte nevojat dhe mundësitë për investime nga tregu</w:t>
      </w:r>
      <w:r w:rsidR="002409F9" w:rsidRPr="00050FA4">
        <w:rPr>
          <w:lang w:val="sq-AL"/>
        </w:rPr>
        <w:t>;</w:t>
      </w:r>
    </w:p>
    <w:p w14:paraId="0D441C67" w14:textId="6A196499" w:rsidR="00B9064C" w:rsidRPr="00050FA4" w:rsidRDefault="001C36BA" w:rsidP="003F1DA7">
      <w:pPr>
        <w:pStyle w:val="AAAAAAATEXXXX"/>
        <w:rPr>
          <w:lang w:val="sq-AL"/>
        </w:rPr>
      </w:pPr>
      <w:r w:rsidRPr="00050FA4">
        <w:rPr>
          <w:lang w:val="sq-AL"/>
        </w:rPr>
        <w:t>b</w:t>
      </w:r>
      <w:r w:rsidR="006A4152" w:rsidRPr="00050FA4">
        <w:rPr>
          <w:lang w:val="sq-AL"/>
        </w:rPr>
        <w:t>)</w:t>
      </w:r>
      <w:r w:rsidRPr="00050FA4">
        <w:rPr>
          <w:lang w:val="sq-AL"/>
        </w:rPr>
        <w:t xml:space="preserve"> </w:t>
      </w:r>
      <w:r w:rsidR="00B9064C" w:rsidRPr="00050FA4">
        <w:rPr>
          <w:lang w:val="sq-AL"/>
        </w:rPr>
        <w:t>Implementimi i skemave të debitimit direkt ndërmjet bankave. Kuadri rregullativ është hartuar dhe infrastruktura është e ngritur</w:t>
      </w:r>
      <w:r w:rsidR="002409F9" w:rsidRPr="00050FA4">
        <w:rPr>
          <w:lang w:val="sq-AL"/>
        </w:rPr>
        <w:t>;</w:t>
      </w:r>
    </w:p>
    <w:p w14:paraId="09024CCD" w14:textId="43099305" w:rsidR="00B9064C" w:rsidRPr="00050FA4" w:rsidRDefault="001C36BA" w:rsidP="003F1DA7">
      <w:pPr>
        <w:pStyle w:val="AAAAAAATEXXXX"/>
        <w:rPr>
          <w:lang w:val="sq-AL"/>
        </w:rPr>
      </w:pPr>
      <w:r w:rsidRPr="00050FA4">
        <w:rPr>
          <w:lang w:val="sq-AL"/>
        </w:rPr>
        <w:t>c</w:t>
      </w:r>
      <w:r w:rsidR="006A4152" w:rsidRPr="00050FA4">
        <w:rPr>
          <w:lang w:val="sq-AL"/>
        </w:rPr>
        <w:t>)</w:t>
      </w:r>
      <w:r w:rsidRPr="00050FA4">
        <w:rPr>
          <w:lang w:val="sq-AL"/>
        </w:rPr>
        <w:t xml:space="preserve"> </w:t>
      </w:r>
      <w:r w:rsidR="00B9064C" w:rsidRPr="00050FA4">
        <w:rPr>
          <w:lang w:val="sq-AL"/>
        </w:rPr>
        <w:t xml:space="preserve">Zbatimi i një sistemi për klerimin e transfertave në euro për pagesat </w:t>
      </w:r>
      <w:r w:rsidR="00643BAF" w:rsidRPr="00050FA4">
        <w:rPr>
          <w:lang w:val="sq-AL"/>
        </w:rPr>
        <w:t>vendës</w:t>
      </w:r>
      <w:r w:rsidR="00B9064C" w:rsidRPr="00050FA4">
        <w:rPr>
          <w:lang w:val="sq-AL"/>
        </w:rPr>
        <w:t>e. Sistemi është ndërtuar nga BSH</w:t>
      </w:r>
      <w:r w:rsidR="002409F9" w:rsidRPr="00050FA4">
        <w:rPr>
          <w:lang w:val="sq-AL"/>
        </w:rPr>
        <w:t>-ja</w:t>
      </w:r>
      <w:r w:rsidR="00B9064C" w:rsidRPr="00050FA4">
        <w:rPr>
          <w:lang w:val="sq-AL"/>
        </w:rPr>
        <w:t xml:space="preserve"> dhe pritet të jetë funksional në vitin 2022</w:t>
      </w:r>
      <w:r w:rsidR="002409F9" w:rsidRPr="00050FA4">
        <w:rPr>
          <w:lang w:val="sq-AL"/>
        </w:rPr>
        <w:t>;</w:t>
      </w:r>
    </w:p>
    <w:p w14:paraId="38490ADD" w14:textId="1274247E" w:rsidR="00B9064C" w:rsidRPr="00050FA4" w:rsidRDefault="001C36BA" w:rsidP="003F1DA7">
      <w:pPr>
        <w:pStyle w:val="AAAAAAATEXXXX"/>
        <w:rPr>
          <w:lang w:val="sq-AL"/>
        </w:rPr>
      </w:pPr>
      <w:r w:rsidRPr="00050FA4">
        <w:rPr>
          <w:lang w:val="sq-AL"/>
        </w:rPr>
        <w:t>d</w:t>
      </w:r>
      <w:r w:rsidR="006A4152" w:rsidRPr="00050FA4">
        <w:rPr>
          <w:lang w:val="sq-AL"/>
        </w:rPr>
        <w:t>)</w:t>
      </w:r>
      <w:r w:rsidRPr="00050FA4">
        <w:rPr>
          <w:lang w:val="sq-AL"/>
        </w:rPr>
        <w:t xml:space="preserve"> </w:t>
      </w:r>
      <w:r w:rsidR="00B9064C" w:rsidRPr="00050FA4">
        <w:rPr>
          <w:lang w:val="sq-AL"/>
        </w:rPr>
        <w:t xml:space="preserve">Operacionalizimi i kategorisë së </w:t>
      </w:r>
      <w:r w:rsidR="008A0E5B" w:rsidRPr="00050FA4">
        <w:rPr>
          <w:lang w:val="sq-AL"/>
        </w:rPr>
        <w:t>“</w:t>
      </w:r>
      <w:r w:rsidR="00B9064C" w:rsidRPr="00050FA4">
        <w:rPr>
          <w:lang w:val="sq-AL"/>
        </w:rPr>
        <w:t>pjesëmarrjes indirekte</w:t>
      </w:r>
      <w:r w:rsidR="008A0E5B" w:rsidRPr="00050FA4">
        <w:rPr>
          <w:lang w:val="sq-AL"/>
        </w:rPr>
        <w:t>”</w:t>
      </w:r>
      <w:r w:rsidR="00B9064C" w:rsidRPr="00050FA4">
        <w:rPr>
          <w:lang w:val="sq-AL"/>
        </w:rPr>
        <w:t xml:space="preserve"> në AECH (e arritur që në vitin 2020 – por mungon interesi nga tregu për të marrë pjesë në sistem deri në vitin 2021).</w:t>
      </w:r>
    </w:p>
    <w:p w14:paraId="6EBB44EE" w14:textId="7D5318C7" w:rsidR="00DB22AB" w:rsidRPr="00050FA4" w:rsidRDefault="001C36BA" w:rsidP="003F1DA7">
      <w:pPr>
        <w:pStyle w:val="AAAAAAATEXXXX"/>
        <w:rPr>
          <w:b/>
          <w:lang w:val="sq-AL"/>
        </w:rPr>
      </w:pPr>
      <w:r w:rsidRPr="00050FA4">
        <w:rPr>
          <w:b/>
          <w:lang w:val="sq-AL"/>
        </w:rPr>
        <w:t>a</w:t>
      </w:r>
      <w:r w:rsidR="006A4152" w:rsidRPr="00050FA4">
        <w:rPr>
          <w:b/>
          <w:lang w:val="sq-AL"/>
        </w:rPr>
        <w:t>)</w:t>
      </w:r>
      <w:r w:rsidRPr="00050FA4">
        <w:rPr>
          <w:b/>
          <w:lang w:val="sq-AL"/>
        </w:rPr>
        <w:t xml:space="preserve"> </w:t>
      </w:r>
      <w:r w:rsidR="00B2062A" w:rsidRPr="00050FA4">
        <w:rPr>
          <w:b/>
          <w:lang w:val="sq-AL"/>
        </w:rPr>
        <w:t xml:space="preserve">Aktivitete të planifikuara </w:t>
      </w:r>
      <w:r w:rsidR="002409F9" w:rsidRPr="00050FA4">
        <w:rPr>
          <w:b/>
          <w:lang w:val="sq-AL"/>
        </w:rPr>
        <w:t>m</w:t>
      </w:r>
      <w:r w:rsidR="00B2062A" w:rsidRPr="00050FA4">
        <w:rPr>
          <w:b/>
          <w:lang w:val="sq-AL"/>
        </w:rPr>
        <w:t>ë</w:t>
      </w:r>
      <w:r w:rsidR="00DB22AB" w:rsidRPr="00050FA4">
        <w:rPr>
          <w:b/>
          <w:lang w:val="sq-AL"/>
        </w:rPr>
        <w:t xml:space="preserve"> 2022</w:t>
      </w:r>
      <w:r w:rsidR="002409F9" w:rsidRPr="00050FA4">
        <w:rPr>
          <w:b/>
          <w:lang w:val="sq-AL"/>
        </w:rPr>
        <w:t>-shin</w:t>
      </w:r>
    </w:p>
    <w:p w14:paraId="3305433E" w14:textId="46CF5CF3" w:rsidR="00635B15" w:rsidRPr="00050FA4" w:rsidRDefault="001C36BA" w:rsidP="003F1DA7">
      <w:pPr>
        <w:pStyle w:val="AAAAAAATEXXXX"/>
        <w:rPr>
          <w:rFonts w:eastAsia="SimSun"/>
          <w:lang w:val="sq-AL"/>
        </w:rPr>
      </w:pPr>
      <w:r w:rsidRPr="00050FA4">
        <w:rPr>
          <w:rFonts w:eastAsia="SimSun"/>
          <w:lang w:val="sq-AL"/>
        </w:rPr>
        <w:t>a</w:t>
      </w:r>
      <w:r w:rsidR="006A4152" w:rsidRPr="00050FA4">
        <w:rPr>
          <w:rFonts w:eastAsia="SimSun"/>
          <w:lang w:val="sq-AL"/>
        </w:rPr>
        <w:t>)</w:t>
      </w:r>
      <w:r w:rsidRPr="00050FA4">
        <w:rPr>
          <w:rFonts w:eastAsia="SimSun"/>
          <w:lang w:val="sq-AL"/>
        </w:rPr>
        <w:t xml:space="preserve"> </w:t>
      </w:r>
      <w:r w:rsidR="00635B15" w:rsidRPr="00050FA4">
        <w:rPr>
          <w:rFonts w:eastAsia="SimSun"/>
          <w:lang w:val="sq-AL"/>
        </w:rPr>
        <w:t>Aprovimi i akteve ligjore që transpozojnë direktivën e</w:t>
      </w:r>
      <w:r w:rsidR="00B9064C" w:rsidRPr="00050FA4">
        <w:rPr>
          <w:rFonts w:eastAsia="SimSun"/>
          <w:lang w:val="sq-AL"/>
        </w:rPr>
        <w:t xml:space="preserve"> BE</w:t>
      </w:r>
      <w:r w:rsidR="002409F9" w:rsidRPr="00050FA4">
        <w:rPr>
          <w:rFonts w:eastAsia="SimSun"/>
          <w:lang w:val="sq-AL"/>
        </w:rPr>
        <w:t>-së</w:t>
      </w:r>
      <w:r w:rsidR="00B9064C" w:rsidRPr="00050FA4">
        <w:rPr>
          <w:rFonts w:eastAsia="SimSun"/>
          <w:lang w:val="sq-AL"/>
        </w:rPr>
        <w:t xml:space="preserve"> </w:t>
      </w:r>
      <w:r w:rsidR="008A0E5B" w:rsidRPr="00050FA4">
        <w:rPr>
          <w:rFonts w:eastAsia="SimSun"/>
          <w:lang w:val="sq-AL"/>
        </w:rPr>
        <w:t>“</w:t>
      </w:r>
      <w:r w:rsidR="00B9064C" w:rsidRPr="00050FA4">
        <w:rPr>
          <w:rFonts w:eastAsia="SimSun"/>
          <w:lang w:val="sq-AL"/>
        </w:rPr>
        <w:t>Mbi llogarinë e pagesave</w:t>
      </w:r>
      <w:r w:rsidR="008A0E5B" w:rsidRPr="00050FA4">
        <w:rPr>
          <w:rFonts w:eastAsia="SimSun"/>
          <w:lang w:val="sq-AL"/>
        </w:rPr>
        <w:t>”</w:t>
      </w:r>
      <w:r w:rsidR="002409F9" w:rsidRPr="00050FA4">
        <w:rPr>
          <w:rFonts w:eastAsia="SimSun"/>
          <w:lang w:val="sq-AL"/>
        </w:rPr>
        <w:t>;</w:t>
      </w:r>
    </w:p>
    <w:p w14:paraId="6BF15F7D" w14:textId="27A3FC14" w:rsidR="00635B15" w:rsidRPr="00050FA4" w:rsidRDefault="001C36BA" w:rsidP="003F1DA7">
      <w:pPr>
        <w:pStyle w:val="AAAAAAATEXXXX"/>
        <w:rPr>
          <w:rFonts w:eastAsia="SimSun"/>
          <w:lang w:val="sq-AL"/>
        </w:rPr>
      </w:pPr>
      <w:r w:rsidRPr="00050FA4">
        <w:rPr>
          <w:rFonts w:eastAsia="SimSun"/>
          <w:lang w:val="sq-AL"/>
        </w:rPr>
        <w:t>b</w:t>
      </w:r>
      <w:r w:rsidR="006A4152" w:rsidRPr="00050FA4">
        <w:rPr>
          <w:rFonts w:eastAsia="SimSun"/>
          <w:lang w:val="sq-AL"/>
        </w:rPr>
        <w:t>)</w:t>
      </w:r>
      <w:r w:rsidRPr="00050FA4">
        <w:rPr>
          <w:rFonts w:eastAsia="SimSun"/>
          <w:lang w:val="sq-AL"/>
        </w:rPr>
        <w:t xml:space="preserve"> </w:t>
      </w:r>
      <w:r w:rsidR="00635B15" w:rsidRPr="00050FA4">
        <w:rPr>
          <w:rFonts w:eastAsia="SimSun"/>
          <w:lang w:val="sq-AL"/>
        </w:rPr>
        <w:t xml:space="preserve">Zbatimi i </w:t>
      </w:r>
      <w:r w:rsidR="008A0E5B" w:rsidRPr="00050FA4">
        <w:rPr>
          <w:rFonts w:eastAsia="SimSun"/>
          <w:lang w:val="sq-AL"/>
        </w:rPr>
        <w:t>“</w:t>
      </w:r>
      <w:r w:rsidR="00635B15" w:rsidRPr="00050FA4">
        <w:rPr>
          <w:rFonts w:eastAsia="SimSun"/>
          <w:lang w:val="sq-AL"/>
        </w:rPr>
        <w:t xml:space="preserve">Ligjit mbi </w:t>
      </w:r>
      <w:r w:rsidR="002409F9" w:rsidRPr="00050FA4">
        <w:rPr>
          <w:rFonts w:eastAsia="SimSun"/>
          <w:lang w:val="sq-AL"/>
        </w:rPr>
        <w:t>shërbimet e pagesave</w:t>
      </w:r>
      <w:r w:rsidR="008A0E5B" w:rsidRPr="00050FA4">
        <w:rPr>
          <w:rFonts w:eastAsia="SimSun"/>
          <w:lang w:val="sq-AL"/>
        </w:rPr>
        <w:t>”</w:t>
      </w:r>
      <w:r w:rsidR="00635B15" w:rsidRPr="00050FA4">
        <w:rPr>
          <w:rFonts w:eastAsia="SimSun"/>
          <w:lang w:val="sq-AL"/>
        </w:rPr>
        <w:t xml:space="preserve"> dhe kuadri rregullativ i zbatimit të ligjit nga tregu</w:t>
      </w:r>
      <w:r w:rsidR="002409F9" w:rsidRPr="00050FA4">
        <w:rPr>
          <w:rFonts w:eastAsia="SimSun"/>
          <w:lang w:val="sq-AL"/>
        </w:rPr>
        <w:t>;</w:t>
      </w:r>
    </w:p>
    <w:p w14:paraId="25E92091" w14:textId="7C600ACD" w:rsidR="00635B15" w:rsidRPr="00050FA4" w:rsidRDefault="001C36BA" w:rsidP="003F1DA7">
      <w:pPr>
        <w:pStyle w:val="AAAAAAATEXXXX"/>
        <w:rPr>
          <w:rFonts w:eastAsia="SimSun"/>
          <w:lang w:val="sq-AL"/>
        </w:rPr>
      </w:pPr>
      <w:r w:rsidRPr="00050FA4">
        <w:rPr>
          <w:rFonts w:eastAsia="SimSun"/>
          <w:lang w:val="sq-AL"/>
        </w:rPr>
        <w:t>c</w:t>
      </w:r>
      <w:r w:rsidR="006A4152" w:rsidRPr="00050FA4">
        <w:rPr>
          <w:rFonts w:eastAsia="SimSun"/>
          <w:lang w:val="sq-AL"/>
        </w:rPr>
        <w:t>)</w:t>
      </w:r>
      <w:r w:rsidRPr="00050FA4">
        <w:rPr>
          <w:rFonts w:eastAsia="SimSun"/>
          <w:lang w:val="sq-AL"/>
        </w:rPr>
        <w:t xml:space="preserve"> </w:t>
      </w:r>
      <w:r w:rsidR="00635B15" w:rsidRPr="00050FA4">
        <w:rPr>
          <w:rFonts w:eastAsia="SimSun"/>
          <w:lang w:val="sq-AL"/>
        </w:rPr>
        <w:t xml:space="preserve">Sistemi për klerimin e pagesave </w:t>
      </w:r>
      <w:r w:rsidR="00643BAF" w:rsidRPr="00050FA4">
        <w:rPr>
          <w:rFonts w:eastAsia="SimSun"/>
          <w:lang w:val="sq-AL"/>
        </w:rPr>
        <w:t>vendës</w:t>
      </w:r>
      <w:r w:rsidR="00635B15" w:rsidRPr="00050FA4">
        <w:rPr>
          <w:rFonts w:eastAsia="SimSun"/>
          <w:lang w:val="sq-AL"/>
        </w:rPr>
        <w:t>e në euro do të jetë funksional</w:t>
      </w:r>
      <w:r w:rsidR="002409F9" w:rsidRPr="00050FA4">
        <w:rPr>
          <w:rFonts w:eastAsia="SimSun"/>
          <w:lang w:val="sq-AL"/>
        </w:rPr>
        <w:t>;</w:t>
      </w:r>
    </w:p>
    <w:p w14:paraId="5287CF57" w14:textId="5E3872A3" w:rsidR="00635B15" w:rsidRPr="00050FA4" w:rsidRDefault="001C36BA" w:rsidP="003F1DA7">
      <w:pPr>
        <w:pStyle w:val="AAAAAAATEXXXX"/>
        <w:rPr>
          <w:rFonts w:eastAsia="SimSun"/>
          <w:lang w:val="sq-AL"/>
        </w:rPr>
      </w:pPr>
      <w:r w:rsidRPr="00050FA4">
        <w:rPr>
          <w:rFonts w:eastAsia="SimSun"/>
          <w:lang w:val="sq-AL"/>
        </w:rPr>
        <w:t>d</w:t>
      </w:r>
      <w:r w:rsidR="006A4152" w:rsidRPr="00050FA4">
        <w:rPr>
          <w:rFonts w:eastAsia="SimSun"/>
          <w:lang w:val="sq-AL"/>
        </w:rPr>
        <w:t>)</w:t>
      </w:r>
      <w:r w:rsidRPr="00050FA4">
        <w:rPr>
          <w:rFonts w:eastAsia="SimSun"/>
          <w:lang w:val="sq-AL"/>
        </w:rPr>
        <w:t xml:space="preserve"> </w:t>
      </w:r>
      <w:r w:rsidR="00635B15" w:rsidRPr="00050FA4">
        <w:rPr>
          <w:rFonts w:eastAsia="SimSun"/>
          <w:lang w:val="sq-AL"/>
        </w:rPr>
        <w:t>Debitimi direkt ndërmjet</w:t>
      </w:r>
      <w:r w:rsidR="002409F9" w:rsidRPr="00050FA4">
        <w:rPr>
          <w:rFonts w:eastAsia="SimSun"/>
          <w:lang w:val="sq-AL"/>
        </w:rPr>
        <w:t xml:space="preserve"> bankave do të jetë funksional </w:t>
      </w:r>
      <w:r w:rsidR="00635B15" w:rsidRPr="00050FA4">
        <w:rPr>
          <w:rFonts w:eastAsia="SimSun"/>
          <w:lang w:val="sq-AL"/>
        </w:rPr>
        <w:t>dhe gjithë mandatet e debitimit direkt ekzistuese do të zbatojnë rregullat e skemës</w:t>
      </w:r>
      <w:r w:rsidR="002409F9" w:rsidRPr="00050FA4">
        <w:rPr>
          <w:rFonts w:eastAsia="SimSun"/>
          <w:lang w:val="sq-AL"/>
        </w:rPr>
        <w:t>;</w:t>
      </w:r>
    </w:p>
    <w:p w14:paraId="6CB8B045" w14:textId="0129A169" w:rsidR="00635B15" w:rsidRPr="00050FA4" w:rsidRDefault="001C36BA" w:rsidP="003F1DA7">
      <w:pPr>
        <w:pStyle w:val="AAAAAAATEXXXX"/>
        <w:rPr>
          <w:rFonts w:eastAsia="SimSun"/>
          <w:lang w:val="sq-AL"/>
        </w:rPr>
      </w:pPr>
      <w:r w:rsidRPr="00050FA4">
        <w:rPr>
          <w:rFonts w:eastAsia="SimSun"/>
          <w:lang w:val="sq-AL"/>
        </w:rPr>
        <w:t>e</w:t>
      </w:r>
      <w:r w:rsidR="006A4152" w:rsidRPr="00050FA4">
        <w:rPr>
          <w:rFonts w:eastAsia="SimSun"/>
          <w:lang w:val="sq-AL"/>
        </w:rPr>
        <w:t>)</w:t>
      </w:r>
      <w:r w:rsidRPr="00050FA4">
        <w:rPr>
          <w:rFonts w:eastAsia="SimSun"/>
          <w:lang w:val="sq-AL"/>
        </w:rPr>
        <w:t xml:space="preserve"> </w:t>
      </w:r>
      <w:r w:rsidR="00635B15" w:rsidRPr="00050FA4">
        <w:rPr>
          <w:rFonts w:eastAsia="SimSun"/>
          <w:lang w:val="sq-AL"/>
        </w:rPr>
        <w:t>Promovimi i infrastrukturës për pagesat e menjëhershme, i cili i përshtatet më mirë nevojave të tregut dhe justifikon kostot e investimit e bazuar në zhvillimin e tregut.</w:t>
      </w:r>
    </w:p>
    <w:p w14:paraId="23F609F4" w14:textId="20522204" w:rsidR="00DB22AB" w:rsidRPr="00050FA4" w:rsidRDefault="001C36BA" w:rsidP="003F1DA7">
      <w:pPr>
        <w:pStyle w:val="AAAAAAATEXXXX"/>
        <w:rPr>
          <w:b/>
          <w:lang w:val="sq-AL"/>
        </w:rPr>
      </w:pPr>
      <w:r w:rsidRPr="00050FA4">
        <w:rPr>
          <w:b/>
          <w:lang w:val="sq-AL"/>
        </w:rPr>
        <w:t>b</w:t>
      </w:r>
      <w:r w:rsidR="006A4152" w:rsidRPr="00050FA4">
        <w:rPr>
          <w:b/>
          <w:lang w:val="sq-AL"/>
        </w:rPr>
        <w:t>)</w:t>
      </w:r>
      <w:r w:rsidRPr="00050FA4">
        <w:rPr>
          <w:b/>
          <w:lang w:val="sq-AL"/>
        </w:rPr>
        <w:t xml:space="preserve"> </w:t>
      </w:r>
      <w:r w:rsidR="00B2062A" w:rsidRPr="00050FA4">
        <w:rPr>
          <w:b/>
          <w:lang w:val="sq-AL"/>
        </w:rPr>
        <w:t xml:space="preserve">Aktivitete të planifikuara </w:t>
      </w:r>
      <w:r w:rsidR="002409F9" w:rsidRPr="00050FA4">
        <w:rPr>
          <w:b/>
          <w:lang w:val="sq-AL"/>
        </w:rPr>
        <w:t>m</w:t>
      </w:r>
      <w:r w:rsidR="00B2062A" w:rsidRPr="00050FA4">
        <w:rPr>
          <w:b/>
          <w:lang w:val="sq-AL"/>
        </w:rPr>
        <w:t>ë</w:t>
      </w:r>
      <w:r w:rsidR="00DB22AB" w:rsidRPr="00050FA4">
        <w:rPr>
          <w:b/>
          <w:lang w:val="sq-AL"/>
        </w:rPr>
        <w:t xml:space="preserve"> 2023</w:t>
      </w:r>
      <w:r w:rsidR="002409F9" w:rsidRPr="00050FA4">
        <w:rPr>
          <w:b/>
          <w:lang w:val="sq-AL"/>
        </w:rPr>
        <w:t>-shin</w:t>
      </w:r>
    </w:p>
    <w:p w14:paraId="35F2B41F" w14:textId="72301913" w:rsidR="00635B15" w:rsidRPr="00050FA4" w:rsidRDefault="001C36BA" w:rsidP="003F1DA7">
      <w:pPr>
        <w:pStyle w:val="AAAAAAATEXXXX"/>
        <w:rPr>
          <w:lang w:val="sq-AL"/>
        </w:rPr>
      </w:pPr>
      <w:r w:rsidRPr="00050FA4">
        <w:rPr>
          <w:rFonts w:eastAsia="SimSun"/>
          <w:lang w:val="sq-AL"/>
        </w:rPr>
        <w:t>a</w:t>
      </w:r>
      <w:r w:rsidR="006A4152" w:rsidRPr="00050FA4">
        <w:rPr>
          <w:rFonts w:eastAsia="SimSun"/>
          <w:lang w:val="sq-AL"/>
        </w:rPr>
        <w:t xml:space="preserve">) </w:t>
      </w:r>
      <w:r w:rsidR="00635B15" w:rsidRPr="00050FA4">
        <w:rPr>
          <w:rFonts w:eastAsia="SimSun"/>
          <w:lang w:val="sq-AL"/>
        </w:rPr>
        <w:t>Monitorimi i zbatimit dhe efekteve të objektivave/masave të realizuara si edhe vlerësimi i mundësisë për të zgjeruar punën e BSH</w:t>
      </w:r>
      <w:r w:rsidR="00ED1F8F" w:rsidRPr="00050FA4">
        <w:rPr>
          <w:rFonts w:eastAsia="SimSun"/>
          <w:lang w:val="sq-AL"/>
        </w:rPr>
        <w:t>-së</w:t>
      </w:r>
      <w:r w:rsidR="00635B15" w:rsidRPr="00050FA4">
        <w:rPr>
          <w:rFonts w:eastAsia="SimSun"/>
          <w:lang w:val="sq-AL"/>
        </w:rPr>
        <w:t xml:space="preserve"> dhe aktorëve të tjerë.</w:t>
      </w:r>
    </w:p>
    <w:p w14:paraId="63F534AA" w14:textId="345447C5" w:rsidR="00DB22AB" w:rsidRPr="00050FA4" w:rsidRDefault="001C36BA" w:rsidP="003F1DA7">
      <w:pPr>
        <w:pStyle w:val="AAAAAAATEXXXX"/>
        <w:rPr>
          <w:b/>
          <w:lang w:val="sq-AL"/>
        </w:rPr>
      </w:pPr>
      <w:r w:rsidRPr="00050FA4">
        <w:rPr>
          <w:b/>
          <w:lang w:val="sq-AL"/>
        </w:rPr>
        <w:t>c</w:t>
      </w:r>
      <w:r w:rsidR="006A4152" w:rsidRPr="00050FA4">
        <w:rPr>
          <w:b/>
          <w:lang w:val="sq-AL"/>
        </w:rPr>
        <w:t>)</w:t>
      </w:r>
      <w:r w:rsidRPr="00050FA4">
        <w:rPr>
          <w:b/>
          <w:lang w:val="sq-AL"/>
        </w:rPr>
        <w:t xml:space="preserve"> </w:t>
      </w:r>
      <w:r w:rsidR="00B2062A" w:rsidRPr="00050FA4">
        <w:rPr>
          <w:b/>
          <w:lang w:val="sq-AL"/>
        </w:rPr>
        <w:t xml:space="preserve">Aktivitete të planifikuara </w:t>
      </w:r>
      <w:r w:rsidR="002409F9" w:rsidRPr="00050FA4">
        <w:rPr>
          <w:b/>
          <w:lang w:val="sq-AL"/>
        </w:rPr>
        <w:t>m</w:t>
      </w:r>
      <w:r w:rsidR="00B2062A" w:rsidRPr="00050FA4">
        <w:rPr>
          <w:b/>
          <w:lang w:val="sq-AL"/>
        </w:rPr>
        <w:t>ë</w:t>
      </w:r>
      <w:r w:rsidR="00DB22AB" w:rsidRPr="00050FA4">
        <w:rPr>
          <w:b/>
          <w:lang w:val="sq-AL"/>
        </w:rPr>
        <w:t xml:space="preserve"> 2024</w:t>
      </w:r>
      <w:r w:rsidR="002409F9" w:rsidRPr="00050FA4">
        <w:rPr>
          <w:b/>
          <w:lang w:val="sq-AL"/>
        </w:rPr>
        <w:t>-ën</w:t>
      </w:r>
    </w:p>
    <w:p w14:paraId="50F240AA" w14:textId="123C3352" w:rsidR="00DB22AB" w:rsidRPr="00050FA4" w:rsidRDefault="00635B15" w:rsidP="003F1DA7">
      <w:pPr>
        <w:pStyle w:val="AAAAAAATEXXXX"/>
        <w:rPr>
          <w:bCs/>
          <w:lang w:val="sq-AL"/>
        </w:rPr>
      </w:pPr>
      <w:r w:rsidRPr="00050FA4">
        <w:rPr>
          <w:bCs/>
          <w:lang w:val="sq-AL"/>
        </w:rPr>
        <w:t>Nuk ka aktivitete të planifikuara</w:t>
      </w:r>
    </w:p>
    <w:p w14:paraId="4E7D35C6" w14:textId="1B021667" w:rsidR="00DB22AB" w:rsidRPr="00050FA4" w:rsidRDefault="001C36BA" w:rsidP="003F1DA7">
      <w:pPr>
        <w:pStyle w:val="AAAAAAATEXXXX"/>
        <w:rPr>
          <w:lang w:val="sq-AL"/>
        </w:rPr>
      </w:pPr>
      <w:r w:rsidRPr="00050FA4">
        <w:rPr>
          <w:lang w:val="sq-AL"/>
        </w:rPr>
        <w:t>2</w:t>
      </w:r>
      <w:r w:rsidR="00ED1F8F" w:rsidRPr="00050FA4">
        <w:rPr>
          <w:lang w:val="sq-AL"/>
        </w:rPr>
        <w:t>.</w:t>
      </w:r>
      <w:r w:rsidRPr="00050FA4">
        <w:rPr>
          <w:lang w:val="sq-AL"/>
        </w:rPr>
        <w:t xml:space="preserve"> </w:t>
      </w:r>
      <w:r w:rsidR="00B2062A" w:rsidRPr="00050FA4">
        <w:rPr>
          <w:lang w:val="sq-AL"/>
        </w:rPr>
        <w:t>Treguesit e rezultateve</w:t>
      </w:r>
    </w:p>
    <w:p w14:paraId="3A22355A" w14:textId="77777777" w:rsidR="00ED1F8F" w:rsidRPr="00050FA4" w:rsidRDefault="00ED1F8F" w:rsidP="003F1DA7">
      <w:pPr>
        <w:pStyle w:val="AAAAAAATEXXXX"/>
        <w:rPr>
          <w:lang w:val="sq-AL"/>
        </w:rPr>
      </w:pPr>
    </w:p>
    <w:tbl>
      <w:tblPr>
        <w:tblStyle w:val="TableGrid"/>
        <w:tblW w:w="0" w:type="auto"/>
        <w:jc w:val="center"/>
        <w:tblLook w:val="04A0" w:firstRow="1" w:lastRow="0" w:firstColumn="1" w:lastColumn="0" w:noHBand="0" w:noVBand="1"/>
      </w:tblPr>
      <w:tblGrid>
        <w:gridCol w:w="2544"/>
        <w:gridCol w:w="2524"/>
        <w:gridCol w:w="2524"/>
        <w:gridCol w:w="2524"/>
      </w:tblGrid>
      <w:tr w:rsidR="00FA29AB" w:rsidRPr="00050FA4" w14:paraId="53CE41B9" w14:textId="77777777" w:rsidTr="006A4152">
        <w:trPr>
          <w:jc w:val="center"/>
        </w:trPr>
        <w:tc>
          <w:tcPr>
            <w:tcW w:w="2585" w:type="dxa"/>
          </w:tcPr>
          <w:p w14:paraId="27333435" w14:textId="77777777" w:rsidR="00A129DA" w:rsidRPr="00050FA4" w:rsidRDefault="00A129DA" w:rsidP="006A4152">
            <w:pPr>
              <w:snapToGrid w:val="0"/>
              <w:jc w:val="center"/>
              <w:rPr>
                <w:rFonts w:ascii="Garamond" w:hAnsi="Garamond"/>
                <w:b/>
                <w:color w:val="0D0D0D" w:themeColor="text1" w:themeTint="F2"/>
                <w:sz w:val="18"/>
                <w:szCs w:val="18"/>
              </w:rPr>
            </w:pPr>
            <w:r w:rsidRPr="00050FA4">
              <w:rPr>
                <w:rFonts w:ascii="Garamond" w:hAnsi="Garamond"/>
                <w:b/>
                <w:color w:val="0D0D0D" w:themeColor="text1" w:themeTint="F2"/>
                <w:sz w:val="18"/>
                <w:szCs w:val="18"/>
              </w:rPr>
              <w:t>Treguesit</w:t>
            </w:r>
          </w:p>
        </w:tc>
        <w:tc>
          <w:tcPr>
            <w:tcW w:w="2586" w:type="dxa"/>
          </w:tcPr>
          <w:p w14:paraId="72669577" w14:textId="5DD127FD" w:rsidR="00A129DA" w:rsidRPr="00050FA4" w:rsidRDefault="00A129DA" w:rsidP="006A4152">
            <w:pPr>
              <w:snapToGrid w:val="0"/>
              <w:jc w:val="center"/>
              <w:rPr>
                <w:rFonts w:ascii="Garamond" w:hAnsi="Garamond"/>
                <w:b/>
                <w:color w:val="0D0D0D" w:themeColor="text1" w:themeTint="F2"/>
                <w:sz w:val="18"/>
                <w:szCs w:val="18"/>
              </w:rPr>
            </w:pPr>
            <w:r w:rsidRPr="00050FA4">
              <w:rPr>
                <w:rFonts w:ascii="Garamond" w:hAnsi="Garamond"/>
                <w:b/>
                <w:color w:val="0D0D0D" w:themeColor="text1" w:themeTint="F2"/>
                <w:sz w:val="18"/>
                <w:szCs w:val="18"/>
              </w:rPr>
              <w:t>Baza (</w:t>
            </w:r>
            <w:r w:rsidR="006A4152" w:rsidRPr="00050FA4">
              <w:rPr>
                <w:rFonts w:ascii="Garamond" w:hAnsi="Garamond"/>
                <w:b/>
                <w:color w:val="0D0D0D" w:themeColor="text1" w:themeTint="F2"/>
                <w:sz w:val="18"/>
                <w:szCs w:val="18"/>
              </w:rPr>
              <w:t>viti</w:t>
            </w:r>
            <w:r w:rsidRPr="00050FA4">
              <w:rPr>
                <w:rFonts w:ascii="Garamond" w:hAnsi="Garamond"/>
                <w:b/>
                <w:color w:val="0D0D0D" w:themeColor="text1" w:themeTint="F2"/>
                <w:sz w:val="18"/>
                <w:szCs w:val="18"/>
              </w:rPr>
              <w:t>)</w:t>
            </w:r>
          </w:p>
        </w:tc>
        <w:tc>
          <w:tcPr>
            <w:tcW w:w="2586" w:type="dxa"/>
          </w:tcPr>
          <w:p w14:paraId="6480E99E" w14:textId="2D2DD9DA" w:rsidR="00A129DA" w:rsidRPr="00050FA4" w:rsidRDefault="00A129DA" w:rsidP="006A4152">
            <w:pPr>
              <w:snapToGrid w:val="0"/>
              <w:jc w:val="center"/>
              <w:rPr>
                <w:rFonts w:ascii="Garamond" w:hAnsi="Garamond"/>
                <w:b/>
                <w:color w:val="0D0D0D" w:themeColor="text1" w:themeTint="F2"/>
                <w:sz w:val="18"/>
                <w:szCs w:val="18"/>
              </w:rPr>
            </w:pPr>
            <w:r w:rsidRPr="00050FA4">
              <w:rPr>
                <w:rFonts w:ascii="Garamond" w:hAnsi="Garamond"/>
                <w:b/>
                <w:color w:val="0D0D0D" w:themeColor="text1" w:themeTint="F2"/>
                <w:sz w:val="18"/>
                <w:szCs w:val="18"/>
              </w:rPr>
              <w:t>Synimi i ndërmjetëm (viti)</w:t>
            </w:r>
          </w:p>
        </w:tc>
        <w:tc>
          <w:tcPr>
            <w:tcW w:w="2586" w:type="dxa"/>
          </w:tcPr>
          <w:p w14:paraId="408F481C" w14:textId="4D667A0E" w:rsidR="00A129DA" w:rsidRPr="00050FA4" w:rsidRDefault="00A129DA" w:rsidP="006A4152">
            <w:pPr>
              <w:snapToGrid w:val="0"/>
              <w:jc w:val="center"/>
              <w:rPr>
                <w:rFonts w:ascii="Garamond" w:hAnsi="Garamond"/>
                <w:b/>
                <w:color w:val="0D0D0D" w:themeColor="text1" w:themeTint="F2"/>
                <w:sz w:val="18"/>
                <w:szCs w:val="18"/>
              </w:rPr>
            </w:pPr>
            <w:r w:rsidRPr="00050FA4">
              <w:rPr>
                <w:rFonts w:ascii="Garamond" w:hAnsi="Garamond"/>
                <w:b/>
                <w:color w:val="0D0D0D" w:themeColor="text1" w:themeTint="F2"/>
                <w:sz w:val="18"/>
                <w:szCs w:val="18"/>
              </w:rPr>
              <w:t>Synimi (viti)</w:t>
            </w:r>
          </w:p>
        </w:tc>
      </w:tr>
      <w:tr w:rsidR="00FA29AB" w:rsidRPr="00050FA4" w14:paraId="3F9823D0" w14:textId="77777777" w:rsidTr="006A4152">
        <w:trPr>
          <w:jc w:val="center"/>
        </w:trPr>
        <w:tc>
          <w:tcPr>
            <w:tcW w:w="2585" w:type="dxa"/>
          </w:tcPr>
          <w:p w14:paraId="2ABC3119" w14:textId="3D4FAAD5"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eastAsia="SimSun" w:hAnsi="Garamond" w:cstheme="majorBidi"/>
                <w:color w:val="0D0D0D" w:themeColor="text1" w:themeTint="F2"/>
                <w:sz w:val="18"/>
                <w:szCs w:val="18"/>
              </w:rPr>
              <w:t xml:space="preserve">Zbatimi i Ligjit </w:t>
            </w:r>
            <w:r w:rsidR="008A0E5B" w:rsidRPr="00050FA4">
              <w:rPr>
                <w:rFonts w:ascii="Garamond" w:eastAsia="SimSun" w:hAnsi="Garamond" w:cstheme="majorBidi"/>
                <w:color w:val="0D0D0D" w:themeColor="text1" w:themeTint="F2"/>
                <w:sz w:val="18"/>
                <w:szCs w:val="18"/>
              </w:rPr>
              <w:t>“</w:t>
            </w:r>
            <w:r w:rsidRPr="00050FA4">
              <w:rPr>
                <w:rFonts w:ascii="Garamond" w:eastAsia="SimSun" w:hAnsi="Garamond" w:cstheme="majorBidi"/>
                <w:color w:val="0D0D0D" w:themeColor="text1" w:themeTint="F2"/>
                <w:sz w:val="18"/>
                <w:szCs w:val="18"/>
              </w:rPr>
              <w:t xml:space="preserve">Mbi </w:t>
            </w:r>
            <w:r w:rsidR="001A6EF5" w:rsidRPr="00050FA4">
              <w:rPr>
                <w:rFonts w:ascii="Garamond" w:eastAsia="SimSun" w:hAnsi="Garamond" w:cstheme="majorBidi"/>
                <w:color w:val="0D0D0D" w:themeColor="text1" w:themeTint="F2"/>
                <w:sz w:val="18"/>
                <w:szCs w:val="18"/>
              </w:rPr>
              <w:t>shërbimet e pagesa</w:t>
            </w:r>
            <w:r w:rsidRPr="00050FA4">
              <w:rPr>
                <w:rFonts w:ascii="Garamond" w:eastAsia="SimSun" w:hAnsi="Garamond" w:cstheme="majorBidi"/>
                <w:color w:val="0D0D0D" w:themeColor="text1" w:themeTint="F2"/>
                <w:sz w:val="18"/>
                <w:szCs w:val="18"/>
              </w:rPr>
              <w:t>ve</w:t>
            </w:r>
            <w:r w:rsidR="008A0E5B" w:rsidRPr="00050FA4">
              <w:rPr>
                <w:rFonts w:ascii="Garamond" w:eastAsia="SimSun" w:hAnsi="Garamond" w:cstheme="majorBidi"/>
                <w:color w:val="0D0D0D" w:themeColor="text1" w:themeTint="F2"/>
                <w:sz w:val="18"/>
                <w:szCs w:val="18"/>
              </w:rPr>
              <w:t>”</w:t>
            </w:r>
          </w:p>
        </w:tc>
        <w:tc>
          <w:tcPr>
            <w:tcW w:w="2586" w:type="dxa"/>
          </w:tcPr>
          <w:p w14:paraId="10B44C39"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Hartimi i kuadrit rregullator për zbatimin e ligjit (T4 2021)</w:t>
            </w:r>
          </w:p>
        </w:tc>
        <w:tc>
          <w:tcPr>
            <w:tcW w:w="2586" w:type="dxa"/>
          </w:tcPr>
          <w:p w14:paraId="6FDCECC3" w14:textId="6F655076"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Zbatimi i ligjit dhe i akteve të tjera rregullatore nga aktorët e tregut, 2022.</w:t>
            </w:r>
          </w:p>
        </w:tc>
        <w:tc>
          <w:tcPr>
            <w:tcW w:w="2586" w:type="dxa"/>
          </w:tcPr>
          <w:p w14:paraId="0973EEAD" w14:textId="31491831"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Hyrja e aktorëve të rinj dhe produkteve të reja në tregun e shërbimeve të pagesave 2023. Ligji ndihmon arritjen e objektivave të Strategjisë Kombëtare për Pagesat me Vlerë të Vogël, për të kapur nivelin e </w:t>
            </w:r>
            <w:r w:rsidRPr="00050FA4">
              <w:rPr>
                <w:rFonts w:ascii="Garamond" w:eastAsia="SimSun" w:hAnsi="Garamond" w:cstheme="majorBidi"/>
                <w:color w:val="0D0D0D" w:themeColor="text1" w:themeTint="F2"/>
                <w:sz w:val="18"/>
                <w:szCs w:val="18"/>
              </w:rPr>
              <w:t xml:space="preserve">10 pagesave jo </w:t>
            </w:r>
            <w:r w:rsidRPr="00050FA4">
              <w:rPr>
                <w:rFonts w:ascii="Garamond" w:eastAsia="SimSun" w:hAnsi="Garamond" w:cstheme="majorBidi"/>
                <w:i/>
                <w:color w:val="0D0D0D" w:themeColor="text1" w:themeTint="F2"/>
                <w:sz w:val="18"/>
                <w:szCs w:val="18"/>
              </w:rPr>
              <w:t>cash</w:t>
            </w:r>
            <w:r w:rsidRPr="00050FA4">
              <w:rPr>
                <w:rFonts w:ascii="Garamond" w:eastAsia="SimSun" w:hAnsi="Garamond" w:cstheme="majorBidi"/>
                <w:color w:val="0D0D0D" w:themeColor="text1" w:themeTint="F2"/>
                <w:sz w:val="18"/>
                <w:szCs w:val="18"/>
              </w:rPr>
              <w:t xml:space="preserve"> për person dhe një raport të llogarive për qytetarët e rritur në 70% deri në fund të vitit 2023.</w:t>
            </w:r>
          </w:p>
        </w:tc>
      </w:tr>
      <w:tr w:rsidR="00FA29AB" w:rsidRPr="00050FA4" w14:paraId="14DE9F02" w14:textId="77777777" w:rsidTr="006A4152">
        <w:trPr>
          <w:jc w:val="center"/>
        </w:trPr>
        <w:tc>
          <w:tcPr>
            <w:tcW w:w="2585" w:type="dxa"/>
          </w:tcPr>
          <w:p w14:paraId="4AA2A88C" w14:textId="547E6F14"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eastAsia="SimSun" w:hAnsi="Garamond" w:cstheme="majorBidi"/>
                <w:color w:val="0D0D0D" w:themeColor="text1" w:themeTint="F2"/>
                <w:sz w:val="18"/>
                <w:szCs w:val="18"/>
              </w:rPr>
              <w:t xml:space="preserve">Hartimi i një akti ligjor që do të transpozojë direktivën e Bashkimit Evropian </w:t>
            </w:r>
            <w:r w:rsidR="008A0E5B" w:rsidRPr="00050FA4">
              <w:rPr>
                <w:rFonts w:ascii="Garamond" w:eastAsia="SimSun" w:hAnsi="Garamond" w:cstheme="majorBidi"/>
                <w:color w:val="0D0D0D" w:themeColor="text1" w:themeTint="F2"/>
                <w:sz w:val="18"/>
                <w:szCs w:val="18"/>
              </w:rPr>
              <w:t>“</w:t>
            </w:r>
            <w:r w:rsidRPr="00050FA4">
              <w:rPr>
                <w:rFonts w:ascii="Garamond" w:eastAsia="SimSun" w:hAnsi="Garamond" w:cstheme="majorBidi"/>
                <w:color w:val="0D0D0D" w:themeColor="text1" w:themeTint="F2"/>
                <w:sz w:val="18"/>
                <w:szCs w:val="18"/>
              </w:rPr>
              <w:t>Për llogarinë e pagesës</w:t>
            </w:r>
            <w:r w:rsidR="008A0E5B" w:rsidRPr="00050FA4">
              <w:rPr>
                <w:rFonts w:ascii="Garamond" w:eastAsia="SimSun" w:hAnsi="Garamond" w:cstheme="majorBidi"/>
                <w:color w:val="0D0D0D" w:themeColor="text1" w:themeTint="F2"/>
                <w:sz w:val="18"/>
                <w:szCs w:val="18"/>
              </w:rPr>
              <w:t>”</w:t>
            </w:r>
            <w:r w:rsidRPr="00050FA4">
              <w:rPr>
                <w:rFonts w:ascii="Garamond" w:eastAsia="SimSun" w:hAnsi="Garamond" w:cstheme="majorBidi"/>
                <w:color w:val="0D0D0D" w:themeColor="text1" w:themeTint="F2"/>
                <w:sz w:val="18"/>
                <w:szCs w:val="18"/>
              </w:rPr>
              <w:t xml:space="preserve"> </w:t>
            </w:r>
          </w:p>
        </w:tc>
        <w:tc>
          <w:tcPr>
            <w:tcW w:w="2586" w:type="dxa"/>
          </w:tcPr>
          <w:p w14:paraId="5D28CF5C"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Hartimi i projektligjit (2021)</w:t>
            </w:r>
          </w:p>
        </w:tc>
        <w:tc>
          <w:tcPr>
            <w:tcW w:w="2586" w:type="dxa"/>
          </w:tcPr>
          <w:p w14:paraId="01A7E7B9"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Miratimi i ligjit (2022) </w:t>
            </w:r>
          </w:p>
        </w:tc>
        <w:tc>
          <w:tcPr>
            <w:tcW w:w="2586" w:type="dxa"/>
          </w:tcPr>
          <w:p w14:paraId="21715BE2"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Zbatimi i ligjit 2022</w:t>
            </w:r>
          </w:p>
        </w:tc>
      </w:tr>
      <w:tr w:rsidR="00FA29AB" w:rsidRPr="00050FA4" w14:paraId="37E5BF2E" w14:textId="77777777" w:rsidTr="006A4152">
        <w:trPr>
          <w:jc w:val="center"/>
        </w:trPr>
        <w:tc>
          <w:tcPr>
            <w:tcW w:w="2585" w:type="dxa"/>
          </w:tcPr>
          <w:p w14:paraId="3B86CDA8" w14:textId="77777777" w:rsidR="00A129DA" w:rsidRPr="00050FA4" w:rsidRDefault="00A129DA" w:rsidP="00A95D23">
            <w:pPr>
              <w:rPr>
                <w:rFonts w:ascii="Garamond" w:eastAsia="SimSun" w:hAnsi="Garamond" w:cstheme="majorBidi"/>
                <w:color w:val="0D0D0D" w:themeColor="text1" w:themeTint="F2"/>
                <w:sz w:val="18"/>
                <w:szCs w:val="18"/>
              </w:rPr>
            </w:pPr>
            <w:r w:rsidRPr="00050FA4">
              <w:rPr>
                <w:rFonts w:ascii="Garamond" w:eastAsia="SimSun" w:hAnsi="Garamond" w:cstheme="majorBidi"/>
                <w:color w:val="0D0D0D" w:themeColor="text1" w:themeTint="F2"/>
                <w:sz w:val="18"/>
                <w:szCs w:val="18"/>
              </w:rPr>
              <w:t xml:space="preserve">Operacionalizimi </w:t>
            </w:r>
            <w:r w:rsidRPr="00050FA4">
              <w:rPr>
                <w:rFonts w:ascii="Garamond" w:eastAsia="SimSun" w:hAnsi="Garamond"/>
                <w:color w:val="0D0D0D" w:themeColor="text1" w:themeTint="F2"/>
                <w:sz w:val="18"/>
                <w:szCs w:val="18"/>
              </w:rPr>
              <w:t>i ndryshimeve rregullative dhe në infrastrukturë për skemën e debitit direkt ndërbankar.</w:t>
            </w:r>
          </w:p>
        </w:tc>
        <w:tc>
          <w:tcPr>
            <w:tcW w:w="2586" w:type="dxa"/>
          </w:tcPr>
          <w:p w14:paraId="3D8C7186" w14:textId="01DEFA64" w:rsidR="00A129DA" w:rsidRPr="00050FA4" w:rsidRDefault="00A129DA" w:rsidP="00A95D23">
            <w:pPr>
              <w:snapToGrid w:val="0"/>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Aprovimi i ndryshimeve rregullative </w:t>
            </w:r>
            <w:r w:rsidR="001A6EF5" w:rsidRPr="00050FA4">
              <w:rPr>
                <w:rFonts w:ascii="Garamond" w:hAnsi="Garamond" w:cstheme="majorBidi"/>
                <w:color w:val="0D0D0D" w:themeColor="text1" w:themeTint="F2"/>
                <w:sz w:val="18"/>
                <w:szCs w:val="18"/>
              </w:rPr>
              <w:t xml:space="preserve">brenda </w:t>
            </w:r>
            <w:r w:rsidRPr="00050FA4">
              <w:rPr>
                <w:rFonts w:ascii="Garamond" w:hAnsi="Garamond" w:cstheme="majorBidi"/>
                <w:color w:val="0D0D0D" w:themeColor="text1" w:themeTint="F2"/>
                <w:sz w:val="18"/>
                <w:szCs w:val="18"/>
              </w:rPr>
              <w:t>T4 2021</w:t>
            </w:r>
          </w:p>
        </w:tc>
        <w:tc>
          <w:tcPr>
            <w:tcW w:w="2586" w:type="dxa"/>
          </w:tcPr>
          <w:p w14:paraId="4FEBE869"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Zbatimi i skemës nga aktorët e tregut dhe ndryshimi gradual i mandatit ekzistues, 2021</w:t>
            </w:r>
          </w:p>
        </w:tc>
        <w:tc>
          <w:tcPr>
            <w:tcW w:w="2586" w:type="dxa"/>
          </w:tcPr>
          <w:p w14:paraId="283FEFF8"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Funksionimi normal i skemës </w:t>
            </w:r>
          </w:p>
        </w:tc>
      </w:tr>
      <w:tr w:rsidR="00FA29AB" w:rsidRPr="00050FA4" w14:paraId="05CC9AEE" w14:textId="77777777" w:rsidTr="006A4152">
        <w:trPr>
          <w:jc w:val="center"/>
        </w:trPr>
        <w:tc>
          <w:tcPr>
            <w:tcW w:w="2585" w:type="dxa"/>
          </w:tcPr>
          <w:p w14:paraId="03E4297F" w14:textId="32FD5421" w:rsidR="00A129DA" w:rsidRPr="00050FA4" w:rsidRDefault="00A129DA" w:rsidP="00A95D23">
            <w:pPr>
              <w:snapToGrid w:val="0"/>
              <w:rPr>
                <w:rFonts w:ascii="Garamond" w:eastAsia="SimSun" w:hAnsi="Garamond" w:cstheme="majorBidi"/>
                <w:color w:val="0D0D0D" w:themeColor="text1" w:themeTint="F2"/>
                <w:sz w:val="18"/>
                <w:szCs w:val="18"/>
              </w:rPr>
            </w:pPr>
            <w:r w:rsidRPr="00050FA4">
              <w:rPr>
                <w:rFonts w:ascii="Garamond" w:eastAsia="SimSun" w:hAnsi="Garamond" w:cstheme="majorBidi"/>
                <w:color w:val="0D0D0D" w:themeColor="text1" w:themeTint="F2"/>
                <w:sz w:val="18"/>
                <w:szCs w:val="18"/>
              </w:rPr>
              <w:lastRenderedPageBreak/>
              <w:t>Operacionalizimi</w:t>
            </w:r>
            <w:r w:rsidR="009B1D6B" w:rsidRPr="00050FA4">
              <w:rPr>
                <w:rFonts w:ascii="Garamond" w:eastAsia="SimSun" w:hAnsi="Garamond" w:cstheme="majorBidi"/>
                <w:color w:val="0D0D0D" w:themeColor="text1" w:themeTint="F2"/>
                <w:sz w:val="18"/>
                <w:szCs w:val="18"/>
              </w:rPr>
              <w:t xml:space="preserve"> </w:t>
            </w:r>
            <w:r w:rsidRPr="00050FA4">
              <w:rPr>
                <w:rFonts w:ascii="Garamond" w:eastAsia="SimSun" w:hAnsi="Garamond" w:cstheme="majorBidi"/>
                <w:color w:val="0D0D0D" w:themeColor="text1" w:themeTint="F2"/>
                <w:sz w:val="18"/>
                <w:szCs w:val="18"/>
              </w:rPr>
              <w:t>i sistemeve për shlyerjen e pagesave kombëtare në</w:t>
            </w:r>
            <w:r w:rsidR="001A6EF5" w:rsidRPr="00050FA4">
              <w:rPr>
                <w:rFonts w:ascii="Garamond" w:eastAsia="SimSun" w:hAnsi="Garamond" w:cstheme="majorBidi"/>
                <w:color w:val="0D0D0D" w:themeColor="text1" w:themeTint="F2"/>
                <w:sz w:val="18"/>
                <w:szCs w:val="18"/>
              </w:rPr>
              <w:t xml:space="preserve"> euro</w:t>
            </w:r>
          </w:p>
        </w:tc>
        <w:tc>
          <w:tcPr>
            <w:tcW w:w="2586" w:type="dxa"/>
          </w:tcPr>
          <w:p w14:paraId="6318A22F"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Projekti finalizohet në fund të vitit 2021</w:t>
            </w:r>
          </w:p>
        </w:tc>
        <w:tc>
          <w:tcPr>
            <w:tcW w:w="2586" w:type="dxa"/>
          </w:tcPr>
          <w:p w14:paraId="4312D5FE" w14:textId="56988758"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Sistemi hyn në f</w:t>
            </w:r>
            <w:r w:rsidR="001A6EF5" w:rsidRPr="00050FA4">
              <w:rPr>
                <w:rFonts w:ascii="Garamond" w:hAnsi="Garamond" w:cstheme="majorBidi"/>
                <w:color w:val="0D0D0D" w:themeColor="text1" w:themeTint="F2"/>
                <w:sz w:val="18"/>
                <w:szCs w:val="18"/>
              </w:rPr>
              <w:t>unksion në fillim të vitit 2022</w:t>
            </w:r>
          </w:p>
        </w:tc>
        <w:tc>
          <w:tcPr>
            <w:tcW w:w="2586" w:type="dxa"/>
          </w:tcPr>
          <w:p w14:paraId="44A840D9" w14:textId="1F9CFEAA" w:rsidR="00A129DA" w:rsidRPr="00050FA4" w:rsidRDefault="001A6EF5"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w:t>
            </w:r>
            <w:r w:rsidR="00A129DA" w:rsidRPr="00050FA4">
              <w:rPr>
                <w:rFonts w:ascii="Garamond" w:hAnsi="Garamond" w:cstheme="majorBidi"/>
                <w:color w:val="0D0D0D" w:themeColor="text1" w:themeTint="F2"/>
                <w:sz w:val="18"/>
                <w:szCs w:val="18"/>
              </w:rPr>
              <w:t>ë 2023</w:t>
            </w:r>
            <w:r w:rsidRPr="00050FA4">
              <w:rPr>
                <w:rFonts w:ascii="Garamond" w:hAnsi="Garamond" w:cstheme="majorBidi"/>
                <w:color w:val="0D0D0D" w:themeColor="text1" w:themeTint="F2"/>
                <w:sz w:val="18"/>
                <w:szCs w:val="18"/>
              </w:rPr>
              <w:t>-shin</w:t>
            </w:r>
            <w:r w:rsidR="00A129DA" w:rsidRPr="00050FA4">
              <w:rPr>
                <w:rFonts w:ascii="Garamond" w:hAnsi="Garamond" w:cstheme="majorBidi"/>
                <w:color w:val="0D0D0D" w:themeColor="text1" w:themeTint="F2"/>
                <w:sz w:val="18"/>
                <w:szCs w:val="18"/>
              </w:rPr>
              <w:t xml:space="preserve"> monitorohet ndikimi i sistemit në treg, mbështetur në objektivat e SKPVV</w:t>
            </w:r>
            <w:r w:rsidR="00E80EE3" w:rsidRPr="00050FA4">
              <w:rPr>
                <w:rFonts w:ascii="Garamond" w:hAnsi="Garamond" w:cstheme="majorBidi"/>
                <w:color w:val="0D0D0D" w:themeColor="text1" w:themeTint="F2"/>
                <w:sz w:val="18"/>
                <w:szCs w:val="18"/>
              </w:rPr>
              <w:t>-së</w:t>
            </w:r>
            <w:r w:rsidR="00A129DA" w:rsidRPr="00050FA4">
              <w:rPr>
                <w:rFonts w:ascii="Garamond" w:hAnsi="Garamond" w:cstheme="majorBidi"/>
                <w:color w:val="0D0D0D" w:themeColor="text1" w:themeTint="F2"/>
                <w:sz w:val="18"/>
                <w:szCs w:val="18"/>
              </w:rPr>
              <w:t xml:space="preserve"> </w:t>
            </w:r>
          </w:p>
        </w:tc>
      </w:tr>
      <w:tr w:rsidR="00FA29AB" w:rsidRPr="00050FA4" w14:paraId="7308D652" w14:textId="77777777" w:rsidTr="006A4152">
        <w:trPr>
          <w:jc w:val="center"/>
        </w:trPr>
        <w:tc>
          <w:tcPr>
            <w:tcW w:w="2585" w:type="dxa"/>
          </w:tcPr>
          <w:p w14:paraId="156044A0" w14:textId="77777777" w:rsidR="00A129DA" w:rsidRPr="00050FA4" w:rsidRDefault="00A129DA" w:rsidP="00A95D23">
            <w:pPr>
              <w:snapToGrid w:val="0"/>
              <w:jc w:val="both"/>
              <w:rPr>
                <w:rFonts w:ascii="Garamond" w:eastAsia="SimSun" w:hAnsi="Garamond"/>
                <w:color w:val="0D0D0D" w:themeColor="text1" w:themeTint="F2"/>
                <w:sz w:val="18"/>
                <w:szCs w:val="18"/>
              </w:rPr>
            </w:pPr>
            <w:r w:rsidRPr="00050FA4">
              <w:rPr>
                <w:rFonts w:ascii="Garamond" w:eastAsia="SimSun" w:hAnsi="Garamond"/>
                <w:color w:val="0D0D0D" w:themeColor="text1" w:themeTint="F2"/>
                <w:sz w:val="18"/>
                <w:szCs w:val="18"/>
              </w:rPr>
              <w:t xml:space="preserve">Studimi i fizibilitetit për zbatimin e platformës kombëtare të procesimit të kartave </w:t>
            </w:r>
          </w:p>
          <w:p w14:paraId="29356F64" w14:textId="2679C28B" w:rsidR="00A129DA" w:rsidRPr="00050FA4" w:rsidRDefault="00A129DA" w:rsidP="001A6EF5">
            <w:pPr>
              <w:snapToGrid w:val="0"/>
              <w:jc w:val="both"/>
              <w:rPr>
                <w:rFonts w:ascii="Garamond" w:hAnsi="Garamond" w:cstheme="majorBidi"/>
                <w:color w:val="0D0D0D" w:themeColor="text1" w:themeTint="F2"/>
                <w:sz w:val="18"/>
                <w:szCs w:val="18"/>
              </w:rPr>
            </w:pPr>
            <w:r w:rsidRPr="00050FA4">
              <w:rPr>
                <w:rFonts w:ascii="Garamond" w:eastAsia="SimSun" w:hAnsi="Garamond"/>
                <w:color w:val="0D0D0D" w:themeColor="text1" w:themeTint="F2"/>
                <w:sz w:val="18"/>
                <w:szCs w:val="18"/>
              </w:rPr>
              <w:t xml:space="preserve"> (SWITC</w:t>
            </w:r>
            <w:r w:rsidR="0026453E" w:rsidRPr="00050FA4">
              <w:rPr>
                <w:rFonts w:ascii="Garamond" w:eastAsia="SimSun" w:hAnsi="Garamond"/>
                <w:color w:val="0D0D0D" w:themeColor="text1" w:themeTint="F2"/>
                <w:sz w:val="18"/>
                <w:szCs w:val="18"/>
              </w:rPr>
              <w:t>H)</w:t>
            </w:r>
            <w:r w:rsidR="00535FB4" w:rsidRPr="00050FA4">
              <w:rPr>
                <w:rFonts w:ascii="Garamond" w:eastAsia="SimSun" w:hAnsi="Garamond"/>
                <w:color w:val="0D0D0D" w:themeColor="text1" w:themeTint="F2"/>
                <w:sz w:val="18"/>
                <w:szCs w:val="18"/>
              </w:rPr>
              <w:t>/</w:t>
            </w:r>
            <w:r w:rsidR="001A6EF5" w:rsidRPr="00050FA4">
              <w:rPr>
                <w:rFonts w:ascii="Garamond" w:eastAsia="SimSun" w:hAnsi="Garamond"/>
                <w:color w:val="0D0D0D" w:themeColor="text1" w:themeTint="F2"/>
                <w:sz w:val="18"/>
                <w:szCs w:val="18"/>
              </w:rPr>
              <w:t>“</w:t>
            </w:r>
            <w:r w:rsidR="0026453E" w:rsidRPr="00050FA4">
              <w:rPr>
                <w:rFonts w:ascii="Garamond" w:eastAsia="SimSun" w:hAnsi="Garamond"/>
                <w:color w:val="0D0D0D" w:themeColor="text1" w:themeTint="F2"/>
                <w:sz w:val="18"/>
                <w:szCs w:val="18"/>
              </w:rPr>
              <w:t>instant payment</w:t>
            </w:r>
            <w:r w:rsidR="001A6EF5" w:rsidRPr="00050FA4">
              <w:rPr>
                <w:rFonts w:ascii="Garamond" w:eastAsia="SimSun" w:hAnsi="Garamond"/>
                <w:color w:val="0D0D0D" w:themeColor="text1" w:themeTint="F2"/>
                <w:sz w:val="18"/>
                <w:szCs w:val="18"/>
              </w:rPr>
              <w:t>”</w:t>
            </w:r>
          </w:p>
        </w:tc>
        <w:tc>
          <w:tcPr>
            <w:tcW w:w="2586" w:type="dxa"/>
          </w:tcPr>
          <w:p w14:paraId="01FF0AD3"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Finalizimi i studimit të fizibilitetit dhe prezantimi i alternativave më të përshtatshme për aktorët e tregut, 2021</w:t>
            </w:r>
          </w:p>
        </w:tc>
        <w:tc>
          <w:tcPr>
            <w:tcW w:w="2586" w:type="dxa"/>
          </w:tcPr>
          <w:p w14:paraId="304EFCAC"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Mbështetja e zbatimit të alternativave më të përshtatshme për tregun shqiptar, 2022</w:t>
            </w:r>
          </w:p>
        </w:tc>
        <w:tc>
          <w:tcPr>
            <w:tcW w:w="2586" w:type="dxa"/>
          </w:tcPr>
          <w:p w14:paraId="614018EB" w14:textId="77777777" w:rsidR="00A129DA" w:rsidRPr="00050FA4" w:rsidRDefault="00A129DA"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Mbështetja e zbatimit të alternativave më të përshtatshme për tregun shqiptar, 2023</w:t>
            </w:r>
            <w:r w:rsidRPr="00050FA4">
              <w:rPr>
                <w:rStyle w:val="FootnoteReference"/>
                <w:rFonts w:ascii="Garamond" w:hAnsi="Garamond" w:cstheme="majorBidi"/>
                <w:color w:val="0D0D0D" w:themeColor="text1" w:themeTint="F2"/>
                <w:sz w:val="18"/>
                <w:szCs w:val="18"/>
              </w:rPr>
              <w:footnoteReference w:id="13"/>
            </w:r>
          </w:p>
        </w:tc>
      </w:tr>
    </w:tbl>
    <w:p w14:paraId="7EFF6784" w14:textId="77777777" w:rsidR="00A129DA" w:rsidRPr="00050FA4" w:rsidRDefault="00A129DA" w:rsidP="003F1DA7">
      <w:pPr>
        <w:snapToGrid w:val="0"/>
        <w:ind w:firstLine="284"/>
        <w:rPr>
          <w:rFonts w:ascii="Garamond" w:hAnsi="Garamond" w:cstheme="majorBidi"/>
          <w:color w:val="0D0D0D" w:themeColor="text1" w:themeTint="F2"/>
        </w:rPr>
      </w:pPr>
    </w:p>
    <w:p w14:paraId="2A2406B2" w14:textId="6D844862" w:rsidR="00DB22AB" w:rsidRPr="00050FA4" w:rsidRDefault="001C36BA" w:rsidP="003F1DA7">
      <w:pPr>
        <w:pStyle w:val="AAAAAAATEXXXX"/>
        <w:rPr>
          <w:lang w:val="sq-AL"/>
        </w:rPr>
      </w:pPr>
      <w:r w:rsidRPr="00050FA4">
        <w:rPr>
          <w:lang w:val="sq-AL"/>
        </w:rPr>
        <w:t xml:space="preserve">3. </w:t>
      </w:r>
      <w:r w:rsidR="00B2062A" w:rsidRPr="00050FA4">
        <w:rPr>
          <w:lang w:val="sq-AL"/>
        </w:rPr>
        <w:t>Ndikimi i pritshëm në konkurrueshmëri</w:t>
      </w:r>
    </w:p>
    <w:p w14:paraId="7A39D04F" w14:textId="7DD17FB7" w:rsidR="00635B15" w:rsidRPr="00050FA4" w:rsidRDefault="00635B15" w:rsidP="003F1DA7">
      <w:pPr>
        <w:pStyle w:val="AAAAAAATEXXXX"/>
        <w:rPr>
          <w:rFonts w:eastAsia="SimSun"/>
          <w:lang w:val="sq-AL"/>
        </w:rPr>
      </w:pPr>
      <w:r w:rsidRPr="00050FA4">
        <w:rPr>
          <w:rFonts w:eastAsia="SimSun"/>
          <w:lang w:val="sq-AL"/>
        </w:rPr>
        <w:t>Krijimi i një fushë të përshtatshme për institucionet financiare jobanka për të ofruar shërbime inovative të pagesave elektronike: a) duke i lejuar ato të hapin llogari pagesash dhe të ofrojnë pagesa elektronike (gjë e cila nuk lejohet me legjislacionin aktual); b) krijimin e licencimit dhe mbikëqyrjes së institucioneve që ofrojnë shërbime pagese në përpjesëtim me rrezikun që këto institucione mbartin; c) garantimin e aksesit të tyre në sisteme pagesash; d) garantimin e aksesit tek palët e treta (TPP</w:t>
      </w:r>
      <w:r w:rsidR="001A6EF5" w:rsidRPr="00050FA4">
        <w:rPr>
          <w:rFonts w:eastAsia="SimSun"/>
          <w:lang w:val="sq-AL"/>
        </w:rPr>
        <w:t xml:space="preserve"> </w:t>
      </w:r>
      <w:r w:rsidRPr="00050FA4">
        <w:rPr>
          <w:rFonts w:eastAsia="SimSun"/>
          <w:lang w:val="sq-AL"/>
        </w:rPr>
        <w:t>- ofruesit e shërbimit të informacionit mbi llogarinë dhe ofruesit e shërbimit të pagesës të informacionit mbi llogarinë) të informacionit mbi llogarinë e klientit pas pëlqimit të qartë të këtij të fundit përmes krijimit të infrastrukturës së Bankës së Hapur (</w:t>
      </w:r>
      <w:r w:rsidRPr="00050FA4">
        <w:rPr>
          <w:rFonts w:eastAsia="SimSun"/>
          <w:i/>
          <w:lang w:val="sq-AL"/>
        </w:rPr>
        <w:t>Open Banking</w:t>
      </w:r>
      <w:r w:rsidRPr="00050FA4">
        <w:rPr>
          <w:rFonts w:eastAsia="SimSun"/>
          <w:lang w:val="sq-AL"/>
        </w:rPr>
        <w:t>)</w:t>
      </w:r>
      <w:r w:rsidR="001A6EF5" w:rsidRPr="00050FA4">
        <w:rPr>
          <w:rFonts w:eastAsia="SimSun"/>
          <w:lang w:val="sq-AL"/>
        </w:rPr>
        <w:t>;</w:t>
      </w:r>
      <w:r w:rsidRPr="00050FA4">
        <w:rPr>
          <w:rFonts w:eastAsia="SimSun"/>
          <w:lang w:val="sq-AL"/>
        </w:rPr>
        <w:t xml:space="preserve"> si dhe e) krijimin e një kornize prudenciale për mbrojtjen e konsumatorit.</w:t>
      </w:r>
    </w:p>
    <w:p w14:paraId="77FC0886" w14:textId="466798B3" w:rsidR="00635B15" w:rsidRPr="00050FA4" w:rsidRDefault="00635B15" w:rsidP="003F1DA7">
      <w:pPr>
        <w:pStyle w:val="AAAAAAATEXXXX"/>
        <w:rPr>
          <w:lang w:val="sq-AL"/>
        </w:rPr>
      </w:pPr>
      <w:r w:rsidRPr="00050FA4">
        <w:rPr>
          <w:lang w:val="sq-AL"/>
        </w:rPr>
        <w:t xml:space="preserve">Hartimi i aktit ligjor që do të transpozojë Direktivën e Bashkimit Evropian </w:t>
      </w:r>
      <w:r w:rsidR="008A0E5B" w:rsidRPr="00050FA4">
        <w:rPr>
          <w:lang w:val="sq-AL"/>
        </w:rPr>
        <w:t>“</w:t>
      </w:r>
      <w:r w:rsidRPr="00050FA4">
        <w:rPr>
          <w:lang w:val="sq-AL"/>
        </w:rPr>
        <w:t>Mbi llogarinë e pagesës</w:t>
      </w:r>
      <w:r w:rsidR="008A0E5B" w:rsidRPr="00050FA4">
        <w:rPr>
          <w:lang w:val="sq-AL"/>
        </w:rPr>
        <w:t>”</w:t>
      </w:r>
      <w:r w:rsidRPr="00050FA4">
        <w:rPr>
          <w:lang w:val="sq-AL"/>
        </w:rPr>
        <w:t xml:space="preserve"> pritet që të rrisë konkurrencën nëpërmjet përmirësimit të mëtejshëm të transparencës së shërbimeve të ofruara në treg si dhe rritjes së lëvizshmërisë së klientëve përmes vendosjes së procedurave të ndërrimit/ndryshimit me kosto më efektive ndërmjet ofruesve të ndryshëm të shërbimeve të pagesave.</w:t>
      </w:r>
    </w:p>
    <w:p w14:paraId="1F11CF1F" w14:textId="3F877EA9" w:rsidR="00635B15" w:rsidRPr="00050FA4" w:rsidRDefault="00635B15" w:rsidP="003F1DA7">
      <w:pPr>
        <w:pStyle w:val="AAAAAAATEXXXX"/>
        <w:rPr>
          <w:lang w:val="sq-AL"/>
        </w:rPr>
      </w:pPr>
      <w:r w:rsidRPr="00050FA4">
        <w:rPr>
          <w:lang w:val="sq-AL"/>
        </w:rPr>
        <w:t xml:space="preserve">Miratimi i ndryshimeve rregullative dhe në infrastrukturë për </w:t>
      </w:r>
      <w:r w:rsidR="008A0E5B" w:rsidRPr="00050FA4">
        <w:rPr>
          <w:lang w:val="sq-AL"/>
        </w:rPr>
        <w:t>“</w:t>
      </w:r>
      <w:r w:rsidRPr="00050FA4">
        <w:rPr>
          <w:lang w:val="sq-AL"/>
        </w:rPr>
        <w:t>pjesëmarrje të jo të drejtpërdrejtë</w:t>
      </w:r>
      <w:r w:rsidR="008A0E5B" w:rsidRPr="00050FA4">
        <w:rPr>
          <w:lang w:val="sq-AL"/>
        </w:rPr>
        <w:t>”</w:t>
      </w:r>
      <w:r w:rsidRPr="00050FA4">
        <w:rPr>
          <w:lang w:val="sq-AL"/>
        </w:rPr>
        <w:t xml:space="preserve"> në AECH sjell përmirësimin e kushteve të tregut ndërmjet bankave dhe institucioneve financiare jobanka të cilat ofrojnë shërbime pagese (</w:t>
      </w:r>
      <w:r w:rsidR="001A6EF5" w:rsidRPr="00050FA4">
        <w:rPr>
          <w:lang w:val="sq-AL"/>
        </w:rPr>
        <w:t>m</w:t>
      </w:r>
      <w:r w:rsidRPr="00050FA4">
        <w:rPr>
          <w:lang w:val="sq-AL"/>
        </w:rPr>
        <w:t>ë 2020</w:t>
      </w:r>
      <w:r w:rsidR="001A6EF5" w:rsidRPr="00050FA4">
        <w:rPr>
          <w:lang w:val="sq-AL"/>
        </w:rPr>
        <w:t>-ën</w:t>
      </w:r>
      <w:r w:rsidRPr="00050FA4">
        <w:rPr>
          <w:lang w:val="sq-AL"/>
        </w:rPr>
        <w:t>).</w:t>
      </w:r>
    </w:p>
    <w:p w14:paraId="6AEBFC45" w14:textId="423530A9" w:rsidR="00635B15" w:rsidRPr="00050FA4" w:rsidRDefault="00635B15" w:rsidP="003F1DA7">
      <w:pPr>
        <w:pStyle w:val="AAAAAAATEXXXX"/>
        <w:rPr>
          <w:lang w:val="sq-AL"/>
        </w:rPr>
      </w:pPr>
      <w:r w:rsidRPr="00050FA4">
        <w:rPr>
          <w:lang w:val="sq-AL"/>
        </w:rPr>
        <w:t>Mundësia e zbatimit të një platforme kombëtare të procesimit të kartave (SWITCH)/</w:t>
      </w:r>
      <w:r w:rsidR="001A6EF5" w:rsidRPr="00050FA4">
        <w:rPr>
          <w:lang w:val="sq-AL"/>
        </w:rPr>
        <w:t>“</w:t>
      </w:r>
      <w:r w:rsidRPr="00050FA4">
        <w:rPr>
          <w:lang w:val="sq-AL"/>
        </w:rPr>
        <w:t>instant payment</w:t>
      </w:r>
      <w:r w:rsidR="001A6EF5" w:rsidRPr="00050FA4">
        <w:rPr>
          <w:lang w:val="sq-AL"/>
        </w:rPr>
        <w:t>”</w:t>
      </w:r>
      <w:r w:rsidR="00535FB4" w:rsidRPr="00050FA4">
        <w:rPr>
          <w:lang w:val="sq-AL"/>
        </w:rPr>
        <w:t>/</w:t>
      </w:r>
      <w:r w:rsidRPr="00050FA4">
        <w:rPr>
          <w:lang w:val="sq-AL"/>
        </w:rPr>
        <w:t>pagesat në kohë reale rrit konkurrencën për procesimin e kostove të pagesave të kartave dhe atë ndërmjet pagesave me karta dhe transfertave të kreditit në formë jo letër.</w:t>
      </w:r>
    </w:p>
    <w:p w14:paraId="05593FB1" w14:textId="2B0AF51B" w:rsidR="00DB22AB" w:rsidRPr="00050FA4" w:rsidRDefault="001C36BA"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297C4F7D" w14:textId="0D98A628" w:rsidR="00635B15" w:rsidRPr="00050FA4" w:rsidRDefault="00635B15" w:rsidP="003F1DA7">
      <w:pPr>
        <w:pStyle w:val="AAAAAAATEXXXX"/>
        <w:rPr>
          <w:i/>
          <w:lang w:val="sq-AL"/>
        </w:rPr>
      </w:pPr>
      <w:r w:rsidRPr="00050FA4">
        <w:rPr>
          <w:lang w:val="sq-AL"/>
        </w:rPr>
        <w:t>Hartimi i akteve ligjore dhe nënligjore të parashikuara në reformë do të realizohen me asistencën teknike të Bankës Botërore dhe të financuar nga SECO</w:t>
      </w:r>
      <w:r w:rsidR="001A6EF5" w:rsidRPr="00050FA4">
        <w:rPr>
          <w:lang w:val="sq-AL"/>
        </w:rPr>
        <w:t>-ja</w:t>
      </w:r>
      <w:r w:rsidRPr="00050FA4">
        <w:rPr>
          <w:lang w:val="sq-AL"/>
        </w:rPr>
        <w:t xml:space="preserve">. Ndryshimet në infrastrukturë do të realizohen si më poshtë: </w:t>
      </w:r>
    </w:p>
    <w:p w14:paraId="2102355F" w14:textId="3CB9D270" w:rsidR="00635B15" w:rsidRPr="00050FA4" w:rsidRDefault="001C36BA" w:rsidP="003F1DA7">
      <w:pPr>
        <w:pStyle w:val="AAAAAAATEXXXX"/>
        <w:rPr>
          <w:i/>
          <w:lang w:val="sq-AL"/>
        </w:rPr>
      </w:pPr>
      <w:r w:rsidRPr="00050FA4">
        <w:rPr>
          <w:lang w:val="sq-AL"/>
        </w:rPr>
        <w:t xml:space="preserve">- </w:t>
      </w:r>
      <w:r w:rsidR="006A4152" w:rsidRPr="00050FA4">
        <w:rPr>
          <w:lang w:val="sq-AL"/>
        </w:rPr>
        <w:t xml:space="preserve">skema </w:t>
      </w:r>
      <w:r w:rsidR="00635B15" w:rsidRPr="00050FA4">
        <w:rPr>
          <w:lang w:val="sq-AL"/>
        </w:rPr>
        <w:t>për debitimin direkt do të mbështetet në infrastrukturën ekzistuese</w:t>
      </w:r>
      <w:r w:rsidR="00BE11C9" w:rsidRPr="00050FA4">
        <w:rPr>
          <w:lang w:val="sq-AL"/>
        </w:rPr>
        <w:t>;</w:t>
      </w:r>
    </w:p>
    <w:p w14:paraId="60991446" w14:textId="65B0166C" w:rsidR="00635B15" w:rsidRPr="00050FA4" w:rsidRDefault="001C36BA" w:rsidP="003F1DA7">
      <w:pPr>
        <w:pStyle w:val="AAAAAAATEXXXX"/>
        <w:rPr>
          <w:i/>
          <w:lang w:val="sq-AL"/>
        </w:rPr>
      </w:pPr>
      <w:r w:rsidRPr="00050FA4">
        <w:rPr>
          <w:lang w:val="sq-AL"/>
        </w:rPr>
        <w:t xml:space="preserve">- </w:t>
      </w:r>
      <w:r w:rsidR="006A4152" w:rsidRPr="00050FA4">
        <w:rPr>
          <w:lang w:val="sq-AL"/>
        </w:rPr>
        <w:t xml:space="preserve">sistemi </w:t>
      </w:r>
      <w:r w:rsidR="00635B15" w:rsidRPr="00050FA4">
        <w:rPr>
          <w:lang w:val="sq-AL"/>
        </w:rPr>
        <w:t>për shlyerjen e pagesave kombëtare në Euro do të financohet nga Banka e Shqipërisë</w:t>
      </w:r>
      <w:r w:rsidR="00BE11C9" w:rsidRPr="00050FA4">
        <w:rPr>
          <w:lang w:val="sq-AL"/>
        </w:rPr>
        <w:t>;</w:t>
      </w:r>
    </w:p>
    <w:p w14:paraId="2A8990F2" w14:textId="509DEBAA" w:rsidR="00635B15" w:rsidRPr="00050FA4" w:rsidRDefault="001C36BA" w:rsidP="003F1DA7">
      <w:pPr>
        <w:pStyle w:val="AAAAAAATEXXXX"/>
        <w:rPr>
          <w:i/>
          <w:lang w:val="sq-AL"/>
        </w:rPr>
      </w:pPr>
      <w:r w:rsidRPr="00050FA4">
        <w:rPr>
          <w:lang w:val="sq-AL"/>
        </w:rPr>
        <w:t xml:space="preserve">- </w:t>
      </w:r>
      <w:r w:rsidR="006A4152" w:rsidRPr="00050FA4">
        <w:rPr>
          <w:lang w:val="sq-AL"/>
        </w:rPr>
        <w:t xml:space="preserve">në </w:t>
      </w:r>
      <w:r w:rsidR="00635B15" w:rsidRPr="00050FA4">
        <w:rPr>
          <w:lang w:val="sq-AL"/>
        </w:rPr>
        <w:t>vijim të studimit të fizibilitetit të kryer nga Banka Botërore, Banka e Shqipërisë do të mbështesë opsionin për zbatimin e</w:t>
      </w:r>
      <w:r w:rsidR="00635B15" w:rsidRPr="00050FA4">
        <w:rPr>
          <w:i/>
          <w:lang w:val="sq-AL"/>
        </w:rPr>
        <w:t xml:space="preserve"> instant payment </w:t>
      </w:r>
      <w:r w:rsidR="00635B15" w:rsidRPr="00050FA4">
        <w:rPr>
          <w:lang w:val="sq-AL"/>
        </w:rPr>
        <w:t>si zgjidhje për tregun shqiptar. Kjo zgjidhje mund të zhvillohet/zbatohet nga aktorë privatë të tregut, në varësi të zhvillimeve në treg.</w:t>
      </w:r>
    </w:p>
    <w:p w14:paraId="13EAD39F" w14:textId="5925E481" w:rsidR="00DB22AB" w:rsidRPr="00050FA4" w:rsidRDefault="001C36BA"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6E3DFEBE" w14:textId="02565DE8" w:rsidR="00635B15" w:rsidRPr="00050FA4" w:rsidRDefault="00635B15" w:rsidP="003F1DA7">
      <w:pPr>
        <w:pStyle w:val="AAAAAAATEXXXX"/>
        <w:rPr>
          <w:lang w:val="sq-AL"/>
        </w:rPr>
      </w:pPr>
      <w:r w:rsidRPr="00050FA4">
        <w:rPr>
          <w:lang w:val="sq-AL"/>
        </w:rPr>
        <w:t xml:space="preserve">Duke marrë parasysh që projektligji </w:t>
      </w:r>
      <w:r w:rsidR="008A0E5B" w:rsidRPr="00050FA4">
        <w:rPr>
          <w:lang w:val="sq-AL"/>
        </w:rPr>
        <w:t>“</w:t>
      </w:r>
      <w:r w:rsidRPr="00050FA4">
        <w:rPr>
          <w:lang w:val="sq-AL"/>
        </w:rPr>
        <w:t xml:space="preserve">Mbi </w:t>
      </w:r>
      <w:r w:rsidR="00BE11C9" w:rsidRPr="00050FA4">
        <w:rPr>
          <w:lang w:val="sq-AL"/>
        </w:rPr>
        <w:t>shërbimet e pagesave</w:t>
      </w:r>
      <w:r w:rsidR="008A0E5B" w:rsidRPr="00050FA4">
        <w:rPr>
          <w:lang w:val="sq-AL"/>
        </w:rPr>
        <w:t>”</w:t>
      </w:r>
      <w:r w:rsidRPr="00050FA4">
        <w:rPr>
          <w:lang w:val="sq-AL"/>
        </w:rPr>
        <w:t xml:space="preserve"> nxit përfshirjen e kompanive </w:t>
      </w:r>
      <w:r w:rsidRPr="00050FA4">
        <w:rPr>
          <w:i/>
          <w:lang w:val="sq-AL"/>
        </w:rPr>
        <w:t>Fintech</w:t>
      </w:r>
      <w:r w:rsidRPr="00050FA4">
        <w:rPr>
          <w:lang w:val="sq-AL"/>
        </w:rPr>
        <w:t xml:space="preserve"> në sferën financiare, vlerësohet se hyrja e ofruesve të rinj të shërbimeve të pagesave do të përmirësojë/nxisë gjithashtu edhe punësimin.</w:t>
      </w:r>
    </w:p>
    <w:p w14:paraId="6B6977B6" w14:textId="5B62A560" w:rsidR="00635B15" w:rsidRPr="00050FA4" w:rsidRDefault="00635B15" w:rsidP="003F1DA7">
      <w:pPr>
        <w:pStyle w:val="AAAAAAATEXXXX"/>
        <w:rPr>
          <w:rFonts w:cstheme="majorBidi"/>
          <w:lang w:val="sq-AL"/>
        </w:rPr>
      </w:pPr>
      <w:r w:rsidRPr="00050FA4">
        <w:rPr>
          <w:lang w:val="sq-AL"/>
        </w:rPr>
        <w:t>Nga ana tjetër, është pranuar gjerësisht se përfshirja financiare është një komponent i rëndësishëm në uljen e varfërisë. Në këtë drejtim, duke marrë parasysh që strategjia ka si synim gjithëpërfshirës/themelor rritjen e përqindjes së popullsisë që ka akses në shërbimet financiare nga 40% në 70%, vlerësohet se strategjia ka një ndikim të drejtpërdrejtë në uljen e varfërisë</w:t>
      </w:r>
      <w:r w:rsidRPr="00050FA4">
        <w:rPr>
          <w:rFonts w:cstheme="majorBidi"/>
          <w:lang w:val="sq-AL"/>
        </w:rPr>
        <w:t>.</w:t>
      </w:r>
    </w:p>
    <w:p w14:paraId="527B603A" w14:textId="1DBC04CD" w:rsidR="00DB22AB" w:rsidRPr="00050FA4" w:rsidRDefault="001C36BA"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040305B7" w14:textId="079FED80" w:rsidR="00635B15" w:rsidRPr="00050FA4" w:rsidRDefault="00635B15" w:rsidP="003F1DA7">
      <w:pPr>
        <w:pStyle w:val="AAAAAAATEXXXX"/>
        <w:rPr>
          <w:lang w:val="sq-AL"/>
        </w:rPr>
      </w:pPr>
      <w:r w:rsidRPr="00050FA4">
        <w:rPr>
          <w:lang w:val="sq-AL"/>
        </w:rPr>
        <w:t>Strategjia pritet të promovojë pagesa elektronike kundrejt pagesave në formë letër. Në këtë drejtim pritet që shërbimet e reja të pagesave do të promovojnë politika më miqësore ndaj mjedisit.</w:t>
      </w:r>
    </w:p>
    <w:p w14:paraId="4D040C0C" w14:textId="51110171" w:rsidR="00DB22AB" w:rsidRPr="00050FA4" w:rsidRDefault="001C36BA" w:rsidP="003F1DA7">
      <w:pPr>
        <w:pStyle w:val="AAAAAAATEXXXX"/>
        <w:rPr>
          <w:lang w:val="sq-AL"/>
        </w:rPr>
      </w:pPr>
      <w:r w:rsidRPr="00050FA4">
        <w:rPr>
          <w:lang w:val="sq-AL"/>
        </w:rPr>
        <w:t xml:space="preserve">7. </w:t>
      </w:r>
      <w:r w:rsidR="00B2062A" w:rsidRPr="00050FA4">
        <w:rPr>
          <w:lang w:val="sq-AL"/>
        </w:rPr>
        <w:t>Rreziqet e mundshme</w:t>
      </w:r>
    </w:p>
    <w:tbl>
      <w:tblPr>
        <w:tblStyle w:val="TableGrid"/>
        <w:tblW w:w="0" w:type="auto"/>
        <w:jc w:val="center"/>
        <w:tblLook w:val="04A0" w:firstRow="1" w:lastRow="0" w:firstColumn="1" w:lastColumn="0" w:noHBand="0" w:noVBand="1"/>
      </w:tblPr>
      <w:tblGrid>
        <w:gridCol w:w="5523"/>
        <w:gridCol w:w="1403"/>
        <w:gridCol w:w="3190"/>
      </w:tblGrid>
      <w:tr w:rsidR="00FA29AB" w:rsidRPr="00050FA4" w14:paraId="20F1F07C" w14:textId="77777777" w:rsidTr="00C31E38">
        <w:trPr>
          <w:jc w:val="center"/>
        </w:trPr>
        <w:tc>
          <w:tcPr>
            <w:tcW w:w="5523" w:type="dxa"/>
            <w:vAlign w:val="center"/>
          </w:tcPr>
          <w:p w14:paraId="7F420AA1" w14:textId="7304E411" w:rsidR="00EB0AAF" w:rsidRPr="00050FA4" w:rsidRDefault="00B2062A"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lastRenderedPageBreak/>
              <w:t>Rreziku</w:t>
            </w:r>
          </w:p>
        </w:tc>
        <w:tc>
          <w:tcPr>
            <w:tcW w:w="1403" w:type="dxa"/>
            <w:vAlign w:val="center"/>
          </w:tcPr>
          <w:p w14:paraId="239EB7FA" w14:textId="626CBFFA" w:rsidR="00EB0AAF" w:rsidRPr="00050FA4" w:rsidRDefault="00B2062A"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EB0AAF" w:rsidRPr="00050FA4">
              <w:rPr>
                <w:rFonts w:ascii="Garamond" w:hAnsi="Garamond" w:cstheme="majorBidi"/>
                <w:b/>
                <w:color w:val="0D0D0D" w:themeColor="text1" w:themeTint="F2"/>
                <w:sz w:val="18"/>
                <w:szCs w:val="18"/>
              </w:rPr>
              <w:t xml:space="preserve"> (</w:t>
            </w:r>
            <w:r w:rsidRPr="00050FA4">
              <w:rPr>
                <w:rFonts w:ascii="Garamond" w:hAnsi="Garamond" w:cstheme="majorBidi"/>
                <w:b/>
                <w:color w:val="0D0D0D" w:themeColor="text1" w:themeTint="F2"/>
                <w:sz w:val="18"/>
                <w:szCs w:val="18"/>
              </w:rPr>
              <w:t>e ulët, e lartë</w:t>
            </w:r>
            <w:r w:rsidR="00EB0AAF" w:rsidRPr="00050FA4">
              <w:rPr>
                <w:rFonts w:ascii="Garamond" w:hAnsi="Garamond" w:cstheme="majorBidi"/>
                <w:b/>
                <w:color w:val="0D0D0D" w:themeColor="text1" w:themeTint="F2"/>
                <w:sz w:val="18"/>
                <w:szCs w:val="18"/>
              </w:rPr>
              <w:t>)</w:t>
            </w:r>
          </w:p>
        </w:tc>
        <w:tc>
          <w:tcPr>
            <w:tcW w:w="3190" w:type="dxa"/>
            <w:vAlign w:val="center"/>
          </w:tcPr>
          <w:p w14:paraId="1B04C478" w14:textId="2F396971" w:rsidR="00EB0AAF" w:rsidRPr="00050FA4" w:rsidRDefault="00B2062A" w:rsidP="006A4152">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07C92CED" w14:textId="77777777" w:rsidTr="00C31E38">
        <w:trPr>
          <w:jc w:val="center"/>
        </w:trPr>
        <w:tc>
          <w:tcPr>
            <w:tcW w:w="5523" w:type="dxa"/>
          </w:tcPr>
          <w:p w14:paraId="280E2A70" w14:textId="5C231320" w:rsidR="00635B15" w:rsidRPr="00050FA4" w:rsidRDefault="00635B15" w:rsidP="00A95D23">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lang w:eastAsia="sq-AL"/>
              </w:rPr>
              <w:t>Mosmiratimi i ligjeve dhe rregulloreve në nivelin e duhur në kohën e planifikuar për miratim i ligjeve të tjera të lidhura indirekt që pengojnë ose ka</w:t>
            </w:r>
            <w:r w:rsidR="00F21FEB" w:rsidRPr="00050FA4">
              <w:rPr>
                <w:rFonts w:ascii="Garamond" w:hAnsi="Garamond" w:cstheme="majorBidi"/>
                <w:color w:val="0D0D0D" w:themeColor="text1" w:themeTint="F2"/>
                <w:sz w:val="18"/>
                <w:szCs w:val="18"/>
                <w:lang w:eastAsia="sq-AL"/>
              </w:rPr>
              <w:t>nibalizojnë objektivat e synuar</w:t>
            </w:r>
            <w:r w:rsidR="00CA662F" w:rsidRPr="00050FA4">
              <w:rPr>
                <w:rFonts w:ascii="Garamond" w:hAnsi="Garamond" w:cstheme="majorBidi"/>
                <w:color w:val="0D0D0D" w:themeColor="text1" w:themeTint="F2"/>
                <w:sz w:val="18"/>
                <w:szCs w:val="18"/>
                <w:lang w:eastAsia="sq-AL"/>
              </w:rPr>
              <w:t xml:space="preserve"> të ligjit/</w:t>
            </w:r>
            <w:r w:rsidRPr="00050FA4">
              <w:rPr>
                <w:rFonts w:ascii="Garamond" w:hAnsi="Garamond" w:cstheme="majorBidi"/>
                <w:color w:val="0D0D0D" w:themeColor="text1" w:themeTint="F2"/>
                <w:sz w:val="18"/>
                <w:szCs w:val="18"/>
                <w:lang w:eastAsia="sq-AL"/>
              </w:rPr>
              <w:t>ndryshimeve rregullative të planifikuara</w:t>
            </w:r>
          </w:p>
        </w:tc>
        <w:tc>
          <w:tcPr>
            <w:tcW w:w="1403" w:type="dxa"/>
          </w:tcPr>
          <w:p w14:paraId="427ECF3F" w14:textId="2DC8C2C4" w:rsidR="00635B15" w:rsidRPr="00050FA4" w:rsidRDefault="00A129DA" w:rsidP="00A95D23">
            <w:pPr>
              <w:snapToGrid w:val="0"/>
              <w:rPr>
                <w:rFonts w:ascii="Garamond"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I ulët</w:t>
            </w:r>
          </w:p>
        </w:tc>
        <w:tc>
          <w:tcPr>
            <w:tcW w:w="3190" w:type="dxa"/>
          </w:tcPr>
          <w:p w14:paraId="15E18572" w14:textId="40017475" w:rsidR="00635B15" w:rsidRPr="00050FA4" w:rsidRDefault="00635B15" w:rsidP="00A95D23">
            <w:pPr>
              <w:snapToGrid w:val="0"/>
              <w:rPr>
                <w:rFonts w:ascii="Garamond"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Koordinimi ndërmjet institucioneve të ndryshme nëpërmjet Komitetit Kombëtar të Sistemit të Pagesave.</w:t>
            </w:r>
            <w:r w:rsidR="009B1D6B" w:rsidRPr="00050FA4">
              <w:rPr>
                <w:rFonts w:ascii="Garamond" w:eastAsia="Arial Narrow" w:hAnsi="Garamond" w:cstheme="majorBidi"/>
                <w:color w:val="0D0D0D" w:themeColor="text1" w:themeTint="F2"/>
                <w:sz w:val="18"/>
                <w:szCs w:val="18"/>
              </w:rPr>
              <w:t xml:space="preserve"> </w:t>
            </w:r>
          </w:p>
        </w:tc>
      </w:tr>
      <w:tr w:rsidR="00FA29AB" w:rsidRPr="00050FA4" w14:paraId="0702DD91" w14:textId="77777777" w:rsidTr="00C31E38">
        <w:trPr>
          <w:jc w:val="center"/>
        </w:trPr>
        <w:tc>
          <w:tcPr>
            <w:tcW w:w="5523" w:type="dxa"/>
          </w:tcPr>
          <w:p w14:paraId="4BCD30A7" w14:textId="3F9C6C6B" w:rsidR="00635B15" w:rsidRPr="00050FA4" w:rsidRDefault="00635B15" w:rsidP="00CA662F">
            <w:pP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Mungesa e përfshirjes së të gjithë palëve të interesit që kontribuojnë në hartimin, zbatimin dhe ekzekutimin e ndryshimeve në </w:t>
            </w:r>
            <w:r w:rsidR="00CA662F" w:rsidRPr="00050FA4">
              <w:rPr>
                <w:rFonts w:ascii="Garamond" w:hAnsi="Garamond"/>
                <w:color w:val="0D0D0D" w:themeColor="text1" w:themeTint="F2"/>
                <w:sz w:val="18"/>
                <w:szCs w:val="18"/>
              </w:rPr>
              <w:t>ligje</w:t>
            </w:r>
            <w:r w:rsidRPr="00050FA4">
              <w:rPr>
                <w:rFonts w:ascii="Garamond" w:hAnsi="Garamond"/>
                <w:color w:val="0D0D0D" w:themeColor="text1" w:themeTint="F2"/>
                <w:sz w:val="18"/>
                <w:szCs w:val="18"/>
              </w:rPr>
              <w:t>/rregullore dhe në infrastrukturat që planifikohen të zbatohen.</w:t>
            </w:r>
          </w:p>
        </w:tc>
        <w:tc>
          <w:tcPr>
            <w:tcW w:w="1403" w:type="dxa"/>
          </w:tcPr>
          <w:p w14:paraId="19D0451F" w14:textId="4631EA5C" w:rsidR="00635B15" w:rsidRPr="00050FA4" w:rsidRDefault="00635B1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I ulët</w:t>
            </w:r>
          </w:p>
        </w:tc>
        <w:tc>
          <w:tcPr>
            <w:tcW w:w="3190" w:type="dxa"/>
          </w:tcPr>
          <w:p w14:paraId="65F8708E" w14:textId="582CC77E" w:rsidR="00635B15" w:rsidRPr="00050FA4" w:rsidRDefault="00635B1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Koordinimi ndërmjet institucioneve të ndryshme nëpërmjet Komitetit Kombëtar të Sistemit të Pagesave.</w:t>
            </w:r>
            <w:r w:rsidR="009B1D6B" w:rsidRPr="00050FA4">
              <w:rPr>
                <w:rFonts w:ascii="Garamond" w:hAnsi="Garamond"/>
                <w:color w:val="0D0D0D" w:themeColor="text1" w:themeTint="F2"/>
                <w:sz w:val="18"/>
                <w:szCs w:val="18"/>
              </w:rPr>
              <w:t xml:space="preserve"> </w:t>
            </w:r>
          </w:p>
        </w:tc>
      </w:tr>
      <w:tr w:rsidR="00FA29AB" w:rsidRPr="00050FA4" w14:paraId="49CC6D77" w14:textId="77777777" w:rsidTr="00C31E38">
        <w:trPr>
          <w:jc w:val="center"/>
        </w:trPr>
        <w:tc>
          <w:tcPr>
            <w:tcW w:w="5523" w:type="dxa"/>
          </w:tcPr>
          <w:p w14:paraId="13FABF52" w14:textId="7B196FD1" w:rsidR="00635B15" w:rsidRPr="00050FA4" w:rsidRDefault="00635B15" w:rsidP="00A95D23">
            <w:pP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Mungesë ekspertize dhe/ose ekspertizë e kufizuar për</w:t>
            </w:r>
            <w:r w:rsidR="00CA662F" w:rsidRPr="00050FA4">
              <w:rPr>
                <w:rFonts w:ascii="Garamond" w:hAnsi="Garamond"/>
                <w:color w:val="0D0D0D" w:themeColor="text1" w:themeTint="F2"/>
                <w:sz w:val="18"/>
                <w:szCs w:val="18"/>
              </w:rPr>
              <w:t xml:space="preserve"> të aplikuar ndryshime në ligj</w:t>
            </w:r>
            <w:r w:rsidR="00535FB4" w:rsidRPr="00050FA4">
              <w:rPr>
                <w:rFonts w:ascii="Garamond" w:hAnsi="Garamond"/>
                <w:color w:val="0D0D0D" w:themeColor="text1" w:themeTint="F2"/>
                <w:sz w:val="18"/>
                <w:szCs w:val="18"/>
              </w:rPr>
              <w:t>/</w:t>
            </w:r>
            <w:r w:rsidR="00CA662F" w:rsidRPr="00050FA4">
              <w:rPr>
                <w:rFonts w:ascii="Garamond" w:hAnsi="Garamond"/>
                <w:color w:val="0D0D0D" w:themeColor="text1" w:themeTint="F2"/>
                <w:sz w:val="18"/>
                <w:szCs w:val="18"/>
              </w:rPr>
              <w:t>rregullore dhe/</w:t>
            </w:r>
            <w:r w:rsidRPr="00050FA4">
              <w:rPr>
                <w:rFonts w:ascii="Garamond" w:hAnsi="Garamond"/>
                <w:color w:val="0D0D0D" w:themeColor="text1" w:themeTint="F2"/>
                <w:sz w:val="18"/>
                <w:szCs w:val="18"/>
              </w:rPr>
              <w:t xml:space="preserve">ose zbatime teknike të parashikuara të përmirësimit të infrastrukturës </w:t>
            </w:r>
          </w:p>
        </w:tc>
        <w:tc>
          <w:tcPr>
            <w:tcW w:w="1403" w:type="dxa"/>
          </w:tcPr>
          <w:p w14:paraId="158A76BF" w14:textId="496DD6EF" w:rsidR="00635B15" w:rsidRPr="00050FA4" w:rsidRDefault="00635B1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I ulët</w:t>
            </w:r>
          </w:p>
        </w:tc>
        <w:tc>
          <w:tcPr>
            <w:tcW w:w="3190" w:type="dxa"/>
          </w:tcPr>
          <w:p w14:paraId="7BFA3B93" w14:textId="230C3D52" w:rsidR="00635B15" w:rsidRPr="00050FA4" w:rsidRDefault="00635B15" w:rsidP="00A95D23">
            <w:pPr>
              <w:snapToGrid w:val="0"/>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Banka e Shqipërisë po punon intensivisht për të pasur ekspertizën e duhur nga Banka Botërore dhe Bankat Qendrore të </w:t>
            </w:r>
            <w:r w:rsidR="00A129DA" w:rsidRPr="00050FA4">
              <w:rPr>
                <w:rFonts w:ascii="Garamond" w:hAnsi="Garamond"/>
                <w:color w:val="0D0D0D" w:themeColor="text1" w:themeTint="F2"/>
                <w:sz w:val="18"/>
                <w:szCs w:val="18"/>
              </w:rPr>
              <w:t>vendeve të Bashkimit Evropian.</w:t>
            </w:r>
          </w:p>
        </w:tc>
      </w:tr>
    </w:tbl>
    <w:p w14:paraId="3D0DEA3D" w14:textId="77777777" w:rsidR="00EB0AAF" w:rsidRPr="00050FA4" w:rsidRDefault="00EB0AAF" w:rsidP="003F1DA7">
      <w:pPr>
        <w:snapToGrid w:val="0"/>
        <w:ind w:firstLine="284"/>
        <w:rPr>
          <w:rFonts w:ascii="Garamond" w:hAnsi="Garamond" w:cstheme="majorBidi"/>
          <w:color w:val="0D0D0D" w:themeColor="text1" w:themeTint="F2"/>
        </w:rPr>
      </w:pPr>
    </w:p>
    <w:tbl>
      <w:tblPr>
        <w:tblStyle w:val="TableGrid"/>
        <w:tblW w:w="0" w:type="auto"/>
        <w:jc w:val="center"/>
        <w:tblLook w:val="04A0" w:firstRow="1" w:lastRow="0" w:firstColumn="1" w:lastColumn="0" w:noHBand="0" w:noVBand="1"/>
      </w:tblPr>
      <w:tblGrid>
        <w:gridCol w:w="10116"/>
      </w:tblGrid>
      <w:tr w:rsidR="00FA29AB" w:rsidRPr="00050FA4" w14:paraId="3A7FCF2D" w14:textId="77777777" w:rsidTr="00BE11C9">
        <w:trPr>
          <w:jc w:val="center"/>
        </w:trPr>
        <w:tc>
          <w:tcPr>
            <w:tcW w:w="10116" w:type="dxa"/>
          </w:tcPr>
          <w:p w14:paraId="269B0F19" w14:textId="60DF91A5" w:rsidR="00635B15" w:rsidRPr="00050FA4" w:rsidRDefault="00635B15" w:rsidP="00A95D23">
            <w:pPr>
              <w:pStyle w:val="AAAAAAATEXXXX"/>
              <w:ind w:firstLine="0"/>
              <w:rPr>
                <w:sz w:val="18"/>
                <w:szCs w:val="18"/>
                <w:lang w:val="sq-AL"/>
              </w:rPr>
            </w:pPr>
            <w:r w:rsidRPr="00050FA4">
              <w:rPr>
                <w:sz w:val="18"/>
                <w:szCs w:val="18"/>
                <w:lang w:val="sq-AL"/>
              </w:rPr>
              <w:t xml:space="preserve">- Rekomandimet kryesore të raportit mbi </w:t>
            </w:r>
            <w:r w:rsidR="008A0E5B" w:rsidRPr="00050FA4">
              <w:rPr>
                <w:sz w:val="18"/>
                <w:szCs w:val="18"/>
                <w:lang w:val="sq-AL"/>
              </w:rPr>
              <w:t>“</w:t>
            </w:r>
            <w:r w:rsidRPr="00050FA4">
              <w:rPr>
                <w:sz w:val="18"/>
                <w:szCs w:val="18"/>
                <w:lang w:val="sq-AL"/>
              </w:rPr>
              <w:t xml:space="preserve">Digjitalizimin e pagesave </w:t>
            </w:r>
            <w:r w:rsidR="00E50D14" w:rsidRPr="00050FA4">
              <w:rPr>
                <w:sz w:val="18"/>
                <w:szCs w:val="18"/>
                <w:lang w:val="sq-AL"/>
              </w:rPr>
              <w:t>të qeverisë</w:t>
            </w:r>
            <w:r w:rsidR="008A0E5B" w:rsidRPr="00050FA4">
              <w:rPr>
                <w:sz w:val="18"/>
                <w:szCs w:val="18"/>
                <w:lang w:val="sq-AL"/>
              </w:rPr>
              <w:t>”</w:t>
            </w:r>
          </w:p>
          <w:p w14:paraId="5D719E41" w14:textId="77777777" w:rsidR="00635B15" w:rsidRPr="00050FA4" w:rsidRDefault="00635B15" w:rsidP="00A95D23">
            <w:pPr>
              <w:pStyle w:val="AAAAAAATEXXXX"/>
              <w:ind w:firstLine="0"/>
              <w:rPr>
                <w:sz w:val="18"/>
                <w:szCs w:val="18"/>
                <w:lang w:val="sq-AL"/>
              </w:rPr>
            </w:pPr>
            <w:r w:rsidRPr="00050FA4">
              <w:rPr>
                <w:sz w:val="18"/>
                <w:szCs w:val="18"/>
                <w:lang w:val="sq-AL"/>
              </w:rPr>
              <w:t xml:space="preserve">Rekomandimi 1 – Instituti i Sigurimeve Shoqërore duhet të migrojë të gjitha pagesat për pensione dhe pagesa të tjera sociale nga pagesa në formë </w:t>
            </w:r>
            <w:r w:rsidRPr="00050FA4">
              <w:rPr>
                <w:i/>
                <w:sz w:val="18"/>
                <w:szCs w:val="18"/>
                <w:lang w:val="sq-AL"/>
              </w:rPr>
              <w:t>cash</w:t>
            </w:r>
            <w:r w:rsidRPr="00050FA4">
              <w:rPr>
                <w:sz w:val="18"/>
                <w:szCs w:val="18"/>
                <w:lang w:val="sq-AL"/>
              </w:rPr>
              <w:t xml:space="preserve">-i në transferta elektronike në llogaritë e përfituesve. </w:t>
            </w:r>
          </w:p>
          <w:p w14:paraId="6AD119A0" w14:textId="77777777" w:rsidR="00635B15" w:rsidRPr="00050FA4" w:rsidRDefault="00635B15" w:rsidP="00A95D23">
            <w:pPr>
              <w:pStyle w:val="AAAAAAATEXXXX"/>
              <w:ind w:firstLine="0"/>
              <w:rPr>
                <w:sz w:val="18"/>
                <w:szCs w:val="18"/>
                <w:lang w:val="sq-AL"/>
              </w:rPr>
            </w:pPr>
            <w:r w:rsidRPr="00050FA4">
              <w:rPr>
                <w:sz w:val="18"/>
                <w:szCs w:val="18"/>
                <w:lang w:val="sq-AL"/>
              </w:rPr>
              <w:t>PRIORITETI: I LARTË</w:t>
            </w:r>
          </w:p>
          <w:p w14:paraId="72D0EC2F" w14:textId="00AEF233" w:rsidR="00635B15" w:rsidRPr="00050FA4" w:rsidRDefault="00635B15" w:rsidP="00A95D23">
            <w:pPr>
              <w:pStyle w:val="AAAAAAATEXXXX"/>
              <w:ind w:firstLine="0"/>
              <w:rPr>
                <w:sz w:val="18"/>
                <w:szCs w:val="18"/>
                <w:lang w:val="sq-AL"/>
              </w:rPr>
            </w:pPr>
            <w:r w:rsidRPr="00050FA4">
              <w:rPr>
                <w:sz w:val="18"/>
                <w:szCs w:val="18"/>
                <w:lang w:val="sq-AL"/>
              </w:rPr>
              <w:t xml:space="preserve">Shpërndarja e pensioneve apo e pagesave të tjera nëpërmjet llogarive bankare ka disa avantazhe për </w:t>
            </w:r>
            <w:r w:rsidR="00B95424" w:rsidRPr="00050FA4">
              <w:rPr>
                <w:sz w:val="18"/>
                <w:szCs w:val="18"/>
                <w:lang w:val="sq-AL"/>
              </w:rPr>
              <w:t>ISSH-në</w:t>
            </w:r>
            <w:r w:rsidRPr="00050FA4">
              <w:rPr>
                <w:sz w:val="18"/>
                <w:szCs w:val="18"/>
                <w:lang w:val="sq-AL"/>
              </w:rPr>
              <w:t xml:space="preserve">, në drejtim të uljes së kostove, uljes së humbjeve dhe të tjera. Për përfituesit, hapja e llogarive bankare, </w:t>
            </w:r>
            <w:r w:rsidR="00B95424" w:rsidRPr="00050FA4">
              <w:rPr>
                <w:sz w:val="18"/>
                <w:szCs w:val="18"/>
                <w:lang w:val="sq-AL"/>
              </w:rPr>
              <w:t>u</w:t>
            </w:r>
            <w:r w:rsidRPr="00050FA4">
              <w:rPr>
                <w:sz w:val="18"/>
                <w:szCs w:val="18"/>
                <w:lang w:val="sq-AL"/>
              </w:rPr>
              <w:t xml:space="preserve"> mundëson atyre </w:t>
            </w:r>
            <w:r w:rsidR="00E50D14" w:rsidRPr="00050FA4">
              <w:rPr>
                <w:sz w:val="18"/>
                <w:szCs w:val="18"/>
                <w:lang w:val="sq-AL"/>
              </w:rPr>
              <w:t>familjarizimin</w:t>
            </w:r>
            <w:r w:rsidRPr="00050FA4">
              <w:rPr>
                <w:sz w:val="18"/>
                <w:szCs w:val="18"/>
                <w:lang w:val="sq-AL"/>
              </w:rPr>
              <w:t xml:space="preserve"> me format digjitale të pagesave dhe aksesin në shërbime të tjera financiare. </w:t>
            </w:r>
            <w:r w:rsidR="00B95424" w:rsidRPr="00050FA4">
              <w:rPr>
                <w:sz w:val="18"/>
                <w:szCs w:val="18"/>
                <w:lang w:val="sq-AL"/>
              </w:rPr>
              <w:t xml:space="preserve">ISSH-ja </w:t>
            </w:r>
            <w:r w:rsidRPr="00050FA4">
              <w:rPr>
                <w:sz w:val="18"/>
                <w:szCs w:val="18"/>
                <w:lang w:val="sq-AL"/>
              </w:rPr>
              <w:t>duhet të përdorë transfertat në llogaritë bankare</w:t>
            </w:r>
            <w:r w:rsidR="00B95424" w:rsidRPr="00050FA4">
              <w:rPr>
                <w:sz w:val="18"/>
                <w:szCs w:val="18"/>
                <w:lang w:val="sq-AL"/>
              </w:rPr>
              <w:t>,</w:t>
            </w:r>
            <w:r w:rsidRPr="00050FA4">
              <w:rPr>
                <w:sz w:val="18"/>
                <w:szCs w:val="18"/>
                <w:lang w:val="sq-AL"/>
              </w:rPr>
              <w:t xml:space="preserve"> si norma kryesore e shpërndarjes së pensioneve, dhe të bëjë përjashtime të raste të </w:t>
            </w:r>
            <w:r w:rsidR="00E50D14" w:rsidRPr="00050FA4">
              <w:rPr>
                <w:sz w:val="18"/>
                <w:szCs w:val="18"/>
                <w:lang w:val="sq-AL"/>
              </w:rPr>
              <w:t>veçanta</w:t>
            </w:r>
            <w:r w:rsidRPr="00050FA4">
              <w:rPr>
                <w:sz w:val="18"/>
                <w:szCs w:val="18"/>
                <w:lang w:val="sq-AL"/>
              </w:rPr>
              <w:t xml:space="preserve"> (gjithmonë me synimin afatgjatë për të evituar pagesat </w:t>
            </w:r>
            <w:r w:rsidRPr="00050FA4">
              <w:rPr>
                <w:i/>
                <w:sz w:val="18"/>
                <w:szCs w:val="18"/>
                <w:lang w:val="sq-AL"/>
              </w:rPr>
              <w:t>cash</w:t>
            </w:r>
            <w:r w:rsidRPr="00050FA4">
              <w:rPr>
                <w:sz w:val="18"/>
                <w:szCs w:val="18"/>
                <w:lang w:val="sq-AL"/>
              </w:rPr>
              <w:t xml:space="preserve">). Llogaritë duhet të kenë kosto të ulëta ose asnjë kosto për pensionistët (e ngjashme më llogaritë e pagave, ose llogarisë bazë). </w:t>
            </w:r>
          </w:p>
          <w:p w14:paraId="60FC5AEC" w14:textId="63D51AE5" w:rsidR="00635B15" w:rsidRPr="00050FA4" w:rsidRDefault="00635B15" w:rsidP="00A95D23">
            <w:pPr>
              <w:pStyle w:val="AAAAAAATEXXXX"/>
              <w:ind w:firstLine="0"/>
              <w:rPr>
                <w:sz w:val="18"/>
                <w:szCs w:val="18"/>
                <w:lang w:val="sq-AL"/>
              </w:rPr>
            </w:pPr>
            <w:r w:rsidRPr="00050FA4">
              <w:rPr>
                <w:sz w:val="18"/>
                <w:szCs w:val="18"/>
                <w:lang w:val="sq-AL"/>
              </w:rPr>
              <w:t xml:space="preserve">Ky rekomandim do të përmbushet me transpozimin e direktivës </w:t>
            </w:r>
            <w:r w:rsidR="008A0E5B" w:rsidRPr="00050FA4">
              <w:rPr>
                <w:sz w:val="18"/>
                <w:szCs w:val="18"/>
                <w:lang w:val="sq-AL"/>
              </w:rPr>
              <w:t>“</w:t>
            </w:r>
            <w:r w:rsidRPr="00050FA4">
              <w:rPr>
                <w:sz w:val="18"/>
                <w:szCs w:val="18"/>
                <w:lang w:val="sq-AL"/>
              </w:rPr>
              <w:t>Mbi llogarinë e pagesës</w:t>
            </w:r>
            <w:r w:rsidR="008A0E5B" w:rsidRPr="00050FA4">
              <w:rPr>
                <w:sz w:val="18"/>
                <w:szCs w:val="18"/>
                <w:lang w:val="sq-AL"/>
              </w:rPr>
              <w:t>”</w:t>
            </w:r>
            <w:r w:rsidRPr="00050FA4">
              <w:rPr>
                <w:sz w:val="18"/>
                <w:szCs w:val="18"/>
                <w:lang w:val="sq-AL"/>
              </w:rPr>
              <w:t>.</w:t>
            </w:r>
          </w:p>
          <w:p w14:paraId="3EE11883" w14:textId="5A1AB390" w:rsidR="00635B15" w:rsidRPr="00050FA4" w:rsidRDefault="00635B15" w:rsidP="00A95D23">
            <w:pPr>
              <w:pStyle w:val="AAAAAAATEXXXX"/>
              <w:ind w:firstLine="0"/>
              <w:rPr>
                <w:sz w:val="18"/>
                <w:szCs w:val="18"/>
                <w:lang w:val="sq-AL"/>
              </w:rPr>
            </w:pPr>
            <w:r w:rsidRPr="00050FA4">
              <w:rPr>
                <w:sz w:val="18"/>
                <w:szCs w:val="18"/>
                <w:lang w:val="sq-AL"/>
              </w:rPr>
              <w:t xml:space="preserve">Rekomandimi 2 – Programet e asistencës sociale që nënkuptojnë shpërndarjen periodike monetare për përfituesit duhet të kryhen </w:t>
            </w:r>
            <w:r w:rsidR="00F21FEB" w:rsidRPr="00050FA4">
              <w:rPr>
                <w:sz w:val="18"/>
                <w:szCs w:val="18"/>
                <w:lang w:val="sq-AL"/>
              </w:rPr>
              <w:t>nëpërmjet</w:t>
            </w:r>
            <w:r w:rsidRPr="00050FA4">
              <w:rPr>
                <w:sz w:val="18"/>
                <w:szCs w:val="18"/>
                <w:lang w:val="sq-AL"/>
              </w:rPr>
              <w:t xml:space="preserve"> llogarive të përfituesve në banka apo nëpërmjet produkteve të tjera të sistemeve të pagesave. </w:t>
            </w:r>
          </w:p>
          <w:p w14:paraId="5C764197" w14:textId="77777777" w:rsidR="00635B15" w:rsidRPr="00050FA4" w:rsidRDefault="00635B15" w:rsidP="00A95D23">
            <w:pPr>
              <w:pStyle w:val="AAAAAAATEXXXX"/>
              <w:ind w:firstLine="0"/>
              <w:rPr>
                <w:sz w:val="18"/>
                <w:szCs w:val="18"/>
                <w:lang w:val="sq-AL"/>
              </w:rPr>
            </w:pPr>
            <w:r w:rsidRPr="00050FA4">
              <w:rPr>
                <w:sz w:val="18"/>
                <w:szCs w:val="18"/>
                <w:lang w:val="sq-AL"/>
              </w:rPr>
              <w:t>PRIORITETI: I LARTË</w:t>
            </w:r>
          </w:p>
          <w:p w14:paraId="3FBF1C31" w14:textId="3A67F2FA" w:rsidR="00635B15" w:rsidRPr="00050FA4" w:rsidRDefault="00635B15" w:rsidP="00A95D23">
            <w:pPr>
              <w:pStyle w:val="AAAAAAATEXXXX"/>
              <w:ind w:firstLine="0"/>
              <w:rPr>
                <w:sz w:val="18"/>
                <w:szCs w:val="18"/>
                <w:lang w:val="sq-AL"/>
              </w:rPr>
            </w:pPr>
            <w:r w:rsidRPr="00050FA4">
              <w:rPr>
                <w:sz w:val="18"/>
                <w:szCs w:val="18"/>
                <w:lang w:val="sq-AL"/>
              </w:rPr>
              <w:t xml:space="preserve">Me shumë pak përjashtime, aktualisht pagesat e programeve sociale bëhen në </w:t>
            </w:r>
            <w:r w:rsidRPr="00050FA4">
              <w:rPr>
                <w:i/>
                <w:sz w:val="18"/>
                <w:szCs w:val="18"/>
                <w:lang w:val="sq-AL"/>
              </w:rPr>
              <w:t>cash</w:t>
            </w:r>
            <w:r w:rsidRPr="00050FA4">
              <w:rPr>
                <w:sz w:val="18"/>
                <w:szCs w:val="18"/>
                <w:lang w:val="sq-AL"/>
              </w:rPr>
              <w:t xml:space="preserve">. Sikurse në </w:t>
            </w:r>
            <w:r w:rsidR="0026453E" w:rsidRPr="00050FA4">
              <w:rPr>
                <w:sz w:val="18"/>
                <w:szCs w:val="18"/>
                <w:lang w:val="sq-AL"/>
              </w:rPr>
              <w:t>rastin</w:t>
            </w:r>
            <w:r w:rsidRPr="00050FA4">
              <w:rPr>
                <w:sz w:val="18"/>
                <w:szCs w:val="18"/>
                <w:lang w:val="sq-AL"/>
              </w:rPr>
              <w:t xml:space="preserve"> e pensioneve, kryerja e këtyre pagesave me llogari bankare ka disa avantazhe, si për </w:t>
            </w:r>
            <w:r w:rsidR="0026453E" w:rsidRPr="00050FA4">
              <w:rPr>
                <w:sz w:val="18"/>
                <w:szCs w:val="18"/>
                <w:lang w:val="sq-AL"/>
              </w:rPr>
              <w:t>administratorët</w:t>
            </w:r>
            <w:r w:rsidRPr="00050FA4">
              <w:rPr>
                <w:sz w:val="18"/>
                <w:szCs w:val="18"/>
                <w:lang w:val="sq-AL"/>
              </w:rPr>
              <w:t xml:space="preserve"> e programeve sociale, ashtu edhe për përfituesit. Sikurse në rekomandimin #1, përfituesit duhet t</w:t>
            </w:r>
            <w:r w:rsidR="00F56E92" w:rsidRPr="00050FA4">
              <w:rPr>
                <w:sz w:val="18"/>
                <w:szCs w:val="18"/>
                <w:lang w:val="sq-AL"/>
              </w:rPr>
              <w:t>’</w:t>
            </w:r>
            <w:r w:rsidRPr="00050FA4">
              <w:rPr>
                <w:sz w:val="18"/>
                <w:szCs w:val="18"/>
                <w:lang w:val="sq-AL"/>
              </w:rPr>
              <w:t>i marrin përfitimet nëpërmjet llogarive që kanë kosto të ulët ose pa kosto (llogaria bazë). Llogarimbajtësit duhet të kenë aks</w:t>
            </w:r>
            <w:r w:rsidR="00A417C0" w:rsidRPr="00050FA4">
              <w:rPr>
                <w:sz w:val="18"/>
                <w:szCs w:val="18"/>
                <w:lang w:val="sq-AL"/>
              </w:rPr>
              <w:t>es nga disa pika të shpeshta te</w:t>
            </w:r>
            <w:r w:rsidRPr="00050FA4">
              <w:rPr>
                <w:sz w:val="18"/>
                <w:szCs w:val="18"/>
                <w:lang w:val="sq-AL"/>
              </w:rPr>
              <w:t xml:space="preserve"> llogaria e tyre. </w:t>
            </w:r>
          </w:p>
          <w:p w14:paraId="21A95194" w14:textId="4D6790BA" w:rsidR="00635B15" w:rsidRPr="00050FA4" w:rsidRDefault="00635B15" w:rsidP="00A95D23">
            <w:pPr>
              <w:pStyle w:val="AAAAAAATEXXXX"/>
              <w:ind w:firstLine="0"/>
              <w:rPr>
                <w:sz w:val="18"/>
                <w:szCs w:val="18"/>
                <w:lang w:val="sq-AL"/>
              </w:rPr>
            </w:pPr>
            <w:r w:rsidRPr="00050FA4">
              <w:rPr>
                <w:sz w:val="18"/>
                <w:szCs w:val="18"/>
                <w:lang w:val="sq-AL"/>
              </w:rPr>
              <w:t xml:space="preserve">Kjo do të realizohet nëpërmjet transpozimit të direktivës </w:t>
            </w:r>
            <w:r w:rsidR="008A0E5B" w:rsidRPr="00050FA4">
              <w:rPr>
                <w:sz w:val="18"/>
                <w:szCs w:val="18"/>
                <w:lang w:val="sq-AL"/>
              </w:rPr>
              <w:t>“</w:t>
            </w:r>
            <w:r w:rsidRPr="00050FA4">
              <w:rPr>
                <w:sz w:val="18"/>
                <w:szCs w:val="18"/>
                <w:lang w:val="sq-AL"/>
              </w:rPr>
              <w:t>Mbi llogarinë e pagesës</w:t>
            </w:r>
            <w:r w:rsidR="008A0E5B" w:rsidRPr="00050FA4">
              <w:rPr>
                <w:sz w:val="18"/>
                <w:szCs w:val="18"/>
                <w:lang w:val="sq-AL"/>
              </w:rPr>
              <w:t>”</w:t>
            </w:r>
            <w:r w:rsidRPr="00050FA4">
              <w:rPr>
                <w:sz w:val="18"/>
                <w:szCs w:val="18"/>
                <w:lang w:val="sq-AL"/>
              </w:rPr>
              <w:t xml:space="preserve"> dhe nëpërmjet zbatimit të ligjit </w:t>
            </w:r>
            <w:r w:rsidR="008A0E5B" w:rsidRPr="00050FA4">
              <w:rPr>
                <w:sz w:val="18"/>
                <w:szCs w:val="18"/>
                <w:lang w:val="sq-AL"/>
              </w:rPr>
              <w:t>“</w:t>
            </w:r>
            <w:r w:rsidRPr="00050FA4">
              <w:rPr>
                <w:sz w:val="18"/>
                <w:szCs w:val="18"/>
                <w:lang w:val="sq-AL"/>
              </w:rPr>
              <w:t>Mbi shërbimet e pagesave</w:t>
            </w:r>
            <w:r w:rsidR="008A0E5B" w:rsidRPr="00050FA4">
              <w:rPr>
                <w:sz w:val="18"/>
                <w:szCs w:val="18"/>
                <w:lang w:val="sq-AL"/>
              </w:rPr>
              <w:t>”</w:t>
            </w:r>
            <w:r w:rsidRPr="00050FA4">
              <w:rPr>
                <w:sz w:val="18"/>
                <w:szCs w:val="18"/>
                <w:lang w:val="sq-AL"/>
              </w:rPr>
              <w:t>, i cili krijon mundësi për aktorë të si</w:t>
            </w:r>
            <w:r w:rsidR="00F21FEB" w:rsidRPr="00050FA4">
              <w:rPr>
                <w:sz w:val="18"/>
                <w:szCs w:val="18"/>
                <w:lang w:val="sq-AL"/>
              </w:rPr>
              <w:t xml:space="preserve"> </w:t>
            </w:r>
            <w:r w:rsidRPr="00050FA4">
              <w:rPr>
                <w:sz w:val="18"/>
                <w:szCs w:val="18"/>
                <w:lang w:val="sq-AL"/>
              </w:rPr>
              <w:t xml:space="preserve">një dhe shërbime të reja nëpërmjet zgjerimit të agjentëve bankarë dhe digjitalë. </w:t>
            </w:r>
          </w:p>
          <w:p w14:paraId="05048E3F" w14:textId="5A76BA19" w:rsidR="00635B15" w:rsidRPr="00050FA4" w:rsidRDefault="00635B15" w:rsidP="00A95D23">
            <w:pPr>
              <w:pStyle w:val="AAAAAAATEXXXX"/>
              <w:ind w:firstLine="0"/>
              <w:rPr>
                <w:sz w:val="18"/>
                <w:szCs w:val="18"/>
                <w:lang w:val="sq-AL"/>
              </w:rPr>
            </w:pPr>
            <w:r w:rsidRPr="00050FA4">
              <w:rPr>
                <w:sz w:val="18"/>
                <w:szCs w:val="18"/>
                <w:lang w:val="sq-AL"/>
              </w:rPr>
              <w:t>Rekomandimi 3 – Ministria e Financave dhe Ekonomisë duhet të marrë në konsideratë opsionin që transfertat për pagat e administratës të kryhen nga llogaria që ka në Bankën e Shqipërisë drejt llogarive të përfituesve, pa përdor</w:t>
            </w:r>
            <w:r w:rsidR="0026453E" w:rsidRPr="00050FA4">
              <w:rPr>
                <w:sz w:val="18"/>
                <w:szCs w:val="18"/>
                <w:lang w:val="sq-AL"/>
              </w:rPr>
              <w:t>ur palë të tre</w:t>
            </w:r>
            <w:r w:rsidRPr="00050FA4">
              <w:rPr>
                <w:sz w:val="18"/>
                <w:szCs w:val="18"/>
                <w:lang w:val="sq-AL"/>
              </w:rPr>
              <w:t>t</w:t>
            </w:r>
            <w:r w:rsidR="0026453E" w:rsidRPr="00050FA4">
              <w:rPr>
                <w:sz w:val="18"/>
                <w:szCs w:val="18"/>
                <w:lang w:val="sq-AL"/>
              </w:rPr>
              <w:t>a</w:t>
            </w:r>
            <w:r w:rsidRPr="00050FA4">
              <w:rPr>
                <w:sz w:val="18"/>
                <w:szCs w:val="18"/>
                <w:lang w:val="sq-AL"/>
              </w:rPr>
              <w:t>.</w:t>
            </w:r>
          </w:p>
          <w:p w14:paraId="1AD1BF29" w14:textId="77777777" w:rsidR="00635B15" w:rsidRPr="00050FA4" w:rsidRDefault="00635B15" w:rsidP="00A95D23">
            <w:pPr>
              <w:pStyle w:val="AAAAAAATEXXXX"/>
              <w:ind w:firstLine="0"/>
              <w:rPr>
                <w:sz w:val="18"/>
                <w:szCs w:val="18"/>
                <w:lang w:val="sq-AL"/>
              </w:rPr>
            </w:pPr>
            <w:r w:rsidRPr="00050FA4">
              <w:rPr>
                <w:sz w:val="18"/>
                <w:szCs w:val="18"/>
                <w:lang w:val="sq-AL"/>
              </w:rPr>
              <w:t>PRIORITETI: MESATAR</w:t>
            </w:r>
          </w:p>
          <w:p w14:paraId="7B9F4B2D" w14:textId="491C5012" w:rsidR="00635B15" w:rsidRPr="00050FA4" w:rsidRDefault="00635B15" w:rsidP="00A95D23">
            <w:pPr>
              <w:pStyle w:val="AAAAAAATEXXXX"/>
              <w:ind w:firstLine="0"/>
              <w:rPr>
                <w:sz w:val="18"/>
                <w:szCs w:val="18"/>
                <w:lang w:val="sq-AL"/>
              </w:rPr>
            </w:pPr>
            <w:r w:rsidRPr="00050FA4">
              <w:rPr>
                <w:sz w:val="18"/>
                <w:szCs w:val="18"/>
                <w:lang w:val="sq-AL"/>
              </w:rPr>
              <w:t>Në këtë mënyrë, punonjësit e administratës publike mund të zgjedhin vetë bankën ku bëhet pagesa. Sipas këtij skenari, probabiliteti që individët të ruajnë paranë dhe të përdorin instrumente të pagesave elektronike është i lartë. Gjithashtu, pasja e një llogarie i mundëson individët të ndryshojnë bankën në rast se nuk janë të kënaqur me shërbimin në bankën aktuale. Ministria e Financave dhe Ekonomisë duhet të ekzekutojë transaksionet duke përdorur llogarinë e saj në Bankën e Shqipërisë nëpërmjet AECH</w:t>
            </w:r>
            <w:r w:rsidR="00B95424" w:rsidRPr="00050FA4">
              <w:rPr>
                <w:sz w:val="18"/>
                <w:szCs w:val="18"/>
                <w:lang w:val="sq-AL"/>
              </w:rPr>
              <w:t>-së</w:t>
            </w:r>
            <w:r w:rsidRPr="00050FA4">
              <w:rPr>
                <w:sz w:val="18"/>
                <w:szCs w:val="18"/>
                <w:lang w:val="sq-AL"/>
              </w:rPr>
              <w:t xml:space="preserve">. Ajo duhet të marrë informacion nga njësitë përkatëse mbi llogaritë e përfituesve dhe shumat përkatëse, dhe këto njësi janë përgjegjësi për saktësinë e informacionit. Me qëllim shmangien e gabimeve, proceset duhet të jenë të automatizuara. Në një proces që përfshin bankat, ministrinë dhe njësitë e tjera qeverisëse, përputhja e transfertave të pagave është pothuajse automatizuar, duke u kujdesur që pagesa është kredituar në llogarinë e përfituesit. </w:t>
            </w:r>
          </w:p>
          <w:p w14:paraId="291401E6" w14:textId="77777777" w:rsidR="00635B15" w:rsidRPr="00050FA4" w:rsidRDefault="00635B15" w:rsidP="00A95D23">
            <w:pPr>
              <w:pStyle w:val="AAAAAAATEXXXX"/>
              <w:ind w:firstLine="0"/>
              <w:rPr>
                <w:sz w:val="18"/>
                <w:szCs w:val="18"/>
                <w:lang w:val="sq-AL"/>
              </w:rPr>
            </w:pPr>
            <w:r w:rsidRPr="00050FA4">
              <w:rPr>
                <w:sz w:val="18"/>
                <w:szCs w:val="18"/>
                <w:lang w:val="sq-AL"/>
              </w:rPr>
              <w:t xml:space="preserve">Ky rekomandim i adresohet Ministrisë së Financave dhe Ekonomisë, dhe Departamentit të Administratës Publike. </w:t>
            </w:r>
          </w:p>
          <w:p w14:paraId="7F999477" w14:textId="2DDE8B43" w:rsidR="00635B15" w:rsidRPr="00050FA4" w:rsidRDefault="00635B15" w:rsidP="00A95D23">
            <w:pPr>
              <w:pStyle w:val="AAAAAAATEXXXX"/>
              <w:ind w:firstLine="0"/>
              <w:rPr>
                <w:sz w:val="18"/>
                <w:szCs w:val="18"/>
                <w:lang w:val="sq-AL"/>
              </w:rPr>
            </w:pPr>
            <w:r w:rsidRPr="00050FA4">
              <w:rPr>
                <w:sz w:val="18"/>
                <w:szCs w:val="18"/>
                <w:lang w:val="sq-AL"/>
              </w:rPr>
              <w:t xml:space="preserve">Rekomandimi 4 – Zgjerimi i përdorimit të </w:t>
            </w:r>
            <w:r w:rsidRPr="00050FA4">
              <w:rPr>
                <w:i/>
                <w:sz w:val="18"/>
                <w:szCs w:val="18"/>
                <w:lang w:val="sq-AL"/>
              </w:rPr>
              <w:t>e-Albania</w:t>
            </w:r>
            <w:r w:rsidRPr="00050FA4">
              <w:rPr>
                <w:sz w:val="18"/>
                <w:szCs w:val="18"/>
                <w:lang w:val="sq-AL"/>
              </w:rPr>
              <w:t xml:space="preserve"> në terma të shërbimeve që mundësojnë pagesën nëpërmjet portalit dhe gamës së instrumenteve që mund të përdoren (</w:t>
            </w:r>
            <w:r w:rsidR="00F21FEB" w:rsidRPr="00050FA4">
              <w:rPr>
                <w:sz w:val="18"/>
                <w:szCs w:val="18"/>
                <w:lang w:val="sq-AL"/>
              </w:rPr>
              <w:t>përveç</w:t>
            </w:r>
            <w:r w:rsidRPr="00050FA4">
              <w:rPr>
                <w:sz w:val="18"/>
                <w:szCs w:val="18"/>
                <w:lang w:val="sq-AL"/>
              </w:rPr>
              <w:t xml:space="preserve"> kartave). </w:t>
            </w:r>
          </w:p>
          <w:p w14:paraId="41E1971C" w14:textId="77777777" w:rsidR="00635B15" w:rsidRPr="00050FA4" w:rsidRDefault="00635B15" w:rsidP="00A95D23">
            <w:pPr>
              <w:pStyle w:val="AAAAAAATEXXXX"/>
              <w:ind w:firstLine="0"/>
              <w:rPr>
                <w:sz w:val="18"/>
                <w:szCs w:val="18"/>
                <w:lang w:val="sq-AL"/>
              </w:rPr>
            </w:pPr>
            <w:r w:rsidRPr="00050FA4">
              <w:rPr>
                <w:sz w:val="18"/>
                <w:szCs w:val="18"/>
                <w:lang w:val="sq-AL"/>
              </w:rPr>
              <w:t>PRIORITETI: I LARTË</w:t>
            </w:r>
          </w:p>
          <w:p w14:paraId="066EED02" w14:textId="76D0404A" w:rsidR="00635B15" w:rsidRPr="00050FA4" w:rsidRDefault="00635B15" w:rsidP="00A95D23">
            <w:pPr>
              <w:pStyle w:val="AAAAAAATEXXXX"/>
              <w:ind w:firstLine="0"/>
              <w:rPr>
                <w:sz w:val="18"/>
                <w:szCs w:val="18"/>
                <w:lang w:val="sq-AL"/>
              </w:rPr>
            </w:pPr>
            <w:r w:rsidRPr="00050FA4">
              <w:rPr>
                <w:sz w:val="18"/>
                <w:szCs w:val="18"/>
                <w:lang w:val="sq-AL"/>
              </w:rPr>
              <w:t xml:space="preserve">Në këtë drejtim janë ndërmarrë disa hapa nga </w:t>
            </w:r>
            <w:r w:rsidR="000A66DC" w:rsidRPr="00050FA4">
              <w:rPr>
                <w:i/>
                <w:sz w:val="18"/>
                <w:szCs w:val="18"/>
                <w:lang w:val="sq-AL"/>
              </w:rPr>
              <w:t>e</w:t>
            </w:r>
            <w:r w:rsidRPr="00050FA4">
              <w:rPr>
                <w:i/>
                <w:sz w:val="18"/>
                <w:szCs w:val="18"/>
                <w:lang w:val="sq-AL"/>
              </w:rPr>
              <w:t>-Albania</w:t>
            </w:r>
            <w:r w:rsidRPr="00050FA4">
              <w:rPr>
                <w:sz w:val="18"/>
                <w:szCs w:val="18"/>
                <w:lang w:val="sq-AL"/>
              </w:rPr>
              <w:t>, të prezantuara në takimin e Komitetit Kombëtar të Sistemit të Pagesave</w:t>
            </w:r>
            <w:r w:rsidRPr="00050FA4">
              <w:rPr>
                <w:rStyle w:val="FootnoteReference"/>
                <w:rFonts w:cstheme="majorBidi"/>
                <w:color w:val="0D0D0D" w:themeColor="text1" w:themeTint="F2"/>
                <w:sz w:val="18"/>
                <w:szCs w:val="18"/>
                <w:lang w:val="sq-AL"/>
              </w:rPr>
              <w:footnoteReference w:id="14"/>
            </w:r>
            <w:r w:rsidRPr="00050FA4">
              <w:rPr>
                <w:sz w:val="18"/>
                <w:szCs w:val="18"/>
                <w:lang w:val="sq-AL"/>
              </w:rPr>
              <w:t>.</w:t>
            </w:r>
          </w:p>
          <w:p w14:paraId="23B33C7C" w14:textId="3DFC8931" w:rsidR="00635B15" w:rsidRPr="00050FA4" w:rsidRDefault="00635B15" w:rsidP="00A95D23">
            <w:pPr>
              <w:pStyle w:val="AAAAAAATEXXXX"/>
              <w:ind w:firstLine="0"/>
              <w:rPr>
                <w:sz w:val="18"/>
                <w:szCs w:val="18"/>
                <w:lang w:val="sq-AL"/>
              </w:rPr>
            </w:pPr>
            <w:r w:rsidRPr="00050FA4">
              <w:rPr>
                <w:sz w:val="18"/>
                <w:szCs w:val="18"/>
                <w:lang w:val="sq-AL"/>
              </w:rPr>
              <w:t>Rekomandimi 5 – Duhet riparë struktura për komisionet e transaksioneve që lidhen me pagesa për shërbimet publike. Një nga objektivat kryesorë të këtij rishikimi është inkurajimi i përdorimit të instrumenteve elektronik</w:t>
            </w:r>
            <w:r w:rsidR="00B95424" w:rsidRPr="00050FA4">
              <w:rPr>
                <w:sz w:val="18"/>
                <w:szCs w:val="18"/>
                <w:lang w:val="sq-AL"/>
              </w:rPr>
              <w:t>e,</w:t>
            </w:r>
            <w:r w:rsidRPr="00050FA4">
              <w:rPr>
                <w:sz w:val="18"/>
                <w:szCs w:val="18"/>
                <w:lang w:val="sq-AL"/>
              </w:rPr>
              <w:t xml:space="preserve"> duke diferencuar komisionet për këto alternativ</w:t>
            </w:r>
            <w:r w:rsidR="0048589E" w:rsidRPr="00050FA4">
              <w:rPr>
                <w:sz w:val="18"/>
                <w:szCs w:val="18"/>
                <w:lang w:val="sq-AL"/>
              </w:rPr>
              <w:t>a</w:t>
            </w:r>
            <w:r w:rsidRPr="00050FA4">
              <w:rPr>
                <w:sz w:val="18"/>
                <w:szCs w:val="18"/>
                <w:lang w:val="sq-AL"/>
              </w:rPr>
              <w:t xml:space="preserve">, </w:t>
            </w:r>
            <w:r w:rsidR="0026453E" w:rsidRPr="00050FA4">
              <w:rPr>
                <w:sz w:val="18"/>
                <w:szCs w:val="18"/>
                <w:lang w:val="sq-AL"/>
              </w:rPr>
              <w:t>kundrejt</w:t>
            </w:r>
            <w:r w:rsidRPr="00050FA4">
              <w:rPr>
                <w:sz w:val="18"/>
                <w:szCs w:val="18"/>
                <w:lang w:val="sq-AL"/>
              </w:rPr>
              <w:t xml:space="preserve"> përdorimit të </w:t>
            </w:r>
            <w:r w:rsidRPr="00050FA4">
              <w:rPr>
                <w:i/>
                <w:sz w:val="18"/>
                <w:szCs w:val="18"/>
                <w:lang w:val="sq-AL"/>
              </w:rPr>
              <w:t>cash</w:t>
            </w:r>
            <w:r w:rsidRPr="00050FA4">
              <w:rPr>
                <w:sz w:val="18"/>
                <w:szCs w:val="18"/>
                <w:lang w:val="sq-AL"/>
              </w:rPr>
              <w:t xml:space="preserve">-it. </w:t>
            </w:r>
          </w:p>
          <w:p w14:paraId="2E2426E2" w14:textId="77777777" w:rsidR="00635B15" w:rsidRPr="00050FA4" w:rsidRDefault="00635B15" w:rsidP="00A95D23">
            <w:pPr>
              <w:pStyle w:val="AAAAAAATEXXXX"/>
              <w:ind w:firstLine="0"/>
              <w:rPr>
                <w:sz w:val="18"/>
                <w:szCs w:val="18"/>
                <w:lang w:val="sq-AL"/>
              </w:rPr>
            </w:pPr>
            <w:r w:rsidRPr="00050FA4">
              <w:rPr>
                <w:sz w:val="18"/>
                <w:szCs w:val="18"/>
                <w:lang w:val="sq-AL"/>
              </w:rPr>
              <w:t xml:space="preserve">PRIORITETI: MESATAR </w:t>
            </w:r>
          </w:p>
          <w:p w14:paraId="3BF46AAB" w14:textId="1C27E3AF" w:rsidR="00635B15" w:rsidRPr="00050FA4" w:rsidRDefault="00635B15" w:rsidP="00A95D23">
            <w:pPr>
              <w:pStyle w:val="AAAAAAATEXXXX"/>
              <w:ind w:firstLine="0"/>
              <w:rPr>
                <w:sz w:val="18"/>
                <w:szCs w:val="18"/>
                <w:lang w:val="sq-AL"/>
              </w:rPr>
            </w:pPr>
            <w:r w:rsidRPr="00050FA4">
              <w:rPr>
                <w:sz w:val="18"/>
                <w:szCs w:val="18"/>
                <w:lang w:val="sq-AL"/>
              </w:rPr>
              <w:t xml:space="preserve">Struktura e vendosjes së </w:t>
            </w:r>
            <w:r w:rsidR="0026453E" w:rsidRPr="00050FA4">
              <w:rPr>
                <w:sz w:val="18"/>
                <w:szCs w:val="18"/>
                <w:lang w:val="sq-AL"/>
              </w:rPr>
              <w:t>çmimit</w:t>
            </w:r>
            <w:r w:rsidRPr="00050FA4">
              <w:rPr>
                <w:sz w:val="18"/>
                <w:szCs w:val="18"/>
                <w:lang w:val="sq-AL"/>
              </w:rPr>
              <w:t xml:space="preserve"> duhet të ndihmojë në promovimin e përdorimit të instrumenteve elektronike, si </w:t>
            </w:r>
            <w:r w:rsidRPr="00050FA4">
              <w:rPr>
                <w:i/>
                <w:sz w:val="18"/>
                <w:szCs w:val="18"/>
                <w:lang w:val="sq-AL"/>
              </w:rPr>
              <w:t>internet banking</w:t>
            </w:r>
            <w:r w:rsidRPr="00050FA4">
              <w:rPr>
                <w:sz w:val="18"/>
                <w:szCs w:val="18"/>
                <w:lang w:val="sq-AL"/>
              </w:rPr>
              <w:t xml:space="preserve">, platforma të pagesave me </w:t>
            </w:r>
            <w:r w:rsidR="0026453E" w:rsidRPr="00050FA4">
              <w:rPr>
                <w:sz w:val="18"/>
                <w:szCs w:val="18"/>
                <w:lang w:val="sq-AL"/>
              </w:rPr>
              <w:t>celular</w:t>
            </w:r>
            <w:r w:rsidRPr="00050FA4">
              <w:rPr>
                <w:sz w:val="18"/>
                <w:szCs w:val="18"/>
                <w:lang w:val="sq-AL"/>
              </w:rPr>
              <w:t xml:space="preserve"> dhe me karta pagesash. Me fjalë të tjera, komisionet për pagesa për shërbimet publike duhet të jenë shumë të ulëta, se</w:t>
            </w:r>
            <w:r w:rsidR="0048589E" w:rsidRPr="00050FA4">
              <w:rPr>
                <w:sz w:val="18"/>
                <w:szCs w:val="18"/>
                <w:lang w:val="sq-AL"/>
              </w:rPr>
              <w:t xml:space="preserve"> </w:t>
            </w:r>
            <w:r w:rsidRPr="00050FA4">
              <w:rPr>
                <w:sz w:val="18"/>
                <w:szCs w:val="18"/>
                <w:lang w:val="sq-AL"/>
              </w:rPr>
              <w:t xml:space="preserve">sa kur këto pagesa bëhen me </w:t>
            </w:r>
            <w:r w:rsidRPr="00050FA4">
              <w:rPr>
                <w:i/>
                <w:sz w:val="18"/>
                <w:szCs w:val="18"/>
                <w:lang w:val="sq-AL"/>
              </w:rPr>
              <w:t>cash</w:t>
            </w:r>
            <w:r w:rsidRPr="00050FA4">
              <w:rPr>
                <w:sz w:val="18"/>
                <w:szCs w:val="18"/>
                <w:lang w:val="sq-AL"/>
              </w:rPr>
              <w:t xml:space="preserve"> pranë sporteleve. Në këtë drejtim, rishikimi i rregulloreve të AIPS</w:t>
            </w:r>
            <w:r w:rsidRPr="00050FA4">
              <w:rPr>
                <w:rStyle w:val="FootnoteReference"/>
                <w:rFonts w:cstheme="majorBidi"/>
                <w:color w:val="0D0D0D" w:themeColor="text1" w:themeTint="F2"/>
                <w:sz w:val="18"/>
                <w:szCs w:val="18"/>
                <w:lang w:val="sq-AL"/>
              </w:rPr>
              <w:footnoteReference w:id="15"/>
            </w:r>
            <w:r w:rsidRPr="00050FA4">
              <w:rPr>
                <w:sz w:val="18"/>
                <w:szCs w:val="18"/>
                <w:lang w:val="sq-AL"/>
              </w:rPr>
              <w:t xml:space="preserve"> dhe AECH</w:t>
            </w:r>
            <w:r w:rsidRPr="00050FA4">
              <w:rPr>
                <w:rStyle w:val="FootnoteReference"/>
                <w:rFonts w:cstheme="majorBidi"/>
                <w:color w:val="0D0D0D" w:themeColor="text1" w:themeTint="F2"/>
                <w:sz w:val="18"/>
                <w:szCs w:val="18"/>
                <w:lang w:val="sq-AL"/>
              </w:rPr>
              <w:footnoteReference w:id="16"/>
            </w:r>
            <w:r w:rsidRPr="00050FA4">
              <w:rPr>
                <w:sz w:val="18"/>
                <w:szCs w:val="18"/>
                <w:lang w:val="sq-AL"/>
              </w:rPr>
              <w:t xml:space="preserve"> në vitin 2020, marrin parasysh këtë rekomandim, duke referuar se të gjitha transfertat elektronike të kreditit që shlyhen me këto sisteme duhet të jenë me komisione 50% më të ulëta sesa transfertat në letër, ndërsa për transfertat </w:t>
            </w:r>
            <w:r w:rsidR="0026453E" w:rsidRPr="00050FA4">
              <w:rPr>
                <w:sz w:val="18"/>
                <w:szCs w:val="18"/>
                <w:lang w:val="sq-AL"/>
              </w:rPr>
              <w:t>elektronike</w:t>
            </w:r>
            <w:r w:rsidRPr="00050FA4">
              <w:rPr>
                <w:sz w:val="18"/>
                <w:szCs w:val="18"/>
                <w:lang w:val="sq-AL"/>
              </w:rPr>
              <w:t xml:space="preserve"> deri në 20,000 nuk duhet të ketë komision. </w:t>
            </w:r>
          </w:p>
          <w:p w14:paraId="476513E5" w14:textId="415683F8" w:rsidR="00635B15" w:rsidRPr="00050FA4" w:rsidRDefault="00635B15" w:rsidP="00A95D23">
            <w:pPr>
              <w:pStyle w:val="AAAAAAATEXXXX"/>
              <w:ind w:firstLine="0"/>
              <w:rPr>
                <w:sz w:val="18"/>
                <w:szCs w:val="18"/>
                <w:lang w:val="sq-AL"/>
              </w:rPr>
            </w:pPr>
            <w:r w:rsidRPr="00050FA4">
              <w:rPr>
                <w:sz w:val="18"/>
                <w:szCs w:val="18"/>
                <w:lang w:val="sq-AL"/>
              </w:rPr>
              <w:t>Rekomandimi 6</w:t>
            </w:r>
            <w:r w:rsidR="0048589E" w:rsidRPr="00050FA4">
              <w:rPr>
                <w:sz w:val="18"/>
                <w:szCs w:val="18"/>
                <w:lang w:val="sq-AL"/>
              </w:rPr>
              <w:t>.</w:t>
            </w:r>
            <w:r w:rsidRPr="00050FA4">
              <w:rPr>
                <w:sz w:val="18"/>
                <w:szCs w:val="18"/>
                <w:lang w:val="sq-AL"/>
              </w:rPr>
              <w:t xml:space="preserve"> Të promovohet konkurrenca në mbledhjen e të ardhurave nga shërbimet publike nga entitete publike, me akses të </w:t>
            </w:r>
            <w:r w:rsidR="0026453E" w:rsidRPr="00050FA4">
              <w:rPr>
                <w:sz w:val="18"/>
                <w:szCs w:val="18"/>
                <w:lang w:val="sq-AL"/>
              </w:rPr>
              <w:t>drejtpërdrejtë</w:t>
            </w:r>
            <w:r w:rsidRPr="00050FA4">
              <w:rPr>
                <w:sz w:val="18"/>
                <w:szCs w:val="18"/>
                <w:lang w:val="sq-AL"/>
              </w:rPr>
              <w:t xml:space="preserve"> në AECH. </w:t>
            </w:r>
          </w:p>
          <w:p w14:paraId="0BB91781" w14:textId="77777777" w:rsidR="00635B15" w:rsidRPr="00050FA4" w:rsidRDefault="00635B15" w:rsidP="00A95D23">
            <w:pPr>
              <w:pStyle w:val="AAAAAAATEXXXX"/>
              <w:ind w:firstLine="0"/>
              <w:rPr>
                <w:sz w:val="18"/>
                <w:szCs w:val="18"/>
                <w:lang w:val="sq-AL"/>
              </w:rPr>
            </w:pPr>
            <w:r w:rsidRPr="00050FA4">
              <w:rPr>
                <w:sz w:val="18"/>
                <w:szCs w:val="18"/>
                <w:lang w:val="sq-AL"/>
              </w:rPr>
              <w:t>PRIORITETI: MESATAR</w:t>
            </w:r>
          </w:p>
          <w:p w14:paraId="56C76523" w14:textId="01E39B82" w:rsidR="00635B15" w:rsidRPr="00050FA4" w:rsidRDefault="00635B15" w:rsidP="0048589E">
            <w:pPr>
              <w:pStyle w:val="AAAAAAATEXXXX"/>
              <w:ind w:firstLine="0"/>
              <w:rPr>
                <w:rFonts w:cstheme="majorBidi"/>
                <w:color w:val="0D0D0D" w:themeColor="text1" w:themeTint="F2"/>
                <w:sz w:val="18"/>
                <w:szCs w:val="18"/>
                <w:lang w:val="sq-AL"/>
              </w:rPr>
            </w:pPr>
            <w:r w:rsidRPr="00050FA4">
              <w:rPr>
                <w:rFonts w:cstheme="majorBidi"/>
                <w:color w:val="0D0D0D" w:themeColor="text1" w:themeTint="F2"/>
                <w:sz w:val="18"/>
                <w:szCs w:val="18"/>
                <w:lang w:val="sq-AL"/>
              </w:rPr>
              <w:t xml:space="preserve">Kjo është realizuar me rishikimet që janë bërë në rregulloret për AIPS dhe AECH </w:t>
            </w:r>
            <w:r w:rsidR="0048589E" w:rsidRPr="00050FA4">
              <w:rPr>
                <w:rFonts w:cstheme="majorBidi"/>
                <w:color w:val="0D0D0D" w:themeColor="text1" w:themeTint="F2"/>
                <w:sz w:val="18"/>
                <w:szCs w:val="18"/>
                <w:lang w:val="sq-AL"/>
              </w:rPr>
              <w:t>m</w:t>
            </w:r>
            <w:r w:rsidRPr="00050FA4">
              <w:rPr>
                <w:rFonts w:cstheme="majorBidi"/>
                <w:color w:val="0D0D0D" w:themeColor="text1" w:themeTint="F2"/>
                <w:sz w:val="18"/>
                <w:szCs w:val="18"/>
                <w:lang w:val="sq-AL"/>
              </w:rPr>
              <w:t>ë 2021</w:t>
            </w:r>
            <w:r w:rsidR="0048589E" w:rsidRPr="00050FA4">
              <w:rPr>
                <w:rFonts w:cstheme="majorBidi"/>
                <w:color w:val="0D0D0D" w:themeColor="text1" w:themeTint="F2"/>
                <w:sz w:val="18"/>
                <w:szCs w:val="18"/>
                <w:lang w:val="sq-AL"/>
              </w:rPr>
              <w:t>-shin</w:t>
            </w:r>
            <w:r w:rsidRPr="00050FA4">
              <w:rPr>
                <w:rFonts w:cstheme="majorBidi"/>
                <w:color w:val="0D0D0D" w:themeColor="text1" w:themeTint="F2"/>
                <w:sz w:val="18"/>
                <w:szCs w:val="18"/>
                <w:lang w:val="sq-AL"/>
              </w:rPr>
              <w:t>.</w:t>
            </w:r>
          </w:p>
        </w:tc>
      </w:tr>
    </w:tbl>
    <w:p w14:paraId="7E22B0FB" w14:textId="77777777" w:rsidR="001453F3" w:rsidRPr="00050FA4" w:rsidRDefault="001453F3" w:rsidP="003F1DA7">
      <w:pPr>
        <w:pStyle w:val="Heading2"/>
        <w:snapToGrid w:val="0"/>
        <w:ind w:left="857" w:firstLine="284"/>
        <w:rPr>
          <w:rFonts w:ascii="Garamond" w:hAnsi="Garamond" w:cstheme="majorBidi"/>
          <w:b/>
          <w:color w:val="0D0D0D" w:themeColor="text1" w:themeTint="F2"/>
        </w:rPr>
      </w:pPr>
      <w:bookmarkStart w:id="54" w:name="_Toc484076184"/>
      <w:bookmarkStart w:id="55" w:name="_Toc62805595"/>
      <w:bookmarkStart w:id="56" w:name="_Toc93325768"/>
    </w:p>
    <w:p w14:paraId="49B76A94" w14:textId="68682364" w:rsidR="00DF1828" w:rsidRPr="00050FA4" w:rsidRDefault="00D56FB0" w:rsidP="003F1DA7">
      <w:pPr>
        <w:pStyle w:val="AAAAAAATEXXXX"/>
        <w:rPr>
          <w:b/>
          <w:lang w:val="sq-AL"/>
        </w:rPr>
      </w:pPr>
      <w:r w:rsidRPr="00050FA4">
        <w:rPr>
          <w:b/>
          <w:lang w:val="sq-AL"/>
        </w:rPr>
        <w:lastRenderedPageBreak/>
        <w:t xml:space="preserve">5.2 </w:t>
      </w:r>
      <w:r w:rsidR="00DF1828" w:rsidRPr="00050FA4">
        <w:rPr>
          <w:b/>
          <w:lang w:val="sq-AL"/>
        </w:rPr>
        <w:t>Anal</w:t>
      </w:r>
      <w:r w:rsidR="005E44FE" w:rsidRPr="00050FA4">
        <w:rPr>
          <w:b/>
          <w:lang w:val="sq-AL"/>
        </w:rPr>
        <w:t>iza e</w:t>
      </w:r>
      <w:r w:rsidR="00C505A7" w:rsidRPr="00050FA4">
        <w:rPr>
          <w:b/>
          <w:lang w:val="sq-AL"/>
        </w:rPr>
        <w:t xml:space="preserve"> </w:t>
      </w:r>
      <w:r w:rsidR="005E44FE" w:rsidRPr="00050FA4">
        <w:rPr>
          <w:b/>
          <w:lang w:val="sq-AL"/>
        </w:rPr>
        <w:t xml:space="preserve">pengesave </w:t>
      </w:r>
      <w:r w:rsidR="00C505A7" w:rsidRPr="00050FA4">
        <w:rPr>
          <w:b/>
          <w:lang w:val="sq-AL"/>
        </w:rPr>
        <w:t>n</w:t>
      </w:r>
      <w:r w:rsidR="005E44FE" w:rsidRPr="00050FA4">
        <w:rPr>
          <w:b/>
          <w:lang w:val="sq-AL"/>
        </w:rPr>
        <w:t>ë fusha të tjera</w:t>
      </w:r>
      <w:bookmarkEnd w:id="54"/>
      <w:bookmarkEnd w:id="55"/>
      <w:bookmarkEnd w:id="56"/>
    </w:p>
    <w:p w14:paraId="03F49C5E" w14:textId="1DBA1A38" w:rsidR="00C21F03" w:rsidRPr="00050FA4" w:rsidRDefault="00D56FB0" w:rsidP="003F1DA7">
      <w:pPr>
        <w:pStyle w:val="AAAAAAATEXXXX"/>
        <w:rPr>
          <w:b/>
          <w:lang w:val="sq-AL"/>
        </w:rPr>
      </w:pPr>
      <w:bookmarkStart w:id="57" w:name="_Toc93325769"/>
      <w:bookmarkStart w:id="58" w:name="_Toc484076186"/>
      <w:bookmarkStart w:id="59" w:name="_Toc62805596"/>
      <w:r w:rsidRPr="00050FA4">
        <w:rPr>
          <w:b/>
          <w:lang w:val="sq-AL"/>
        </w:rPr>
        <w:t xml:space="preserve">5.2.1 </w:t>
      </w:r>
      <w:r w:rsidR="002C5872" w:rsidRPr="00050FA4">
        <w:rPr>
          <w:b/>
          <w:lang w:val="sq-AL"/>
        </w:rPr>
        <w:t xml:space="preserve">Menaxhimi i </w:t>
      </w:r>
      <w:r w:rsidR="006A4152" w:rsidRPr="00050FA4">
        <w:rPr>
          <w:b/>
          <w:lang w:val="sq-AL"/>
        </w:rPr>
        <w:t>financave publike</w:t>
      </w:r>
      <w:bookmarkEnd w:id="57"/>
    </w:p>
    <w:p w14:paraId="5ED98F65" w14:textId="3B87265E" w:rsidR="00DE0F32" w:rsidRPr="00050FA4" w:rsidRDefault="001453F3" w:rsidP="003F1DA7">
      <w:pPr>
        <w:pStyle w:val="AAAAAAATEXXXX"/>
        <w:rPr>
          <w:i/>
          <w:lang w:val="sq-AL"/>
        </w:rPr>
      </w:pPr>
      <w:r w:rsidRPr="00050FA4">
        <w:rPr>
          <w:i/>
          <w:lang w:val="sq-AL"/>
        </w:rPr>
        <w:t>a</w:t>
      </w:r>
      <w:r w:rsidR="006A4152" w:rsidRPr="00050FA4">
        <w:rPr>
          <w:i/>
          <w:lang w:val="sq-AL"/>
        </w:rPr>
        <w:t xml:space="preserve">) </w:t>
      </w:r>
      <w:r w:rsidR="00B2062A" w:rsidRPr="00050FA4">
        <w:rPr>
          <w:i/>
          <w:lang w:val="sq-AL"/>
        </w:rPr>
        <w:t>Analiza e pengesave kryesore</w:t>
      </w:r>
    </w:p>
    <w:p w14:paraId="19FA2688" w14:textId="77777777" w:rsidR="005721FF" w:rsidRPr="00050FA4" w:rsidRDefault="005721FF" w:rsidP="003F1DA7">
      <w:pPr>
        <w:pStyle w:val="AAAAAAATEXXXX"/>
        <w:rPr>
          <w:lang w:val="sq-AL"/>
        </w:rPr>
      </w:pPr>
      <w:r w:rsidRPr="00050FA4">
        <w:rPr>
          <w:lang w:val="sq-AL"/>
        </w:rPr>
        <w:t>Pengesat kryesore që lidhen me Investimet Strategjike Publike janë renditur si më poshtë:</w:t>
      </w:r>
    </w:p>
    <w:p w14:paraId="68135C6B" w14:textId="002D418B" w:rsidR="005721FF" w:rsidRPr="00050FA4" w:rsidRDefault="005721FF" w:rsidP="003F1DA7">
      <w:pPr>
        <w:pStyle w:val="AAAAAAATEXXXX"/>
        <w:rPr>
          <w:lang w:val="sq-AL"/>
        </w:rPr>
      </w:pPr>
      <w:r w:rsidRPr="00050FA4">
        <w:rPr>
          <w:lang w:val="sq-AL"/>
        </w:rPr>
        <w:t>Planet tepër optimiste, dizajni joadekuat i projekteve, ndarja e tepërt e projekteve dhe kapaciteti relativisht i dobët i menaxhimit të projekteve kanë kontribuar në joefikasitetin në ofrimin e PIM</w:t>
      </w:r>
      <w:r w:rsidR="00C31E38" w:rsidRPr="00050FA4">
        <w:rPr>
          <w:lang w:val="sq-AL"/>
        </w:rPr>
        <w:t>-it</w:t>
      </w:r>
      <w:r w:rsidRPr="00050FA4">
        <w:rPr>
          <w:lang w:val="sq-AL"/>
        </w:rPr>
        <w:t>. Këto pengesa përmenden edhe në vlerësimin e menaxhimit të investimeve publike (PIMA) në vitin 2016 të kryer nga FMN</w:t>
      </w:r>
      <w:r w:rsidR="00C31E38" w:rsidRPr="00050FA4">
        <w:rPr>
          <w:lang w:val="sq-AL"/>
        </w:rPr>
        <w:t>-ja</w:t>
      </w:r>
      <w:r w:rsidRPr="00050FA4">
        <w:rPr>
          <w:lang w:val="sq-AL"/>
        </w:rPr>
        <w:t>.</w:t>
      </w:r>
    </w:p>
    <w:p w14:paraId="511BB62C" w14:textId="55612F00" w:rsidR="005721FF" w:rsidRPr="00050FA4" w:rsidRDefault="00C31E38" w:rsidP="003F1DA7">
      <w:pPr>
        <w:pStyle w:val="AAAAAAATEXXXX"/>
        <w:rPr>
          <w:rFonts w:cstheme="majorBidi"/>
          <w:color w:val="0D0D0D" w:themeColor="text1" w:themeTint="F2"/>
          <w:lang w:val="sq-AL"/>
        </w:rPr>
      </w:pPr>
      <w:r w:rsidRPr="00050FA4">
        <w:rPr>
          <w:rFonts w:cstheme="majorBidi"/>
          <w:color w:val="0D0D0D" w:themeColor="text1" w:themeTint="F2"/>
          <w:lang w:val="sq-AL"/>
        </w:rPr>
        <w:t>-</w:t>
      </w:r>
      <w:r w:rsidR="001453F3" w:rsidRPr="00050FA4">
        <w:rPr>
          <w:rFonts w:cstheme="majorBidi"/>
          <w:color w:val="0D0D0D" w:themeColor="text1" w:themeTint="F2"/>
          <w:lang w:val="sq-AL"/>
        </w:rPr>
        <w:t xml:space="preserve"> </w:t>
      </w:r>
      <w:r w:rsidR="005721FF" w:rsidRPr="00050FA4">
        <w:rPr>
          <w:rFonts w:cstheme="majorBidi"/>
          <w:color w:val="0D0D0D" w:themeColor="text1" w:themeTint="F2"/>
          <w:lang w:val="sq-AL"/>
        </w:rPr>
        <w:t>Shkrirja e Ministrisë së Ekonomisë me Ministrinë e Financave ka paraqitur probleme të koordinimit me menaxhimin e PPP-ve brenda kornizës së përgjithshme të PIM.</w:t>
      </w:r>
    </w:p>
    <w:p w14:paraId="420568A6" w14:textId="2F2894B2" w:rsidR="005721FF" w:rsidRPr="00050FA4" w:rsidRDefault="005721FF" w:rsidP="003F1DA7">
      <w:pPr>
        <w:pStyle w:val="AAAAAAATEXXXX"/>
        <w:rPr>
          <w:rFonts w:cstheme="majorBidi"/>
          <w:color w:val="0D0D0D" w:themeColor="text1" w:themeTint="F2"/>
          <w:lang w:val="sq-AL"/>
        </w:rPr>
      </w:pPr>
      <w:r w:rsidRPr="00050FA4">
        <w:rPr>
          <w:rFonts w:cstheme="majorBidi"/>
          <w:color w:val="0D0D0D" w:themeColor="text1" w:themeTint="F2"/>
          <w:lang w:val="sq-AL"/>
        </w:rPr>
        <w:t>Brenda MFE-së, kapaciteti për vlerësimin, monitorimin dhe menaxhimin e të gjitha investimeve publike duke përfshirë PPP-të është i fragmentuar.</w:t>
      </w:r>
    </w:p>
    <w:p w14:paraId="4499AA50" w14:textId="4E088DF7" w:rsidR="00DE0F32" w:rsidRPr="00050FA4" w:rsidRDefault="001453F3" w:rsidP="003F1DA7">
      <w:pPr>
        <w:pStyle w:val="AAAAAAATEXXXX"/>
        <w:rPr>
          <w:rFonts w:cstheme="majorBidi"/>
          <w:i/>
          <w:color w:val="0D0D0D" w:themeColor="text1" w:themeTint="F2"/>
          <w:lang w:val="sq-AL"/>
        </w:rPr>
      </w:pPr>
      <w:r w:rsidRPr="00050FA4">
        <w:rPr>
          <w:rFonts w:cstheme="majorBidi"/>
          <w:i/>
          <w:color w:val="0D0D0D" w:themeColor="text1" w:themeTint="F2"/>
          <w:lang w:val="sq-AL"/>
        </w:rPr>
        <w:t>b</w:t>
      </w:r>
      <w:r w:rsidR="006A4152" w:rsidRPr="00050FA4">
        <w:rPr>
          <w:rFonts w:cstheme="majorBidi"/>
          <w:i/>
          <w:color w:val="0D0D0D" w:themeColor="text1" w:themeTint="F2"/>
          <w:lang w:val="sq-AL"/>
        </w:rPr>
        <w:t>)</w:t>
      </w:r>
      <w:r w:rsidRPr="00050FA4">
        <w:rPr>
          <w:rFonts w:cstheme="majorBidi"/>
          <w:i/>
          <w:color w:val="0D0D0D" w:themeColor="text1" w:themeTint="F2"/>
          <w:lang w:val="sq-AL"/>
        </w:rPr>
        <w:t xml:space="preserve"> </w:t>
      </w:r>
      <w:r w:rsidR="00B2062A" w:rsidRPr="00050FA4">
        <w:rPr>
          <w:rFonts w:cstheme="majorBidi"/>
          <w:i/>
          <w:color w:val="0D0D0D" w:themeColor="text1" w:themeTint="F2"/>
          <w:lang w:val="sq-AL"/>
        </w:rPr>
        <w:t>Masat e reformës</w:t>
      </w:r>
    </w:p>
    <w:p w14:paraId="5627AA49" w14:textId="13FCBE94" w:rsidR="00DE0F32" w:rsidRPr="00050FA4" w:rsidRDefault="00B2062A" w:rsidP="003F1DA7">
      <w:pPr>
        <w:pStyle w:val="Heading5"/>
        <w:snapToGrid w:val="0"/>
        <w:ind w:left="0" w:firstLine="284"/>
        <w:rPr>
          <w:rFonts w:ascii="Garamond" w:hAnsi="Garamond" w:cstheme="majorBidi"/>
          <w:i w:val="0"/>
          <w:color w:val="0D0D0D" w:themeColor="text1" w:themeTint="F2"/>
          <w:sz w:val="24"/>
          <w:szCs w:val="24"/>
        </w:rPr>
      </w:pPr>
      <w:r w:rsidRPr="00050FA4">
        <w:rPr>
          <w:rFonts w:ascii="Garamond" w:hAnsi="Garamond" w:cstheme="majorBidi"/>
          <w:i w:val="0"/>
          <w:color w:val="0D0D0D" w:themeColor="text1" w:themeTint="F2"/>
          <w:sz w:val="24"/>
          <w:szCs w:val="24"/>
        </w:rPr>
        <w:t>Masa e reformës</w:t>
      </w:r>
      <w:r w:rsidR="005358F8" w:rsidRPr="00050FA4">
        <w:rPr>
          <w:rFonts w:ascii="Garamond" w:hAnsi="Garamond" w:cstheme="majorBidi"/>
          <w:i w:val="0"/>
          <w:color w:val="0D0D0D" w:themeColor="text1" w:themeTint="F2"/>
          <w:sz w:val="24"/>
          <w:szCs w:val="24"/>
        </w:rPr>
        <w:t xml:space="preserve"> 10</w:t>
      </w:r>
      <w:r w:rsidR="00DE0F32" w:rsidRPr="00050FA4">
        <w:rPr>
          <w:rFonts w:ascii="Garamond" w:hAnsi="Garamond" w:cstheme="majorBidi"/>
          <w:i w:val="0"/>
          <w:color w:val="0D0D0D" w:themeColor="text1" w:themeTint="F2"/>
          <w:sz w:val="24"/>
          <w:szCs w:val="24"/>
        </w:rPr>
        <w:t xml:space="preserve">: </w:t>
      </w:r>
      <w:r w:rsidR="005721FF" w:rsidRPr="00050FA4">
        <w:rPr>
          <w:rFonts w:ascii="Garamond" w:hAnsi="Garamond" w:cstheme="majorBidi"/>
          <w:i w:val="0"/>
          <w:color w:val="0D0D0D" w:themeColor="text1" w:themeTint="F2"/>
          <w:sz w:val="24"/>
          <w:szCs w:val="24"/>
        </w:rPr>
        <w:t>Investimet strategjike publike</w:t>
      </w:r>
    </w:p>
    <w:p w14:paraId="4ABC8996" w14:textId="20577A32" w:rsidR="00DE0F32" w:rsidRPr="00050FA4" w:rsidRDefault="001453F3" w:rsidP="003F1DA7">
      <w:pPr>
        <w:pStyle w:val="AAAAAAATEXXXX"/>
        <w:rPr>
          <w:lang w:val="sq-AL"/>
        </w:rPr>
      </w:pPr>
      <w:r w:rsidRPr="00050FA4">
        <w:rPr>
          <w:lang w:val="sq-AL"/>
        </w:rPr>
        <w:t xml:space="preserve">1. </w:t>
      </w:r>
      <w:r w:rsidR="00B2062A" w:rsidRPr="00050FA4">
        <w:rPr>
          <w:lang w:val="sq-AL"/>
        </w:rPr>
        <w:t>Përshkrimi i masës</w:t>
      </w:r>
    </w:p>
    <w:p w14:paraId="3BF06B3C" w14:textId="0A75C774" w:rsidR="005721FF" w:rsidRPr="00050FA4" w:rsidRDefault="005721FF" w:rsidP="003F1DA7">
      <w:pPr>
        <w:pStyle w:val="AAAAAAATEXXXX"/>
        <w:rPr>
          <w:lang w:val="sq-AL"/>
        </w:rPr>
      </w:pPr>
      <w:r w:rsidRPr="00050FA4">
        <w:rPr>
          <w:lang w:val="sq-AL"/>
        </w:rPr>
        <w:t xml:space="preserve">Masa e propozuar e reformës për </w:t>
      </w:r>
      <w:r w:rsidR="00C31E38" w:rsidRPr="00050FA4">
        <w:rPr>
          <w:lang w:val="sq-AL"/>
        </w:rPr>
        <w:t xml:space="preserve">investimet strategjike publike do </w:t>
      </w:r>
      <w:r w:rsidRPr="00050FA4">
        <w:rPr>
          <w:lang w:val="sq-AL"/>
        </w:rPr>
        <w:t>të synojë:</w:t>
      </w:r>
    </w:p>
    <w:p w14:paraId="114EB657" w14:textId="2CF458A8" w:rsidR="005721FF" w:rsidRPr="00050FA4" w:rsidRDefault="005721FF" w:rsidP="003F1DA7">
      <w:pPr>
        <w:pStyle w:val="AAAAAAATEXXXX"/>
        <w:rPr>
          <w:lang w:val="sq-AL"/>
        </w:rPr>
      </w:pPr>
      <w:r w:rsidRPr="00050FA4">
        <w:rPr>
          <w:lang w:val="sq-AL"/>
        </w:rPr>
        <w:t>a</w:t>
      </w:r>
      <w:r w:rsidR="006A4152" w:rsidRPr="00050FA4">
        <w:rPr>
          <w:lang w:val="sq-AL"/>
        </w:rPr>
        <w:t>)</w:t>
      </w:r>
      <w:r w:rsidRPr="00050FA4">
        <w:rPr>
          <w:lang w:val="sq-AL"/>
        </w:rPr>
        <w:t xml:space="preserve"> Zhvilloni një strategji PIM, duke përfshirë një PPP;</w:t>
      </w:r>
    </w:p>
    <w:p w14:paraId="13B5DD68" w14:textId="75BF022A" w:rsidR="005721FF" w:rsidRPr="00050FA4" w:rsidRDefault="005721FF" w:rsidP="003F1DA7">
      <w:pPr>
        <w:pStyle w:val="AAAAAAATEXXXX"/>
        <w:rPr>
          <w:lang w:val="sq-AL"/>
        </w:rPr>
      </w:pPr>
      <w:r w:rsidRPr="00050FA4">
        <w:rPr>
          <w:lang w:val="sq-AL"/>
        </w:rPr>
        <w:t>b</w:t>
      </w:r>
      <w:r w:rsidR="006A4152" w:rsidRPr="00050FA4">
        <w:rPr>
          <w:lang w:val="sq-AL"/>
        </w:rPr>
        <w:t>)</w:t>
      </w:r>
      <w:r w:rsidRPr="00050FA4">
        <w:rPr>
          <w:lang w:val="sq-AL"/>
        </w:rPr>
        <w:t xml:space="preserve"> Forcimi i kapaciteteve në të gjithë qeverinë për të vlerësuar projektet e investimeve publike;</w:t>
      </w:r>
    </w:p>
    <w:p w14:paraId="7CD9A50D" w14:textId="412BAED8" w:rsidR="005721FF" w:rsidRPr="00050FA4" w:rsidRDefault="005721FF" w:rsidP="003F1DA7">
      <w:pPr>
        <w:pStyle w:val="AAAAAAATEXXXX"/>
        <w:rPr>
          <w:lang w:val="sq-AL"/>
        </w:rPr>
      </w:pPr>
      <w:r w:rsidRPr="00050FA4">
        <w:rPr>
          <w:lang w:val="sq-AL"/>
        </w:rPr>
        <w:t>c</w:t>
      </w:r>
      <w:r w:rsidR="006A4152" w:rsidRPr="00050FA4">
        <w:rPr>
          <w:lang w:val="sq-AL"/>
        </w:rPr>
        <w:t>)</w:t>
      </w:r>
      <w:r w:rsidRPr="00050FA4">
        <w:rPr>
          <w:lang w:val="sq-AL"/>
        </w:rPr>
        <w:t xml:space="preserve"> Përmirësimi i monitorimit të investimeve publike duke përfshirë projektet PPP dhe koncesionet.</w:t>
      </w:r>
    </w:p>
    <w:p w14:paraId="1C13B784" w14:textId="3767556E" w:rsidR="00DE0F32" w:rsidRPr="00050FA4" w:rsidRDefault="001453F3" w:rsidP="003F1DA7">
      <w:pPr>
        <w:pStyle w:val="AAAAAAATEXXXX"/>
        <w:rPr>
          <w:b/>
          <w:lang w:val="sq-AL"/>
        </w:rPr>
      </w:pPr>
      <w:r w:rsidRPr="00050FA4">
        <w:rPr>
          <w:b/>
          <w:lang w:val="sq-AL"/>
        </w:rPr>
        <w:t>a</w:t>
      </w:r>
      <w:r w:rsidR="006A4152" w:rsidRPr="00050FA4">
        <w:rPr>
          <w:b/>
          <w:lang w:val="sq-AL"/>
        </w:rPr>
        <w:t>)</w:t>
      </w:r>
      <w:r w:rsidRPr="00050FA4">
        <w:rPr>
          <w:b/>
          <w:lang w:val="sq-AL"/>
        </w:rPr>
        <w:t xml:space="preserve"> </w:t>
      </w:r>
      <w:r w:rsidR="00B2062A" w:rsidRPr="00050FA4">
        <w:rPr>
          <w:b/>
          <w:lang w:val="sq-AL"/>
        </w:rPr>
        <w:t xml:space="preserve">Aktivitete të planifikuara </w:t>
      </w:r>
      <w:r w:rsidR="00F21FEB" w:rsidRPr="00050FA4">
        <w:rPr>
          <w:b/>
          <w:lang w:val="sq-AL"/>
        </w:rPr>
        <w:t>m</w:t>
      </w:r>
      <w:r w:rsidR="00B2062A" w:rsidRPr="00050FA4">
        <w:rPr>
          <w:b/>
          <w:lang w:val="sq-AL"/>
        </w:rPr>
        <w:t>ë</w:t>
      </w:r>
      <w:r w:rsidR="00DE0F32" w:rsidRPr="00050FA4">
        <w:rPr>
          <w:b/>
          <w:lang w:val="sq-AL"/>
        </w:rPr>
        <w:t xml:space="preserve"> 2022</w:t>
      </w:r>
      <w:r w:rsidR="00F21FEB" w:rsidRPr="00050FA4">
        <w:rPr>
          <w:b/>
          <w:lang w:val="sq-AL"/>
        </w:rPr>
        <w:t>-shin</w:t>
      </w:r>
    </w:p>
    <w:p w14:paraId="562FD0E7" w14:textId="12464009" w:rsidR="005721FF" w:rsidRPr="00050FA4" w:rsidRDefault="001453F3" w:rsidP="003F1DA7">
      <w:pPr>
        <w:pStyle w:val="AAAAAAATEXXXX"/>
        <w:rPr>
          <w:lang w:val="sq-AL"/>
        </w:rPr>
      </w:pPr>
      <w:r w:rsidRPr="00050FA4">
        <w:rPr>
          <w:bCs/>
          <w:lang w:val="sq-AL"/>
        </w:rPr>
        <w:t>a</w:t>
      </w:r>
      <w:r w:rsidR="006A4152" w:rsidRPr="00050FA4">
        <w:rPr>
          <w:bCs/>
          <w:lang w:val="sq-AL"/>
        </w:rPr>
        <w:t>)</w:t>
      </w:r>
      <w:r w:rsidRPr="00050FA4">
        <w:rPr>
          <w:bCs/>
          <w:lang w:val="sq-AL"/>
        </w:rPr>
        <w:t xml:space="preserve"> </w:t>
      </w:r>
      <w:r w:rsidR="005721FF" w:rsidRPr="00050FA4">
        <w:rPr>
          <w:bCs/>
          <w:lang w:val="sq-AL"/>
        </w:rPr>
        <w:t>Zhvillimi i strategjisë së investimeve publike për të drejtuar investimet publ</w:t>
      </w:r>
      <w:r w:rsidR="00C31E38" w:rsidRPr="00050FA4">
        <w:rPr>
          <w:bCs/>
          <w:lang w:val="sq-AL"/>
        </w:rPr>
        <w:t>ike;</w:t>
      </w:r>
    </w:p>
    <w:p w14:paraId="1F50518E" w14:textId="7CA4BF59" w:rsidR="005721FF" w:rsidRPr="00050FA4" w:rsidRDefault="001453F3" w:rsidP="003F1DA7">
      <w:pPr>
        <w:pStyle w:val="AAAAAAATEXXXX"/>
        <w:rPr>
          <w:lang w:val="sq-AL"/>
        </w:rPr>
      </w:pPr>
      <w:r w:rsidRPr="00050FA4">
        <w:rPr>
          <w:bCs/>
          <w:lang w:val="sq-AL"/>
        </w:rPr>
        <w:t>b</w:t>
      </w:r>
      <w:r w:rsidR="006A4152" w:rsidRPr="00050FA4">
        <w:rPr>
          <w:bCs/>
          <w:lang w:val="sq-AL"/>
        </w:rPr>
        <w:t>)</w:t>
      </w:r>
      <w:r w:rsidRPr="00050FA4">
        <w:rPr>
          <w:bCs/>
          <w:lang w:val="sq-AL"/>
        </w:rPr>
        <w:t xml:space="preserve"> </w:t>
      </w:r>
      <w:r w:rsidR="005721FF" w:rsidRPr="00050FA4">
        <w:rPr>
          <w:bCs/>
          <w:lang w:val="sq-AL"/>
        </w:rPr>
        <w:t>Përgatitja dhe mirëmbajtja e linjës së vetme të projektit (përfshirë PPP) bazuar në kritere të qarta të përzgjedhjes strategjike të lidhura me dokumentet strategjike, prioritetet e qeverisë dhe prioritetet sektoriale</w:t>
      </w:r>
      <w:r w:rsidR="00C31E38" w:rsidRPr="00050FA4">
        <w:rPr>
          <w:bCs/>
          <w:lang w:val="sq-AL"/>
        </w:rPr>
        <w:t>;</w:t>
      </w:r>
    </w:p>
    <w:p w14:paraId="22DEBC51" w14:textId="598928E6" w:rsidR="005721FF" w:rsidRPr="00050FA4" w:rsidRDefault="001453F3" w:rsidP="003F1DA7">
      <w:pPr>
        <w:pStyle w:val="AAAAAAATEXXXX"/>
        <w:rPr>
          <w:lang w:val="sq-AL"/>
        </w:rPr>
      </w:pPr>
      <w:r w:rsidRPr="00050FA4">
        <w:rPr>
          <w:bCs/>
          <w:lang w:val="sq-AL"/>
        </w:rPr>
        <w:t>c</w:t>
      </w:r>
      <w:r w:rsidR="006A4152" w:rsidRPr="00050FA4">
        <w:rPr>
          <w:bCs/>
          <w:lang w:val="sq-AL"/>
        </w:rPr>
        <w:t>)</w:t>
      </w:r>
      <w:r w:rsidRPr="00050FA4">
        <w:rPr>
          <w:bCs/>
          <w:lang w:val="sq-AL"/>
        </w:rPr>
        <w:t xml:space="preserve"> </w:t>
      </w:r>
      <w:r w:rsidR="005721FF" w:rsidRPr="00050FA4">
        <w:rPr>
          <w:bCs/>
          <w:lang w:val="sq-AL"/>
        </w:rPr>
        <w:t>Zhvillimi i metodologjisë për zhvillimin e studimeve të fizibilitetit, analizës së përfitimit të kostos, vlerësimeve të ndikimit mjedisor dhe social dhe mjeteve të prioritizimit të projekteve</w:t>
      </w:r>
      <w:r w:rsidR="00C31E38" w:rsidRPr="00050FA4">
        <w:rPr>
          <w:bCs/>
          <w:lang w:val="sq-AL"/>
        </w:rPr>
        <w:t>;</w:t>
      </w:r>
    </w:p>
    <w:p w14:paraId="3EAA99F2" w14:textId="690663CD" w:rsidR="005721FF" w:rsidRPr="00050FA4" w:rsidRDefault="001453F3" w:rsidP="003F1DA7">
      <w:pPr>
        <w:pStyle w:val="AAAAAAATEXXXX"/>
        <w:rPr>
          <w:lang w:val="sq-AL"/>
        </w:rPr>
      </w:pPr>
      <w:r w:rsidRPr="00050FA4">
        <w:rPr>
          <w:bCs/>
          <w:lang w:val="sq-AL"/>
        </w:rPr>
        <w:t>d</w:t>
      </w:r>
      <w:r w:rsidR="006A4152" w:rsidRPr="00050FA4">
        <w:rPr>
          <w:bCs/>
          <w:lang w:val="sq-AL"/>
        </w:rPr>
        <w:t>)</w:t>
      </w:r>
      <w:r w:rsidRPr="00050FA4">
        <w:rPr>
          <w:bCs/>
          <w:lang w:val="sq-AL"/>
        </w:rPr>
        <w:t xml:space="preserve"> </w:t>
      </w:r>
      <w:r w:rsidR="005721FF" w:rsidRPr="00050FA4">
        <w:rPr>
          <w:bCs/>
          <w:lang w:val="sq-AL"/>
        </w:rPr>
        <w:t>Përmirësimi i kornizës së monitorimit të investimeve strategjike bazuar në KPI</w:t>
      </w:r>
      <w:r w:rsidR="00C31E38" w:rsidRPr="00050FA4">
        <w:rPr>
          <w:bCs/>
          <w:lang w:val="sq-AL"/>
        </w:rPr>
        <w:t>;</w:t>
      </w:r>
    </w:p>
    <w:p w14:paraId="1057FF5D" w14:textId="7DD5BB29" w:rsidR="005721FF" w:rsidRPr="00050FA4" w:rsidRDefault="001453F3" w:rsidP="003F1DA7">
      <w:pPr>
        <w:pStyle w:val="AAAAAAATEXXXX"/>
        <w:rPr>
          <w:lang w:val="sq-AL"/>
        </w:rPr>
      </w:pPr>
      <w:r w:rsidRPr="00050FA4">
        <w:rPr>
          <w:bCs/>
          <w:lang w:val="sq-AL"/>
        </w:rPr>
        <w:t>e</w:t>
      </w:r>
      <w:r w:rsidR="006A4152" w:rsidRPr="00050FA4">
        <w:rPr>
          <w:bCs/>
          <w:lang w:val="sq-AL"/>
        </w:rPr>
        <w:t xml:space="preserve">) </w:t>
      </w:r>
      <w:r w:rsidR="005721FF" w:rsidRPr="00050FA4">
        <w:rPr>
          <w:bCs/>
          <w:lang w:val="sq-AL"/>
        </w:rPr>
        <w:t>Hartimi i raporteve gjithëpërfshirëse për investimet publike</w:t>
      </w:r>
      <w:r w:rsidR="00C31E38" w:rsidRPr="00050FA4">
        <w:rPr>
          <w:bCs/>
          <w:lang w:val="sq-AL"/>
        </w:rPr>
        <w:t>;</w:t>
      </w:r>
    </w:p>
    <w:p w14:paraId="2859D526" w14:textId="62F4F0C3" w:rsidR="005721FF" w:rsidRPr="00050FA4" w:rsidRDefault="001453F3" w:rsidP="003F1DA7">
      <w:pPr>
        <w:pStyle w:val="AAAAAAATEXXXX"/>
        <w:rPr>
          <w:lang w:val="sq-AL"/>
        </w:rPr>
      </w:pPr>
      <w:r w:rsidRPr="00050FA4">
        <w:rPr>
          <w:bCs/>
          <w:lang w:val="sq-AL"/>
        </w:rPr>
        <w:t>f</w:t>
      </w:r>
      <w:r w:rsidR="00530B9F" w:rsidRPr="00050FA4">
        <w:rPr>
          <w:bCs/>
          <w:lang w:val="sq-AL"/>
        </w:rPr>
        <w:t>)</w:t>
      </w:r>
      <w:r w:rsidRPr="00050FA4">
        <w:rPr>
          <w:bCs/>
          <w:lang w:val="sq-AL"/>
        </w:rPr>
        <w:t xml:space="preserve"> </w:t>
      </w:r>
      <w:r w:rsidR="005721FF" w:rsidRPr="00050FA4">
        <w:rPr>
          <w:bCs/>
          <w:lang w:val="sq-AL"/>
        </w:rPr>
        <w:t>Përmirësimi i kuadrit të monitorimit të kontratave koncesionare/PPP</w:t>
      </w:r>
      <w:r w:rsidR="00C31E38" w:rsidRPr="00050FA4">
        <w:rPr>
          <w:bCs/>
          <w:lang w:val="sq-AL"/>
        </w:rPr>
        <w:t>;</w:t>
      </w:r>
    </w:p>
    <w:p w14:paraId="6227EC2F" w14:textId="7484ED11" w:rsidR="005721FF" w:rsidRPr="00050FA4" w:rsidRDefault="001453F3" w:rsidP="003F1DA7">
      <w:pPr>
        <w:pStyle w:val="AAAAAAATEXXXX"/>
        <w:rPr>
          <w:lang w:val="sq-AL"/>
        </w:rPr>
      </w:pPr>
      <w:r w:rsidRPr="00050FA4">
        <w:rPr>
          <w:bCs/>
          <w:lang w:val="sq-AL"/>
        </w:rPr>
        <w:t>g</w:t>
      </w:r>
      <w:r w:rsidR="00530B9F" w:rsidRPr="00050FA4">
        <w:rPr>
          <w:bCs/>
          <w:lang w:val="sq-AL"/>
        </w:rPr>
        <w:t>)</w:t>
      </w:r>
      <w:r w:rsidRPr="00050FA4">
        <w:rPr>
          <w:bCs/>
          <w:lang w:val="sq-AL"/>
        </w:rPr>
        <w:t xml:space="preserve"> </w:t>
      </w:r>
      <w:r w:rsidR="005721FF" w:rsidRPr="00050FA4">
        <w:rPr>
          <w:bCs/>
          <w:lang w:val="sq-AL"/>
        </w:rPr>
        <w:t>Forcimi/zhvillimi i kapaciteteve për vlerësimin e projekteve të reja koncesionare/PPP.</w:t>
      </w:r>
    </w:p>
    <w:p w14:paraId="0993FC95" w14:textId="08149FAC" w:rsidR="00DE0F32" w:rsidRPr="00050FA4" w:rsidRDefault="001453F3" w:rsidP="003F1DA7">
      <w:pPr>
        <w:pStyle w:val="AAAAAAATEXXXX"/>
        <w:rPr>
          <w:b/>
          <w:lang w:val="sq-AL"/>
        </w:rPr>
      </w:pPr>
      <w:r w:rsidRPr="00050FA4">
        <w:rPr>
          <w:b/>
          <w:lang w:val="sq-AL"/>
        </w:rPr>
        <w:t xml:space="preserve">b) </w:t>
      </w:r>
      <w:r w:rsidR="00B2062A" w:rsidRPr="00050FA4">
        <w:rPr>
          <w:b/>
          <w:lang w:val="sq-AL"/>
        </w:rPr>
        <w:t xml:space="preserve">Aktivitete të planifikuara </w:t>
      </w:r>
      <w:r w:rsidR="00F21FEB" w:rsidRPr="00050FA4">
        <w:rPr>
          <w:b/>
          <w:lang w:val="sq-AL"/>
        </w:rPr>
        <w:t>m</w:t>
      </w:r>
      <w:r w:rsidR="00B2062A" w:rsidRPr="00050FA4">
        <w:rPr>
          <w:b/>
          <w:lang w:val="sq-AL"/>
        </w:rPr>
        <w:t>ë</w:t>
      </w:r>
      <w:r w:rsidR="00DE0F32" w:rsidRPr="00050FA4">
        <w:rPr>
          <w:b/>
          <w:lang w:val="sq-AL"/>
        </w:rPr>
        <w:t xml:space="preserve"> 2023</w:t>
      </w:r>
      <w:r w:rsidR="00F21FEB" w:rsidRPr="00050FA4">
        <w:rPr>
          <w:b/>
          <w:lang w:val="sq-AL"/>
        </w:rPr>
        <w:t>-shin</w:t>
      </w:r>
    </w:p>
    <w:p w14:paraId="09FCC007" w14:textId="2D681406" w:rsidR="005721FF" w:rsidRPr="00050FA4" w:rsidRDefault="001453F3" w:rsidP="003F1DA7">
      <w:pPr>
        <w:pStyle w:val="AAAAAAATEXXXX"/>
        <w:rPr>
          <w:lang w:val="sq-AL"/>
        </w:rPr>
      </w:pPr>
      <w:r w:rsidRPr="00050FA4">
        <w:rPr>
          <w:bCs/>
          <w:lang w:val="sq-AL"/>
        </w:rPr>
        <w:t>a</w:t>
      </w:r>
      <w:r w:rsidR="00530B9F" w:rsidRPr="00050FA4">
        <w:rPr>
          <w:bCs/>
          <w:lang w:val="sq-AL"/>
        </w:rPr>
        <w:t>)</w:t>
      </w:r>
      <w:r w:rsidRPr="00050FA4">
        <w:rPr>
          <w:bCs/>
          <w:lang w:val="sq-AL"/>
        </w:rPr>
        <w:t xml:space="preserve"> </w:t>
      </w:r>
      <w:r w:rsidR="005721FF" w:rsidRPr="00050FA4">
        <w:rPr>
          <w:bCs/>
          <w:lang w:val="sq-AL"/>
        </w:rPr>
        <w:t>Forcimi/zhvillimi i kapaciteteve në të gjithë qeverinë për të identifikuar, përgatitur dhe vlerësuar projektet e investimeve publike.</w:t>
      </w:r>
    </w:p>
    <w:p w14:paraId="1C794B15" w14:textId="51C0E62E" w:rsidR="005721FF" w:rsidRPr="00050FA4" w:rsidRDefault="001453F3" w:rsidP="003F1DA7">
      <w:pPr>
        <w:pStyle w:val="AAAAAAATEXXXX"/>
        <w:rPr>
          <w:lang w:val="sq-AL"/>
        </w:rPr>
      </w:pPr>
      <w:r w:rsidRPr="00050FA4">
        <w:rPr>
          <w:bCs/>
          <w:lang w:val="sq-AL"/>
        </w:rPr>
        <w:t>b</w:t>
      </w:r>
      <w:r w:rsidR="00530B9F" w:rsidRPr="00050FA4">
        <w:rPr>
          <w:bCs/>
          <w:lang w:val="sq-AL"/>
        </w:rPr>
        <w:t>)</w:t>
      </w:r>
      <w:r w:rsidRPr="00050FA4">
        <w:rPr>
          <w:bCs/>
          <w:lang w:val="sq-AL"/>
        </w:rPr>
        <w:t xml:space="preserve"> </w:t>
      </w:r>
      <w:r w:rsidR="005721FF" w:rsidRPr="00050FA4">
        <w:rPr>
          <w:bCs/>
          <w:lang w:val="sq-AL"/>
        </w:rPr>
        <w:t>Zhvillimi i metodologjisë për alokimin/rishpërndarjen e fondeve buxhetore për investime strategjike</w:t>
      </w:r>
      <w:r w:rsidR="00C31E38" w:rsidRPr="00050FA4">
        <w:rPr>
          <w:bCs/>
          <w:lang w:val="sq-AL"/>
        </w:rPr>
        <w:t>;</w:t>
      </w:r>
    </w:p>
    <w:p w14:paraId="1589BC17" w14:textId="16794FBB" w:rsidR="005721FF" w:rsidRPr="00050FA4" w:rsidRDefault="001453F3" w:rsidP="003F1DA7">
      <w:pPr>
        <w:pStyle w:val="AAAAAAATEXXXX"/>
        <w:rPr>
          <w:lang w:val="sq-AL"/>
        </w:rPr>
      </w:pPr>
      <w:r w:rsidRPr="00050FA4">
        <w:rPr>
          <w:bCs/>
          <w:lang w:val="sq-AL"/>
        </w:rPr>
        <w:t>c</w:t>
      </w:r>
      <w:r w:rsidR="00530B9F" w:rsidRPr="00050FA4">
        <w:rPr>
          <w:bCs/>
          <w:lang w:val="sq-AL"/>
        </w:rPr>
        <w:t>)</w:t>
      </w:r>
      <w:r w:rsidRPr="00050FA4">
        <w:rPr>
          <w:bCs/>
          <w:lang w:val="sq-AL"/>
        </w:rPr>
        <w:t xml:space="preserve"> </w:t>
      </w:r>
      <w:r w:rsidR="005721FF" w:rsidRPr="00050FA4">
        <w:rPr>
          <w:bCs/>
          <w:lang w:val="sq-AL"/>
        </w:rPr>
        <w:t>Forcimi/zhvillimi i kapaciteteve nëpër institucionet qeveritare për të rritur thithjen e fondeve për investime strategjike</w:t>
      </w:r>
      <w:r w:rsidR="00C31E38" w:rsidRPr="00050FA4">
        <w:rPr>
          <w:bCs/>
          <w:lang w:val="sq-AL"/>
        </w:rPr>
        <w:t>;</w:t>
      </w:r>
    </w:p>
    <w:p w14:paraId="7D49ED36" w14:textId="2A854318" w:rsidR="005721FF" w:rsidRPr="00050FA4" w:rsidRDefault="001453F3" w:rsidP="003F1DA7">
      <w:pPr>
        <w:pStyle w:val="AAAAAAATEXXXX"/>
        <w:rPr>
          <w:lang w:val="sq-AL"/>
        </w:rPr>
      </w:pPr>
      <w:r w:rsidRPr="00050FA4">
        <w:rPr>
          <w:bCs/>
          <w:lang w:val="sq-AL"/>
        </w:rPr>
        <w:t>d</w:t>
      </w:r>
      <w:r w:rsidR="00530B9F" w:rsidRPr="00050FA4">
        <w:rPr>
          <w:bCs/>
          <w:lang w:val="sq-AL"/>
        </w:rPr>
        <w:t>)</w:t>
      </w:r>
      <w:r w:rsidRPr="00050FA4">
        <w:rPr>
          <w:bCs/>
          <w:lang w:val="sq-AL"/>
        </w:rPr>
        <w:t xml:space="preserve"> </w:t>
      </w:r>
      <w:r w:rsidR="005721FF" w:rsidRPr="00050FA4">
        <w:rPr>
          <w:bCs/>
          <w:lang w:val="sq-AL"/>
        </w:rPr>
        <w:t>Përmirësimi i procesit të përfshirjes së investimeve publike në ciklin e PBA-së</w:t>
      </w:r>
      <w:r w:rsidR="00C31E38" w:rsidRPr="00050FA4">
        <w:rPr>
          <w:bCs/>
          <w:lang w:val="sq-AL"/>
        </w:rPr>
        <w:t>;</w:t>
      </w:r>
    </w:p>
    <w:p w14:paraId="5886B0F2" w14:textId="1FB0AC32" w:rsidR="005721FF" w:rsidRPr="00050FA4" w:rsidRDefault="001453F3" w:rsidP="003F1DA7">
      <w:pPr>
        <w:pStyle w:val="AAAAAAATEXXXX"/>
        <w:rPr>
          <w:lang w:val="sq-AL"/>
        </w:rPr>
      </w:pPr>
      <w:r w:rsidRPr="00050FA4">
        <w:rPr>
          <w:bCs/>
          <w:lang w:val="sq-AL"/>
        </w:rPr>
        <w:t>e</w:t>
      </w:r>
      <w:r w:rsidR="00530B9F" w:rsidRPr="00050FA4">
        <w:rPr>
          <w:bCs/>
          <w:lang w:val="sq-AL"/>
        </w:rPr>
        <w:t>)</w:t>
      </w:r>
      <w:r w:rsidRPr="00050FA4">
        <w:rPr>
          <w:bCs/>
          <w:lang w:val="sq-AL"/>
        </w:rPr>
        <w:t xml:space="preserve"> </w:t>
      </w:r>
      <w:r w:rsidR="005721FF" w:rsidRPr="00050FA4">
        <w:rPr>
          <w:bCs/>
          <w:lang w:val="sq-AL"/>
        </w:rPr>
        <w:t>Plotësimi i bazës së plotë të të dhënave të kontratave të monitoruara dhe ndjekja e procesit të monitorimit të kontratave të koncesionit/PPP</w:t>
      </w:r>
      <w:r w:rsidR="00C31E38" w:rsidRPr="00050FA4">
        <w:rPr>
          <w:bCs/>
          <w:lang w:val="sq-AL"/>
        </w:rPr>
        <w:t>;</w:t>
      </w:r>
    </w:p>
    <w:p w14:paraId="052FFF65" w14:textId="166E2859" w:rsidR="005721FF" w:rsidRPr="00050FA4" w:rsidRDefault="001453F3" w:rsidP="003F1DA7">
      <w:pPr>
        <w:pStyle w:val="AAAAAAATEXXXX"/>
        <w:rPr>
          <w:lang w:val="sq-AL"/>
        </w:rPr>
      </w:pPr>
      <w:r w:rsidRPr="00050FA4">
        <w:rPr>
          <w:bCs/>
          <w:lang w:val="sq-AL"/>
        </w:rPr>
        <w:t>f</w:t>
      </w:r>
      <w:r w:rsidR="00530B9F" w:rsidRPr="00050FA4">
        <w:rPr>
          <w:bCs/>
          <w:lang w:val="sq-AL"/>
        </w:rPr>
        <w:t>)</w:t>
      </w:r>
      <w:r w:rsidRPr="00050FA4">
        <w:rPr>
          <w:bCs/>
          <w:lang w:val="sq-AL"/>
        </w:rPr>
        <w:t xml:space="preserve"> </w:t>
      </w:r>
      <w:r w:rsidR="005721FF" w:rsidRPr="00050FA4">
        <w:rPr>
          <w:bCs/>
          <w:lang w:val="sq-AL"/>
        </w:rPr>
        <w:t>Zhvillimi i metodologjisë në lidhje me vlerësimin e projekteve të reja koncesionare/PPP.</w:t>
      </w:r>
    </w:p>
    <w:p w14:paraId="49A99221" w14:textId="14BE24AB" w:rsidR="00DE0F32" w:rsidRPr="00050FA4" w:rsidRDefault="001453F3" w:rsidP="003F1DA7">
      <w:pPr>
        <w:pStyle w:val="AAAAAAATEXXXX"/>
        <w:rPr>
          <w:b/>
          <w:lang w:val="sq-AL"/>
        </w:rPr>
      </w:pPr>
      <w:r w:rsidRPr="00050FA4">
        <w:rPr>
          <w:b/>
          <w:lang w:val="sq-AL"/>
        </w:rPr>
        <w:t>c</w:t>
      </w:r>
      <w:r w:rsidR="00530B9F" w:rsidRPr="00050FA4">
        <w:rPr>
          <w:b/>
          <w:lang w:val="sq-AL"/>
        </w:rPr>
        <w:t>)</w:t>
      </w:r>
      <w:r w:rsidRPr="00050FA4">
        <w:rPr>
          <w:b/>
          <w:lang w:val="sq-AL"/>
        </w:rPr>
        <w:t xml:space="preserve"> </w:t>
      </w:r>
      <w:r w:rsidR="00B2062A" w:rsidRPr="00050FA4">
        <w:rPr>
          <w:b/>
          <w:lang w:val="sq-AL"/>
        </w:rPr>
        <w:t xml:space="preserve">Aktivitete të planifikuara </w:t>
      </w:r>
      <w:r w:rsidR="00C31E38" w:rsidRPr="00050FA4">
        <w:rPr>
          <w:b/>
          <w:lang w:val="sq-AL"/>
        </w:rPr>
        <w:t>m</w:t>
      </w:r>
      <w:r w:rsidR="00B2062A" w:rsidRPr="00050FA4">
        <w:rPr>
          <w:b/>
          <w:lang w:val="sq-AL"/>
        </w:rPr>
        <w:t>ë</w:t>
      </w:r>
      <w:r w:rsidR="00DE0F32" w:rsidRPr="00050FA4">
        <w:rPr>
          <w:b/>
          <w:lang w:val="sq-AL"/>
        </w:rPr>
        <w:t xml:space="preserve"> 2024</w:t>
      </w:r>
      <w:r w:rsidR="00C31E38" w:rsidRPr="00050FA4">
        <w:rPr>
          <w:b/>
          <w:lang w:val="sq-AL"/>
        </w:rPr>
        <w:t>-ën</w:t>
      </w:r>
    </w:p>
    <w:p w14:paraId="30853ADE" w14:textId="32173E07" w:rsidR="005721FF" w:rsidRPr="00050FA4" w:rsidRDefault="001453F3" w:rsidP="003F1DA7">
      <w:pPr>
        <w:pStyle w:val="AAAAAAATEXXXX"/>
        <w:rPr>
          <w:lang w:val="sq-AL"/>
        </w:rPr>
      </w:pPr>
      <w:r w:rsidRPr="00050FA4">
        <w:rPr>
          <w:bCs/>
          <w:lang w:val="sq-AL"/>
        </w:rPr>
        <w:t>a</w:t>
      </w:r>
      <w:r w:rsidR="00530B9F" w:rsidRPr="00050FA4">
        <w:rPr>
          <w:bCs/>
          <w:lang w:val="sq-AL"/>
        </w:rPr>
        <w:t>)</w:t>
      </w:r>
      <w:r w:rsidRPr="00050FA4">
        <w:rPr>
          <w:bCs/>
          <w:lang w:val="sq-AL"/>
        </w:rPr>
        <w:t xml:space="preserve"> </w:t>
      </w:r>
      <w:r w:rsidR="005721FF" w:rsidRPr="00050FA4">
        <w:rPr>
          <w:bCs/>
          <w:lang w:val="sq-AL"/>
        </w:rPr>
        <w:t>Forcimi/zhvillimi i kapaciteteve nëpër institucionet qeveritare për monitorimin e kontratave koncesionare/PPP</w:t>
      </w:r>
      <w:r w:rsidR="00C31E38" w:rsidRPr="00050FA4">
        <w:rPr>
          <w:bCs/>
          <w:lang w:val="sq-AL"/>
        </w:rPr>
        <w:t>;</w:t>
      </w:r>
    </w:p>
    <w:p w14:paraId="3C6E89DD" w14:textId="2205661F" w:rsidR="005721FF" w:rsidRPr="00050FA4" w:rsidRDefault="001453F3" w:rsidP="003F1DA7">
      <w:pPr>
        <w:pStyle w:val="AAAAAAATEXXXX"/>
        <w:rPr>
          <w:lang w:val="sq-AL"/>
        </w:rPr>
      </w:pPr>
      <w:r w:rsidRPr="00050FA4">
        <w:rPr>
          <w:bCs/>
          <w:lang w:val="sq-AL"/>
        </w:rPr>
        <w:t>b</w:t>
      </w:r>
      <w:r w:rsidR="00530B9F" w:rsidRPr="00050FA4">
        <w:rPr>
          <w:bCs/>
          <w:lang w:val="sq-AL"/>
        </w:rPr>
        <w:t>)</w:t>
      </w:r>
      <w:r w:rsidRPr="00050FA4">
        <w:rPr>
          <w:bCs/>
          <w:lang w:val="sq-AL"/>
        </w:rPr>
        <w:t xml:space="preserve"> </w:t>
      </w:r>
      <w:r w:rsidR="005721FF" w:rsidRPr="00050FA4">
        <w:rPr>
          <w:bCs/>
          <w:lang w:val="sq-AL"/>
        </w:rPr>
        <w:t>Konsolidimi dhe përmirësimi i metodologjisë së vlerësimit të projekteve të reja koncesionare/PPP.</w:t>
      </w:r>
    </w:p>
    <w:p w14:paraId="03C6F3B2" w14:textId="7163FA3E" w:rsidR="00DE0F32" w:rsidRPr="00050FA4" w:rsidRDefault="001453F3" w:rsidP="003F1DA7">
      <w:pPr>
        <w:pStyle w:val="AAAAAAATEXXXX"/>
        <w:rPr>
          <w:lang w:val="sq-AL"/>
        </w:rPr>
      </w:pPr>
      <w:r w:rsidRPr="00050FA4">
        <w:rPr>
          <w:lang w:val="sq-AL"/>
        </w:rPr>
        <w:t xml:space="preserve">2. </w:t>
      </w:r>
      <w:r w:rsidR="00B2062A" w:rsidRPr="00050FA4">
        <w:rPr>
          <w:lang w:val="sq-AL"/>
        </w:rPr>
        <w:t>Treguesit e rezultateve</w:t>
      </w:r>
    </w:p>
    <w:p w14:paraId="40B34F9C" w14:textId="77777777" w:rsidR="00C31E38" w:rsidRPr="00050FA4" w:rsidRDefault="00C31E38" w:rsidP="003F1DA7">
      <w:pPr>
        <w:pStyle w:val="AAAAAAATEXXXX"/>
        <w:rPr>
          <w:lang w:val="sq-AL"/>
        </w:rPr>
      </w:pPr>
    </w:p>
    <w:tbl>
      <w:tblPr>
        <w:tblStyle w:val="TableGrid"/>
        <w:tblW w:w="0" w:type="auto"/>
        <w:jc w:val="center"/>
        <w:tblLook w:val="04A0" w:firstRow="1" w:lastRow="0" w:firstColumn="1" w:lastColumn="0" w:noHBand="0" w:noVBand="1"/>
      </w:tblPr>
      <w:tblGrid>
        <w:gridCol w:w="6579"/>
        <w:gridCol w:w="962"/>
        <w:gridCol w:w="1519"/>
        <w:gridCol w:w="1056"/>
      </w:tblGrid>
      <w:tr w:rsidR="00FA29AB" w:rsidRPr="00050FA4" w14:paraId="430A6F6C" w14:textId="77777777" w:rsidTr="0019098F">
        <w:trPr>
          <w:jc w:val="center"/>
        </w:trPr>
        <w:tc>
          <w:tcPr>
            <w:tcW w:w="0" w:type="auto"/>
            <w:vAlign w:val="center"/>
          </w:tcPr>
          <w:p w14:paraId="746476F5" w14:textId="7114446D" w:rsidR="005721FF" w:rsidRPr="00050FA4" w:rsidRDefault="005721FF"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0" w:type="auto"/>
            <w:vAlign w:val="center"/>
          </w:tcPr>
          <w:p w14:paraId="4D348613" w14:textId="46681EE6" w:rsidR="005721FF" w:rsidRPr="00050FA4" w:rsidRDefault="005721FF"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Bazë (2020)</w:t>
            </w:r>
          </w:p>
        </w:tc>
        <w:tc>
          <w:tcPr>
            <w:tcW w:w="0" w:type="auto"/>
            <w:vAlign w:val="center"/>
          </w:tcPr>
          <w:p w14:paraId="7308550D" w14:textId="1DA45C95" w:rsidR="005721FF" w:rsidRPr="00050FA4" w:rsidRDefault="005721FF"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I ndërmjetëm (2022)</w:t>
            </w:r>
          </w:p>
        </w:tc>
        <w:tc>
          <w:tcPr>
            <w:tcW w:w="0" w:type="auto"/>
            <w:vAlign w:val="center"/>
          </w:tcPr>
          <w:p w14:paraId="07AE4144" w14:textId="7A35FA0E" w:rsidR="005721FF" w:rsidRPr="00050FA4" w:rsidRDefault="005721FF"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 (2024)</w:t>
            </w:r>
          </w:p>
        </w:tc>
      </w:tr>
      <w:tr w:rsidR="00FA29AB" w:rsidRPr="00050FA4" w14:paraId="71F45969" w14:textId="77777777" w:rsidTr="0019098F">
        <w:trPr>
          <w:jc w:val="center"/>
        </w:trPr>
        <w:tc>
          <w:tcPr>
            <w:tcW w:w="0" w:type="auto"/>
          </w:tcPr>
          <w:p w14:paraId="02615209" w14:textId="3D1FE0B4" w:rsidR="005721FF" w:rsidRPr="00050FA4" w:rsidRDefault="005721FF"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Pjesa e projekteve të investimeve publike që propozohen në bazë të prioriteteve strategjike të qeverisë (vlera e projekteve në një vit të caktuar)</w:t>
            </w:r>
          </w:p>
        </w:tc>
        <w:tc>
          <w:tcPr>
            <w:tcW w:w="0" w:type="auto"/>
          </w:tcPr>
          <w:p w14:paraId="6A94E7E7" w14:textId="0F839E01"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82%</w:t>
            </w:r>
          </w:p>
        </w:tc>
        <w:tc>
          <w:tcPr>
            <w:tcW w:w="0" w:type="auto"/>
          </w:tcPr>
          <w:p w14:paraId="4A5DC17B" w14:textId="77777777"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&gt; (t-1)</w:t>
            </w:r>
          </w:p>
          <w:p w14:paraId="7FB9FBCD" w14:textId="76A32ACC" w:rsidR="005721FF" w:rsidRPr="00050FA4" w:rsidRDefault="0019098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(trend rritë</w:t>
            </w:r>
            <w:r w:rsidR="005721FF" w:rsidRPr="00050FA4">
              <w:rPr>
                <w:rFonts w:ascii="Garamond" w:hAnsi="Garamond" w:cstheme="majorBidi"/>
                <w:color w:val="0D0D0D" w:themeColor="text1" w:themeTint="F2"/>
                <w:sz w:val="18"/>
                <w:szCs w:val="18"/>
              </w:rPr>
              <w:t>s)</w:t>
            </w:r>
          </w:p>
        </w:tc>
        <w:tc>
          <w:tcPr>
            <w:tcW w:w="0" w:type="auto"/>
          </w:tcPr>
          <w:p w14:paraId="51F2FD83" w14:textId="77777777" w:rsidR="005721FF" w:rsidRPr="00050FA4" w:rsidRDefault="005721FF" w:rsidP="0019098F">
            <w:pPr>
              <w:snapToGrid w:val="0"/>
              <w:jc w:val="right"/>
              <w:rPr>
                <w:rFonts w:ascii="Garamond" w:hAnsi="Garamond" w:cstheme="majorBidi"/>
                <w:color w:val="0D0D0D" w:themeColor="text1" w:themeTint="F2"/>
                <w:sz w:val="18"/>
                <w:szCs w:val="18"/>
              </w:rPr>
            </w:pPr>
          </w:p>
        </w:tc>
      </w:tr>
      <w:tr w:rsidR="00FA29AB" w:rsidRPr="00050FA4" w14:paraId="69B38B6E" w14:textId="77777777" w:rsidTr="0019098F">
        <w:trPr>
          <w:jc w:val="center"/>
        </w:trPr>
        <w:tc>
          <w:tcPr>
            <w:tcW w:w="0" w:type="auto"/>
          </w:tcPr>
          <w:p w14:paraId="461714A5" w14:textId="00EA23BC" w:rsidR="005721FF" w:rsidRPr="00050FA4" w:rsidRDefault="005721FF"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Disbursimet aktuale për projektet e investimeve të mëdha krahasuar me disbursimet e planifikuara së bashku me shpjegimin e variacioneve</w:t>
            </w:r>
          </w:p>
        </w:tc>
        <w:tc>
          <w:tcPr>
            <w:tcW w:w="0" w:type="auto"/>
          </w:tcPr>
          <w:p w14:paraId="7E7FCF63" w14:textId="47515797"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95%</w:t>
            </w:r>
          </w:p>
        </w:tc>
        <w:tc>
          <w:tcPr>
            <w:tcW w:w="0" w:type="auto"/>
          </w:tcPr>
          <w:p w14:paraId="0843F3D1" w14:textId="31E632C5"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98%</w:t>
            </w:r>
          </w:p>
        </w:tc>
        <w:tc>
          <w:tcPr>
            <w:tcW w:w="0" w:type="auto"/>
          </w:tcPr>
          <w:p w14:paraId="77BB5B89" w14:textId="77777777" w:rsidR="005721FF" w:rsidRPr="00050FA4" w:rsidRDefault="005721FF" w:rsidP="0019098F">
            <w:pPr>
              <w:snapToGrid w:val="0"/>
              <w:jc w:val="right"/>
              <w:rPr>
                <w:rFonts w:ascii="Garamond" w:hAnsi="Garamond" w:cstheme="majorBidi"/>
                <w:color w:val="0D0D0D" w:themeColor="text1" w:themeTint="F2"/>
                <w:sz w:val="18"/>
                <w:szCs w:val="18"/>
              </w:rPr>
            </w:pPr>
          </w:p>
        </w:tc>
      </w:tr>
      <w:tr w:rsidR="00FA29AB" w:rsidRPr="00050FA4" w14:paraId="226920D5" w14:textId="77777777" w:rsidTr="0019098F">
        <w:trPr>
          <w:jc w:val="center"/>
        </w:trPr>
        <w:tc>
          <w:tcPr>
            <w:tcW w:w="0" w:type="auto"/>
          </w:tcPr>
          <w:p w14:paraId="27F8F41F" w14:textId="6DE4E320" w:rsidR="005721FF" w:rsidRPr="00050FA4" w:rsidRDefault="005721FF"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Raporti i investimeve të reja publike të paraqitura brenda ciklit të PBA-së kundrejt totalit të investimeve të reja publike të miratuara në një vit</w:t>
            </w:r>
          </w:p>
        </w:tc>
        <w:tc>
          <w:tcPr>
            <w:tcW w:w="0" w:type="auto"/>
          </w:tcPr>
          <w:p w14:paraId="14BA1817" w14:textId="169A23C9"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46.35%</w:t>
            </w:r>
          </w:p>
        </w:tc>
        <w:tc>
          <w:tcPr>
            <w:tcW w:w="0" w:type="auto"/>
          </w:tcPr>
          <w:p w14:paraId="67368043" w14:textId="77777777"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&gt; (t-1)</w:t>
            </w:r>
          </w:p>
          <w:p w14:paraId="67DB805C" w14:textId="2EB6B8EB" w:rsidR="005721FF" w:rsidRPr="00050FA4" w:rsidRDefault="0019098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(trend rritë</w:t>
            </w:r>
            <w:r w:rsidR="005721FF" w:rsidRPr="00050FA4">
              <w:rPr>
                <w:rFonts w:ascii="Garamond" w:hAnsi="Garamond" w:cstheme="majorBidi"/>
                <w:color w:val="0D0D0D" w:themeColor="text1" w:themeTint="F2"/>
                <w:sz w:val="18"/>
                <w:szCs w:val="18"/>
              </w:rPr>
              <w:t>s)</w:t>
            </w:r>
          </w:p>
        </w:tc>
        <w:tc>
          <w:tcPr>
            <w:tcW w:w="0" w:type="auto"/>
          </w:tcPr>
          <w:p w14:paraId="024EC1B0" w14:textId="77777777" w:rsidR="005721FF" w:rsidRPr="00050FA4" w:rsidRDefault="005721FF" w:rsidP="0019098F">
            <w:pPr>
              <w:snapToGrid w:val="0"/>
              <w:jc w:val="right"/>
              <w:rPr>
                <w:rFonts w:ascii="Garamond" w:hAnsi="Garamond" w:cstheme="majorBidi"/>
                <w:color w:val="0D0D0D" w:themeColor="text1" w:themeTint="F2"/>
                <w:sz w:val="18"/>
                <w:szCs w:val="18"/>
              </w:rPr>
            </w:pPr>
          </w:p>
        </w:tc>
      </w:tr>
      <w:tr w:rsidR="00FA29AB" w:rsidRPr="00050FA4" w14:paraId="108708C1" w14:textId="77777777" w:rsidTr="0019098F">
        <w:trPr>
          <w:jc w:val="center"/>
        </w:trPr>
        <w:tc>
          <w:tcPr>
            <w:tcW w:w="0" w:type="auto"/>
          </w:tcPr>
          <w:p w14:paraId="361D3F15" w14:textId="2F1DC236" w:rsidR="005721FF" w:rsidRPr="00050FA4" w:rsidRDefault="005721FF"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Numri i kontratave të monitoruara kundrejt totalit të kontratave ekzistuese</w:t>
            </w:r>
          </w:p>
        </w:tc>
        <w:tc>
          <w:tcPr>
            <w:tcW w:w="0" w:type="auto"/>
          </w:tcPr>
          <w:p w14:paraId="1B09DFD9" w14:textId="325B8706"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82%</w:t>
            </w:r>
          </w:p>
        </w:tc>
        <w:tc>
          <w:tcPr>
            <w:tcW w:w="0" w:type="auto"/>
          </w:tcPr>
          <w:p w14:paraId="64DD4BCA" w14:textId="2221C0DF"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100%</w:t>
            </w:r>
          </w:p>
        </w:tc>
        <w:tc>
          <w:tcPr>
            <w:tcW w:w="0" w:type="auto"/>
          </w:tcPr>
          <w:p w14:paraId="6BC570D8" w14:textId="4D7CB196" w:rsidR="005721FF" w:rsidRPr="00050FA4" w:rsidRDefault="005721FF" w:rsidP="0019098F">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100%</w:t>
            </w:r>
          </w:p>
        </w:tc>
      </w:tr>
    </w:tbl>
    <w:p w14:paraId="4C4D608F" w14:textId="77777777" w:rsidR="00DE0F32" w:rsidRPr="00050FA4" w:rsidRDefault="00DE0F32" w:rsidP="003F1DA7">
      <w:pPr>
        <w:pStyle w:val="AAAAAAATEXXXX"/>
        <w:rPr>
          <w:lang w:val="sq-AL"/>
        </w:rPr>
      </w:pPr>
    </w:p>
    <w:p w14:paraId="4F7E24F1" w14:textId="3A268037" w:rsidR="00DE0F32" w:rsidRPr="00050FA4" w:rsidRDefault="001453F3" w:rsidP="003F1DA7">
      <w:pPr>
        <w:pStyle w:val="AAAAAAATEXXXX"/>
        <w:rPr>
          <w:lang w:val="sq-AL"/>
        </w:rPr>
      </w:pPr>
      <w:r w:rsidRPr="00050FA4">
        <w:rPr>
          <w:lang w:val="sq-AL"/>
        </w:rPr>
        <w:lastRenderedPageBreak/>
        <w:t xml:space="preserve">3. </w:t>
      </w:r>
      <w:r w:rsidR="00B2062A" w:rsidRPr="00050FA4">
        <w:rPr>
          <w:lang w:val="sq-AL"/>
        </w:rPr>
        <w:t>Ndikimi i pritshëm në konkurrueshmëri</w:t>
      </w:r>
    </w:p>
    <w:p w14:paraId="02A50E6F" w14:textId="46D52C7A" w:rsidR="004F0967" w:rsidRPr="00050FA4" w:rsidRDefault="004F0967" w:rsidP="003F1DA7">
      <w:pPr>
        <w:pStyle w:val="AAAAAAATEXXXX"/>
        <w:rPr>
          <w:lang w:val="sq-AL" w:eastAsia="x-none"/>
        </w:rPr>
      </w:pPr>
      <w:r w:rsidRPr="00050FA4">
        <w:rPr>
          <w:lang w:val="sq-AL" w:eastAsia="x-none"/>
        </w:rPr>
        <w:t xml:space="preserve">Integrimi i investimeve mund të përmirësojë konkurrencën përmes dy kanaleve: së pari, duke rritur madhësinë e tregut të disponueshëm për firmat </w:t>
      </w:r>
      <w:r w:rsidR="00643BAF" w:rsidRPr="00050FA4">
        <w:rPr>
          <w:lang w:val="sq-AL" w:eastAsia="x-none"/>
        </w:rPr>
        <w:t>vendës</w:t>
      </w:r>
      <w:r w:rsidRPr="00050FA4">
        <w:rPr>
          <w:lang w:val="sq-AL" w:eastAsia="x-none"/>
        </w:rPr>
        <w:t>e; dhe së dyti, duke nxitur produktivitetin dhe inovacionin duke i ekspozuar firmat ndaj konkurrencës, ekspertizës dhe teknologjisë ndërkombëtare.</w:t>
      </w:r>
    </w:p>
    <w:p w14:paraId="501C04E3" w14:textId="11275FBD" w:rsidR="004F0967" w:rsidRPr="00050FA4" w:rsidRDefault="004F0967" w:rsidP="003F1DA7">
      <w:pPr>
        <w:pStyle w:val="AAAAAAATEXXXX"/>
        <w:rPr>
          <w:lang w:val="sq-AL" w:eastAsia="x-none"/>
        </w:rPr>
      </w:pPr>
      <w:r w:rsidRPr="00050FA4">
        <w:rPr>
          <w:lang w:val="sq-AL" w:eastAsia="x-none"/>
        </w:rPr>
        <w:t>Perspektivat e konkurrencës janë kritike për politikat efektive për të nxitur rritjen dhe zhvillimin. Politikat fokusohen në krijimin e një klime tërheqëse investimi veçanërisht për ndërmarrjet e vogla dhe të mesme për të nxitur inovacionin dhe performancën konkurruese. Gjithashtu, politikat e fokusuara dhe partneritetet efektive të sektorit privat-publik nxisin inovacionin dhe lehtësojnë performancën konkurruese.</w:t>
      </w:r>
    </w:p>
    <w:p w14:paraId="1AB51898" w14:textId="32E0DECC" w:rsidR="00DE0F32" w:rsidRPr="00050FA4" w:rsidRDefault="001453F3" w:rsidP="003F1DA7">
      <w:pPr>
        <w:pStyle w:val="AAAAAAATEXXXX"/>
        <w:rPr>
          <w:lang w:val="sq-AL"/>
        </w:rPr>
      </w:pPr>
      <w:r w:rsidRPr="00050FA4">
        <w:rPr>
          <w:lang w:val="sq-AL"/>
        </w:rPr>
        <w:t xml:space="preserve">4. </w:t>
      </w:r>
      <w:r w:rsidR="00B2062A" w:rsidRPr="00050FA4">
        <w:rPr>
          <w:lang w:val="sq-AL"/>
        </w:rPr>
        <w:t>Kosto</w:t>
      </w:r>
      <w:r w:rsidR="0019098F" w:rsidRPr="00050FA4">
        <w:rPr>
          <w:lang w:val="sq-AL"/>
        </w:rPr>
        <w:t>ja</w:t>
      </w:r>
      <w:r w:rsidR="00B2062A" w:rsidRPr="00050FA4">
        <w:rPr>
          <w:lang w:val="sq-AL"/>
        </w:rPr>
        <w:t xml:space="preserve"> e parashikuar e aktiviteteve dhe burimi i financimit</w:t>
      </w:r>
    </w:p>
    <w:p w14:paraId="294C563D" w14:textId="773829CD" w:rsidR="004F0967" w:rsidRPr="00050FA4" w:rsidRDefault="004F0967" w:rsidP="003F1DA7">
      <w:pPr>
        <w:pStyle w:val="AAAAAAATEXXXX"/>
        <w:rPr>
          <w:lang w:val="sq-AL"/>
        </w:rPr>
      </w:pPr>
      <w:r w:rsidRPr="00050FA4">
        <w:rPr>
          <w:lang w:val="sq-AL"/>
        </w:rPr>
        <w:t>Për vitin 2020 dhe 2022 kostot e parashikuara janë importuar nga Plani i Veprimit të MFP 2019</w:t>
      </w:r>
      <w:r w:rsidR="00C31E38" w:rsidRPr="00050FA4">
        <w:rPr>
          <w:lang w:val="sq-AL"/>
        </w:rPr>
        <w:t>–</w:t>
      </w:r>
      <w:r w:rsidRPr="00050FA4">
        <w:rPr>
          <w:lang w:val="sq-AL"/>
        </w:rPr>
        <w:t>2022 (strategjia e MFP 2019</w:t>
      </w:r>
      <w:r w:rsidR="00F21FEB" w:rsidRPr="00050FA4">
        <w:rPr>
          <w:lang w:val="sq-AL"/>
        </w:rPr>
        <w:t>–</w:t>
      </w:r>
      <w:r w:rsidRPr="00050FA4">
        <w:rPr>
          <w:lang w:val="sq-AL"/>
        </w:rPr>
        <w:t>2022).</w:t>
      </w:r>
    </w:p>
    <w:p w14:paraId="683D1BE5" w14:textId="28FCD953" w:rsidR="00DE0F32" w:rsidRPr="00050FA4" w:rsidRDefault="001453F3"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7277E23B" w14:textId="77777777" w:rsidR="0021477B" w:rsidRPr="00050FA4" w:rsidRDefault="0021477B" w:rsidP="003F1DA7">
      <w:pPr>
        <w:pStyle w:val="AAAAAAATEXXXX"/>
        <w:rPr>
          <w:lang w:val="sq-AL"/>
        </w:rPr>
      </w:pPr>
      <w:r w:rsidRPr="00050FA4">
        <w:rPr>
          <w:lang w:val="sq-AL"/>
        </w:rPr>
        <w:t>Investimi çon në përmirësime të produktivitetit, të cilat nga ana tjetër çojnë në rritjen e rritjes. Kjo më pas çon në fitime të përmirësuara dhe investime shtesë, dhe në një ekonomi ideale, cikli vazhdon. Kështu, investimi është disi pika kyçe kritike.</w:t>
      </w:r>
    </w:p>
    <w:p w14:paraId="7C2EDA41" w14:textId="1619980F" w:rsidR="0021477B" w:rsidRPr="00050FA4" w:rsidRDefault="0021477B" w:rsidP="003F1DA7">
      <w:pPr>
        <w:pStyle w:val="AAAAAAATEXXXX"/>
        <w:rPr>
          <w:lang w:val="sq-AL"/>
        </w:rPr>
      </w:pPr>
      <w:r w:rsidRPr="00050FA4">
        <w:rPr>
          <w:lang w:val="sq-AL"/>
        </w:rPr>
        <w:t>Investimet publike mund të ndikojnë në një ekonomi kombëtare në mënyra të shumta. Së pari, investimi kapital duhet t</w:t>
      </w:r>
      <w:r w:rsidR="00F21FEB" w:rsidRPr="00050FA4">
        <w:rPr>
          <w:lang w:val="sq-AL"/>
        </w:rPr>
        <w:t>ë rrisë kapacitetin dhe/ose efici</w:t>
      </w:r>
      <w:r w:rsidRPr="00050FA4">
        <w:rPr>
          <w:lang w:val="sq-AL"/>
        </w:rPr>
        <w:t>encën e prodhimit, gjë që do të çojë në rritje ekonomike, e cila shfaqet në dy mënyra kritike. Së pari është aftësia e bizneseve për të riinvestuar fitimet e tyre për të vazhduar këtë rritje dhe së dyti, popullsia e punës dhe konsumatorët që punësohen</w:t>
      </w:r>
      <w:r w:rsidR="005D5491" w:rsidRPr="00050FA4">
        <w:rPr>
          <w:lang w:val="sq-AL"/>
        </w:rPr>
        <w:t>,</w:t>
      </w:r>
      <w:r w:rsidRPr="00050FA4">
        <w:rPr>
          <w:lang w:val="sq-AL"/>
        </w:rPr>
        <w:t xml:space="preserve"> për shkak të kësaj rritjeje do të kenë më shumë para në dorë, gjë që do të rrisë shpenzimet e tyre. Kjo siguron të ardhura dhe kapital shtesë për bizneset, dhe bizneset më pas mund të vazhdojnë ciklin e investimeve për të rritur prodhimin.</w:t>
      </w:r>
    </w:p>
    <w:p w14:paraId="2C77F450" w14:textId="77777777" w:rsidR="0021477B" w:rsidRPr="00050FA4" w:rsidRDefault="0021477B" w:rsidP="003F1DA7">
      <w:pPr>
        <w:pStyle w:val="AAAAAAATEXXXX"/>
        <w:rPr>
          <w:lang w:val="sq-AL"/>
        </w:rPr>
      </w:pPr>
      <w:r w:rsidRPr="00050FA4">
        <w:rPr>
          <w:lang w:val="sq-AL"/>
        </w:rPr>
        <w:t>Investimet publike stimulojnë aktivitetin ekonomik nëpërmjet efekteve afatshkurtra në kërkesën agregate dhe rrit produktivitetin e kapitalit ekzistues privat (fizik dhe njerëzor). Investimet publike inkurajojnë gjithashtu investimet e reja private për të përfituar nga produktiviteti më i lartë që krijon, duke rritur rritjen ekonomike. Për këtë nevojitet një infrastrukturë më e mirë qeverisjeje, ku institucione më të forta të menaxhojnë investimet publike.</w:t>
      </w:r>
    </w:p>
    <w:p w14:paraId="10E46EEB" w14:textId="77777777" w:rsidR="0021477B" w:rsidRPr="00050FA4" w:rsidRDefault="0021477B" w:rsidP="003F1DA7">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Një rritje e konsiderueshme e investimeve publike do të krijonte vende pune në afat të shkurtër dhe do të rriste rritjen e standardeve mesatare të jetesës në dekadat e ardhshme.</w:t>
      </w:r>
    </w:p>
    <w:p w14:paraId="348754D3" w14:textId="267FD649" w:rsidR="0021477B" w:rsidRPr="00050FA4" w:rsidRDefault="0021477B" w:rsidP="003F1DA7">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Investimet publike në arsimin rural kanë ndikimin më të madh në varfëri, të ndjekura nga shpenzimet në bujqësi dhe në rrugët rurale.</w:t>
      </w:r>
    </w:p>
    <w:p w14:paraId="63839141" w14:textId="072A04EC" w:rsidR="00DE0F32" w:rsidRPr="00050FA4" w:rsidRDefault="001453F3"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3C92765A" w14:textId="77777777" w:rsidR="001453F3" w:rsidRPr="00050FA4" w:rsidRDefault="0021477B" w:rsidP="003F1DA7">
      <w:pPr>
        <w:pStyle w:val="AAAAAAATEXXXX"/>
        <w:rPr>
          <w:lang w:val="sq-AL"/>
        </w:rPr>
      </w:pPr>
      <w:r w:rsidRPr="00050FA4">
        <w:rPr>
          <w:lang w:val="sq-AL"/>
        </w:rPr>
        <w:t xml:space="preserve">Politikat dhe investimet publike mund të mbyllin familjet dhe bizneset në aktivitetin ekonomik që kufizon fleksibilitetin e tyre dhe rrit cenueshmërinë. Autorizimi i termocentraleve të reja me qymyr bllokon nivele të larta emetimi për dekadat e ardhshme. Ndërtimi i një dige do të inkurajojë familjet dhe bizneset që të investojnë, punojnë dhe jetojnë në zonën e mbrojtur, duke i lënë ata të ekspozuar ndaj ngjarjeve ekstreme dhe duke i dekurajuar nga kërkimi i alternativave. Për të zbutur ndryshimet klimatike, sektori publik punon për të ndryshuar teknologjinë, prodhimin dhe konsumin në mënyrë që ato të reduktojnë emetimet e gazeve serrë. </w:t>
      </w:r>
    </w:p>
    <w:p w14:paraId="3B3B8FD5" w14:textId="2088AB72" w:rsidR="0021477B" w:rsidRPr="00050FA4" w:rsidRDefault="0021477B" w:rsidP="003F1DA7">
      <w:pPr>
        <w:pStyle w:val="AAAAAAATEXXXX"/>
        <w:rPr>
          <w:lang w:val="sq-AL"/>
        </w:rPr>
      </w:pPr>
      <w:r w:rsidRPr="00050FA4">
        <w:rPr>
          <w:lang w:val="sq-AL"/>
        </w:rPr>
        <w:t>Të gjitha projektet e sektorit publik duhet të marrin parasysh ndikimet e ndryshimeve klimatike, duke kërkuar të minimizojnë ndikimet negative në klimë përmes zbutjes dhe të minimizojnë ndikimet e pafavorshme klimatike përmes përshtatjes. Kjo kërkon një vlerësim të kujdesshëm. Teknikat e vlerësimit duhet të integrojnë kostot direkte dhe sociale të ndryshimeve klimatike dhe të ndërtojnë fleksibilitet për t</w:t>
      </w:r>
      <w:r w:rsidR="00E67ECA" w:rsidRPr="00050FA4">
        <w:rPr>
          <w:lang w:val="sq-AL"/>
        </w:rPr>
        <w:t>’</w:t>
      </w:r>
      <w:r w:rsidRPr="00050FA4">
        <w:rPr>
          <w:lang w:val="sq-AL"/>
        </w:rPr>
        <w:t>iu përgjigjur ndikimeve të pasigurta të ndryshimeve klimatike. Investime të tilla kërkojnë një vlerësim të kujdesshëm të kostove, përfitimeve dhe rreziqeve të qenësishme në planet afatgjata të investimeve publike.</w:t>
      </w:r>
    </w:p>
    <w:p w14:paraId="3B5FAD8B" w14:textId="720B74F3" w:rsidR="00DE0F32" w:rsidRPr="00050FA4" w:rsidRDefault="001453F3" w:rsidP="003F1DA7">
      <w:pPr>
        <w:pStyle w:val="AAAAAAATEXXXX"/>
        <w:rPr>
          <w:lang w:val="sq-AL"/>
        </w:rPr>
      </w:pPr>
      <w:r w:rsidRPr="00050FA4">
        <w:rPr>
          <w:lang w:val="sq-AL"/>
        </w:rPr>
        <w:t xml:space="preserve">7. </w:t>
      </w:r>
      <w:r w:rsidR="00B2062A" w:rsidRPr="00050FA4">
        <w:rPr>
          <w:lang w:val="sq-AL"/>
        </w:rPr>
        <w:t>Rreziqet e mundshme</w:t>
      </w:r>
    </w:p>
    <w:p w14:paraId="6EEB3483" w14:textId="77777777" w:rsidR="005D5491" w:rsidRPr="00050FA4" w:rsidRDefault="005D5491" w:rsidP="003F1DA7">
      <w:pPr>
        <w:pStyle w:val="AAAAAAATEXXXX"/>
        <w:rPr>
          <w:lang w:val="sq-AL"/>
        </w:rPr>
      </w:pPr>
    </w:p>
    <w:tbl>
      <w:tblPr>
        <w:tblStyle w:val="TableGrid"/>
        <w:tblW w:w="0" w:type="auto"/>
        <w:jc w:val="center"/>
        <w:tblLook w:val="04A0" w:firstRow="1" w:lastRow="0" w:firstColumn="1" w:lastColumn="0" w:noHBand="0" w:noVBand="1"/>
      </w:tblPr>
      <w:tblGrid>
        <w:gridCol w:w="3111"/>
        <w:gridCol w:w="2121"/>
        <w:gridCol w:w="3949"/>
      </w:tblGrid>
      <w:tr w:rsidR="00FA29AB" w:rsidRPr="00050FA4" w14:paraId="28E1EB02" w14:textId="77777777" w:rsidTr="0019098F">
        <w:trPr>
          <w:jc w:val="center"/>
        </w:trPr>
        <w:tc>
          <w:tcPr>
            <w:tcW w:w="0" w:type="auto"/>
          </w:tcPr>
          <w:p w14:paraId="60918563" w14:textId="43447720" w:rsidR="00DE0F32" w:rsidRPr="00050FA4" w:rsidRDefault="00B2062A"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0" w:type="auto"/>
          </w:tcPr>
          <w:p w14:paraId="49B70347" w14:textId="084D0E11" w:rsidR="00DE0F32" w:rsidRPr="00050FA4" w:rsidRDefault="00B2062A"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DE0F32" w:rsidRPr="00050FA4">
              <w:rPr>
                <w:rFonts w:ascii="Garamond" w:hAnsi="Garamond" w:cstheme="majorBidi"/>
                <w:b/>
                <w:color w:val="0D0D0D" w:themeColor="text1" w:themeTint="F2"/>
                <w:sz w:val="18"/>
                <w:szCs w:val="18"/>
              </w:rPr>
              <w:t xml:space="preserve"> (</w:t>
            </w:r>
            <w:r w:rsidRPr="00050FA4">
              <w:rPr>
                <w:rFonts w:ascii="Garamond" w:hAnsi="Garamond" w:cstheme="majorBidi"/>
                <w:b/>
                <w:color w:val="0D0D0D" w:themeColor="text1" w:themeTint="F2"/>
                <w:sz w:val="18"/>
                <w:szCs w:val="18"/>
              </w:rPr>
              <w:t>e ulët, e lartë</w:t>
            </w:r>
            <w:r w:rsidR="00DE0F32" w:rsidRPr="00050FA4">
              <w:rPr>
                <w:rFonts w:ascii="Garamond" w:hAnsi="Garamond" w:cstheme="majorBidi"/>
                <w:b/>
                <w:color w:val="0D0D0D" w:themeColor="text1" w:themeTint="F2"/>
                <w:sz w:val="18"/>
                <w:szCs w:val="18"/>
              </w:rPr>
              <w:t>)</w:t>
            </w:r>
          </w:p>
        </w:tc>
        <w:tc>
          <w:tcPr>
            <w:tcW w:w="0" w:type="auto"/>
          </w:tcPr>
          <w:p w14:paraId="0D058C3E" w14:textId="2C1E4E76" w:rsidR="00DE0F32" w:rsidRPr="00050FA4" w:rsidRDefault="00B2062A" w:rsidP="0019098F">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000C4177" w14:textId="77777777" w:rsidTr="0019098F">
        <w:trPr>
          <w:jc w:val="center"/>
        </w:trPr>
        <w:tc>
          <w:tcPr>
            <w:tcW w:w="0" w:type="auto"/>
          </w:tcPr>
          <w:p w14:paraId="7E018650" w14:textId="3948729A" w:rsidR="0021477B" w:rsidRPr="00050FA4" w:rsidRDefault="0021477B"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Ndryshime të vonuara ligjore/rregullative</w:t>
            </w:r>
          </w:p>
        </w:tc>
        <w:tc>
          <w:tcPr>
            <w:tcW w:w="0" w:type="auto"/>
          </w:tcPr>
          <w:p w14:paraId="1B8A9C0F" w14:textId="6917A0CD" w:rsidR="0021477B" w:rsidRPr="00050FA4" w:rsidRDefault="0019098F"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mesme</w:t>
            </w:r>
          </w:p>
        </w:tc>
        <w:tc>
          <w:tcPr>
            <w:tcW w:w="0" w:type="auto"/>
          </w:tcPr>
          <w:p w14:paraId="2F919BA1" w14:textId="77777777" w:rsidR="0021477B" w:rsidRPr="00050FA4" w:rsidRDefault="0021477B" w:rsidP="00A95D23">
            <w:pPr>
              <w:snapToGrid w:val="0"/>
              <w:rPr>
                <w:rFonts w:ascii="Garamond" w:hAnsi="Garamond" w:cstheme="majorBidi"/>
                <w:color w:val="0D0D0D" w:themeColor="text1" w:themeTint="F2"/>
                <w:sz w:val="18"/>
                <w:szCs w:val="18"/>
              </w:rPr>
            </w:pPr>
          </w:p>
        </w:tc>
      </w:tr>
      <w:tr w:rsidR="00FA29AB" w:rsidRPr="00050FA4" w14:paraId="1A758ABD" w14:textId="77777777" w:rsidTr="0019098F">
        <w:trPr>
          <w:jc w:val="center"/>
        </w:trPr>
        <w:tc>
          <w:tcPr>
            <w:tcW w:w="0" w:type="auto"/>
          </w:tcPr>
          <w:p w14:paraId="71381AC4" w14:textId="2B615769" w:rsidR="0021477B" w:rsidRPr="00050FA4" w:rsidRDefault="0021477B" w:rsidP="00A95D23">
            <w:pPr>
              <w:snapToGrid w:val="0"/>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Burimet njerëzore adekuate</w:t>
            </w:r>
          </w:p>
        </w:tc>
        <w:tc>
          <w:tcPr>
            <w:tcW w:w="0" w:type="auto"/>
          </w:tcPr>
          <w:p w14:paraId="1067B550" w14:textId="2DF3AFF5" w:rsidR="0021477B" w:rsidRPr="00050FA4" w:rsidRDefault="0019098F"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mesme</w:t>
            </w:r>
          </w:p>
        </w:tc>
        <w:tc>
          <w:tcPr>
            <w:tcW w:w="0" w:type="auto"/>
          </w:tcPr>
          <w:p w14:paraId="75A372BC" w14:textId="77777777" w:rsidR="0021477B" w:rsidRPr="00050FA4" w:rsidRDefault="0021477B" w:rsidP="00A95D23">
            <w:pPr>
              <w:snapToGrid w:val="0"/>
              <w:rPr>
                <w:rFonts w:ascii="Garamond" w:hAnsi="Garamond" w:cstheme="majorBidi"/>
                <w:color w:val="0D0D0D" w:themeColor="text1" w:themeTint="F2"/>
                <w:sz w:val="18"/>
                <w:szCs w:val="18"/>
              </w:rPr>
            </w:pPr>
          </w:p>
        </w:tc>
      </w:tr>
      <w:tr w:rsidR="00FA29AB" w:rsidRPr="00050FA4" w14:paraId="0FD638AD" w14:textId="77777777" w:rsidTr="0019098F">
        <w:trPr>
          <w:trHeight w:val="251"/>
          <w:jc w:val="center"/>
        </w:trPr>
        <w:tc>
          <w:tcPr>
            <w:tcW w:w="0" w:type="auto"/>
          </w:tcPr>
          <w:p w14:paraId="2A5832A1" w14:textId="50632C56" w:rsidR="0021477B" w:rsidRPr="00050FA4" w:rsidRDefault="0021477B" w:rsidP="00A95D23">
            <w:pPr>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Koordinim joadekuat</w:t>
            </w:r>
          </w:p>
        </w:tc>
        <w:tc>
          <w:tcPr>
            <w:tcW w:w="0" w:type="auto"/>
          </w:tcPr>
          <w:p w14:paraId="149B0649" w14:textId="5CD52172" w:rsidR="0021477B" w:rsidRPr="00050FA4" w:rsidRDefault="003F67BB"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lartë</w:t>
            </w:r>
          </w:p>
        </w:tc>
        <w:tc>
          <w:tcPr>
            <w:tcW w:w="0" w:type="auto"/>
            <w:vAlign w:val="center"/>
          </w:tcPr>
          <w:p w14:paraId="1A4CD00D" w14:textId="77777777" w:rsidR="0021477B" w:rsidRPr="00050FA4" w:rsidRDefault="0021477B" w:rsidP="00A95D23">
            <w:pPr>
              <w:snapToGrid w:val="0"/>
              <w:rPr>
                <w:rFonts w:ascii="Garamond" w:hAnsi="Garamond" w:cstheme="majorBidi"/>
                <w:color w:val="0D0D0D" w:themeColor="text1" w:themeTint="F2"/>
                <w:sz w:val="18"/>
                <w:szCs w:val="18"/>
              </w:rPr>
            </w:pPr>
          </w:p>
        </w:tc>
      </w:tr>
      <w:tr w:rsidR="00FA29AB" w:rsidRPr="00050FA4" w14:paraId="40A0D683" w14:textId="77777777" w:rsidTr="0019098F">
        <w:trPr>
          <w:jc w:val="center"/>
        </w:trPr>
        <w:tc>
          <w:tcPr>
            <w:tcW w:w="0" w:type="auto"/>
          </w:tcPr>
          <w:p w14:paraId="2848EFEF" w14:textId="07A8CD3E" w:rsidR="0021477B" w:rsidRPr="00050FA4" w:rsidRDefault="0021477B" w:rsidP="00A95D23">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Rreziku i ndryshimeve të ligjit</w:t>
            </w:r>
          </w:p>
        </w:tc>
        <w:tc>
          <w:tcPr>
            <w:tcW w:w="0" w:type="auto"/>
          </w:tcPr>
          <w:p w14:paraId="11296850" w14:textId="159846BC" w:rsidR="0021477B" w:rsidRPr="00050FA4" w:rsidRDefault="003F67BB"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E lartë</w:t>
            </w:r>
          </w:p>
        </w:tc>
        <w:tc>
          <w:tcPr>
            <w:tcW w:w="0" w:type="auto"/>
            <w:vAlign w:val="center"/>
          </w:tcPr>
          <w:p w14:paraId="7C937949" w14:textId="2A54A6AB" w:rsidR="0021477B" w:rsidRPr="00050FA4" w:rsidRDefault="0021477B" w:rsidP="000C71F9">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Përshtatja e procedurave sa i takon ndryshimit t</w:t>
            </w:r>
            <w:r w:rsidR="000C71F9" w:rsidRPr="00050FA4">
              <w:rPr>
                <w:rFonts w:ascii="Garamond" w:hAnsi="Garamond" w:cstheme="majorBidi"/>
                <w:color w:val="0D0D0D" w:themeColor="text1" w:themeTint="F2"/>
                <w:sz w:val="18"/>
                <w:szCs w:val="18"/>
              </w:rPr>
              <w:t>ë</w:t>
            </w:r>
            <w:r w:rsidRPr="00050FA4">
              <w:rPr>
                <w:rFonts w:ascii="Garamond" w:hAnsi="Garamond" w:cstheme="majorBidi"/>
                <w:color w:val="0D0D0D" w:themeColor="text1" w:themeTint="F2"/>
                <w:sz w:val="18"/>
                <w:szCs w:val="18"/>
              </w:rPr>
              <w:t xml:space="preserve"> ligjit</w:t>
            </w:r>
          </w:p>
        </w:tc>
      </w:tr>
    </w:tbl>
    <w:p w14:paraId="75523621" w14:textId="77777777" w:rsidR="00DE0F32" w:rsidRPr="00050FA4" w:rsidRDefault="00DE0F32" w:rsidP="003F1DA7">
      <w:pPr>
        <w:snapToGrid w:val="0"/>
        <w:ind w:firstLine="284"/>
        <w:rPr>
          <w:rFonts w:ascii="Garamond" w:hAnsi="Garamond" w:cstheme="majorBidi"/>
          <w:color w:val="0D0D0D" w:themeColor="text1" w:themeTint="F2"/>
        </w:rPr>
      </w:pPr>
    </w:p>
    <w:p w14:paraId="5A1F6823" w14:textId="4B3D95DB" w:rsidR="00C21F03" w:rsidRPr="00050FA4" w:rsidRDefault="00D56FB0" w:rsidP="003F1DA7">
      <w:pPr>
        <w:pStyle w:val="AAAAAAATEXXXX"/>
        <w:rPr>
          <w:lang w:val="sq-AL"/>
        </w:rPr>
      </w:pPr>
      <w:bookmarkStart w:id="60" w:name="_Toc93325770"/>
      <w:r w:rsidRPr="00050FA4">
        <w:rPr>
          <w:lang w:val="sq-AL"/>
        </w:rPr>
        <w:lastRenderedPageBreak/>
        <w:t xml:space="preserve">5.2.2 </w:t>
      </w:r>
      <w:r w:rsidR="002C5872" w:rsidRPr="00050FA4">
        <w:rPr>
          <w:lang w:val="sq-AL"/>
        </w:rPr>
        <w:t>Tranzicioni i gjelbër</w:t>
      </w:r>
      <w:bookmarkEnd w:id="60"/>
    </w:p>
    <w:p w14:paraId="40F1F129" w14:textId="4F4592FD" w:rsidR="00D832AA" w:rsidRPr="00050FA4" w:rsidRDefault="001453F3" w:rsidP="003F1DA7">
      <w:pPr>
        <w:pStyle w:val="AAAAAAATEXXXX"/>
        <w:rPr>
          <w:lang w:val="sq-AL"/>
        </w:rPr>
      </w:pPr>
      <w:r w:rsidRPr="00050FA4">
        <w:rPr>
          <w:lang w:val="sq-AL"/>
        </w:rPr>
        <w:t>a</w:t>
      </w:r>
      <w:r w:rsidR="008F3F45" w:rsidRPr="00050FA4">
        <w:rPr>
          <w:lang w:val="sq-AL"/>
        </w:rPr>
        <w:t>)</w:t>
      </w:r>
      <w:r w:rsidRPr="00050FA4">
        <w:rPr>
          <w:lang w:val="sq-AL"/>
        </w:rPr>
        <w:t xml:space="preserve"> </w:t>
      </w:r>
      <w:r w:rsidR="00B2062A" w:rsidRPr="00050FA4">
        <w:rPr>
          <w:lang w:val="sq-AL"/>
        </w:rPr>
        <w:t>Analiza e pengesave kryesore</w:t>
      </w:r>
    </w:p>
    <w:p w14:paraId="3FA9842B" w14:textId="0A3F93CE" w:rsidR="008D080B" w:rsidRPr="00050FA4" w:rsidRDefault="008D080B" w:rsidP="003F1DA7">
      <w:pPr>
        <w:pStyle w:val="AAAAAAATEXXXX"/>
        <w:rPr>
          <w:rFonts w:cstheme="majorBidi"/>
          <w:color w:val="0D0D0D" w:themeColor="text1" w:themeTint="F2"/>
          <w:lang w:val="sq-AL"/>
        </w:rPr>
      </w:pPr>
      <w:r w:rsidRPr="00050FA4">
        <w:rPr>
          <w:rFonts w:cstheme="majorBidi"/>
          <w:color w:val="0D0D0D" w:themeColor="text1" w:themeTint="F2"/>
          <w:lang w:val="sq-AL"/>
        </w:rPr>
        <w:t>A</w:t>
      </w:r>
      <w:r w:rsidR="00F21FEB" w:rsidRPr="00050FA4">
        <w:rPr>
          <w:rFonts w:cstheme="majorBidi"/>
          <w:color w:val="0D0D0D" w:themeColor="text1" w:themeTint="F2"/>
          <w:lang w:val="sq-AL"/>
        </w:rPr>
        <w:t>gj</w:t>
      </w:r>
      <w:r w:rsidRPr="00050FA4">
        <w:rPr>
          <w:rFonts w:cstheme="majorBidi"/>
          <w:color w:val="0D0D0D" w:themeColor="text1" w:themeTint="F2"/>
          <w:lang w:val="sq-AL"/>
        </w:rPr>
        <w:t>enda e Gjelbër për Ballkanin Perëndimor e zhvilluar aktualisht nga Komisioni Evropian po ndjek të njëjtin drejtim si Marrëveshja e Gjelbër e BE-së – ajo synon të zhbllokojë potencialin e madh të ekonomisë së gjelbër të rajonit duke përmirësuar shëndetin e qytetarëve të tyre. Prandaj, politika e re është formuar rreth 5 fushave të ndërhyrjes: dekarbonizimi, ekonomia rrethore, reduktimi i ndotjes, bujqësia e qëndrueshme dhe biodiversiteti. Për të gjitha marrëveshjet e ardhshme gjithëpërfshirëse të tregtisë me vendet e rajonit, Komisioni Evropian do të sigurohet që zbatimi dhe respektimi i Marrëveshjes së Parisit të jetë një element thelbësor.</w:t>
      </w:r>
    </w:p>
    <w:p w14:paraId="65404AEC" w14:textId="504A8737" w:rsidR="008D080B" w:rsidRPr="00050FA4" w:rsidRDefault="008D080B" w:rsidP="003F1DA7">
      <w:pPr>
        <w:pStyle w:val="AAAAAAATEXXXX"/>
        <w:rPr>
          <w:rFonts w:cstheme="majorBidi"/>
          <w:color w:val="0D0D0D" w:themeColor="text1" w:themeTint="F2"/>
          <w:lang w:val="sq-AL"/>
        </w:rPr>
      </w:pPr>
      <w:r w:rsidRPr="00050FA4">
        <w:rPr>
          <w:rFonts w:cstheme="majorBidi"/>
          <w:color w:val="0D0D0D" w:themeColor="text1" w:themeTint="F2"/>
          <w:lang w:val="sq-AL"/>
        </w:rPr>
        <w:t>Duke njohur potencialet e ekonomisë së gjelbër në Shqipëri, qeveria dhe të gjithë aktorët e zhvillimit duhet të sinergjizohen dhe të hartojnë strategji drejt heqjes së barrierave për zbatimin efektiv të një ekonomie të gjelbër. Disa nga këto barriera përfshijnë mungesën e ndërgjegjësimit, pamjaftueshmërinë e të dhënave, koordinimin e dobët ndërmjet aktorëve të ekonomisë së gjelbër</w:t>
      </w:r>
      <w:r w:rsidR="005D5491" w:rsidRPr="00050FA4">
        <w:rPr>
          <w:rFonts w:cstheme="majorBidi"/>
          <w:color w:val="0D0D0D" w:themeColor="text1" w:themeTint="F2"/>
          <w:lang w:val="sq-AL"/>
        </w:rPr>
        <w:t>,</w:t>
      </w:r>
      <w:r w:rsidRPr="00050FA4">
        <w:rPr>
          <w:rFonts w:cstheme="majorBidi"/>
          <w:color w:val="0D0D0D" w:themeColor="text1" w:themeTint="F2"/>
          <w:lang w:val="sq-AL"/>
        </w:rPr>
        <w:t xml:space="preserve"> si dhe boshllëqet e kapaciteteve njerëzore dhe institucionale.</w:t>
      </w:r>
    </w:p>
    <w:p w14:paraId="6E872FC0" w14:textId="77777777" w:rsidR="008D080B" w:rsidRPr="00050FA4" w:rsidRDefault="008D080B" w:rsidP="003F1DA7">
      <w:pPr>
        <w:pStyle w:val="AAAAAAATEXXXX"/>
        <w:rPr>
          <w:lang w:val="sq-AL"/>
        </w:rPr>
      </w:pPr>
      <w:r w:rsidRPr="00050FA4">
        <w:rPr>
          <w:lang w:val="sq-AL"/>
        </w:rPr>
        <w:t>Mungesa e njohurive mbi mundësitë e ekonomisë së gjelbër si dhe mungesa e aftësive mund të paraqesin disa sfida jo vetëm për formulimin e politikave, por edhe për miratimin ndërsektorial të konceptit.</w:t>
      </w:r>
    </w:p>
    <w:p w14:paraId="533FC7CB" w14:textId="5DD313EC" w:rsidR="008D080B" w:rsidRPr="00050FA4" w:rsidRDefault="008D080B" w:rsidP="003F1DA7">
      <w:pPr>
        <w:pStyle w:val="AAAAAAATEXXXX"/>
        <w:rPr>
          <w:lang w:val="sq-AL"/>
        </w:rPr>
      </w:pPr>
      <w:r w:rsidRPr="00050FA4">
        <w:rPr>
          <w:lang w:val="sq-AL"/>
        </w:rPr>
        <w:t>Në Shqipëri, ndërgjegjësimi për ekonominë e gjelbër është përgjithësisht i dobët. Interesi politik i shumicës së palëve të interesuara dhe autoriteteve politike ngadalëson zhvillimin dhe miratimin e strategjive. Kjo reflektohet</w:t>
      </w:r>
      <w:r w:rsidR="005D5491" w:rsidRPr="00050FA4">
        <w:rPr>
          <w:lang w:val="sq-AL"/>
        </w:rPr>
        <w:t>,</w:t>
      </w:r>
      <w:r w:rsidRPr="00050FA4">
        <w:rPr>
          <w:lang w:val="sq-AL"/>
        </w:rPr>
        <w:t xml:space="preserve"> gjithashtu</w:t>
      </w:r>
      <w:r w:rsidR="005D5491" w:rsidRPr="00050FA4">
        <w:rPr>
          <w:lang w:val="sq-AL"/>
        </w:rPr>
        <w:t>,</w:t>
      </w:r>
      <w:r w:rsidRPr="00050FA4">
        <w:rPr>
          <w:lang w:val="sq-AL"/>
        </w:rPr>
        <w:t xml:space="preserve"> në boshllëqe të mëdha në kapacitetin njerëzor dhe institucional në zbatimin e konceptit të ekonomisë së gjelbër.</w:t>
      </w:r>
    </w:p>
    <w:p w14:paraId="5C4E8FBB" w14:textId="7BF50DA0" w:rsidR="008D080B" w:rsidRPr="00050FA4" w:rsidRDefault="008D080B" w:rsidP="003F1DA7">
      <w:pPr>
        <w:pStyle w:val="AAAAAAATEXXXX"/>
        <w:rPr>
          <w:lang w:val="sq-AL"/>
        </w:rPr>
      </w:pPr>
      <w:r w:rsidRPr="00050FA4">
        <w:rPr>
          <w:lang w:val="sq-AL"/>
        </w:rPr>
        <w:t>Vullneti politik midis palëve të interesuara për të zbatuar politikat sipas procedurave të ekonomisë së gjelbër është ende shumë i ulët. Arsyeja kryesore për këtë janë kufizimet në buxhet dhe si rrjedhojë nuk shohim progres në zbatimin e politikave mjedisore dhe të ekonomisë së gjelbër. Për të siguruar zbatimin e duhur të programeve të ekonomisë së gjelbër, është thelbësore që institucionet publike të forcohen për të hequr barrierat institucionale, për të mbrojtur mjedisin dhe për të harmonizuar objektivat socioekonomike.</w:t>
      </w:r>
    </w:p>
    <w:p w14:paraId="4DE7233B" w14:textId="44160BBE" w:rsidR="00C21F03" w:rsidRPr="00050FA4" w:rsidRDefault="00D56FB0" w:rsidP="003F1DA7">
      <w:pPr>
        <w:pStyle w:val="AAAAAAATEXXXX"/>
        <w:rPr>
          <w:lang w:val="sq-AL"/>
        </w:rPr>
      </w:pPr>
      <w:bookmarkStart w:id="61" w:name="_Toc93325771"/>
      <w:r w:rsidRPr="00050FA4">
        <w:rPr>
          <w:lang w:val="sq-AL"/>
        </w:rPr>
        <w:t xml:space="preserve">5.2.3 </w:t>
      </w:r>
      <w:r w:rsidR="00F21FEB" w:rsidRPr="00050FA4">
        <w:rPr>
          <w:lang w:val="sq-AL"/>
        </w:rPr>
        <w:t>T</w:t>
      </w:r>
      <w:r w:rsidR="00A86175" w:rsidRPr="00050FA4">
        <w:rPr>
          <w:lang w:val="sq-AL"/>
        </w:rPr>
        <w:t xml:space="preserve">ransformimi </w:t>
      </w:r>
      <w:r w:rsidR="00C948AF" w:rsidRPr="00050FA4">
        <w:rPr>
          <w:lang w:val="sq-AL"/>
        </w:rPr>
        <w:t>digjital</w:t>
      </w:r>
      <w:r w:rsidR="00863BC8" w:rsidRPr="00050FA4">
        <w:rPr>
          <w:lang w:val="sq-AL"/>
        </w:rPr>
        <w:t>, kërkim, zhvillim dhe inovacion</w:t>
      </w:r>
      <w:bookmarkEnd w:id="61"/>
    </w:p>
    <w:p w14:paraId="061C533C" w14:textId="10FE2D82" w:rsidR="00263B19" w:rsidRPr="00050FA4" w:rsidRDefault="001453F3" w:rsidP="003F1DA7">
      <w:pPr>
        <w:pStyle w:val="AAAAAAATEXXXX"/>
        <w:rPr>
          <w:i/>
          <w:lang w:val="sq-AL"/>
        </w:rPr>
      </w:pPr>
      <w:r w:rsidRPr="00050FA4">
        <w:rPr>
          <w:i/>
          <w:lang w:val="sq-AL"/>
        </w:rPr>
        <w:t>a</w:t>
      </w:r>
      <w:r w:rsidR="008F3F45" w:rsidRPr="00050FA4">
        <w:rPr>
          <w:i/>
          <w:lang w:val="sq-AL"/>
        </w:rPr>
        <w:t>)</w:t>
      </w:r>
      <w:r w:rsidRPr="00050FA4">
        <w:rPr>
          <w:i/>
          <w:lang w:val="sq-AL"/>
        </w:rPr>
        <w:t xml:space="preserve"> </w:t>
      </w:r>
      <w:r w:rsidR="00B2062A" w:rsidRPr="00050FA4">
        <w:rPr>
          <w:i/>
          <w:lang w:val="sq-AL"/>
        </w:rPr>
        <w:t>Analiza e pengesave kryesore</w:t>
      </w:r>
    </w:p>
    <w:p w14:paraId="33834281" w14:textId="70870DB0" w:rsidR="00A86175" w:rsidRPr="00050FA4" w:rsidRDefault="00A86175" w:rsidP="003F1DA7">
      <w:pPr>
        <w:pStyle w:val="AAAAAAATEXXXX"/>
        <w:rPr>
          <w:lang w:val="sq-AL"/>
        </w:rPr>
      </w:pPr>
      <w:r w:rsidRPr="00050FA4">
        <w:rPr>
          <w:lang w:val="sq-AL"/>
        </w:rPr>
        <w:t xml:space="preserve">Infrastruktura digjitale dhe </w:t>
      </w:r>
      <w:r w:rsidRPr="00050FA4">
        <w:rPr>
          <w:i/>
          <w:lang w:val="sq-AL"/>
        </w:rPr>
        <w:t>broadband</w:t>
      </w:r>
      <w:r w:rsidRPr="00050FA4">
        <w:rPr>
          <w:lang w:val="sq-AL"/>
        </w:rPr>
        <w:t xml:space="preserve"> janë thelbësore për të gjitha zhvillimet e tjera në integrimin digjital dhe ndikon në të gjithë sektorët e ekonomisë. Infrastruktura digjitale është një parakusht për zhvillimet e ekonomisë digjitale në industrinë inovative, </w:t>
      </w:r>
      <w:r w:rsidRPr="00050FA4">
        <w:rPr>
          <w:i/>
          <w:lang w:val="sq-AL"/>
        </w:rPr>
        <w:t>e-</w:t>
      </w:r>
      <w:r w:rsidR="00F21FEB" w:rsidRPr="00050FA4">
        <w:rPr>
          <w:i/>
          <w:lang w:val="sq-AL"/>
        </w:rPr>
        <w:t>Qeverisjen</w:t>
      </w:r>
      <w:r w:rsidRPr="00050FA4">
        <w:rPr>
          <w:lang w:val="sq-AL"/>
        </w:rPr>
        <w:t xml:space="preserve">, e-shëndetësinë, ofrimin e shërbimeve të ndërveprueshme, ofrimin e shërbimeve ndërkufitare etj. Siç u demonstrua gjatë krizës pandemike të COVID-19, lidhja digjitale ishte një domosdoshmëri jetike për qytetarët dhe bizneset. </w:t>
      </w:r>
    </w:p>
    <w:p w14:paraId="4D9B293A" w14:textId="79C6463A" w:rsidR="00A86175" w:rsidRPr="00050FA4" w:rsidRDefault="00A86175" w:rsidP="003F1DA7">
      <w:pPr>
        <w:pStyle w:val="AAAAAAATEXXXX"/>
        <w:rPr>
          <w:bCs/>
          <w:lang w:val="sq-AL" w:eastAsia="sq-AL"/>
        </w:rPr>
      </w:pPr>
      <w:r w:rsidRPr="00050FA4">
        <w:rPr>
          <w:bCs/>
          <w:lang w:val="sq-AL" w:eastAsia="sq-AL"/>
        </w:rPr>
        <w:t xml:space="preserve">Zhvillimi </w:t>
      </w:r>
      <w:r w:rsidRPr="00050FA4">
        <w:rPr>
          <w:bCs/>
          <w:i/>
          <w:lang w:val="sq-AL" w:eastAsia="sq-AL"/>
        </w:rPr>
        <w:t>broadband</w:t>
      </w:r>
      <w:r w:rsidRPr="00050FA4">
        <w:rPr>
          <w:bCs/>
          <w:lang w:val="sq-AL" w:eastAsia="sq-AL"/>
        </w:rPr>
        <w:t xml:space="preserve"> është një nga prioritetet kryesore në dokumentet strategjike në Shqipëri. Shqipëria ka miratuar një Plan Kombëtar për Zhvillimin e Qëndrueshëm të Infrastrukturës Digjitale </w:t>
      </w:r>
      <w:r w:rsidRPr="00050FA4">
        <w:rPr>
          <w:bCs/>
          <w:i/>
          <w:lang w:val="sq-AL" w:eastAsia="sq-AL"/>
        </w:rPr>
        <w:t>Broadband</w:t>
      </w:r>
      <w:r w:rsidRPr="00050FA4">
        <w:rPr>
          <w:bCs/>
          <w:lang w:val="sq-AL" w:eastAsia="sq-AL"/>
        </w:rPr>
        <w:t xml:space="preserve"> 2020</w:t>
      </w:r>
      <w:r w:rsidR="00F21FEB" w:rsidRPr="00050FA4">
        <w:rPr>
          <w:lang w:val="sq-AL"/>
        </w:rPr>
        <w:t>–</w:t>
      </w:r>
      <w:r w:rsidRPr="00050FA4">
        <w:rPr>
          <w:bCs/>
          <w:lang w:val="sq-AL" w:eastAsia="sq-AL"/>
        </w:rPr>
        <w:t>2025</w:t>
      </w:r>
      <w:r w:rsidR="005D5491" w:rsidRPr="00050FA4">
        <w:rPr>
          <w:bCs/>
          <w:lang w:val="sq-AL" w:eastAsia="sq-AL"/>
        </w:rPr>
        <w:t>,</w:t>
      </w:r>
      <w:r w:rsidRPr="00050FA4">
        <w:rPr>
          <w:bCs/>
          <w:lang w:val="sq-AL" w:eastAsia="sq-AL"/>
        </w:rPr>
        <w:t xml:space="preserve"> me vendim të Këshillit të Ministrave </w:t>
      </w:r>
      <w:r w:rsidR="005D5491" w:rsidRPr="00050FA4">
        <w:rPr>
          <w:bCs/>
          <w:lang w:val="sq-AL" w:eastAsia="sq-AL"/>
        </w:rPr>
        <w:t>nr.</w:t>
      </w:r>
      <w:r w:rsidRPr="00050FA4">
        <w:rPr>
          <w:bCs/>
          <w:lang w:val="sq-AL" w:eastAsia="sq-AL"/>
        </w:rPr>
        <w:t xml:space="preserve"> 434</w:t>
      </w:r>
      <w:r w:rsidR="005D5491" w:rsidRPr="00050FA4">
        <w:rPr>
          <w:bCs/>
          <w:lang w:val="sq-AL" w:eastAsia="sq-AL"/>
        </w:rPr>
        <w:t>,</w:t>
      </w:r>
      <w:r w:rsidRPr="00050FA4">
        <w:rPr>
          <w:bCs/>
          <w:lang w:val="sq-AL" w:eastAsia="sq-AL"/>
        </w:rPr>
        <w:t xml:space="preserve"> datë 3.6.2020. Plani ka përcaktuar tre objektiva strategjik</w:t>
      </w:r>
      <w:r w:rsidR="00CA662F" w:rsidRPr="00050FA4">
        <w:rPr>
          <w:bCs/>
          <w:lang w:val="sq-AL" w:eastAsia="sq-AL"/>
        </w:rPr>
        <w:t>ë</w:t>
      </w:r>
      <w:r w:rsidRPr="00050FA4">
        <w:rPr>
          <w:bCs/>
          <w:lang w:val="sq-AL" w:eastAsia="sq-AL"/>
        </w:rPr>
        <w:t xml:space="preserve"> për zhvillimin e </w:t>
      </w:r>
      <w:r w:rsidRPr="00050FA4">
        <w:rPr>
          <w:bCs/>
          <w:i/>
          <w:lang w:val="sq-AL" w:eastAsia="sq-AL"/>
        </w:rPr>
        <w:t>broadband</w:t>
      </w:r>
      <w:r w:rsidR="00655F22" w:rsidRPr="00050FA4">
        <w:rPr>
          <w:bCs/>
          <w:i/>
          <w:lang w:val="sq-AL" w:eastAsia="sq-AL"/>
        </w:rPr>
        <w:t xml:space="preserve">, </w:t>
      </w:r>
      <w:r w:rsidRPr="00050FA4">
        <w:rPr>
          <w:bCs/>
          <w:lang w:val="sq-AL" w:eastAsia="sq-AL"/>
        </w:rPr>
        <w:t xml:space="preserve"> si në vijim:</w:t>
      </w:r>
    </w:p>
    <w:p w14:paraId="54897228" w14:textId="63565432" w:rsidR="00A86175" w:rsidRPr="00050FA4" w:rsidRDefault="001453F3" w:rsidP="003F1DA7">
      <w:pPr>
        <w:pStyle w:val="AAAAAAATEXXXX"/>
        <w:rPr>
          <w:lang w:val="sq-AL" w:eastAsia="sq-AL"/>
        </w:rPr>
      </w:pPr>
      <w:r w:rsidRPr="00050FA4">
        <w:rPr>
          <w:lang w:val="sq-AL" w:eastAsia="sq-AL"/>
        </w:rPr>
        <w:t xml:space="preserve">- </w:t>
      </w:r>
      <w:r w:rsidR="00A86175" w:rsidRPr="00050FA4">
        <w:rPr>
          <w:lang w:val="sq-AL" w:eastAsia="sq-AL"/>
        </w:rPr>
        <w:t xml:space="preserve">Objektivi strategjik 1: Zhvillim i qëndrueshëm i infrastrukturës </w:t>
      </w:r>
      <w:r w:rsidR="00A86175" w:rsidRPr="00050FA4">
        <w:rPr>
          <w:i/>
          <w:lang w:val="sq-AL" w:eastAsia="sq-AL"/>
        </w:rPr>
        <w:t>broadband</w:t>
      </w:r>
    </w:p>
    <w:p w14:paraId="37ED4B70" w14:textId="01E8F75B" w:rsidR="00A86175" w:rsidRPr="00050FA4" w:rsidRDefault="001453F3" w:rsidP="003F1DA7">
      <w:pPr>
        <w:pStyle w:val="AAAAAAATEXXXX"/>
        <w:rPr>
          <w:i/>
          <w:lang w:val="sq-AL" w:eastAsia="sq-AL"/>
        </w:rPr>
      </w:pPr>
      <w:r w:rsidRPr="00050FA4">
        <w:rPr>
          <w:lang w:val="sq-AL" w:eastAsia="sq-AL"/>
        </w:rPr>
        <w:t xml:space="preserve">- </w:t>
      </w:r>
      <w:r w:rsidR="00A86175" w:rsidRPr="00050FA4">
        <w:rPr>
          <w:lang w:val="sq-AL" w:eastAsia="sq-AL"/>
        </w:rPr>
        <w:t xml:space="preserve">Objektivi strategjik 2: Reduktimi i ndarjes digjitale dhe ofrimi i shërbimeve </w:t>
      </w:r>
      <w:r w:rsidR="00A86175" w:rsidRPr="00050FA4">
        <w:rPr>
          <w:i/>
          <w:lang w:val="sq-AL" w:eastAsia="sq-AL"/>
        </w:rPr>
        <w:t>broadband</w:t>
      </w:r>
      <w:r w:rsidR="00A86175" w:rsidRPr="00050FA4">
        <w:rPr>
          <w:lang w:val="sq-AL" w:eastAsia="sq-AL"/>
        </w:rPr>
        <w:t xml:space="preserve"> gjithëpërfshirëse</w:t>
      </w:r>
    </w:p>
    <w:p w14:paraId="2573D889" w14:textId="0725D6E1" w:rsidR="00A86175" w:rsidRPr="00050FA4" w:rsidRDefault="001453F3" w:rsidP="003F1DA7">
      <w:pPr>
        <w:pStyle w:val="AAAAAAATEXXXX"/>
        <w:rPr>
          <w:lang w:val="sq-AL" w:eastAsia="sq-AL"/>
        </w:rPr>
      </w:pPr>
      <w:r w:rsidRPr="00050FA4">
        <w:rPr>
          <w:lang w:val="sq-AL" w:eastAsia="sq-AL"/>
        </w:rPr>
        <w:t xml:space="preserve">- </w:t>
      </w:r>
      <w:r w:rsidR="00A86175" w:rsidRPr="00050FA4">
        <w:rPr>
          <w:lang w:val="sq-AL" w:eastAsia="sq-AL"/>
        </w:rPr>
        <w:t xml:space="preserve">Objektivi strategjik 3: Rritje e kërkesës për zhvillimin e ekonomisë digjitale dhe një shoqërie </w:t>
      </w:r>
      <w:r w:rsidR="00F21FEB" w:rsidRPr="00050FA4">
        <w:rPr>
          <w:lang w:val="sq-AL" w:eastAsia="sq-AL"/>
        </w:rPr>
        <w:t>gigabit</w:t>
      </w:r>
    </w:p>
    <w:p w14:paraId="6846D93B" w14:textId="60EEAA78" w:rsidR="00A86175" w:rsidRPr="00050FA4" w:rsidRDefault="00A86175" w:rsidP="003F1DA7">
      <w:pPr>
        <w:pStyle w:val="AAAAAAATEXXXX"/>
        <w:rPr>
          <w:lang w:val="sq-AL"/>
        </w:rPr>
      </w:pPr>
      <w:r w:rsidRPr="00050FA4">
        <w:rPr>
          <w:lang w:val="sq-AL"/>
        </w:rPr>
        <w:t xml:space="preserve">Plani synon të avancojë më tej zhvillimin e infrastrukturës </w:t>
      </w:r>
      <w:r w:rsidRPr="00050FA4">
        <w:rPr>
          <w:i/>
          <w:lang w:val="sq-AL"/>
        </w:rPr>
        <w:t>broadband</w:t>
      </w:r>
      <w:r w:rsidRPr="00050FA4">
        <w:rPr>
          <w:lang w:val="sq-AL"/>
        </w:rPr>
        <w:t xml:space="preserve"> në të gjithë vendin dhe të adresojë ndarjen digjitale. Katër shtyllat kryesore në të cilat është ndërtuar </w:t>
      </w:r>
      <w:r w:rsidR="005D5491" w:rsidRPr="00050FA4">
        <w:rPr>
          <w:lang w:val="sq-AL"/>
        </w:rPr>
        <w:t xml:space="preserve">Plani i Ri Kombëtar </w:t>
      </w:r>
      <w:r w:rsidRPr="00050FA4">
        <w:rPr>
          <w:i/>
          <w:lang w:val="sq-AL"/>
        </w:rPr>
        <w:t>Broadband</w:t>
      </w:r>
      <w:r w:rsidRPr="00050FA4">
        <w:rPr>
          <w:lang w:val="sq-AL"/>
        </w:rPr>
        <w:t xml:space="preserve"> janë: 1</w:t>
      </w:r>
      <w:r w:rsidR="00F21FEB" w:rsidRPr="00050FA4">
        <w:rPr>
          <w:lang w:val="sq-AL"/>
        </w:rPr>
        <w:t>.</w:t>
      </w:r>
      <w:r w:rsidRPr="00050FA4">
        <w:rPr>
          <w:lang w:val="sq-AL"/>
        </w:rPr>
        <w:t xml:space="preserve"> Ndërtimi i infrastrukturës </w:t>
      </w:r>
      <w:r w:rsidRPr="00050FA4">
        <w:rPr>
          <w:i/>
          <w:lang w:val="sq-AL"/>
        </w:rPr>
        <w:t>broadband</w:t>
      </w:r>
      <w:r w:rsidRPr="00050FA4">
        <w:rPr>
          <w:lang w:val="sq-AL"/>
        </w:rPr>
        <w:t>; 2</w:t>
      </w:r>
      <w:r w:rsidR="00F21FEB" w:rsidRPr="00050FA4">
        <w:rPr>
          <w:lang w:val="sq-AL"/>
        </w:rPr>
        <w:t>.</w:t>
      </w:r>
      <w:r w:rsidRPr="00050FA4">
        <w:rPr>
          <w:lang w:val="sq-AL"/>
        </w:rPr>
        <w:t xml:space="preserve"> Forcimi i financimit dhe zgjerimi i bazës së financimit; 3</w:t>
      </w:r>
      <w:r w:rsidR="00F21FEB" w:rsidRPr="00050FA4">
        <w:rPr>
          <w:lang w:val="sq-AL"/>
        </w:rPr>
        <w:t>.</w:t>
      </w:r>
      <w:r w:rsidRPr="00050FA4">
        <w:rPr>
          <w:lang w:val="sq-AL"/>
        </w:rPr>
        <w:t xml:space="preserve"> Menaxhimi i spektrit; dhe 4</w:t>
      </w:r>
      <w:r w:rsidR="00F21FEB" w:rsidRPr="00050FA4">
        <w:rPr>
          <w:lang w:val="sq-AL"/>
        </w:rPr>
        <w:t>.</w:t>
      </w:r>
      <w:r w:rsidRPr="00050FA4">
        <w:rPr>
          <w:lang w:val="sq-AL"/>
        </w:rPr>
        <w:t xml:space="preserve"> Konkurrencë e qëndrueshme. Një element i ri kryesor në PKB përfshin mundësinë e planifikuar të financimit publik përmes Ndihmës Shtetërore dhe Detyrimit të Shërbimit Universal për mbulimin e mëtejshëm të infrastrukturës në zonat rurale dhe të thella. Plani Kombëtar i </w:t>
      </w:r>
      <w:r w:rsidRPr="00050FA4">
        <w:rPr>
          <w:i/>
          <w:lang w:val="sq-AL"/>
        </w:rPr>
        <w:t>Broadband</w:t>
      </w:r>
      <w:r w:rsidRPr="00050FA4">
        <w:rPr>
          <w:lang w:val="sq-AL"/>
        </w:rPr>
        <w:t xml:space="preserve"> ka përcaktuar objektivat për të rritur depërtimin </w:t>
      </w:r>
      <w:r w:rsidRPr="00050FA4">
        <w:rPr>
          <w:i/>
          <w:lang w:val="sq-AL"/>
        </w:rPr>
        <w:t>broadband</w:t>
      </w:r>
      <w:r w:rsidRPr="00050FA4">
        <w:rPr>
          <w:lang w:val="sq-AL"/>
        </w:rPr>
        <w:t xml:space="preserve">. Zhvillimi i infrastrukturës digjitale dhe </w:t>
      </w:r>
      <w:r w:rsidRPr="00050FA4">
        <w:rPr>
          <w:i/>
          <w:lang w:val="sq-AL"/>
        </w:rPr>
        <w:t>broadband</w:t>
      </w:r>
      <w:r w:rsidRPr="00050FA4">
        <w:rPr>
          <w:lang w:val="sq-AL"/>
        </w:rPr>
        <w:t xml:space="preserve"> kërkon investime të mëdha dhe krijimin e sinergjisë midis të gjitha projekteve të infrastrukturës dhe projekteve që lidhen në nivelin </w:t>
      </w:r>
      <w:r w:rsidR="00F21FEB" w:rsidRPr="00050FA4">
        <w:rPr>
          <w:lang w:val="sq-AL"/>
        </w:rPr>
        <w:t>qendror</w:t>
      </w:r>
      <w:r w:rsidRPr="00050FA4">
        <w:rPr>
          <w:lang w:val="sq-AL"/>
        </w:rPr>
        <w:t xml:space="preserve"> dhe lokal.</w:t>
      </w:r>
    </w:p>
    <w:p w14:paraId="442182E8" w14:textId="7263C100" w:rsidR="00A86175" w:rsidRPr="00050FA4" w:rsidRDefault="00A86175" w:rsidP="003F1DA7">
      <w:pPr>
        <w:pStyle w:val="AAAAAAATEXXXX"/>
        <w:rPr>
          <w:lang w:val="sq-AL" w:eastAsia="sq-AL"/>
        </w:rPr>
      </w:pPr>
      <w:r w:rsidRPr="00050FA4">
        <w:rPr>
          <w:lang w:val="sq-AL" w:eastAsia="sq-AL"/>
        </w:rPr>
        <w:t xml:space="preserve">Një </w:t>
      </w:r>
      <w:r w:rsidR="005D5491" w:rsidRPr="00050FA4">
        <w:rPr>
          <w:lang w:val="sq-AL" w:eastAsia="sq-AL"/>
        </w:rPr>
        <w:t xml:space="preserve">studim i plotë fizibiliteti </w:t>
      </w:r>
      <w:r w:rsidRPr="00050FA4">
        <w:rPr>
          <w:lang w:val="sq-AL" w:eastAsia="sq-AL"/>
        </w:rPr>
        <w:t xml:space="preserve">për zhvillimin e </w:t>
      </w:r>
      <w:r w:rsidRPr="00050FA4">
        <w:rPr>
          <w:i/>
          <w:lang w:val="sq-AL" w:eastAsia="sq-AL"/>
        </w:rPr>
        <w:t>broadband</w:t>
      </w:r>
      <w:r w:rsidRPr="00050FA4">
        <w:rPr>
          <w:lang w:val="sq-AL" w:eastAsia="sq-AL"/>
        </w:rPr>
        <w:t xml:space="preserve"> u përgatit me mbështetjen e BE-së përmes </w:t>
      </w:r>
      <w:r w:rsidRPr="00050FA4">
        <w:rPr>
          <w:lang w:val="sq-AL" w:eastAsia="sq-AL"/>
        </w:rPr>
        <w:lastRenderedPageBreak/>
        <w:t>projektit</w:t>
      </w:r>
      <w:r w:rsidRPr="00050FA4">
        <w:rPr>
          <w:vertAlign w:val="superscript"/>
          <w:lang w:val="sq-AL"/>
        </w:rPr>
        <w:footnoteReference w:id="17"/>
      </w:r>
      <w:r w:rsidRPr="00050FA4">
        <w:rPr>
          <w:lang w:val="sq-AL" w:eastAsia="sq-AL"/>
        </w:rPr>
        <w:t xml:space="preserve"> </w:t>
      </w:r>
      <w:r w:rsidRPr="00050FA4">
        <w:rPr>
          <w:lang w:val="sq-AL"/>
        </w:rPr>
        <w:t xml:space="preserve">të </w:t>
      </w:r>
      <w:r w:rsidRPr="00050FA4">
        <w:rPr>
          <w:lang w:val="sq-AL" w:eastAsia="sq-AL"/>
        </w:rPr>
        <w:t>WBIF</w:t>
      </w:r>
      <w:r w:rsidR="005D5491" w:rsidRPr="00050FA4">
        <w:rPr>
          <w:lang w:val="sq-AL" w:eastAsia="sq-AL"/>
        </w:rPr>
        <w:t>-së</w:t>
      </w:r>
      <w:r w:rsidRPr="00050FA4">
        <w:rPr>
          <w:lang w:val="sq-AL" w:eastAsia="sq-AL"/>
        </w:rPr>
        <w:t xml:space="preserve">. Studimi i fizibilitetit ka vlerësuar kostot e investimeve për investime </w:t>
      </w:r>
      <w:r w:rsidRPr="00050FA4">
        <w:rPr>
          <w:i/>
          <w:lang w:val="sq-AL" w:eastAsia="sq-AL"/>
        </w:rPr>
        <w:t>broadband</w:t>
      </w:r>
      <w:r w:rsidRPr="00050FA4">
        <w:rPr>
          <w:lang w:val="sq-AL" w:eastAsia="sq-AL"/>
        </w:rPr>
        <w:t xml:space="preserve"> në projekte të ardhshme në zona të bardha, zona gri dhe zona të zeza nën skenarë të ndryshëm. Zhvillimi i rrjeteve </w:t>
      </w:r>
      <w:r w:rsidRPr="00050FA4">
        <w:rPr>
          <w:i/>
          <w:lang w:val="sq-AL" w:eastAsia="sq-AL"/>
        </w:rPr>
        <w:t>broadband</w:t>
      </w:r>
      <w:r w:rsidRPr="00050FA4">
        <w:rPr>
          <w:lang w:val="sq-AL" w:eastAsia="sq-AL"/>
        </w:rPr>
        <w:t xml:space="preserve"> kërkon investime të mëdha sidomos për të mbuluar zonat e bardha.</w:t>
      </w:r>
    </w:p>
    <w:p w14:paraId="441591AD" w14:textId="1319F650" w:rsidR="00A86175" w:rsidRPr="00050FA4" w:rsidRDefault="00A86175" w:rsidP="003F1DA7">
      <w:pPr>
        <w:pStyle w:val="AAAAAAATEXXXX"/>
        <w:rPr>
          <w:lang w:val="sq-AL"/>
        </w:rPr>
      </w:pPr>
      <w:r w:rsidRPr="00050FA4">
        <w:rPr>
          <w:lang w:val="sq-AL"/>
        </w:rPr>
        <w:t xml:space="preserve">Kuadri ligjor kryesor për telekomunikacionin dhe </w:t>
      </w:r>
      <w:r w:rsidRPr="00050FA4">
        <w:rPr>
          <w:i/>
          <w:lang w:val="sq-AL"/>
        </w:rPr>
        <w:t>broadband</w:t>
      </w:r>
      <w:r w:rsidRPr="00050FA4">
        <w:rPr>
          <w:lang w:val="sq-AL"/>
        </w:rPr>
        <w:t>-in është ligji nr. 9918</w:t>
      </w:r>
      <w:r w:rsidR="005D5491" w:rsidRPr="00050FA4">
        <w:rPr>
          <w:lang w:val="sq-AL"/>
        </w:rPr>
        <w:t>,</w:t>
      </w:r>
      <w:r w:rsidRPr="00050FA4">
        <w:rPr>
          <w:lang w:val="sq-AL"/>
        </w:rPr>
        <w:t xml:space="preserve"> datë 19.5.2008</w:t>
      </w:r>
      <w:r w:rsidR="005D5491" w:rsidRPr="00050FA4">
        <w:rPr>
          <w:lang w:val="sq-AL"/>
        </w:rPr>
        <w:t>,</w:t>
      </w:r>
      <w:r w:rsidRPr="00050FA4">
        <w:rPr>
          <w:lang w:val="sq-AL"/>
        </w:rPr>
        <w:t xml:space="preserve"> </w:t>
      </w:r>
      <w:r w:rsidR="008A0E5B" w:rsidRPr="00050FA4">
        <w:rPr>
          <w:lang w:val="sq-AL"/>
        </w:rPr>
        <w:t>“</w:t>
      </w:r>
      <w:r w:rsidRPr="00050FA4">
        <w:rPr>
          <w:lang w:val="sq-AL"/>
        </w:rPr>
        <w:t>Për komunikimet elektronike në Republikën e Shqipërisë</w:t>
      </w:r>
      <w:r w:rsidR="008A0E5B" w:rsidRPr="00050FA4">
        <w:rPr>
          <w:lang w:val="sq-AL"/>
        </w:rPr>
        <w:t>”</w:t>
      </w:r>
      <w:r w:rsidRPr="00050FA4">
        <w:rPr>
          <w:lang w:val="sq-AL"/>
        </w:rPr>
        <w:t xml:space="preserve"> i amenduar. Ky ligj është bazuar në paketën e BE për komunikimet elektronike 2002, amenduar nga direktiva 2009. Shqipëria ka miratuar gjithashtu </w:t>
      </w:r>
      <w:r w:rsidR="005D5491" w:rsidRPr="00050FA4">
        <w:rPr>
          <w:lang w:val="sq-AL"/>
        </w:rPr>
        <w:t xml:space="preserve">ligjin </w:t>
      </w:r>
      <w:r w:rsidRPr="00050FA4">
        <w:rPr>
          <w:lang w:val="sq-AL"/>
        </w:rPr>
        <w:t xml:space="preserve">nr. 120, datë 24.11.2016 për zhvillimin e </w:t>
      </w:r>
      <w:r w:rsidRPr="00050FA4">
        <w:rPr>
          <w:i/>
          <w:lang w:val="sq-AL"/>
        </w:rPr>
        <w:t>broadband</w:t>
      </w:r>
      <w:r w:rsidRPr="00050FA4">
        <w:rPr>
          <w:vertAlign w:val="superscript"/>
          <w:lang w:val="sq-AL"/>
        </w:rPr>
        <w:footnoteReference w:id="18"/>
      </w:r>
      <w:r w:rsidRPr="00050FA4">
        <w:rPr>
          <w:lang w:val="sq-AL"/>
        </w:rPr>
        <w:t xml:space="preserve">. Ky ligj synon të rrisë investimet, të përmirësojë depërtimin e </w:t>
      </w:r>
      <w:r w:rsidRPr="00050FA4">
        <w:rPr>
          <w:i/>
          <w:lang w:val="sq-AL"/>
        </w:rPr>
        <w:t>broadband</w:t>
      </w:r>
      <w:r w:rsidRPr="00050FA4">
        <w:rPr>
          <w:lang w:val="sq-AL"/>
        </w:rPr>
        <w:t xml:space="preserve">-it, të rrisë efikasitetin e infrastrukturës ekzistuese përmes ndarjes së infrastrukturës, si dhe do të rrisë konkurrencën. Përveç kësaj, ky ligj ka edhe disa përfitime sociale dhe mjedisore. Zbatimi i </w:t>
      </w:r>
      <w:r w:rsidR="005D5491" w:rsidRPr="00050FA4">
        <w:rPr>
          <w:lang w:val="sq-AL"/>
        </w:rPr>
        <w:t xml:space="preserve">ligjit </w:t>
      </w:r>
      <w:r w:rsidRPr="00050FA4">
        <w:rPr>
          <w:lang w:val="sq-AL"/>
        </w:rPr>
        <w:t xml:space="preserve">nr. 120/2016 është në proces. OST (Operatori i Sistemit të Transmetimit), ofruesi i energjisë elektrike, së fundmi është pajisur me </w:t>
      </w:r>
      <w:r w:rsidR="005D5491" w:rsidRPr="00050FA4">
        <w:rPr>
          <w:lang w:val="sq-AL"/>
        </w:rPr>
        <w:t xml:space="preserve">autorizim </w:t>
      </w:r>
      <w:r w:rsidRPr="00050FA4">
        <w:rPr>
          <w:lang w:val="sq-AL"/>
        </w:rPr>
        <w:t>nga AKEP</w:t>
      </w:r>
      <w:r w:rsidR="005D5491" w:rsidRPr="00050FA4">
        <w:rPr>
          <w:lang w:val="sq-AL"/>
        </w:rPr>
        <w:t>-ja</w:t>
      </w:r>
      <w:r w:rsidRPr="00050FA4">
        <w:rPr>
          <w:lang w:val="sq-AL"/>
        </w:rPr>
        <w:t>, për ofrimin e shërbimeve telekomunikuese, sigurimin e aksesit me brez të gjerë mbi fijet optike OST.</w:t>
      </w:r>
    </w:p>
    <w:p w14:paraId="4A4690FB" w14:textId="5712FCA5" w:rsidR="00A86175" w:rsidRPr="00050FA4" w:rsidRDefault="00A86175" w:rsidP="003F1DA7">
      <w:pPr>
        <w:pStyle w:val="AAAAAAATEXXXX"/>
        <w:rPr>
          <w:color w:val="0D0D0D" w:themeColor="text1" w:themeTint="F2"/>
          <w:lang w:val="sq-AL"/>
        </w:rPr>
      </w:pPr>
      <w:r w:rsidRPr="00050FA4">
        <w:rPr>
          <w:color w:val="0D0D0D" w:themeColor="text1" w:themeTint="F2"/>
          <w:lang w:val="sq-AL"/>
        </w:rPr>
        <w:t xml:space="preserve">Gjatë vitit 2020, Këshilli i Ministrave miratoi dokumentin e </w:t>
      </w:r>
      <w:r w:rsidR="005D5491" w:rsidRPr="00050FA4">
        <w:rPr>
          <w:color w:val="0D0D0D" w:themeColor="text1" w:themeTint="F2"/>
          <w:lang w:val="sq-AL"/>
        </w:rPr>
        <w:t>politikës spektrale</w:t>
      </w:r>
      <w:r w:rsidRPr="00050FA4">
        <w:rPr>
          <w:color w:val="0D0D0D" w:themeColor="text1" w:themeTint="F2"/>
          <w:lang w:val="sq-AL"/>
        </w:rPr>
        <w:t>. Ky dokument përcakton programin shumëvjeçar të politikës së spektrit që synon një planifikim strategjik dhe harmonizimin e përdorimit të spektrit të frekuencave për të siguruar përdorimin efikas të spektrit të frekuencave në përputhje me politikat e BE-së për përdorimin e spektrit të frekuencave, në fushën e komunikimeve elektronike, kërkimit, zhvillimit teknologjik dhe hapësinor, transportit, energjisë dhe transmetimit audiovizual.</w:t>
      </w:r>
    </w:p>
    <w:p w14:paraId="51C17A00" w14:textId="3247CF6B" w:rsidR="00A86175" w:rsidRPr="00050FA4" w:rsidRDefault="00A86175" w:rsidP="003F1DA7">
      <w:pPr>
        <w:pStyle w:val="AAAAAAATEXXXX"/>
        <w:rPr>
          <w:lang w:val="sq-AL"/>
        </w:rPr>
      </w:pPr>
      <w:r w:rsidRPr="00050FA4">
        <w:rPr>
          <w:lang w:val="sq-AL"/>
        </w:rPr>
        <w:t xml:space="preserve">Në </w:t>
      </w:r>
      <w:r w:rsidR="008F3F45" w:rsidRPr="00050FA4">
        <w:rPr>
          <w:lang w:val="sq-AL"/>
        </w:rPr>
        <w:t xml:space="preserve">dhjetor </w:t>
      </w:r>
      <w:r w:rsidRPr="00050FA4">
        <w:rPr>
          <w:lang w:val="sq-AL"/>
        </w:rPr>
        <w:t>2018, Bashkimi E</w:t>
      </w:r>
      <w:r w:rsidR="00967D30" w:rsidRPr="00050FA4">
        <w:rPr>
          <w:lang w:val="sq-AL"/>
        </w:rPr>
        <w:t>v</w:t>
      </w:r>
      <w:r w:rsidRPr="00050FA4">
        <w:rPr>
          <w:lang w:val="sq-AL"/>
        </w:rPr>
        <w:t xml:space="preserve">ropian ka aprovuar </w:t>
      </w:r>
      <w:r w:rsidR="005D5491" w:rsidRPr="00050FA4">
        <w:rPr>
          <w:lang w:val="sq-AL"/>
        </w:rPr>
        <w:t xml:space="preserve">Kodin </w:t>
      </w:r>
      <w:r w:rsidRPr="00050FA4">
        <w:rPr>
          <w:lang w:val="sq-AL"/>
        </w:rPr>
        <w:t xml:space="preserve">e </w:t>
      </w:r>
      <w:r w:rsidR="005D5491" w:rsidRPr="00050FA4">
        <w:rPr>
          <w:lang w:val="sq-AL"/>
        </w:rPr>
        <w:t xml:space="preserve">Ri </w:t>
      </w:r>
      <w:r w:rsidRPr="00050FA4">
        <w:rPr>
          <w:lang w:val="sq-AL"/>
        </w:rPr>
        <w:t xml:space="preserve">të </w:t>
      </w:r>
      <w:r w:rsidR="005D5491" w:rsidRPr="00050FA4">
        <w:rPr>
          <w:lang w:val="sq-AL"/>
        </w:rPr>
        <w:t xml:space="preserve">Komunikimeve Elektronike </w:t>
      </w:r>
      <w:r w:rsidRPr="00050FA4">
        <w:rPr>
          <w:lang w:val="sq-AL"/>
        </w:rPr>
        <w:t xml:space="preserve">nga </w:t>
      </w:r>
      <w:r w:rsidR="005D5491" w:rsidRPr="00050FA4">
        <w:rPr>
          <w:lang w:val="sq-AL"/>
        </w:rPr>
        <w:t xml:space="preserve">direktiva </w:t>
      </w:r>
      <w:r w:rsidRPr="00050FA4">
        <w:rPr>
          <w:lang w:val="sq-AL"/>
        </w:rPr>
        <w:t xml:space="preserve">2018/1972/EU. Kodi i </w:t>
      </w:r>
      <w:r w:rsidR="005D5491" w:rsidRPr="00050FA4">
        <w:rPr>
          <w:lang w:val="sq-AL"/>
        </w:rPr>
        <w:t xml:space="preserve">Ri </w:t>
      </w:r>
      <w:r w:rsidRPr="00050FA4">
        <w:rPr>
          <w:lang w:val="sq-AL"/>
        </w:rPr>
        <w:t xml:space="preserve">i </w:t>
      </w:r>
      <w:r w:rsidR="005D5491" w:rsidRPr="00050FA4">
        <w:rPr>
          <w:lang w:val="sq-AL"/>
        </w:rPr>
        <w:t xml:space="preserve">Komunikimeve Elektronike </w:t>
      </w:r>
      <w:r w:rsidRPr="00050FA4">
        <w:rPr>
          <w:lang w:val="sq-AL"/>
        </w:rPr>
        <w:t>zëvendëson paketën rregullatore të BE</w:t>
      </w:r>
      <w:r w:rsidR="005D5491" w:rsidRPr="00050FA4">
        <w:rPr>
          <w:lang w:val="sq-AL"/>
        </w:rPr>
        <w:t>-së</w:t>
      </w:r>
      <w:r w:rsidRPr="00050FA4">
        <w:rPr>
          <w:lang w:val="sq-AL"/>
        </w:rPr>
        <w:t xml:space="preserve"> për komunikimet elektronike 2002/19/EC, 2002/20/EC, 2002/22/EC, 2002/21/EC të amenduar. Dispozitat e kodit përfshijnë masa për të stimuluar investimet dhe marrjen e rrjeteve me kapacitet shumë të lartë në Bashkimin Evropian, rregulla të reja të spektrit për lidhjen mobile dhe 5G, si dhe ndryshimet në qeverisje, regjimin e shërbimit universal, rregullat e mbrojtjes së përdoruesit fundorë, dhe rregullat e numërimit dhe të komunikimit urgjent. Transpozimi i kësaj direktive të re në legjislacionin kombëtar është planifikuar të bëhet gjatë vitit 2022.</w:t>
      </w:r>
    </w:p>
    <w:p w14:paraId="15F6C84E" w14:textId="5D15DD16" w:rsidR="00A86175" w:rsidRPr="00050FA4" w:rsidRDefault="00A86175" w:rsidP="003F1DA7">
      <w:pPr>
        <w:pStyle w:val="AAAAAAATEXXXX"/>
        <w:rPr>
          <w:rFonts w:cstheme="majorBidi"/>
          <w:lang w:val="sq-AL"/>
        </w:rPr>
      </w:pPr>
      <w:r w:rsidRPr="00050FA4">
        <w:rPr>
          <w:lang w:val="sq-AL"/>
        </w:rPr>
        <w:t xml:space="preserve">Bazuar në </w:t>
      </w:r>
      <w:r w:rsidR="008F3F45" w:rsidRPr="00050FA4">
        <w:rPr>
          <w:lang w:val="sq-AL"/>
        </w:rPr>
        <w:t xml:space="preserve">urdhrin </w:t>
      </w:r>
      <w:r w:rsidRPr="00050FA4">
        <w:rPr>
          <w:lang w:val="sq-AL"/>
        </w:rPr>
        <w:t>e Kryeministrit nr. 157</w:t>
      </w:r>
      <w:r w:rsidR="005D5491" w:rsidRPr="00050FA4">
        <w:rPr>
          <w:lang w:val="sq-AL"/>
        </w:rPr>
        <w:t>,</w:t>
      </w:r>
      <w:r w:rsidRPr="00050FA4">
        <w:rPr>
          <w:lang w:val="sq-AL"/>
        </w:rPr>
        <w:t xml:space="preserve"> datë 22.10.2018, </w:t>
      </w:r>
      <w:r w:rsidR="008A0E5B" w:rsidRPr="00050FA4">
        <w:rPr>
          <w:lang w:val="sq-AL"/>
        </w:rPr>
        <w:t>“</w:t>
      </w:r>
      <w:r w:rsidRPr="00050FA4">
        <w:rPr>
          <w:lang w:val="sq-AL"/>
        </w:rPr>
        <w:t xml:space="preserve">Mbi masat për zbatimin e </w:t>
      </w:r>
      <w:r w:rsidR="008F3F45" w:rsidRPr="00050FA4">
        <w:rPr>
          <w:lang w:val="sq-AL"/>
        </w:rPr>
        <w:t>një qasje të gjerë sektoriale/ndër</w:t>
      </w:r>
      <w:r w:rsidRPr="00050FA4">
        <w:rPr>
          <w:lang w:val="sq-AL"/>
        </w:rPr>
        <w:t>sektoriale, si dhe krijimin dhe funksionimin e mekanizmit të integruar sektorial</w:t>
      </w:r>
      <w:r w:rsidR="00535FB4" w:rsidRPr="00050FA4">
        <w:rPr>
          <w:lang w:val="sq-AL"/>
        </w:rPr>
        <w:t>/</w:t>
      </w:r>
      <w:r w:rsidRPr="00050FA4">
        <w:rPr>
          <w:lang w:val="sq-AL"/>
        </w:rPr>
        <w:t>ndërsektorial</w:t>
      </w:r>
      <w:r w:rsidR="008A0E5B" w:rsidRPr="00050FA4">
        <w:rPr>
          <w:lang w:val="sq-AL"/>
        </w:rPr>
        <w:t>”</w:t>
      </w:r>
      <w:r w:rsidRPr="00050FA4">
        <w:rPr>
          <w:lang w:val="sq-AL"/>
        </w:rPr>
        <w:t xml:space="preserve"> u krijuan </w:t>
      </w:r>
      <w:r w:rsidR="005D5491" w:rsidRPr="00050FA4">
        <w:rPr>
          <w:lang w:val="sq-AL"/>
        </w:rPr>
        <w:t xml:space="preserve">komitetet </w:t>
      </w:r>
      <w:r w:rsidRPr="00050FA4">
        <w:rPr>
          <w:lang w:val="sq-AL"/>
        </w:rPr>
        <w:t>GMIP (</w:t>
      </w:r>
      <w:r w:rsidR="005D5491" w:rsidRPr="00050FA4">
        <w:rPr>
          <w:lang w:val="sq-AL"/>
        </w:rPr>
        <w:t>grupet e menaxhimit të integruar të programit</w:t>
      </w:r>
      <w:r w:rsidRPr="00050FA4">
        <w:rPr>
          <w:lang w:val="sq-AL"/>
        </w:rPr>
        <w:t xml:space="preserve">) dhe Komitetet Sektoriale Drejtuese. Komiteti Drejtues Sektorial i </w:t>
      </w:r>
      <w:r w:rsidR="008A0E5B" w:rsidRPr="00050FA4">
        <w:rPr>
          <w:lang w:val="sq-AL"/>
        </w:rPr>
        <w:t>“</w:t>
      </w:r>
      <w:r w:rsidRPr="00050FA4">
        <w:rPr>
          <w:lang w:val="sq-AL"/>
        </w:rPr>
        <w:t>Connectivity</w:t>
      </w:r>
      <w:r w:rsidR="008A0E5B" w:rsidRPr="00050FA4">
        <w:rPr>
          <w:lang w:val="sq-AL"/>
        </w:rPr>
        <w:t>”</w:t>
      </w:r>
      <w:r w:rsidRPr="00050FA4">
        <w:rPr>
          <w:lang w:val="sq-AL"/>
        </w:rPr>
        <w:t xml:space="preserve"> drejtohet nga Ministria e Infrastrukturës dhe Energjisë. Telekomunikacioni dhe </w:t>
      </w:r>
      <w:r w:rsidR="005D5491" w:rsidRPr="00050FA4">
        <w:rPr>
          <w:i/>
          <w:lang w:val="sq-AL"/>
        </w:rPr>
        <w:t>broadband</w:t>
      </w:r>
      <w:r w:rsidRPr="00050FA4">
        <w:rPr>
          <w:lang w:val="sq-AL"/>
        </w:rPr>
        <w:t>-i është një grup specifik tematik pjesë e Komitetit të Lidhjes.</w:t>
      </w:r>
    </w:p>
    <w:p w14:paraId="3FBEBE2B" w14:textId="0E0109AB" w:rsidR="00263B19" w:rsidRPr="00050FA4" w:rsidRDefault="001453F3" w:rsidP="003F1DA7">
      <w:pPr>
        <w:pStyle w:val="AAAAAAATEXXXX"/>
        <w:rPr>
          <w:lang w:val="sq-AL"/>
        </w:rPr>
      </w:pPr>
      <w:r w:rsidRPr="00050FA4">
        <w:rPr>
          <w:lang w:val="sq-AL"/>
        </w:rPr>
        <w:t>b</w:t>
      </w:r>
      <w:r w:rsidR="00A6213E" w:rsidRPr="00050FA4">
        <w:rPr>
          <w:lang w:val="sq-AL"/>
        </w:rPr>
        <w:t>)</w:t>
      </w:r>
      <w:r w:rsidRPr="00050FA4">
        <w:rPr>
          <w:lang w:val="sq-AL"/>
        </w:rPr>
        <w:t xml:space="preserve"> </w:t>
      </w:r>
      <w:r w:rsidR="00B2062A" w:rsidRPr="00050FA4">
        <w:rPr>
          <w:lang w:val="sq-AL"/>
        </w:rPr>
        <w:t>Masat e reformës</w:t>
      </w:r>
    </w:p>
    <w:p w14:paraId="13924E51" w14:textId="7E6C7269" w:rsidR="00263B19"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11</w:t>
      </w:r>
      <w:r w:rsidR="00263B19" w:rsidRPr="00050FA4">
        <w:rPr>
          <w:rFonts w:ascii="Garamond" w:hAnsi="Garamond" w:cstheme="majorBidi"/>
          <w:color w:val="0D0D0D" w:themeColor="text1" w:themeTint="F2"/>
          <w:sz w:val="24"/>
          <w:szCs w:val="24"/>
        </w:rPr>
        <w:t xml:space="preserve">: </w:t>
      </w:r>
      <w:r w:rsidR="00A86175" w:rsidRPr="00050FA4">
        <w:rPr>
          <w:rFonts w:ascii="Garamond" w:hAnsi="Garamond" w:cstheme="majorBidi"/>
          <w:color w:val="0D0D0D" w:themeColor="text1" w:themeTint="F2"/>
          <w:sz w:val="24"/>
          <w:szCs w:val="24"/>
        </w:rPr>
        <w:t>Zhvillimi i infrastrukturës broadband për ekonominë digjitale</w:t>
      </w:r>
    </w:p>
    <w:p w14:paraId="6ED332F8" w14:textId="2219AD52" w:rsidR="00263B19" w:rsidRPr="00050FA4" w:rsidRDefault="001453F3" w:rsidP="003F1DA7">
      <w:pPr>
        <w:pStyle w:val="AAAAAAATEXXXX"/>
        <w:rPr>
          <w:lang w:val="sq-AL"/>
        </w:rPr>
      </w:pPr>
      <w:r w:rsidRPr="00050FA4">
        <w:rPr>
          <w:lang w:val="sq-AL"/>
        </w:rPr>
        <w:t xml:space="preserve">1. </w:t>
      </w:r>
      <w:r w:rsidR="00B2062A" w:rsidRPr="00050FA4">
        <w:rPr>
          <w:lang w:val="sq-AL"/>
        </w:rPr>
        <w:t>Përshkrimi i masës</w:t>
      </w:r>
    </w:p>
    <w:p w14:paraId="1B8A62E9" w14:textId="3E2D0D83" w:rsidR="00A86175" w:rsidRPr="00050FA4" w:rsidRDefault="00A86175" w:rsidP="003F1DA7">
      <w:pPr>
        <w:pStyle w:val="AAAAAAATEXXXX"/>
        <w:rPr>
          <w:rFonts w:eastAsia="MS Mincho"/>
          <w:lang w:val="sq-AL"/>
        </w:rPr>
      </w:pPr>
      <w:r w:rsidRPr="00050FA4">
        <w:rPr>
          <w:rFonts w:eastAsia="MS Mincho"/>
          <w:lang w:val="sq-AL"/>
        </w:rPr>
        <w:t xml:space="preserve">Zhvillimi i infrastrukturës </w:t>
      </w:r>
      <w:r w:rsidRPr="00050FA4">
        <w:rPr>
          <w:rFonts w:eastAsia="MS Mincho"/>
          <w:i/>
          <w:lang w:val="sq-AL"/>
        </w:rPr>
        <w:t>broadband</w:t>
      </w:r>
      <w:r w:rsidRPr="00050FA4">
        <w:rPr>
          <w:rFonts w:eastAsia="MS Mincho"/>
          <w:lang w:val="sq-AL"/>
        </w:rPr>
        <w:t xml:space="preserve"> është një nga çështjet më të rëndësishme për zhvillimin ekonomik dhe social. Infrastruktura digjitale dhe digjitalizimi janë pjesë e dokumenteve strategjike rajonale. Zhvillimi </w:t>
      </w:r>
      <w:r w:rsidRPr="00050FA4">
        <w:rPr>
          <w:rFonts w:eastAsia="MS Mincho"/>
          <w:i/>
          <w:lang w:val="sq-AL"/>
        </w:rPr>
        <w:t>Broadband</w:t>
      </w:r>
      <w:r w:rsidRPr="00050FA4">
        <w:rPr>
          <w:rFonts w:eastAsia="MS Mincho"/>
          <w:lang w:val="sq-AL"/>
        </w:rPr>
        <w:t xml:space="preserve"> është në përputhje me </w:t>
      </w:r>
      <w:r w:rsidR="006735BF" w:rsidRPr="00050FA4">
        <w:rPr>
          <w:rFonts w:eastAsia="MS Mincho"/>
          <w:lang w:val="sq-AL"/>
        </w:rPr>
        <w:t xml:space="preserve">agjendën digjitale </w:t>
      </w:r>
      <w:r w:rsidRPr="00050FA4">
        <w:rPr>
          <w:rFonts w:eastAsia="MS Mincho"/>
          <w:lang w:val="sq-AL"/>
        </w:rPr>
        <w:t>t</w:t>
      </w:r>
      <w:r w:rsidR="000C71F9" w:rsidRPr="00050FA4">
        <w:rPr>
          <w:lang w:val="sq-AL"/>
        </w:rPr>
        <w:t>ë</w:t>
      </w:r>
      <w:r w:rsidRPr="00050FA4">
        <w:rPr>
          <w:rFonts w:eastAsia="MS Mincho"/>
          <w:lang w:val="sq-AL"/>
        </w:rPr>
        <w:t xml:space="preserve"> BE-së, </w:t>
      </w:r>
      <w:r w:rsidRPr="00050FA4">
        <w:rPr>
          <w:bCs/>
          <w:lang w:val="sq-AL" w:eastAsia="sq-AL"/>
        </w:rPr>
        <w:t xml:space="preserve">është </w:t>
      </w:r>
      <w:r w:rsidRPr="00050FA4">
        <w:rPr>
          <w:rFonts w:eastAsia="MS Mincho"/>
          <w:lang w:val="sq-AL"/>
        </w:rPr>
        <w:t xml:space="preserve">pjesë e përparësive të </w:t>
      </w:r>
      <w:r w:rsidR="006735BF" w:rsidRPr="00050FA4">
        <w:rPr>
          <w:rFonts w:eastAsia="MS Mincho"/>
          <w:lang w:val="sq-AL"/>
        </w:rPr>
        <w:t xml:space="preserve">Strategjisë </w:t>
      </w:r>
      <w:r w:rsidRPr="00050FA4">
        <w:rPr>
          <w:rFonts w:eastAsia="MS Mincho"/>
          <w:lang w:val="sq-AL"/>
        </w:rPr>
        <w:t>SEE-2020 nën shtyllën e rritjes inteligjente dhe</w:t>
      </w:r>
      <w:r w:rsidR="006735BF" w:rsidRPr="00050FA4">
        <w:rPr>
          <w:rFonts w:eastAsia="MS Mincho"/>
          <w:lang w:val="sq-AL"/>
        </w:rPr>
        <w:t>,</w:t>
      </w:r>
      <w:r w:rsidRPr="00050FA4">
        <w:rPr>
          <w:rFonts w:eastAsia="MS Mincho"/>
          <w:lang w:val="sq-AL"/>
        </w:rPr>
        <w:t xml:space="preserve"> gjithashtu</w:t>
      </w:r>
      <w:r w:rsidR="006735BF" w:rsidRPr="00050FA4">
        <w:rPr>
          <w:rFonts w:eastAsia="MS Mincho"/>
          <w:lang w:val="sq-AL"/>
        </w:rPr>
        <w:t>,</w:t>
      </w:r>
      <w:r w:rsidRPr="00050FA4">
        <w:rPr>
          <w:rFonts w:eastAsia="MS Mincho"/>
          <w:lang w:val="sq-AL"/>
        </w:rPr>
        <w:t xml:space="preserve"> pjesë e MAP-REA e WB6 të miratuar në Samitin e Trieste</w:t>
      </w:r>
      <w:r w:rsidR="006735BF" w:rsidRPr="00050FA4">
        <w:rPr>
          <w:rFonts w:eastAsia="MS Mincho"/>
          <w:lang w:val="sq-AL"/>
        </w:rPr>
        <w:t>,</w:t>
      </w:r>
      <w:r w:rsidRPr="00050FA4">
        <w:rPr>
          <w:rFonts w:eastAsia="MS Mincho"/>
          <w:lang w:val="sq-AL"/>
        </w:rPr>
        <w:t xml:space="preserve"> më 12 korrik 2017. Për më tepër, infrastruktura digjitale, zhvillimi dhe shtrirja e infrastrukturës kombëtare </w:t>
      </w:r>
      <w:r w:rsidRPr="00050FA4">
        <w:rPr>
          <w:rFonts w:eastAsia="MS Mincho"/>
          <w:i/>
          <w:lang w:val="sq-AL"/>
        </w:rPr>
        <w:t>broadband</w:t>
      </w:r>
      <w:r w:rsidRPr="00050FA4">
        <w:rPr>
          <w:rFonts w:eastAsia="MS Mincho"/>
          <w:lang w:val="sq-AL"/>
        </w:rPr>
        <w:t xml:space="preserve"> në gjashtë vendet e Ballkanit Perëndimor është një nga shtyllat kryesore të Planit Ekonomik dhe të Investimeve për Ballkanin Perëndimor të miratuar nga Komisioni Evropian më 6 tetor </w:t>
      </w:r>
      <w:r w:rsidRPr="00050FA4">
        <w:rPr>
          <w:bCs/>
          <w:lang w:val="sq-AL" w:eastAsia="sq-AL"/>
        </w:rPr>
        <w:t>2020</w:t>
      </w:r>
      <w:r w:rsidRPr="00050FA4">
        <w:rPr>
          <w:bCs/>
          <w:vertAlign w:val="superscript"/>
          <w:lang w:val="sq-AL" w:eastAsia="sq-AL"/>
        </w:rPr>
        <w:footnoteReference w:id="19"/>
      </w:r>
      <w:r w:rsidRPr="00050FA4">
        <w:rPr>
          <w:bCs/>
          <w:vertAlign w:val="superscript"/>
          <w:lang w:val="sq-AL" w:eastAsia="sq-AL"/>
        </w:rPr>
        <w:t>.</w:t>
      </w:r>
      <w:r w:rsidRPr="00050FA4">
        <w:rPr>
          <w:rFonts w:eastAsia="MS Mincho"/>
          <w:lang w:val="sq-AL"/>
        </w:rPr>
        <w:t>. Prandaj, Komisioni po paraqet së bashku me këtë Komunikim, një Agjendë të Gjelbër për Ballkanin Perëndimor, siç parashikohet në Marrëveshjen e Gjelbër Evropiane. Marrëveshja e Gjelbër Evropiane vlerëson</w:t>
      </w:r>
      <w:r w:rsidR="006735BF" w:rsidRPr="00050FA4">
        <w:rPr>
          <w:rFonts w:eastAsia="MS Mincho"/>
          <w:lang w:val="sq-AL"/>
        </w:rPr>
        <w:t>,</w:t>
      </w:r>
      <w:r w:rsidRPr="00050FA4">
        <w:rPr>
          <w:rFonts w:eastAsia="MS Mincho"/>
          <w:lang w:val="sq-AL"/>
        </w:rPr>
        <w:t xml:space="preserve"> se</w:t>
      </w:r>
      <w:r w:rsidR="006735BF" w:rsidRPr="00050FA4">
        <w:rPr>
          <w:rFonts w:eastAsia="MS Mincho"/>
          <w:lang w:val="sq-AL"/>
        </w:rPr>
        <w:t>:</w:t>
      </w:r>
      <w:r w:rsidRPr="00050FA4">
        <w:rPr>
          <w:rFonts w:eastAsia="MS Mincho"/>
          <w:lang w:val="sq-AL"/>
        </w:rPr>
        <w:t xml:space="preserve"> </w:t>
      </w:r>
      <w:r w:rsidR="006735BF" w:rsidRPr="00050FA4">
        <w:rPr>
          <w:rFonts w:eastAsia="MS Mincho"/>
          <w:lang w:val="sq-AL"/>
        </w:rPr>
        <w:t>“</w:t>
      </w:r>
      <w:r w:rsidRPr="00050FA4">
        <w:rPr>
          <w:rFonts w:eastAsia="MS Mincho"/>
          <w:lang w:val="sq-AL"/>
        </w:rPr>
        <w:t xml:space="preserve">teknologjitë </w:t>
      </w:r>
      <w:r w:rsidR="00C948AF" w:rsidRPr="00050FA4">
        <w:rPr>
          <w:rFonts w:eastAsia="MS Mincho"/>
          <w:lang w:val="sq-AL"/>
        </w:rPr>
        <w:t>digjital</w:t>
      </w:r>
      <w:r w:rsidRPr="00050FA4">
        <w:rPr>
          <w:rFonts w:eastAsia="MS Mincho"/>
          <w:lang w:val="sq-AL"/>
        </w:rPr>
        <w:t xml:space="preserve">e janë një mundësi e rëndësishme për arritjen e qëllimeve të qëndrueshmërisë së </w:t>
      </w:r>
      <w:r w:rsidR="006735BF" w:rsidRPr="00050FA4">
        <w:rPr>
          <w:rFonts w:eastAsia="MS Mincho"/>
          <w:lang w:val="sq-AL"/>
        </w:rPr>
        <w:t xml:space="preserve">marrëveshjes së gjelbër </w:t>
      </w:r>
      <w:r w:rsidRPr="00050FA4">
        <w:rPr>
          <w:rFonts w:eastAsia="MS Mincho"/>
          <w:lang w:val="sq-AL"/>
        </w:rPr>
        <w:t>në shumë sektorë të ndryshëm</w:t>
      </w:r>
      <w:r w:rsidR="006735BF" w:rsidRPr="00050FA4">
        <w:rPr>
          <w:rFonts w:eastAsia="MS Mincho"/>
          <w:lang w:val="sq-AL"/>
        </w:rPr>
        <w:t>”</w:t>
      </w:r>
      <w:r w:rsidRPr="00050FA4">
        <w:rPr>
          <w:rFonts w:eastAsia="MS Mincho"/>
          <w:lang w:val="sq-AL"/>
        </w:rPr>
        <w:t xml:space="preserve">. </w:t>
      </w:r>
      <w:r w:rsidR="006735BF" w:rsidRPr="00050FA4">
        <w:rPr>
          <w:rFonts w:eastAsia="MS Mincho"/>
          <w:lang w:val="sq-AL"/>
        </w:rPr>
        <w:t>“</w:t>
      </w:r>
      <w:r w:rsidRPr="00050FA4">
        <w:rPr>
          <w:rFonts w:eastAsia="MS Mincho"/>
          <w:lang w:val="sq-AL"/>
        </w:rPr>
        <w:t xml:space="preserve">Komisioni do të shqyrtojë </w:t>
      </w:r>
      <w:r w:rsidRPr="00050FA4">
        <w:rPr>
          <w:rFonts w:eastAsia="MS Mincho"/>
          <w:lang w:val="sq-AL"/>
        </w:rPr>
        <w:lastRenderedPageBreak/>
        <w:t xml:space="preserve">masat për të siguruar që teknologjitë </w:t>
      </w:r>
      <w:r w:rsidR="00C948AF" w:rsidRPr="00050FA4">
        <w:rPr>
          <w:rFonts w:eastAsia="MS Mincho"/>
          <w:lang w:val="sq-AL"/>
        </w:rPr>
        <w:t>digjital</w:t>
      </w:r>
      <w:r w:rsidRPr="00050FA4">
        <w:rPr>
          <w:rFonts w:eastAsia="MS Mincho"/>
          <w:lang w:val="sq-AL"/>
        </w:rPr>
        <w:t xml:space="preserve">e të tilla si inteligjenca artificiale, 5G, </w:t>
      </w:r>
      <w:r w:rsidRPr="00050FA4">
        <w:rPr>
          <w:rFonts w:eastAsia="MS Mincho"/>
          <w:i/>
          <w:lang w:val="sq-AL"/>
        </w:rPr>
        <w:t xml:space="preserve">cloud and edge computing </w:t>
      </w:r>
      <w:r w:rsidRPr="00050FA4">
        <w:rPr>
          <w:rFonts w:eastAsia="MS Mincho"/>
          <w:lang w:val="sq-AL"/>
        </w:rPr>
        <w:t xml:space="preserve">dhe </w:t>
      </w:r>
      <w:r w:rsidRPr="00050FA4">
        <w:rPr>
          <w:rFonts w:eastAsia="MS Mincho"/>
          <w:i/>
          <w:lang w:val="sq-AL"/>
        </w:rPr>
        <w:t>Internet of Things</w:t>
      </w:r>
      <w:r w:rsidRPr="00050FA4">
        <w:rPr>
          <w:rFonts w:eastAsia="MS Mincho"/>
          <w:lang w:val="sq-AL"/>
        </w:rPr>
        <w:t xml:space="preserve"> mund të përshpejtojnë dhe maksimizojnë ndikimin e politikave për t</w:t>
      </w:r>
      <w:r w:rsidR="005140DC" w:rsidRPr="00050FA4">
        <w:rPr>
          <w:rFonts w:eastAsia="MS Mincho"/>
          <w:lang w:val="sq-AL"/>
        </w:rPr>
        <w:t>’</w:t>
      </w:r>
      <w:r w:rsidRPr="00050FA4">
        <w:rPr>
          <w:rFonts w:eastAsia="MS Mincho"/>
          <w:lang w:val="sq-AL"/>
        </w:rPr>
        <w:t>u marrë me ndryshimet klimatike dhe për të mbrojtur mjedisin. Digjitalizimi paraqet</w:t>
      </w:r>
      <w:r w:rsidR="005140DC" w:rsidRPr="00050FA4">
        <w:rPr>
          <w:rFonts w:eastAsia="MS Mincho"/>
          <w:lang w:val="sq-AL"/>
        </w:rPr>
        <w:t>,</w:t>
      </w:r>
      <w:r w:rsidRPr="00050FA4">
        <w:rPr>
          <w:rFonts w:eastAsia="MS Mincho"/>
          <w:lang w:val="sq-AL"/>
        </w:rPr>
        <w:t xml:space="preserve"> gjithashtu</w:t>
      </w:r>
      <w:r w:rsidR="005140DC" w:rsidRPr="00050FA4">
        <w:rPr>
          <w:rFonts w:eastAsia="MS Mincho"/>
          <w:lang w:val="sq-AL"/>
        </w:rPr>
        <w:t>,</w:t>
      </w:r>
      <w:r w:rsidRPr="00050FA4">
        <w:rPr>
          <w:rFonts w:eastAsia="MS Mincho"/>
          <w:lang w:val="sq-AL"/>
        </w:rPr>
        <w:t xml:space="preserve"> mundësi të reja për monitorimin në distancë të ndotjes së ajrit dhe ujit, ose për monitorimin dhe optimizmin e përdorimit të energjisë dhe burimeve natyrore.</w:t>
      </w:r>
    </w:p>
    <w:p w14:paraId="77CF6C88" w14:textId="77777777" w:rsidR="00A86175" w:rsidRPr="00050FA4" w:rsidRDefault="00A86175" w:rsidP="003F1DA7">
      <w:pPr>
        <w:pStyle w:val="AAAAAAATEXXXX"/>
        <w:rPr>
          <w:lang w:val="sq-AL"/>
        </w:rPr>
      </w:pPr>
      <w:r w:rsidRPr="00050FA4">
        <w:rPr>
          <w:lang w:val="sq-AL"/>
        </w:rPr>
        <w:t xml:space="preserve">Masat e reformave të propozuara do të rrisin investimet, do të përmirësojnë depërtimin </w:t>
      </w:r>
      <w:r w:rsidRPr="00050FA4">
        <w:rPr>
          <w:i/>
          <w:lang w:val="sq-AL"/>
        </w:rPr>
        <w:t>broadband</w:t>
      </w:r>
      <w:r w:rsidRPr="00050FA4">
        <w:rPr>
          <w:lang w:val="sq-AL"/>
        </w:rPr>
        <w:t>, do të rrisin efikasitetin e infrastrukturës ekzistuese përmes ndarjes së infrastrukturës, si dhe do të rrisin konkurrencën. Për më tepër, ekzistojnë disa përfitime sociale dhe mjedisore përmes:</w:t>
      </w:r>
    </w:p>
    <w:p w14:paraId="6B838721" w14:textId="24B11668" w:rsidR="00A86175" w:rsidRPr="00050FA4" w:rsidRDefault="001453F3" w:rsidP="003F1DA7">
      <w:pPr>
        <w:pStyle w:val="AAAAAAATEXXXX"/>
        <w:rPr>
          <w:rFonts w:eastAsia="MS Mincho"/>
          <w:color w:val="0D0D0D" w:themeColor="text1" w:themeTint="F2"/>
          <w:lang w:val="sq-AL"/>
        </w:rPr>
      </w:pPr>
      <w:r w:rsidRPr="00050FA4">
        <w:rPr>
          <w:rFonts w:eastAsia="MS Mincho"/>
          <w:color w:val="0D0D0D" w:themeColor="text1" w:themeTint="F2"/>
          <w:lang w:val="sq-AL"/>
        </w:rPr>
        <w:t xml:space="preserve">- </w:t>
      </w:r>
      <w:r w:rsidR="00A86175" w:rsidRPr="00050FA4">
        <w:rPr>
          <w:rFonts w:eastAsia="MS Mincho"/>
          <w:color w:val="0D0D0D" w:themeColor="text1" w:themeTint="F2"/>
          <w:lang w:val="sq-AL"/>
        </w:rPr>
        <w:t xml:space="preserve">mbulim më i mirë </w:t>
      </w:r>
      <w:r w:rsidR="00A86175" w:rsidRPr="00050FA4">
        <w:rPr>
          <w:rFonts w:eastAsia="MS Mincho"/>
          <w:i/>
          <w:color w:val="0D0D0D" w:themeColor="text1" w:themeTint="F2"/>
          <w:lang w:val="sq-AL"/>
        </w:rPr>
        <w:t>broadband</w:t>
      </w:r>
      <w:r w:rsidR="00A86175" w:rsidRPr="00050FA4">
        <w:rPr>
          <w:rFonts w:eastAsia="MS Mincho"/>
          <w:color w:val="0D0D0D" w:themeColor="text1" w:themeTint="F2"/>
          <w:lang w:val="sq-AL"/>
        </w:rPr>
        <w:t>, që do të thotë kohezion social dhe territorial</w:t>
      </w:r>
      <w:r w:rsidR="00A6213E" w:rsidRPr="00050FA4">
        <w:rPr>
          <w:rFonts w:eastAsia="MS Mincho"/>
          <w:color w:val="0D0D0D" w:themeColor="text1" w:themeTint="F2"/>
          <w:lang w:val="sq-AL"/>
        </w:rPr>
        <w:t>;</w:t>
      </w:r>
    </w:p>
    <w:p w14:paraId="2FE3E238" w14:textId="616C26DD" w:rsidR="00A86175" w:rsidRPr="00050FA4" w:rsidRDefault="001453F3" w:rsidP="003F1DA7">
      <w:pPr>
        <w:pStyle w:val="AAAAAAATEXXXX"/>
        <w:rPr>
          <w:rFonts w:eastAsia="MS Mincho"/>
          <w:color w:val="0D0D0D" w:themeColor="text1" w:themeTint="F2"/>
          <w:lang w:val="sq-AL"/>
        </w:rPr>
      </w:pPr>
      <w:r w:rsidRPr="00050FA4">
        <w:rPr>
          <w:rFonts w:eastAsia="MS Mincho"/>
          <w:color w:val="0D0D0D" w:themeColor="text1" w:themeTint="F2"/>
          <w:lang w:val="sq-AL"/>
        </w:rPr>
        <w:t xml:space="preserve">- </w:t>
      </w:r>
      <w:r w:rsidR="00A86175" w:rsidRPr="00050FA4">
        <w:rPr>
          <w:rFonts w:eastAsia="MS Mincho"/>
          <w:color w:val="0D0D0D" w:themeColor="text1" w:themeTint="F2"/>
          <w:lang w:val="sq-AL"/>
        </w:rPr>
        <w:t>rrit sinergjitë nëpër sektorë</w:t>
      </w:r>
      <w:r w:rsidR="005140DC" w:rsidRPr="00050FA4">
        <w:rPr>
          <w:rFonts w:eastAsia="MS Mincho"/>
          <w:color w:val="0D0D0D" w:themeColor="text1" w:themeTint="F2"/>
          <w:lang w:val="sq-AL"/>
        </w:rPr>
        <w:t>,</w:t>
      </w:r>
      <w:r w:rsidR="00A86175" w:rsidRPr="00050FA4">
        <w:rPr>
          <w:rFonts w:eastAsia="MS Mincho"/>
          <w:color w:val="0D0D0D" w:themeColor="text1" w:themeTint="F2"/>
          <w:lang w:val="sq-AL"/>
        </w:rPr>
        <w:t xml:space="preserve"> p.sh. rrjete inteligjente dhe sisteme inteligjente transporti</w:t>
      </w:r>
      <w:r w:rsidR="00A6213E" w:rsidRPr="00050FA4">
        <w:rPr>
          <w:rFonts w:eastAsia="MS Mincho"/>
          <w:color w:val="0D0D0D" w:themeColor="text1" w:themeTint="F2"/>
          <w:lang w:val="sq-AL"/>
        </w:rPr>
        <w:t>;</w:t>
      </w:r>
    </w:p>
    <w:p w14:paraId="546A411B" w14:textId="21865218" w:rsidR="00A86175" w:rsidRPr="00050FA4" w:rsidRDefault="001453F3" w:rsidP="003F1DA7">
      <w:pPr>
        <w:pStyle w:val="AAAAAAATEXXXX"/>
        <w:rPr>
          <w:rFonts w:eastAsia="MS Mincho"/>
          <w:color w:val="0D0D0D" w:themeColor="text1" w:themeTint="F2"/>
          <w:lang w:val="sq-AL"/>
        </w:rPr>
      </w:pPr>
      <w:r w:rsidRPr="00050FA4">
        <w:rPr>
          <w:rFonts w:eastAsia="MS Mincho"/>
          <w:color w:val="0D0D0D" w:themeColor="text1" w:themeTint="F2"/>
          <w:lang w:val="sq-AL"/>
        </w:rPr>
        <w:t xml:space="preserve">- </w:t>
      </w:r>
      <w:r w:rsidR="00A86175" w:rsidRPr="00050FA4">
        <w:rPr>
          <w:rFonts w:eastAsia="MS Mincho"/>
          <w:color w:val="0D0D0D" w:themeColor="text1" w:themeTint="F2"/>
          <w:lang w:val="sq-AL"/>
        </w:rPr>
        <w:t>më pak dublikime të punimeve civile, më pak gërmime</w:t>
      </w:r>
      <w:r w:rsidR="00A6213E" w:rsidRPr="00050FA4">
        <w:rPr>
          <w:rFonts w:eastAsia="MS Mincho"/>
          <w:color w:val="0D0D0D" w:themeColor="text1" w:themeTint="F2"/>
          <w:lang w:val="sq-AL"/>
        </w:rPr>
        <w:t>;</w:t>
      </w:r>
    </w:p>
    <w:p w14:paraId="0B507C95" w14:textId="7CD2F7A5" w:rsidR="00A86175" w:rsidRPr="00050FA4" w:rsidRDefault="001453F3" w:rsidP="003F1DA7">
      <w:pPr>
        <w:pStyle w:val="AAAAAAATEXXXX"/>
        <w:rPr>
          <w:rFonts w:eastAsia="MS Mincho"/>
          <w:color w:val="0D0D0D" w:themeColor="text1" w:themeTint="F2"/>
          <w:lang w:val="sq-AL"/>
        </w:rPr>
      </w:pPr>
      <w:r w:rsidRPr="00050FA4">
        <w:rPr>
          <w:rFonts w:eastAsia="MS Mincho"/>
          <w:color w:val="0D0D0D" w:themeColor="text1" w:themeTint="F2"/>
          <w:lang w:val="sq-AL"/>
        </w:rPr>
        <w:t xml:space="preserve">- </w:t>
      </w:r>
      <w:r w:rsidR="00A86175" w:rsidRPr="00050FA4">
        <w:rPr>
          <w:rFonts w:eastAsia="MS Mincho"/>
          <w:color w:val="0D0D0D" w:themeColor="text1" w:themeTint="F2"/>
          <w:lang w:val="sq-AL"/>
        </w:rPr>
        <w:t>përmirësim i mjedisit të biznesit përmes transparencës dhe procedurave të thjeshta për lejet e ndërtimit etj.</w:t>
      </w:r>
    </w:p>
    <w:p w14:paraId="29C81674" w14:textId="7CEA2353" w:rsidR="00A86175" w:rsidRPr="00050FA4" w:rsidRDefault="00A86175" w:rsidP="003F1DA7">
      <w:pPr>
        <w:pStyle w:val="AAAAAAATEXXXX"/>
        <w:rPr>
          <w:lang w:val="sq-AL"/>
        </w:rPr>
      </w:pPr>
      <w:r w:rsidRPr="00050FA4">
        <w:rPr>
          <w:lang w:val="sq-AL"/>
        </w:rPr>
        <w:t xml:space="preserve">Zhvillimi i infrastrukturës </w:t>
      </w:r>
      <w:r w:rsidRPr="00050FA4">
        <w:rPr>
          <w:i/>
          <w:lang w:val="sq-AL"/>
        </w:rPr>
        <w:t>broadband</w:t>
      </w:r>
      <w:r w:rsidRPr="00050FA4">
        <w:rPr>
          <w:lang w:val="sq-AL"/>
        </w:rPr>
        <w:t xml:space="preserve"> është duke ecur paralel me zhvillimin e rëndësishëm në </w:t>
      </w:r>
      <w:r w:rsidRPr="00050FA4">
        <w:rPr>
          <w:i/>
          <w:lang w:val="sq-AL"/>
        </w:rPr>
        <w:t>e-</w:t>
      </w:r>
      <w:r w:rsidR="005140DC" w:rsidRPr="00050FA4">
        <w:rPr>
          <w:i/>
          <w:lang w:val="sq-AL"/>
        </w:rPr>
        <w:t>Qeverisje</w:t>
      </w:r>
      <w:r w:rsidRPr="00050FA4">
        <w:rPr>
          <w:lang w:val="sq-AL"/>
        </w:rPr>
        <w:t xml:space="preserve">, </w:t>
      </w:r>
      <w:r w:rsidRPr="00050FA4">
        <w:rPr>
          <w:i/>
          <w:lang w:val="sq-AL"/>
        </w:rPr>
        <w:t>e-</w:t>
      </w:r>
      <w:r w:rsidR="00A6213E" w:rsidRPr="00050FA4">
        <w:rPr>
          <w:i/>
          <w:lang w:val="sq-AL"/>
        </w:rPr>
        <w:t>Shërbime</w:t>
      </w:r>
      <w:r w:rsidRPr="00050FA4">
        <w:rPr>
          <w:i/>
          <w:lang w:val="sq-AL"/>
        </w:rPr>
        <w:t>,</w:t>
      </w:r>
      <w:r w:rsidRPr="00050FA4">
        <w:rPr>
          <w:lang w:val="sq-AL"/>
        </w:rPr>
        <w:t xml:space="preserve"> digjitalizim i sistemit TIK në administratën publike që është një element i rëndësishëm për ekosistemin TIK dhe ekonominë digjitale. Kjo pjesë e investimeve është e lidhur me anën e kërkesës së </w:t>
      </w:r>
      <w:r w:rsidRPr="00050FA4">
        <w:rPr>
          <w:i/>
          <w:lang w:val="sq-AL"/>
        </w:rPr>
        <w:t>broadband</w:t>
      </w:r>
      <w:r w:rsidRPr="00050FA4">
        <w:rPr>
          <w:lang w:val="sq-AL"/>
        </w:rPr>
        <w:t>-it.</w:t>
      </w:r>
      <w:r w:rsidR="00B71BE3" w:rsidRPr="00050FA4">
        <w:rPr>
          <w:lang w:val="sq-AL"/>
        </w:rPr>
        <w:t xml:space="preserve"> </w:t>
      </w:r>
      <w:r w:rsidRPr="00050FA4">
        <w:rPr>
          <w:lang w:val="sq-AL"/>
        </w:rPr>
        <w:t>Gjatë krizës së COVID-19, nevojat për lidhje digjitale për trajtim të barabartë</w:t>
      </w:r>
      <w:r w:rsidR="00535FB4" w:rsidRPr="00050FA4">
        <w:rPr>
          <w:lang w:val="sq-AL"/>
        </w:rPr>
        <w:t>/</w:t>
      </w:r>
      <w:r w:rsidRPr="00050FA4">
        <w:rPr>
          <w:lang w:val="sq-AL"/>
        </w:rPr>
        <w:t>mosdiskriminim</w:t>
      </w:r>
      <w:r w:rsidR="00535FB4" w:rsidRPr="00050FA4">
        <w:rPr>
          <w:lang w:val="sq-AL"/>
        </w:rPr>
        <w:t>/</w:t>
      </w:r>
      <w:r w:rsidRPr="00050FA4">
        <w:rPr>
          <w:lang w:val="sq-AL"/>
        </w:rPr>
        <w:t>adresimin e nevojave – për lidhjen digjitale, aftësitë digjitale dhe lidhjet e besueshme janë më të r</w:t>
      </w:r>
      <w:r w:rsidR="00B71BE3" w:rsidRPr="00050FA4">
        <w:rPr>
          <w:lang w:val="sq-AL"/>
        </w:rPr>
        <w:t xml:space="preserve">ëndësishme. Zhvillimi </w:t>
      </w:r>
      <w:r w:rsidR="00B71BE3" w:rsidRPr="00050FA4">
        <w:rPr>
          <w:i/>
          <w:lang w:val="sq-AL"/>
        </w:rPr>
        <w:t>broadband</w:t>
      </w:r>
      <w:r w:rsidRPr="00050FA4">
        <w:rPr>
          <w:lang w:val="sq-AL"/>
        </w:rPr>
        <w:t xml:space="preserve"> është e lidhur me reformat e tjera të paraqitura në ERP</w:t>
      </w:r>
      <w:r w:rsidR="005140DC" w:rsidRPr="00050FA4">
        <w:rPr>
          <w:lang w:val="sq-AL"/>
        </w:rPr>
        <w:t>,</w:t>
      </w:r>
      <w:r w:rsidRPr="00050FA4">
        <w:rPr>
          <w:lang w:val="sq-AL"/>
        </w:rPr>
        <w:t xml:space="preserve"> </w:t>
      </w:r>
      <w:r w:rsidR="008A0E5B" w:rsidRPr="00050FA4">
        <w:rPr>
          <w:lang w:val="sq-AL"/>
        </w:rPr>
        <w:t>“</w:t>
      </w:r>
      <w:r w:rsidRPr="00050FA4">
        <w:rPr>
          <w:lang w:val="sq-AL"/>
        </w:rPr>
        <w:t>Përmirësimi i aksesit në financa për NVM-të</w:t>
      </w:r>
      <w:r w:rsidR="005140DC" w:rsidRPr="00050FA4">
        <w:rPr>
          <w:lang w:val="sq-AL"/>
        </w:rPr>
        <w:t>,</w:t>
      </w:r>
      <w:r w:rsidRPr="00050FA4">
        <w:rPr>
          <w:lang w:val="sq-AL"/>
        </w:rPr>
        <w:t xml:space="preserve"> ku digjitalizimi dhe hyrja në TIK për NVM-të është pjesë e aktiviteteve në këtë reformë. Për më tepër, </w:t>
      </w:r>
      <w:r w:rsidRPr="00050FA4">
        <w:rPr>
          <w:i/>
          <w:lang w:val="sq-AL"/>
        </w:rPr>
        <w:t>broadband</w:t>
      </w:r>
      <w:r w:rsidRPr="00050FA4">
        <w:rPr>
          <w:lang w:val="sq-AL"/>
        </w:rPr>
        <w:t xml:space="preserve"> është i rëndësishëm për arsimin dhe aftësitë digjitale. Një draft i ri i Strategjisë Kombëtare për Arsimin 2021</w:t>
      </w:r>
      <w:r w:rsidR="005140DC" w:rsidRPr="00050FA4">
        <w:rPr>
          <w:lang w:val="sq-AL"/>
        </w:rPr>
        <w:t>–</w:t>
      </w:r>
      <w:r w:rsidRPr="00050FA4">
        <w:rPr>
          <w:lang w:val="sq-AL"/>
        </w:rPr>
        <w:t>2026 (NSE) është punuar nga Ministria e Arsimit, Sportit dhe Rinisë. Kjo strategji e re përfshin arsimin e lartë dhe arsimin parauniversitar. Digjitalizimi i arsimit dhe aftësive digjitale është pjesë e këtij dokumenti strategjik që u miratua gjatë vitit 2021.</w:t>
      </w:r>
    </w:p>
    <w:p w14:paraId="7C122E10" w14:textId="77777777" w:rsidR="00A86175" w:rsidRPr="00050FA4" w:rsidRDefault="00A86175" w:rsidP="003F1DA7">
      <w:pPr>
        <w:pStyle w:val="AAAAAAATEXXXX"/>
        <w:rPr>
          <w:lang w:val="sq-AL"/>
        </w:rPr>
      </w:pPr>
      <w:r w:rsidRPr="00050FA4">
        <w:rPr>
          <w:lang w:val="sq-AL"/>
        </w:rPr>
        <w:t>Pjesë e planit për të zbatuar këtë reformë gjatë viteve të ardhshme do të jenë:</w:t>
      </w:r>
    </w:p>
    <w:p w14:paraId="607E186B" w14:textId="181BC454" w:rsidR="00A86175" w:rsidRPr="00050FA4" w:rsidRDefault="00A86175" w:rsidP="003F1DA7">
      <w:pPr>
        <w:pStyle w:val="AAAAAAATEXXXX"/>
        <w:rPr>
          <w:lang w:val="sq-AL"/>
        </w:rPr>
      </w:pPr>
      <w:r w:rsidRPr="00050FA4">
        <w:rPr>
          <w:lang w:val="sq-AL"/>
        </w:rPr>
        <w:t xml:space="preserve">Ngritja e zyrave rajonale/kombëtare kompetente për </w:t>
      </w:r>
      <w:r w:rsidRPr="00050FA4">
        <w:rPr>
          <w:i/>
          <w:lang w:val="sq-AL"/>
        </w:rPr>
        <w:t>broadband</w:t>
      </w:r>
      <w:r w:rsidRPr="00050FA4">
        <w:rPr>
          <w:lang w:val="sq-AL"/>
        </w:rPr>
        <w:t>-in. Kapacitetet institucionale në të gjithë ministrinë dhe institucionet e tjera</w:t>
      </w:r>
      <w:r w:rsidR="005140DC" w:rsidRPr="00050FA4">
        <w:rPr>
          <w:lang w:val="sq-AL"/>
        </w:rPr>
        <w:t>,</w:t>
      </w:r>
      <w:r w:rsidRPr="00050FA4">
        <w:rPr>
          <w:lang w:val="sq-AL"/>
        </w:rPr>
        <w:t xml:space="preserve"> si bashkitë</w:t>
      </w:r>
      <w:r w:rsidR="005140DC" w:rsidRPr="00050FA4">
        <w:rPr>
          <w:lang w:val="sq-AL"/>
        </w:rPr>
        <w:t>,</w:t>
      </w:r>
      <w:r w:rsidRPr="00050FA4">
        <w:rPr>
          <w:lang w:val="sq-AL"/>
        </w:rPr>
        <w:t xml:space="preserve"> duhet të rriten dhe në përputhje me iniciativat plotësuese të BE-së për të ndihmuar në arritjen e objektivave të shoqërisë Gigabit të BE-së, duhet të krijohen </w:t>
      </w:r>
      <w:r w:rsidR="005140DC" w:rsidRPr="00050FA4">
        <w:rPr>
          <w:lang w:val="sq-AL"/>
        </w:rPr>
        <w:t xml:space="preserve">zyrat kompetente </w:t>
      </w:r>
      <w:r w:rsidR="005140DC" w:rsidRPr="00050FA4">
        <w:rPr>
          <w:i/>
          <w:lang w:val="sq-AL"/>
        </w:rPr>
        <w:t>broadband</w:t>
      </w:r>
      <w:r w:rsidRPr="00050FA4">
        <w:rPr>
          <w:lang w:val="sq-AL"/>
        </w:rPr>
        <w:t>, që të shërbejnë si një pikë e vetme kontakti në Shqipëri në nivel kombëtar dhe lokal.</w:t>
      </w:r>
    </w:p>
    <w:p w14:paraId="607B9D68" w14:textId="54382D84" w:rsidR="00A86175" w:rsidRPr="00050FA4" w:rsidRDefault="00A86175" w:rsidP="003F1DA7">
      <w:pPr>
        <w:pStyle w:val="AAAAAAATEXXXX"/>
        <w:rPr>
          <w:lang w:val="sq-AL"/>
        </w:rPr>
      </w:pPr>
      <w:r w:rsidRPr="00050FA4">
        <w:rPr>
          <w:lang w:val="sq-AL"/>
        </w:rPr>
        <w:t xml:space="preserve">Fillimi i projekteve pilot për zhvillimin e infrastrukturës </w:t>
      </w:r>
      <w:r w:rsidRPr="00050FA4">
        <w:rPr>
          <w:i/>
          <w:lang w:val="sq-AL"/>
        </w:rPr>
        <w:t>broadband</w:t>
      </w:r>
      <w:r w:rsidRPr="00050FA4">
        <w:rPr>
          <w:lang w:val="sq-AL"/>
        </w:rPr>
        <w:t xml:space="preserve"> në zonat rurale dhe të largëta; Projektet do të mbështesin Shqipërinë në zhvillimin infrastrukturës </w:t>
      </w:r>
      <w:r w:rsidRPr="00050FA4">
        <w:rPr>
          <w:i/>
          <w:lang w:val="sq-AL"/>
        </w:rPr>
        <w:t>broadband</w:t>
      </w:r>
      <w:r w:rsidRPr="00050FA4">
        <w:rPr>
          <w:lang w:val="sq-AL"/>
        </w:rPr>
        <w:t xml:space="preserve"> në zonat rurale, duke përgatitur </w:t>
      </w:r>
      <w:r w:rsidR="005140DC" w:rsidRPr="00050FA4">
        <w:rPr>
          <w:lang w:val="sq-AL"/>
        </w:rPr>
        <w:t xml:space="preserve">projektin e detajuar </w:t>
      </w:r>
      <w:r w:rsidRPr="00050FA4">
        <w:rPr>
          <w:lang w:val="sq-AL"/>
        </w:rPr>
        <w:t xml:space="preserve">për projektin e zhvillimit </w:t>
      </w:r>
      <w:r w:rsidRPr="00050FA4">
        <w:rPr>
          <w:i/>
          <w:lang w:val="sq-AL"/>
        </w:rPr>
        <w:t>broadband</w:t>
      </w:r>
      <w:r w:rsidRPr="00050FA4">
        <w:rPr>
          <w:lang w:val="sq-AL"/>
        </w:rPr>
        <w:t xml:space="preserve"> në zonat rurale dhe të largëta. Studimi do t</w:t>
      </w:r>
      <w:r w:rsidR="00E67ECA" w:rsidRPr="00050FA4">
        <w:rPr>
          <w:lang w:val="sq-AL"/>
        </w:rPr>
        <w:t>’</w:t>
      </w:r>
      <w:r w:rsidRPr="00050FA4">
        <w:rPr>
          <w:lang w:val="sq-AL"/>
        </w:rPr>
        <w:t xml:space="preserve">i sigurojë përfituesit një vlerësim të detajuar të skenarit të vendosjes së </w:t>
      </w:r>
      <w:r w:rsidRPr="00050FA4">
        <w:rPr>
          <w:i/>
          <w:lang w:val="sq-AL"/>
        </w:rPr>
        <w:t>broadband</w:t>
      </w:r>
      <w:r w:rsidRPr="00050FA4">
        <w:rPr>
          <w:lang w:val="sq-AL"/>
        </w:rPr>
        <w:t xml:space="preserve"> dhe veçanërisht për kapërcimin e hendeqeve digjitale të identifikuara.</w:t>
      </w:r>
    </w:p>
    <w:p w14:paraId="01528523" w14:textId="77777777" w:rsidR="00A86175" w:rsidRPr="00050FA4" w:rsidRDefault="00A86175" w:rsidP="003F1DA7">
      <w:pPr>
        <w:pStyle w:val="AAAAAAATEXXXX"/>
        <w:rPr>
          <w:i/>
          <w:color w:val="0D0D0D" w:themeColor="text1" w:themeTint="F2"/>
          <w:lang w:val="sq-AL"/>
        </w:rPr>
      </w:pPr>
      <w:r w:rsidRPr="00050FA4">
        <w:rPr>
          <w:color w:val="0D0D0D" w:themeColor="text1" w:themeTint="F2"/>
          <w:lang w:val="sq-AL"/>
        </w:rPr>
        <w:t xml:space="preserve">Krijimi i sinergjive me projekte shërbimesh: ndjekja e rekomandimeve të studimit </w:t>
      </w:r>
      <w:r w:rsidRPr="00050FA4">
        <w:rPr>
          <w:i/>
          <w:color w:val="0D0D0D" w:themeColor="text1" w:themeTint="F2"/>
          <w:lang w:val="sq-AL"/>
        </w:rPr>
        <w:t>Ballkan Digital Highway.</w:t>
      </w:r>
    </w:p>
    <w:p w14:paraId="24C92D3A" w14:textId="425BEF61" w:rsidR="00A86175" w:rsidRPr="00050FA4" w:rsidRDefault="00A86175" w:rsidP="003F1DA7">
      <w:pPr>
        <w:pStyle w:val="AAAAAAATEXXXX"/>
        <w:rPr>
          <w:rFonts w:cstheme="majorBidi"/>
          <w:color w:val="0D0D0D" w:themeColor="text1" w:themeTint="F2"/>
          <w:lang w:val="sq-AL"/>
        </w:rPr>
      </w:pPr>
      <w:r w:rsidRPr="00050FA4">
        <w:rPr>
          <w:color w:val="0D0D0D" w:themeColor="text1" w:themeTint="F2"/>
          <w:lang w:val="sq-AL"/>
        </w:rPr>
        <w:t xml:space="preserve">Inkurajimi i sinergjisë në projektet e shërbimeve si energjia, uji, gazi, transporti, do të jetë gjithashtu një mundësi për të ulur kostot për zhvillimin e infrastrukturës </w:t>
      </w:r>
      <w:r w:rsidR="00967D30" w:rsidRPr="00050FA4">
        <w:rPr>
          <w:i/>
          <w:color w:val="0D0D0D" w:themeColor="text1" w:themeTint="F2"/>
          <w:lang w:val="sq-AL"/>
        </w:rPr>
        <w:t>broadband</w:t>
      </w:r>
      <w:r w:rsidRPr="00050FA4">
        <w:rPr>
          <w:color w:val="0D0D0D" w:themeColor="text1" w:themeTint="F2"/>
          <w:lang w:val="sq-AL"/>
        </w:rPr>
        <w:t>.</w:t>
      </w:r>
    </w:p>
    <w:p w14:paraId="5CEED468" w14:textId="379DF824" w:rsidR="00263B19" w:rsidRPr="00050FA4" w:rsidRDefault="009E5AC9" w:rsidP="003F1DA7">
      <w:pPr>
        <w:pStyle w:val="AAAAAAATEXXXX"/>
        <w:rPr>
          <w:b/>
          <w:lang w:val="sq-AL"/>
        </w:rPr>
      </w:pPr>
      <w:r w:rsidRPr="00050FA4">
        <w:rPr>
          <w:b/>
          <w:lang w:val="sq-AL"/>
        </w:rPr>
        <w:t>a</w:t>
      </w:r>
      <w:r w:rsidR="00A6213E" w:rsidRPr="00050FA4">
        <w:rPr>
          <w:b/>
          <w:lang w:val="sq-AL"/>
        </w:rPr>
        <w:t>)</w:t>
      </w:r>
      <w:r w:rsidRPr="00050FA4">
        <w:rPr>
          <w:b/>
          <w:lang w:val="sq-AL"/>
        </w:rPr>
        <w:t xml:space="preserve"> </w:t>
      </w:r>
      <w:r w:rsidR="00B2062A" w:rsidRPr="00050FA4">
        <w:rPr>
          <w:b/>
          <w:lang w:val="sq-AL"/>
        </w:rPr>
        <w:t xml:space="preserve">Aktivitete të planifikuara </w:t>
      </w:r>
      <w:r w:rsidR="005140DC" w:rsidRPr="00050FA4">
        <w:rPr>
          <w:b/>
          <w:lang w:val="sq-AL"/>
        </w:rPr>
        <w:t>m</w:t>
      </w:r>
      <w:r w:rsidR="00B2062A" w:rsidRPr="00050FA4">
        <w:rPr>
          <w:b/>
          <w:lang w:val="sq-AL"/>
        </w:rPr>
        <w:t>ë</w:t>
      </w:r>
      <w:r w:rsidR="00263B19" w:rsidRPr="00050FA4">
        <w:rPr>
          <w:b/>
          <w:lang w:val="sq-AL"/>
        </w:rPr>
        <w:t xml:space="preserve"> 2022</w:t>
      </w:r>
      <w:r w:rsidR="005140DC" w:rsidRPr="00050FA4">
        <w:rPr>
          <w:b/>
          <w:lang w:val="sq-AL"/>
        </w:rPr>
        <w:t>-shin</w:t>
      </w:r>
    </w:p>
    <w:p w14:paraId="063592A0" w14:textId="424551F9" w:rsidR="00A86175" w:rsidRPr="00050FA4" w:rsidRDefault="009E5AC9" w:rsidP="003F1DA7">
      <w:pPr>
        <w:pStyle w:val="AAAAAAATEXXXX"/>
        <w:rPr>
          <w:bCs/>
          <w:lang w:val="sq-AL"/>
        </w:rPr>
      </w:pPr>
      <w:r w:rsidRPr="00050FA4">
        <w:rPr>
          <w:rFonts w:eastAsia="MS Mincho"/>
          <w:lang w:val="sq-AL"/>
        </w:rPr>
        <w:t>a</w:t>
      </w:r>
      <w:r w:rsidR="00A6213E" w:rsidRPr="00050FA4">
        <w:rPr>
          <w:rFonts w:eastAsia="MS Mincho"/>
          <w:lang w:val="sq-AL"/>
        </w:rPr>
        <w:t>)</w:t>
      </w:r>
      <w:r w:rsidRPr="00050FA4">
        <w:rPr>
          <w:rFonts w:eastAsia="MS Mincho"/>
          <w:lang w:val="sq-AL"/>
        </w:rPr>
        <w:t xml:space="preserve"> </w:t>
      </w:r>
      <w:r w:rsidR="00A86175" w:rsidRPr="00050FA4">
        <w:rPr>
          <w:rFonts w:eastAsia="MS Mincho"/>
          <w:lang w:val="sq-AL"/>
        </w:rPr>
        <w:t xml:space="preserve">Ngritja e zyrave rajonale/kombëtare kompetente për </w:t>
      </w:r>
      <w:r w:rsidR="00A86175" w:rsidRPr="00050FA4">
        <w:rPr>
          <w:rFonts w:eastAsia="MS Mincho"/>
          <w:i/>
          <w:lang w:val="sq-AL"/>
        </w:rPr>
        <w:t>broadband</w:t>
      </w:r>
      <w:r w:rsidR="00A86175" w:rsidRPr="00050FA4">
        <w:rPr>
          <w:rFonts w:eastAsia="MS Mincho"/>
          <w:lang w:val="sq-AL"/>
        </w:rPr>
        <w:t>-in (MIE)</w:t>
      </w:r>
      <w:r w:rsidR="005140DC" w:rsidRPr="00050FA4">
        <w:rPr>
          <w:rFonts w:eastAsia="MS Mincho"/>
          <w:lang w:val="sq-AL"/>
        </w:rPr>
        <w:t>;</w:t>
      </w:r>
    </w:p>
    <w:p w14:paraId="5C2E8D8C" w14:textId="78668F93" w:rsidR="00A86175" w:rsidRPr="00050FA4" w:rsidRDefault="009E5AC9" w:rsidP="003F1DA7">
      <w:pPr>
        <w:pStyle w:val="AAAAAAATEXXXX"/>
        <w:rPr>
          <w:bCs/>
          <w:lang w:val="sq-AL"/>
        </w:rPr>
      </w:pPr>
      <w:r w:rsidRPr="00050FA4">
        <w:rPr>
          <w:rFonts w:eastAsia="MS Mincho"/>
          <w:lang w:val="sq-AL"/>
        </w:rPr>
        <w:t>b</w:t>
      </w:r>
      <w:r w:rsidR="00A6213E" w:rsidRPr="00050FA4">
        <w:rPr>
          <w:rFonts w:eastAsia="MS Mincho"/>
          <w:lang w:val="sq-AL"/>
        </w:rPr>
        <w:t>)</w:t>
      </w:r>
      <w:r w:rsidRPr="00050FA4">
        <w:rPr>
          <w:rFonts w:eastAsia="MS Mincho"/>
          <w:lang w:val="sq-AL"/>
        </w:rPr>
        <w:t xml:space="preserve"> </w:t>
      </w:r>
      <w:r w:rsidR="00A86175" w:rsidRPr="00050FA4">
        <w:rPr>
          <w:rFonts w:eastAsia="MS Mincho"/>
          <w:lang w:val="sq-AL"/>
        </w:rPr>
        <w:t xml:space="preserve">Projekti i zhvillimit të Atlasit </w:t>
      </w:r>
      <w:r w:rsidR="00A86175" w:rsidRPr="00050FA4">
        <w:rPr>
          <w:rFonts w:eastAsia="MS Mincho"/>
          <w:i/>
          <w:lang w:val="sq-AL"/>
        </w:rPr>
        <w:t>Broadband</w:t>
      </w:r>
      <w:r w:rsidR="00A86175" w:rsidRPr="00050FA4">
        <w:rPr>
          <w:rFonts w:eastAsia="MS Mincho"/>
          <w:lang w:val="sq-AL"/>
        </w:rPr>
        <w:t xml:space="preserve"> (MIE, AKEP)</w:t>
      </w:r>
      <w:r w:rsidR="005140DC" w:rsidRPr="00050FA4">
        <w:rPr>
          <w:rFonts w:eastAsia="MS Mincho"/>
          <w:lang w:val="sq-AL"/>
        </w:rPr>
        <w:t>;</w:t>
      </w:r>
    </w:p>
    <w:p w14:paraId="12934C97" w14:textId="24F57C7C" w:rsidR="00A86175" w:rsidRPr="00050FA4" w:rsidRDefault="009E5AC9" w:rsidP="003F1DA7">
      <w:pPr>
        <w:pStyle w:val="AAAAAAATEXXXX"/>
        <w:rPr>
          <w:bCs/>
          <w:lang w:val="sq-AL"/>
        </w:rPr>
      </w:pPr>
      <w:r w:rsidRPr="00050FA4">
        <w:rPr>
          <w:rFonts w:eastAsia="MS Mincho"/>
          <w:lang w:val="sq-AL"/>
        </w:rPr>
        <w:t>c</w:t>
      </w:r>
      <w:r w:rsidR="00A6213E" w:rsidRPr="00050FA4">
        <w:rPr>
          <w:rFonts w:eastAsia="MS Mincho"/>
          <w:lang w:val="sq-AL"/>
        </w:rPr>
        <w:t>)</w:t>
      </w:r>
      <w:r w:rsidRPr="00050FA4">
        <w:rPr>
          <w:rFonts w:eastAsia="MS Mincho"/>
          <w:lang w:val="sq-AL"/>
        </w:rPr>
        <w:t xml:space="preserve"> </w:t>
      </w:r>
      <w:r w:rsidR="00A86175" w:rsidRPr="00050FA4">
        <w:rPr>
          <w:rFonts w:eastAsia="MS Mincho"/>
          <w:lang w:val="sq-AL"/>
        </w:rPr>
        <w:t xml:space="preserve">Në vazhdim - Projekti pilot për zhvillimin e infrastrukturës </w:t>
      </w:r>
      <w:r w:rsidR="00A86175" w:rsidRPr="00050FA4">
        <w:rPr>
          <w:rFonts w:eastAsia="MS Mincho"/>
          <w:i/>
          <w:lang w:val="sq-AL"/>
        </w:rPr>
        <w:t>broadband</w:t>
      </w:r>
      <w:r w:rsidR="00A86175" w:rsidRPr="00050FA4">
        <w:rPr>
          <w:rFonts w:eastAsia="MS Mincho"/>
          <w:lang w:val="sq-AL"/>
        </w:rPr>
        <w:t xml:space="preserve"> në </w:t>
      </w:r>
      <w:r w:rsidR="005140DC" w:rsidRPr="00050FA4">
        <w:rPr>
          <w:rFonts w:eastAsia="MS Mincho"/>
          <w:lang w:val="sq-AL"/>
        </w:rPr>
        <w:t xml:space="preserve">zonën </w:t>
      </w:r>
      <w:r w:rsidR="00A86175" w:rsidRPr="00050FA4">
        <w:rPr>
          <w:rFonts w:eastAsia="MS Mincho"/>
          <w:lang w:val="sq-AL"/>
        </w:rPr>
        <w:t xml:space="preserve">1 (rurale dhe të largëta/zonat turistike në </w:t>
      </w:r>
      <w:r w:rsidR="005140DC" w:rsidRPr="00050FA4">
        <w:rPr>
          <w:rFonts w:eastAsia="MS Mincho"/>
          <w:lang w:val="sq-AL"/>
        </w:rPr>
        <w:t xml:space="preserve">veri </w:t>
      </w:r>
      <w:r w:rsidR="00A86175" w:rsidRPr="00050FA4">
        <w:rPr>
          <w:rFonts w:eastAsia="MS Mincho"/>
          <w:lang w:val="sq-AL"/>
        </w:rPr>
        <w:t>të Shqipërisë (Shkodër, Kukës, Tropojë, Dibër) (MIE)</w:t>
      </w:r>
      <w:r w:rsidR="005140DC" w:rsidRPr="00050FA4">
        <w:rPr>
          <w:rFonts w:eastAsia="MS Mincho"/>
          <w:lang w:val="sq-AL"/>
        </w:rPr>
        <w:t>;</w:t>
      </w:r>
    </w:p>
    <w:p w14:paraId="0AFC02B2" w14:textId="63AF2EDE" w:rsidR="00A86175" w:rsidRPr="00050FA4" w:rsidRDefault="009E5AC9" w:rsidP="003F1DA7">
      <w:pPr>
        <w:pStyle w:val="AAAAAAATEXXXX"/>
        <w:rPr>
          <w:bCs/>
          <w:lang w:val="sq-AL"/>
        </w:rPr>
      </w:pPr>
      <w:r w:rsidRPr="00050FA4">
        <w:rPr>
          <w:rFonts w:eastAsia="MS Mincho"/>
          <w:lang w:val="sq-AL"/>
        </w:rPr>
        <w:t>d</w:t>
      </w:r>
      <w:r w:rsidR="00A6213E" w:rsidRPr="00050FA4">
        <w:rPr>
          <w:rFonts w:eastAsia="MS Mincho"/>
          <w:lang w:val="sq-AL"/>
        </w:rPr>
        <w:t xml:space="preserve">) </w:t>
      </w:r>
      <w:r w:rsidR="00A86175" w:rsidRPr="00050FA4">
        <w:rPr>
          <w:rFonts w:eastAsia="MS Mincho"/>
          <w:lang w:val="sq-AL"/>
        </w:rPr>
        <w:t xml:space="preserve">Në vazhdim </w:t>
      </w:r>
      <w:r w:rsidR="005140DC" w:rsidRPr="00050FA4">
        <w:rPr>
          <w:rFonts w:eastAsia="MS Mincho"/>
          <w:lang w:val="sq-AL"/>
        </w:rPr>
        <w:t>–</w:t>
      </w:r>
      <w:r w:rsidR="00A86175" w:rsidRPr="00050FA4">
        <w:rPr>
          <w:rFonts w:eastAsia="MS Mincho"/>
          <w:lang w:val="sq-AL"/>
        </w:rPr>
        <w:t xml:space="preserve"> Zhvillimi i infrastrukturës </w:t>
      </w:r>
      <w:r w:rsidR="00A86175" w:rsidRPr="00050FA4">
        <w:rPr>
          <w:rFonts w:eastAsia="MS Mincho"/>
          <w:i/>
          <w:lang w:val="sq-AL"/>
        </w:rPr>
        <w:t>broadband</w:t>
      </w:r>
      <w:r w:rsidR="00A86175" w:rsidRPr="00050FA4">
        <w:rPr>
          <w:rFonts w:eastAsia="MS Mincho"/>
          <w:lang w:val="sq-AL"/>
        </w:rPr>
        <w:t xml:space="preserve"> në jug të vendit (zhvillimi </w:t>
      </w:r>
      <w:r w:rsidR="00A86175" w:rsidRPr="00050FA4">
        <w:rPr>
          <w:rFonts w:eastAsia="MS Mincho"/>
          <w:i/>
          <w:lang w:val="sq-AL"/>
        </w:rPr>
        <w:t>broadband</w:t>
      </w:r>
      <w:r w:rsidR="00A86175" w:rsidRPr="00050FA4">
        <w:rPr>
          <w:rFonts w:eastAsia="MS Mincho"/>
          <w:lang w:val="sq-AL"/>
        </w:rPr>
        <w:t xml:space="preserve"> në zonat e bardha në Vlorë, Gjirokastër, Fier, Berat, Korçë) (MIE)</w:t>
      </w:r>
      <w:r w:rsidR="005140DC" w:rsidRPr="00050FA4">
        <w:rPr>
          <w:rFonts w:eastAsia="MS Mincho"/>
          <w:lang w:val="sq-AL"/>
        </w:rPr>
        <w:t>;</w:t>
      </w:r>
    </w:p>
    <w:p w14:paraId="09BF71AC" w14:textId="52A5E81E" w:rsidR="00A86175" w:rsidRPr="00050FA4" w:rsidRDefault="009E5AC9" w:rsidP="003F1DA7">
      <w:pPr>
        <w:pStyle w:val="AAAAAAATEXXXX"/>
        <w:rPr>
          <w:bCs/>
          <w:lang w:val="sq-AL"/>
        </w:rPr>
      </w:pPr>
      <w:r w:rsidRPr="00050FA4">
        <w:rPr>
          <w:rFonts w:eastAsia="MS Mincho"/>
          <w:lang w:val="sq-AL"/>
        </w:rPr>
        <w:t>e</w:t>
      </w:r>
      <w:r w:rsidR="00A6213E" w:rsidRPr="00050FA4">
        <w:rPr>
          <w:rFonts w:eastAsia="MS Mincho"/>
          <w:lang w:val="sq-AL"/>
        </w:rPr>
        <w:t>)</w:t>
      </w:r>
      <w:r w:rsidRPr="00050FA4">
        <w:rPr>
          <w:rFonts w:eastAsia="MS Mincho"/>
          <w:lang w:val="sq-AL"/>
        </w:rPr>
        <w:t xml:space="preserve"> </w:t>
      </w:r>
      <w:r w:rsidR="00A86175" w:rsidRPr="00050FA4">
        <w:rPr>
          <w:rFonts w:eastAsia="MS Mincho"/>
          <w:lang w:val="sq-AL"/>
        </w:rPr>
        <w:t>Investime në zonat e bardha (MIE)</w:t>
      </w:r>
      <w:r w:rsidR="005140DC" w:rsidRPr="00050FA4">
        <w:rPr>
          <w:rFonts w:eastAsia="MS Mincho"/>
          <w:lang w:val="sq-AL"/>
        </w:rPr>
        <w:t>.</w:t>
      </w:r>
    </w:p>
    <w:p w14:paraId="237FA67D" w14:textId="608D1F2A" w:rsidR="00263B19" w:rsidRPr="00050FA4" w:rsidRDefault="009E5AC9" w:rsidP="003F1DA7">
      <w:pPr>
        <w:pStyle w:val="AAAAAAATEXXXX"/>
        <w:rPr>
          <w:b/>
          <w:lang w:val="sq-AL"/>
        </w:rPr>
      </w:pPr>
      <w:r w:rsidRPr="00050FA4">
        <w:rPr>
          <w:b/>
          <w:lang w:val="sq-AL"/>
        </w:rPr>
        <w:t>b</w:t>
      </w:r>
      <w:r w:rsidR="00A6213E" w:rsidRPr="00050FA4">
        <w:rPr>
          <w:b/>
          <w:lang w:val="sq-AL"/>
        </w:rPr>
        <w:t>)</w:t>
      </w:r>
      <w:r w:rsidRPr="00050FA4">
        <w:rPr>
          <w:b/>
          <w:lang w:val="sq-AL"/>
        </w:rPr>
        <w:t xml:space="preserve"> </w:t>
      </w:r>
      <w:r w:rsidR="00B2062A" w:rsidRPr="00050FA4">
        <w:rPr>
          <w:b/>
          <w:lang w:val="sq-AL"/>
        </w:rPr>
        <w:t xml:space="preserve">Aktivitete të planifikuara </w:t>
      </w:r>
      <w:r w:rsidR="005140DC" w:rsidRPr="00050FA4">
        <w:rPr>
          <w:b/>
          <w:lang w:val="sq-AL"/>
        </w:rPr>
        <w:t>m</w:t>
      </w:r>
      <w:r w:rsidR="00B2062A" w:rsidRPr="00050FA4">
        <w:rPr>
          <w:b/>
          <w:lang w:val="sq-AL"/>
        </w:rPr>
        <w:t>ë</w:t>
      </w:r>
      <w:r w:rsidR="00263B19" w:rsidRPr="00050FA4">
        <w:rPr>
          <w:b/>
          <w:lang w:val="sq-AL"/>
        </w:rPr>
        <w:t xml:space="preserve"> 2023</w:t>
      </w:r>
      <w:r w:rsidR="005140DC" w:rsidRPr="00050FA4">
        <w:rPr>
          <w:b/>
          <w:lang w:val="sq-AL"/>
        </w:rPr>
        <w:t>-shin</w:t>
      </w:r>
    </w:p>
    <w:p w14:paraId="4CD2FB8C" w14:textId="20F17E94" w:rsidR="00A86175" w:rsidRPr="00050FA4" w:rsidRDefault="009E5AC9" w:rsidP="003F1DA7">
      <w:pPr>
        <w:pStyle w:val="AAAAAAATEXXXX"/>
        <w:rPr>
          <w:rFonts w:eastAsia="MS Mincho"/>
          <w:lang w:val="sq-AL"/>
        </w:rPr>
      </w:pPr>
      <w:r w:rsidRPr="00050FA4">
        <w:rPr>
          <w:rFonts w:eastAsia="MS Mincho"/>
          <w:lang w:val="sq-AL"/>
        </w:rPr>
        <w:t>a</w:t>
      </w:r>
      <w:r w:rsidR="00A6213E" w:rsidRPr="00050FA4">
        <w:rPr>
          <w:rFonts w:eastAsia="MS Mincho"/>
          <w:lang w:val="sq-AL"/>
        </w:rPr>
        <w:t>)</w:t>
      </w:r>
      <w:r w:rsidRPr="00050FA4">
        <w:rPr>
          <w:rFonts w:eastAsia="MS Mincho"/>
          <w:lang w:val="sq-AL"/>
        </w:rPr>
        <w:t xml:space="preserve"> </w:t>
      </w:r>
      <w:r w:rsidR="00A86175" w:rsidRPr="00050FA4">
        <w:rPr>
          <w:rFonts w:eastAsia="MS Mincho"/>
          <w:lang w:val="sq-AL"/>
        </w:rPr>
        <w:t>Investime në zonat e bardha (MIE)</w:t>
      </w:r>
      <w:r w:rsidR="005140DC" w:rsidRPr="00050FA4">
        <w:rPr>
          <w:rFonts w:eastAsia="MS Mincho"/>
          <w:lang w:val="sq-AL"/>
        </w:rPr>
        <w:t>;</w:t>
      </w:r>
    </w:p>
    <w:p w14:paraId="57A3DD0C" w14:textId="6B91B1F4" w:rsidR="00A86175" w:rsidRPr="00050FA4" w:rsidRDefault="009E5AC9" w:rsidP="003F1DA7">
      <w:pPr>
        <w:pStyle w:val="AAAAAAATEXXXX"/>
        <w:rPr>
          <w:bCs/>
          <w:lang w:val="sq-AL"/>
        </w:rPr>
      </w:pPr>
      <w:r w:rsidRPr="00050FA4">
        <w:rPr>
          <w:lang w:val="sq-AL"/>
        </w:rPr>
        <w:t>b</w:t>
      </w:r>
      <w:r w:rsidR="00A6213E" w:rsidRPr="00050FA4">
        <w:rPr>
          <w:lang w:val="sq-AL"/>
        </w:rPr>
        <w:t>)</w:t>
      </w:r>
      <w:r w:rsidRPr="00050FA4">
        <w:rPr>
          <w:lang w:val="sq-AL"/>
        </w:rPr>
        <w:t xml:space="preserve"> </w:t>
      </w:r>
      <w:r w:rsidR="00A86175" w:rsidRPr="00050FA4">
        <w:rPr>
          <w:lang w:val="sq-AL"/>
        </w:rPr>
        <w:t xml:space="preserve">Rritja, fuqizimi i kapaciteteve për të nxitur transformimin digjital dhe zhvillimin e infrastrukturës </w:t>
      </w:r>
      <w:r w:rsidR="00A86175" w:rsidRPr="00050FA4">
        <w:rPr>
          <w:i/>
          <w:lang w:val="sq-AL"/>
        </w:rPr>
        <w:t>broadband</w:t>
      </w:r>
      <w:r w:rsidR="00A86175" w:rsidRPr="00050FA4">
        <w:rPr>
          <w:lang w:val="sq-AL"/>
        </w:rPr>
        <w:t xml:space="preserve"> (Institucioni zbatues: MIE institucione të tjera të lidhura)</w:t>
      </w:r>
      <w:r w:rsidR="005140DC" w:rsidRPr="00050FA4">
        <w:rPr>
          <w:lang w:val="sq-AL"/>
        </w:rPr>
        <w:t>;</w:t>
      </w:r>
    </w:p>
    <w:p w14:paraId="16FA1F09" w14:textId="175CEAC2" w:rsidR="00263B19" w:rsidRPr="00050FA4" w:rsidRDefault="009E5AC9" w:rsidP="003F1DA7">
      <w:pPr>
        <w:pStyle w:val="AAAAAAATEXXXX"/>
        <w:rPr>
          <w:b/>
          <w:lang w:val="sq-AL"/>
        </w:rPr>
      </w:pPr>
      <w:r w:rsidRPr="00050FA4">
        <w:rPr>
          <w:b/>
          <w:lang w:val="sq-AL"/>
        </w:rPr>
        <w:t>c</w:t>
      </w:r>
      <w:r w:rsidR="00A6213E" w:rsidRPr="00050FA4">
        <w:rPr>
          <w:b/>
          <w:lang w:val="sq-AL"/>
        </w:rPr>
        <w:t>)</w:t>
      </w:r>
      <w:r w:rsidRPr="00050FA4">
        <w:rPr>
          <w:b/>
          <w:lang w:val="sq-AL"/>
        </w:rPr>
        <w:t xml:space="preserve"> </w:t>
      </w:r>
      <w:r w:rsidR="00B2062A" w:rsidRPr="00050FA4">
        <w:rPr>
          <w:b/>
          <w:lang w:val="sq-AL"/>
        </w:rPr>
        <w:t xml:space="preserve">Aktivitete të planifikuara </w:t>
      </w:r>
      <w:r w:rsidR="005140DC" w:rsidRPr="00050FA4">
        <w:rPr>
          <w:b/>
          <w:lang w:val="sq-AL"/>
        </w:rPr>
        <w:t>m</w:t>
      </w:r>
      <w:r w:rsidR="00B2062A" w:rsidRPr="00050FA4">
        <w:rPr>
          <w:b/>
          <w:lang w:val="sq-AL"/>
        </w:rPr>
        <w:t>ë</w:t>
      </w:r>
      <w:r w:rsidR="00263B19" w:rsidRPr="00050FA4">
        <w:rPr>
          <w:b/>
          <w:lang w:val="sq-AL"/>
        </w:rPr>
        <w:t xml:space="preserve"> 2024</w:t>
      </w:r>
      <w:r w:rsidR="005140DC" w:rsidRPr="00050FA4">
        <w:rPr>
          <w:b/>
          <w:lang w:val="sq-AL"/>
        </w:rPr>
        <w:t>-ën</w:t>
      </w:r>
    </w:p>
    <w:p w14:paraId="14855FA2" w14:textId="62A6E266" w:rsidR="00263B19" w:rsidRPr="00050FA4" w:rsidRDefault="009E5AC9" w:rsidP="003F1DA7">
      <w:pPr>
        <w:pStyle w:val="AAAAAAATEXXXX"/>
        <w:rPr>
          <w:lang w:val="sq-AL"/>
        </w:rPr>
      </w:pPr>
      <w:r w:rsidRPr="00050FA4">
        <w:rPr>
          <w:lang w:val="sq-AL"/>
        </w:rPr>
        <w:t>a</w:t>
      </w:r>
      <w:r w:rsidR="00A6213E" w:rsidRPr="00050FA4">
        <w:rPr>
          <w:lang w:val="sq-AL"/>
        </w:rPr>
        <w:t>)</w:t>
      </w:r>
      <w:r w:rsidRPr="00050FA4">
        <w:rPr>
          <w:lang w:val="sq-AL"/>
        </w:rPr>
        <w:t xml:space="preserve"> </w:t>
      </w:r>
      <w:r w:rsidR="00A86175" w:rsidRPr="00050FA4">
        <w:rPr>
          <w:lang w:val="sq-AL"/>
        </w:rPr>
        <w:t>Investime në zonat e bardha (MIE)</w:t>
      </w:r>
      <w:r w:rsidR="005140DC" w:rsidRPr="00050FA4">
        <w:rPr>
          <w:lang w:val="sq-AL"/>
        </w:rPr>
        <w:t>.</w:t>
      </w:r>
    </w:p>
    <w:p w14:paraId="6B30DDA8" w14:textId="0A9D9CDB" w:rsidR="00263B19" w:rsidRPr="00050FA4" w:rsidRDefault="009E5AC9" w:rsidP="003F1DA7">
      <w:pPr>
        <w:pStyle w:val="AAAAAAATEXXXX"/>
        <w:rPr>
          <w:lang w:val="sq-AL"/>
        </w:rPr>
      </w:pPr>
      <w:r w:rsidRPr="00050FA4">
        <w:rPr>
          <w:lang w:val="sq-AL"/>
        </w:rPr>
        <w:lastRenderedPageBreak/>
        <w:t xml:space="preserve">2. </w:t>
      </w:r>
      <w:r w:rsidR="00B2062A" w:rsidRPr="00050FA4">
        <w:rPr>
          <w:lang w:val="sq-AL"/>
        </w:rPr>
        <w:t>Treguesit e rezultateve</w:t>
      </w:r>
    </w:p>
    <w:p w14:paraId="37485FA9" w14:textId="77777777" w:rsidR="005140DC" w:rsidRPr="00050FA4" w:rsidRDefault="005140DC" w:rsidP="003F1DA7">
      <w:pPr>
        <w:pStyle w:val="AAAAAAATEXXXX"/>
        <w:rPr>
          <w:lang w:val="sq-AL"/>
        </w:rPr>
      </w:pPr>
    </w:p>
    <w:tbl>
      <w:tblPr>
        <w:tblStyle w:val="TableGrid"/>
        <w:tblW w:w="0" w:type="auto"/>
        <w:jc w:val="center"/>
        <w:tblLook w:val="04A0" w:firstRow="1" w:lastRow="0" w:firstColumn="1" w:lastColumn="0" w:noHBand="0" w:noVBand="1"/>
      </w:tblPr>
      <w:tblGrid>
        <w:gridCol w:w="5597"/>
        <w:gridCol w:w="1103"/>
        <w:gridCol w:w="1763"/>
        <w:gridCol w:w="1255"/>
      </w:tblGrid>
      <w:tr w:rsidR="00FA29AB" w:rsidRPr="00050FA4" w14:paraId="5D150E94" w14:textId="77777777" w:rsidTr="00A6213E">
        <w:trPr>
          <w:trHeight w:val="260"/>
          <w:jc w:val="center"/>
        </w:trPr>
        <w:tc>
          <w:tcPr>
            <w:tcW w:w="0" w:type="auto"/>
            <w:vAlign w:val="center"/>
          </w:tcPr>
          <w:p w14:paraId="7C464CD7" w14:textId="45FFC3BA" w:rsidR="00ED2F09" w:rsidRPr="00050FA4" w:rsidRDefault="00B2062A" w:rsidP="00A6213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0" w:type="auto"/>
            <w:vAlign w:val="center"/>
          </w:tcPr>
          <w:p w14:paraId="2FFECA7E" w14:textId="0B2C18DD" w:rsidR="00ED2F09" w:rsidRPr="00050FA4" w:rsidRDefault="00B2062A" w:rsidP="00A6213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Bazë</w:t>
            </w:r>
            <w:r w:rsidR="00ED2F09" w:rsidRPr="00050FA4">
              <w:rPr>
                <w:rFonts w:ascii="Garamond" w:hAnsi="Garamond" w:cstheme="majorBidi"/>
                <w:b/>
                <w:color w:val="0D0D0D" w:themeColor="text1" w:themeTint="F2"/>
                <w:sz w:val="18"/>
                <w:szCs w:val="18"/>
              </w:rPr>
              <w:t xml:space="preserve"> (2020)</w:t>
            </w:r>
          </w:p>
        </w:tc>
        <w:tc>
          <w:tcPr>
            <w:tcW w:w="0" w:type="auto"/>
            <w:vAlign w:val="center"/>
          </w:tcPr>
          <w:p w14:paraId="5CAB1D50" w14:textId="6CF9864E" w:rsidR="00ED2F09" w:rsidRPr="00050FA4" w:rsidRDefault="00B2062A" w:rsidP="00A6213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I ndërmjetëm</w:t>
            </w:r>
            <w:r w:rsidR="00ED2F09" w:rsidRPr="00050FA4">
              <w:rPr>
                <w:rFonts w:ascii="Garamond" w:hAnsi="Garamond" w:cstheme="majorBidi"/>
                <w:b/>
                <w:color w:val="0D0D0D" w:themeColor="text1" w:themeTint="F2"/>
                <w:sz w:val="18"/>
                <w:szCs w:val="18"/>
              </w:rPr>
              <w:t xml:space="preserve"> (2023)</w:t>
            </w:r>
          </w:p>
        </w:tc>
        <w:tc>
          <w:tcPr>
            <w:tcW w:w="0" w:type="auto"/>
            <w:vAlign w:val="center"/>
          </w:tcPr>
          <w:p w14:paraId="2B90623A" w14:textId="7E4389F9" w:rsidR="00ED2F09" w:rsidRPr="00050FA4" w:rsidRDefault="00B2062A" w:rsidP="00A6213E">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w:t>
            </w:r>
            <w:r w:rsidR="00ED2F09" w:rsidRPr="00050FA4">
              <w:rPr>
                <w:rFonts w:ascii="Garamond" w:hAnsi="Garamond" w:cstheme="majorBidi"/>
                <w:b/>
                <w:color w:val="0D0D0D" w:themeColor="text1" w:themeTint="F2"/>
                <w:sz w:val="18"/>
                <w:szCs w:val="18"/>
              </w:rPr>
              <w:t xml:space="preserve"> (2025)</w:t>
            </w:r>
          </w:p>
        </w:tc>
      </w:tr>
      <w:tr w:rsidR="00FA29AB" w:rsidRPr="00050FA4" w14:paraId="095E5A99" w14:textId="77777777" w:rsidTr="00A6213E">
        <w:trPr>
          <w:jc w:val="center"/>
        </w:trPr>
        <w:tc>
          <w:tcPr>
            <w:tcW w:w="0" w:type="auto"/>
            <w:shd w:val="clear" w:color="auto" w:fill="auto"/>
          </w:tcPr>
          <w:p w14:paraId="0BDD36DC" w14:textId="1C2A0A8B" w:rsidR="00A86175" w:rsidRPr="00050FA4" w:rsidRDefault="00A861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Rritje e penetrimit të </w:t>
            </w:r>
            <w:r w:rsidRPr="00050FA4">
              <w:rPr>
                <w:rFonts w:ascii="Garamond" w:hAnsi="Garamond"/>
                <w:i/>
                <w:color w:val="0D0D0D" w:themeColor="text1" w:themeTint="F2"/>
                <w:sz w:val="18"/>
                <w:szCs w:val="18"/>
              </w:rPr>
              <w:t>broadband</w:t>
            </w:r>
            <w:r w:rsidR="005D3CA0" w:rsidRPr="00050FA4">
              <w:rPr>
                <w:rFonts w:ascii="Garamond" w:hAnsi="Garamond"/>
                <w:color w:val="0D0D0D" w:themeColor="text1" w:themeTint="F2"/>
                <w:sz w:val="18"/>
                <w:szCs w:val="18"/>
              </w:rPr>
              <w:t>-</w:t>
            </w:r>
            <w:r w:rsidRPr="00050FA4">
              <w:rPr>
                <w:rFonts w:ascii="Garamond" w:hAnsi="Garamond"/>
                <w:color w:val="0D0D0D" w:themeColor="text1" w:themeTint="F2"/>
                <w:sz w:val="18"/>
                <w:szCs w:val="18"/>
              </w:rPr>
              <w:t xml:space="preserve">it fiks, duke përfshirë zonat rurale </w:t>
            </w:r>
          </w:p>
        </w:tc>
        <w:tc>
          <w:tcPr>
            <w:tcW w:w="0" w:type="auto"/>
            <w:shd w:val="clear" w:color="auto" w:fill="auto"/>
          </w:tcPr>
          <w:p w14:paraId="408E4966" w14:textId="1D177D9C"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58%</w:t>
            </w:r>
          </w:p>
        </w:tc>
        <w:tc>
          <w:tcPr>
            <w:tcW w:w="0" w:type="auto"/>
            <w:shd w:val="clear" w:color="auto" w:fill="auto"/>
          </w:tcPr>
          <w:p w14:paraId="2DA29FBA" w14:textId="293A9773" w:rsidR="00A86175" w:rsidRPr="00050FA4" w:rsidRDefault="00A86175" w:rsidP="00A95D23">
            <w:pPr>
              <w:tabs>
                <w:tab w:val="left" w:pos="495"/>
                <w:tab w:val="center" w:pos="787"/>
              </w:tabs>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70%</w:t>
            </w:r>
          </w:p>
        </w:tc>
        <w:tc>
          <w:tcPr>
            <w:tcW w:w="0" w:type="auto"/>
            <w:shd w:val="clear" w:color="auto" w:fill="auto"/>
          </w:tcPr>
          <w:p w14:paraId="52D67BF5" w14:textId="47D0DF15"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90%</w:t>
            </w:r>
          </w:p>
        </w:tc>
      </w:tr>
      <w:tr w:rsidR="00FA29AB" w:rsidRPr="00050FA4" w14:paraId="73EAFD92" w14:textId="77777777" w:rsidTr="00A6213E">
        <w:trPr>
          <w:jc w:val="center"/>
        </w:trPr>
        <w:tc>
          <w:tcPr>
            <w:tcW w:w="0" w:type="auto"/>
            <w:shd w:val="clear" w:color="auto" w:fill="auto"/>
          </w:tcPr>
          <w:p w14:paraId="03C644FA" w14:textId="32D49FF3" w:rsidR="00A86175" w:rsidRPr="00050FA4" w:rsidRDefault="00A861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Shpejtësia mesatare e internetit në shkolla publike dhe struktura shëndetësore</w:t>
            </w:r>
          </w:p>
        </w:tc>
        <w:tc>
          <w:tcPr>
            <w:tcW w:w="0" w:type="auto"/>
            <w:shd w:val="clear" w:color="auto" w:fill="auto"/>
          </w:tcPr>
          <w:p w14:paraId="6850D06F" w14:textId="4A0B5483"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6-12 Mbps</w:t>
            </w:r>
          </w:p>
        </w:tc>
        <w:tc>
          <w:tcPr>
            <w:tcW w:w="0" w:type="auto"/>
            <w:shd w:val="clear" w:color="auto" w:fill="auto"/>
          </w:tcPr>
          <w:p w14:paraId="7F591334" w14:textId="2FB60F3D"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20 Mbps</w:t>
            </w:r>
          </w:p>
        </w:tc>
        <w:tc>
          <w:tcPr>
            <w:tcW w:w="0" w:type="auto"/>
            <w:shd w:val="clear" w:color="auto" w:fill="auto"/>
          </w:tcPr>
          <w:p w14:paraId="1742ACC7" w14:textId="76737558"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100Mbps</w:t>
            </w:r>
          </w:p>
        </w:tc>
      </w:tr>
      <w:tr w:rsidR="00FA29AB" w:rsidRPr="00050FA4" w14:paraId="2C594208" w14:textId="77777777" w:rsidTr="00A6213E">
        <w:trPr>
          <w:jc w:val="center"/>
        </w:trPr>
        <w:tc>
          <w:tcPr>
            <w:tcW w:w="0" w:type="auto"/>
            <w:shd w:val="clear" w:color="auto" w:fill="auto"/>
          </w:tcPr>
          <w:p w14:paraId="190EBB7C" w14:textId="4669972C" w:rsidR="00A86175" w:rsidRPr="00050FA4" w:rsidRDefault="00A861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Rritja e lidhjes </w:t>
            </w:r>
            <w:r w:rsidRPr="00050FA4">
              <w:rPr>
                <w:rFonts w:ascii="Garamond" w:hAnsi="Garamond"/>
                <w:i/>
                <w:color w:val="0D0D0D" w:themeColor="text1" w:themeTint="F2"/>
                <w:sz w:val="18"/>
                <w:szCs w:val="18"/>
              </w:rPr>
              <w:t>broadband</w:t>
            </w:r>
            <w:r w:rsidRPr="00050FA4">
              <w:rPr>
                <w:rFonts w:ascii="Garamond" w:hAnsi="Garamond"/>
                <w:color w:val="0D0D0D" w:themeColor="text1" w:themeTint="F2"/>
                <w:sz w:val="18"/>
                <w:szCs w:val="18"/>
              </w:rPr>
              <w:t xml:space="preserve"> për NVM</w:t>
            </w:r>
          </w:p>
        </w:tc>
        <w:tc>
          <w:tcPr>
            <w:tcW w:w="0" w:type="auto"/>
            <w:shd w:val="clear" w:color="auto" w:fill="auto"/>
          </w:tcPr>
          <w:p w14:paraId="653B37D2" w14:textId="5BD94388"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79.8%</w:t>
            </w:r>
          </w:p>
        </w:tc>
        <w:tc>
          <w:tcPr>
            <w:tcW w:w="0" w:type="auto"/>
            <w:shd w:val="clear" w:color="auto" w:fill="auto"/>
          </w:tcPr>
          <w:p w14:paraId="2BD960D6" w14:textId="39009C5D"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90%</w:t>
            </w:r>
          </w:p>
        </w:tc>
        <w:tc>
          <w:tcPr>
            <w:tcW w:w="0" w:type="auto"/>
            <w:shd w:val="clear" w:color="auto" w:fill="auto"/>
          </w:tcPr>
          <w:p w14:paraId="4D64BAA6" w14:textId="677B5B19" w:rsidR="00A86175" w:rsidRPr="00050FA4" w:rsidRDefault="00A86175" w:rsidP="00A95D23">
            <w:pPr>
              <w:snapToGrid w:val="0"/>
              <w:jc w:val="center"/>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95%</w:t>
            </w:r>
          </w:p>
        </w:tc>
      </w:tr>
    </w:tbl>
    <w:p w14:paraId="4193AB33" w14:textId="77777777" w:rsidR="00263B19" w:rsidRPr="00050FA4" w:rsidRDefault="00263B19" w:rsidP="003F1DA7">
      <w:pPr>
        <w:snapToGrid w:val="0"/>
        <w:ind w:firstLine="284"/>
        <w:rPr>
          <w:rFonts w:ascii="Garamond" w:hAnsi="Garamond" w:cstheme="majorBidi"/>
          <w:color w:val="0D0D0D" w:themeColor="text1" w:themeTint="F2"/>
        </w:rPr>
      </w:pPr>
    </w:p>
    <w:p w14:paraId="591B8863" w14:textId="5FC197EE" w:rsidR="00263B19" w:rsidRPr="00050FA4" w:rsidRDefault="009E5AC9" w:rsidP="003F1DA7">
      <w:pPr>
        <w:pStyle w:val="AAAAAAATEXXXX"/>
        <w:rPr>
          <w:lang w:val="sq-AL"/>
        </w:rPr>
      </w:pPr>
      <w:r w:rsidRPr="00050FA4">
        <w:rPr>
          <w:lang w:val="sq-AL"/>
        </w:rPr>
        <w:t xml:space="preserve">3. </w:t>
      </w:r>
      <w:r w:rsidR="00B2062A" w:rsidRPr="00050FA4">
        <w:rPr>
          <w:lang w:val="sq-AL"/>
        </w:rPr>
        <w:t>Ndikimi i pritshëm në konkurrueshmëri</w:t>
      </w:r>
    </w:p>
    <w:p w14:paraId="4DD34D8C" w14:textId="77645E38" w:rsidR="00A86175" w:rsidRPr="00050FA4" w:rsidRDefault="00A86175" w:rsidP="003F1DA7">
      <w:pPr>
        <w:pStyle w:val="AAAAAAATEXXXX"/>
        <w:rPr>
          <w:lang w:val="sq-AL"/>
        </w:rPr>
      </w:pPr>
      <w:r w:rsidRPr="00050FA4">
        <w:rPr>
          <w:lang w:val="sq-AL"/>
        </w:rPr>
        <w:t xml:space="preserve">Reforma e propozuar parashikon rritjen e investimeve në vend, përmirësimin e penetrimit </w:t>
      </w:r>
      <w:r w:rsidRPr="00050FA4">
        <w:rPr>
          <w:i/>
          <w:lang w:val="sq-AL"/>
        </w:rPr>
        <w:t>broadband</w:t>
      </w:r>
      <w:r w:rsidRPr="00050FA4">
        <w:rPr>
          <w:lang w:val="sq-AL"/>
        </w:rPr>
        <w:t>, rritjen e efic</w:t>
      </w:r>
      <w:r w:rsidR="008138A6" w:rsidRPr="00050FA4">
        <w:rPr>
          <w:lang w:val="sq-AL"/>
        </w:rPr>
        <w:t>i</w:t>
      </w:r>
      <w:r w:rsidRPr="00050FA4">
        <w:rPr>
          <w:lang w:val="sq-AL"/>
        </w:rPr>
        <w:t>en</w:t>
      </w:r>
      <w:r w:rsidR="005D3CA0" w:rsidRPr="00050FA4">
        <w:rPr>
          <w:lang w:val="sq-AL"/>
        </w:rPr>
        <w:t>c</w:t>
      </w:r>
      <w:r w:rsidRPr="00050FA4">
        <w:rPr>
          <w:lang w:val="sq-AL"/>
        </w:rPr>
        <w:t>ës së infrastrukturës ekzistuese nëpërmjet ndarjes së infrastrukturës, si dhe të rritjen e konkurrueshmërisë. Zhvillimi i zonave të largëta dhe rurale nëpërmjet përdorimit të TIK për bizneset dhe fermerët, si dhe aksesi që vjen si rezultat i njohurive të metodave teknologjike, si pjesë e kësaj reforme, pritet të përmirësojë konkurrueshmërinë në këto fusha.</w:t>
      </w:r>
    </w:p>
    <w:p w14:paraId="27AB05AA" w14:textId="1FD09F55" w:rsidR="00263B19" w:rsidRPr="00050FA4" w:rsidRDefault="009E5AC9"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2E8E899F" w14:textId="74ADF46D" w:rsidR="00A86175" w:rsidRPr="00050FA4" w:rsidRDefault="009E5AC9" w:rsidP="003F1DA7">
      <w:pPr>
        <w:pStyle w:val="AAAAAAATEXXXX"/>
        <w:rPr>
          <w:lang w:val="sq-AL"/>
        </w:rPr>
      </w:pPr>
      <w:r w:rsidRPr="00050FA4">
        <w:rPr>
          <w:rFonts w:eastAsia="MS Mincho"/>
          <w:lang w:val="sq-AL"/>
        </w:rPr>
        <w:t xml:space="preserve">i. </w:t>
      </w:r>
      <w:r w:rsidR="00A86175" w:rsidRPr="00050FA4">
        <w:rPr>
          <w:rFonts w:eastAsia="MS Mincho"/>
          <w:lang w:val="sq-AL"/>
        </w:rPr>
        <w:t xml:space="preserve">Ngritja e zyrave rajonale/kombëtare kompetente për </w:t>
      </w:r>
      <w:r w:rsidR="00A86175" w:rsidRPr="00050FA4">
        <w:rPr>
          <w:rFonts w:eastAsia="MS Mincho"/>
          <w:i/>
          <w:lang w:val="sq-AL"/>
        </w:rPr>
        <w:t>broadband</w:t>
      </w:r>
      <w:r w:rsidR="00A86175" w:rsidRPr="00050FA4">
        <w:rPr>
          <w:rFonts w:eastAsia="MS Mincho"/>
          <w:lang w:val="sq-AL"/>
        </w:rPr>
        <w:t>-in</w:t>
      </w:r>
      <w:r w:rsidR="00A86175" w:rsidRPr="00050FA4">
        <w:rPr>
          <w:lang w:val="sq-AL"/>
        </w:rPr>
        <w:t xml:space="preserve"> </w:t>
      </w:r>
    </w:p>
    <w:p w14:paraId="2D426EDB" w14:textId="028A3666" w:rsidR="00A86175" w:rsidRPr="00050FA4" w:rsidRDefault="00A86175" w:rsidP="003F1DA7">
      <w:pPr>
        <w:pStyle w:val="AAAAAAATEXXXX"/>
        <w:rPr>
          <w:lang w:val="sq-AL"/>
        </w:rPr>
      </w:pPr>
      <w:r w:rsidRPr="00050FA4">
        <w:rPr>
          <w:lang w:val="sq-AL"/>
        </w:rPr>
        <w:t>100.000 EUR buxheti i MIE (ndarë përgjatë 2022</w:t>
      </w:r>
      <w:r w:rsidR="00317D3D" w:rsidRPr="00050FA4">
        <w:rPr>
          <w:lang w:val="sq-AL"/>
        </w:rPr>
        <w:t>-shit</w:t>
      </w:r>
      <w:r w:rsidRPr="00050FA4">
        <w:rPr>
          <w:lang w:val="sq-AL"/>
        </w:rPr>
        <w:t>, 2023</w:t>
      </w:r>
      <w:r w:rsidR="00317D3D" w:rsidRPr="00050FA4">
        <w:rPr>
          <w:lang w:val="sq-AL"/>
        </w:rPr>
        <w:t>-shit</w:t>
      </w:r>
      <w:r w:rsidRPr="00050FA4">
        <w:rPr>
          <w:lang w:val="sq-AL"/>
        </w:rPr>
        <w:t xml:space="preserve"> dhe 2024</w:t>
      </w:r>
      <w:r w:rsidR="00317D3D" w:rsidRPr="00050FA4">
        <w:rPr>
          <w:lang w:val="sq-AL"/>
        </w:rPr>
        <w:t>-ës</w:t>
      </w:r>
      <w:r w:rsidRPr="00050FA4">
        <w:rPr>
          <w:lang w:val="sq-AL"/>
        </w:rPr>
        <w:t>)</w:t>
      </w:r>
    </w:p>
    <w:p w14:paraId="66C18B41" w14:textId="5086E6B1" w:rsidR="00A86175" w:rsidRPr="00050FA4" w:rsidRDefault="009E5AC9" w:rsidP="003F1DA7">
      <w:pPr>
        <w:pStyle w:val="AAAAAAATEXXXX"/>
        <w:rPr>
          <w:lang w:val="sq-AL"/>
        </w:rPr>
      </w:pPr>
      <w:r w:rsidRPr="00050FA4">
        <w:rPr>
          <w:rFonts w:eastAsia="MS Mincho"/>
          <w:lang w:val="sq-AL"/>
        </w:rPr>
        <w:t xml:space="preserve">ii. </w:t>
      </w:r>
      <w:r w:rsidR="00A86175" w:rsidRPr="00050FA4">
        <w:rPr>
          <w:rFonts w:eastAsia="MS Mincho"/>
          <w:lang w:val="sq-AL"/>
        </w:rPr>
        <w:t xml:space="preserve">Projekti i zhvillimit të Atlasit </w:t>
      </w:r>
      <w:r w:rsidR="00A86175" w:rsidRPr="00050FA4">
        <w:rPr>
          <w:rFonts w:eastAsia="MS Mincho"/>
          <w:i/>
          <w:lang w:val="sq-AL"/>
        </w:rPr>
        <w:t>Broadband</w:t>
      </w:r>
    </w:p>
    <w:p w14:paraId="2A081E79" w14:textId="15081F60" w:rsidR="00A86175" w:rsidRPr="00050FA4" w:rsidRDefault="00A86175" w:rsidP="003F1DA7">
      <w:pPr>
        <w:pStyle w:val="AAAAAAATEXXXX"/>
        <w:rPr>
          <w:lang w:val="sq-AL"/>
        </w:rPr>
      </w:pPr>
      <w:r w:rsidRPr="00050FA4">
        <w:rPr>
          <w:lang w:val="sq-AL"/>
        </w:rPr>
        <w:t>Kosto</w:t>
      </w:r>
      <w:r w:rsidR="00317D3D" w:rsidRPr="00050FA4">
        <w:rPr>
          <w:lang w:val="sq-AL"/>
        </w:rPr>
        <w:t>ja</w:t>
      </w:r>
      <w:r w:rsidRPr="00050FA4">
        <w:rPr>
          <w:lang w:val="sq-AL"/>
        </w:rPr>
        <w:t xml:space="preserve"> </w:t>
      </w:r>
      <w:r w:rsidR="00317D3D" w:rsidRPr="00050FA4">
        <w:rPr>
          <w:lang w:val="sq-AL"/>
        </w:rPr>
        <w:t xml:space="preserve">totale </w:t>
      </w:r>
      <w:r w:rsidRPr="00050FA4">
        <w:rPr>
          <w:lang w:val="sq-AL"/>
        </w:rPr>
        <w:t xml:space="preserve">280.000 </w:t>
      </w:r>
      <w:r w:rsidR="002D1580" w:rsidRPr="00050FA4">
        <w:rPr>
          <w:lang w:val="sq-AL"/>
        </w:rPr>
        <w:t xml:space="preserve">euro </w:t>
      </w:r>
      <w:r w:rsidRPr="00050FA4">
        <w:rPr>
          <w:lang w:val="sq-AL"/>
        </w:rPr>
        <w:t xml:space="preserve">(30.000 </w:t>
      </w:r>
      <w:r w:rsidR="002D1580" w:rsidRPr="00050FA4">
        <w:rPr>
          <w:lang w:val="sq-AL"/>
        </w:rPr>
        <w:t xml:space="preserve">euro buxheti </w:t>
      </w:r>
      <w:r w:rsidRPr="00050FA4">
        <w:rPr>
          <w:lang w:val="sq-AL"/>
        </w:rPr>
        <w:t xml:space="preserve">MIE; 250.000 </w:t>
      </w:r>
      <w:r w:rsidR="002D1580" w:rsidRPr="00050FA4">
        <w:rPr>
          <w:lang w:val="sq-AL"/>
        </w:rPr>
        <w:t>euro g</w:t>
      </w:r>
      <w:r w:rsidRPr="00050FA4">
        <w:rPr>
          <w:lang w:val="sq-AL"/>
        </w:rPr>
        <w:t>rant)</w:t>
      </w:r>
    </w:p>
    <w:p w14:paraId="6ABC1440" w14:textId="34F80217" w:rsidR="00A86175" w:rsidRPr="00050FA4" w:rsidRDefault="009E5AC9" w:rsidP="003F1DA7">
      <w:pPr>
        <w:pStyle w:val="AAAAAAATEXXXX"/>
        <w:rPr>
          <w:lang w:val="sq-AL"/>
        </w:rPr>
      </w:pPr>
      <w:r w:rsidRPr="00050FA4">
        <w:rPr>
          <w:rFonts w:eastAsia="MS Mincho"/>
          <w:lang w:val="sq-AL"/>
        </w:rPr>
        <w:t xml:space="preserve">iii. </w:t>
      </w:r>
      <w:r w:rsidR="00A86175" w:rsidRPr="00050FA4">
        <w:rPr>
          <w:rFonts w:eastAsia="MS Mincho"/>
          <w:lang w:val="sq-AL"/>
        </w:rPr>
        <w:t xml:space="preserve">Projekti pilot për zhvillimin e infrastrukturës </w:t>
      </w:r>
      <w:r w:rsidR="00A86175" w:rsidRPr="00050FA4">
        <w:rPr>
          <w:rFonts w:eastAsia="MS Mincho"/>
          <w:i/>
          <w:lang w:val="sq-AL"/>
        </w:rPr>
        <w:t>broadband</w:t>
      </w:r>
      <w:r w:rsidR="00A86175" w:rsidRPr="00050FA4">
        <w:rPr>
          <w:rFonts w:eastAsia="MS Mincho"/>
          <w:lang w:val="sq-AL"/>
        </w:rPr>
        <w:t xml:space="preserve"> në </w:t>
      </w:r>
      <w:r w:rsidR="00317D3D" w:rsidRPr="00050FA4">
        <w:rPr>
          <w:rFonts w:eastAsia="MS Mincho"/>
          <w:lang w:val="sq-AL"/>
        </w:rPr>
        <w:t xml:space="preserve">zonën </w:t>
      </w:r>
      <w:r w:rsidR="00A86175" w:rsidRPr="00050FA4">
        <w:rPr>
          <w:rFonts w:eastAsia="MS Mincho"/>
          <w:lang w:val="sq-AL"/>
        </w:rPr>
        <w:t xml:space="preserve">1 (rurale dhe të largëta/zonat turistike në </w:t>
      </w:r>
      <w:r w:rsidR="00317D3D" w:rsidRPr="00050FA4">
        <w:rPr>
          <w:rFonts w:eastAsia="MS Mincho"/>
          <w:lang w:val="sq-AL"/>
        </w:rPr>
        <w:t xml:space="preserve">veri </w:t>
      </w:r>
      <w:r w:rsidR="00A86175" w:rsidRPr="00050FA4">
        <w:rPr>
          <w:rFonts w:eastAsia="MS Mincho"/>
          <w:lang w:val="sq-AL"/>
        </w:rPr>
        <w:t>të Shqipërisë (</w:t>
      </w:r>
      <w:r w:rsidR="00A86175" w:rsidRPr="00050FA4">
        <w:rPr>
          <w:lang w:val="sq-AL"/>
        </w:rPr>
        <w:t>Shkodër, Kukës, Tropojë, Dibër);</w:t>
      </w:r>
    </w:p>
    <w:p w14:paraId="4C61D190" w14:textId="14ECB509" w:rsidR="00A86175" w:rsidRPr="00050FA4" w:rsidRDefault="00A86175" w:rsidP="003F1DA7">
      <w:pPr>
        <w:pStyle w:val="AAAAAAATEXXXX"/>
        <w:rPr>
          <w:lang w:val="sq-AL"/>
        </w:rPr>
      </w:pPr>
      <w:r w:rsidRPr="00050FA4">
        <w:rPr>
          <w:lang w:val="sq-AL"/>
        </w:rPr>
        <w:t>Kosto</w:t>
      </w:r>
      <w:r w:rsidR="002D1580" w:rsidRPr="00050FA4">
        <w:rPr>
          <w:lang w:val="sq-AL"/>
        </w:rPr>
        <w:t>ja</w:t>
      </w:r>
      <w:r w:rsidRPr="00050FA4">
        <w:rPr>
          <w:lang w:val="sq-AL"/>
        </w:rPr>
        <w:t xml:space="preserve"> </w:t>
      </w:r>
      <w:r w:rsidR="002D1580" w:rsidRPr="00050FA4">
        <w:rPr>
          <w:lang w:val="sq-AL"/>
        </w:rPr>
        <w:t xml:space="preserve">totale </w:t>
      </w:r>
      <w:r w:rsidRPr="00050FA4">
        <w:rPr>
          <w:lang w:val="sq-AL"/>
        </w:rPr>
        <w:t xml:space="preserve">800.000 </w:t>
      </w:r>
      <w:r w:rsidR="002D1580" w:rsidRPr="00050FA4">
        <w:rPr>
          <w:lang w:val="sq-AL"/>
        </w:rPr>
        <w:t xml:space="preserve">euro </w:t>
      </w:r>
      <w:r w:rsidRPr="00050FA4">
        <w:rPr>
          <w:lang w:val="sq-AL"/>
        </w:rPr>
        <w:t xml:space="preserve">(100.000 </w:t>
      </w:r>
      <w:r w:rsidR="002D1580" w:rsidRPr="00050FA4">
        <w:rPr>
          <w:lang w:val="sq-AL"/>
        </w:rPr>
        <w:t xml:space="preserve">euro buxheti </w:t>
      </w:r>
      <w:r w:rsidRPr="00050FA4">
        <w:rPr>
          <w:lang w:val="sq-AL"/>
        </w:rPr>
        <w:t xml:space="preserve">MIE; 700.000 </w:t>
      </w:r>
      <w:r w:rsidR="002D1580" w:rsidRPr="00050FA4">
        <w:rPr>
          <w:lang w:val="sq-AL"/>
        </w:rPr>
        <w:t>euro grant</w:t>
      </w:r>
      <w:r w:rsidRPr="00050FA4">
        <w:rPr>
          <w:lang w:val="sq-AL"/>
        </w:rPr>
        <w:t>)</w:t>
      </w:r>
    </w:p>
    <w:p w14:paraId="30EBE563" w14:textId="1820EC8A" w:rsidR="00A86175" w:rsidRPr="00050FA4" w:rsidRDefault="009E5AC9" w:rsidP="003F1DA7">
      <w:pPr>
        <w:pStyle w:val="AAAAAAATEXXXX"/>
        <w:rPr>
          <w:rStyle w:val="CommentReference"/>
          <w:color w:val="0D0D0D" w:themeColor="text1" w:themeTint="F2"/>
          <w:sz w:val="24"/>
          <w:szCs w:val="24"/>
          <w:lang w:val="sq-AL"/>
        </w:rPr>
      </w:pPr>
      <w:r w:rsidRPr="00050FA4">
        <w:rPr>
          <w:lang w:val="sq-AL"/>
        </w:rPr>
        <w:t xml:space="preserve">iv. </w:t>
      </w:r>
      <w:r w:rsidR="00A86175" w:rsidRPr="00050FA4">
        <w:rPr>
          <w:lang w:val="sq-AL"/>
        </w:rPr>
        <w:t>Miratim i ligjit të ri për komunikimet elektronike, në përputhje me Kodin e Ri E</w:t>
      </w:r>
      <w:r w:rsidR="008138A6" w:rsidRPr="00050FA4">
        <w:rPr>
          <w:lang w:val="sq-AL"/>
        </w:rPr>
        <w:t>v</w:t>
      </w:r>
      <w:r w:rsidR="00A86175" w:rsidRPr="00050FA4">
        <w:rPr>
          <w:lang w:val="sq-AL"/>
        </w:rPr>
        <w:t>ropian për Komunikimet Elektronike miratuar nga BE në 2018</w:t>
      </w:r>
    </w:p>
    <w:p w14:paraId="791517B1" w14:textId="12EB60E7" w:rsidR="00A86175" w:rsidRPr="00050FA4" w:rsidRDefault="009E5AC9" w:rsidP="003F1DA7">
      <w:pPr>
        <w:pStyle w:val="AAAAAAATEXXXX"/>
        <w:rPr>
          <w:lang w:val="sq-AL"/>
        </w:rPr>
      </w:pPr>
      <w:r w:rsidRPr="00050FA4">
        <w:rPr>
          <w:rFonts w:eastAsia="MS Mincho"/>
          <w:lang w:val="sq-AL"/>
        </w:rPr>
        <w:t xml:space="preserve">v. </w:t>
      </w:r>
      <w:r w:rsidR="00A86175" w:rsidRPr="00050FA4">
        <w:rPr>
          <w:rFonts w:eastAsia="MS Mincho"/>
          <w:lang w:val="sq-AL"/>
        </w:rPr>
        <w:t xml:space="preserve">Zhvillimi i infrastrukturës </w:t>
      </w:r>
      <w:r w:rsidR="00A86175" w:rsidRPr="00050FA4">
        <w:rPr>
          <w:rFonts w:eastAsia="MS Mincho"/>
          <w:i/>
          <w:lang w:val="sq-AL"/>
        </w:rPr>
        <w:t>broadband</w:t>
      </w:r>
      <w:r w:rsidR="00A86175" w:rsidRPr="00050FA4">
        <w:rPr>
          <w:rFonts w:eastAsia="MS Mincho"/>
          <w:lang w:val="sq-AL"/>
        </w:rPr>
        <w:t xml:space="preserve"> në jug të vendit (zhvillimi </w:t>
      </w:r>
      <w:r w:rsidR="00A86175" w:rsidRPr="00050FA4">
        <w:rPr>
          <w:rFonts w:eastAsia="MS Mincho"/>
          <w:i/>
          <w:lang w:val="sq-AL"/>
        </w:rPr>
        <w:t>broadband</w:t>
      </w:r>
      <w:r w:rsidR="00A86175" w:rsidRPr="00050FA4">
        <w:rPr>
          <w:rFonts w:eastAsia="MS Mincho"/>
          <w:lang w:val="sq-AL"/>
        </w:rPr>
        <w:t xml:space="preserve"> në zonat e bardha në Vlorë, Gjirokastër, Fier, Berat, Korçë)</w:t>
      </w:r>
      <w:r w:rsidR="00A86175" w:rsidRPr="00050FA4">
        <w:rPr>
          <w:lang w:val="sq-AL"/>
        </w:rPr>
        <w:t>;</w:t>
      </w:r>
    </w:p>
    <w:p w14:paraId="393ACFBF" w14:textId="2D254072" w:rsidR="00A86175" w:rsidRPr="00050FA4" w:rsidRDefault="00A86175" w:rsidP="003F1DA7">
      <w:pPr>
        <w:pStyle w:val="AAAAAAATEXXXX"/>
        <w:rPr>
          <w:lang w:val="sq-AL"/>
        </w:rPr>
      </w:pPr>
      <w:r w:rsidRPr="00050FA4">
        <w:rPr>
          <w:lang w:val="sq-AL"/>
        </w:rPr>
        <w:t>Kosto</w:t>
      </w:r>
      <w:r w:rsidR="00317D3D" w:rsidRPr="00050FA4">
        <w:rPr>
          <w:lang w:val="sq-AL"/>
        </w:rPr>
        <w:t>ja</w:t>
      </w:r>
      <w:r w:rsidRPr="00050FA4">
        <w:rPr>
          <w:lang w:val="sq-AL"/>
        </w:rPr>
        <w:t xml:space="preserve"> </w:t>
      </w:r>
      <w:r w:rsidR="002D1580" w:rsidRPr="00050FA4">
        <w:rPr>
          <w:lang w:val="sq-AL"/>
        </w:rPr>
        <w:t xml:space="preserve">totale </w:t>
      </w:r>
      <w:r w:rsidRPr="00050FA4">
        <w:rPr>
          <w:lang w:val="sq-AL"/>
        </w:rPr>
        <w:t xml:space="preserve">900.000 </w:t>
      </w:r>
      <w:r w:rsidR="002D1580" w:rsidRPr="00050FA4">
        <w:rPr>
          <w:lang w:val="sq-AL"/>
        </w:rPr>
        <w:t xml:space="preserve">euro </w:t>
      </w:r>
      <w:r w:rsidRPr="00050FA4">
        <w:rPr>
          <w:lang w:val="sq-AL"/>
        </w:rPr>
        <w:t xml:space="preserve">(100.000 </w:t>
      </w:r>
      <w:r w:rsidR="002D1580" w:rsidRPr="00050FA4">
        <w:rPr>
          <w:lang w:val="sq-AL"/>
        </w:rPr>
        <w:t xml:space="preserve">euro buxheti </w:t>
      </w:r>
      <w:r w:rsidRPr="00050FA4">
        <w:rPr>
          <w:lang w:val="sq-AL"/>
        </w:rPr>
        <w:t xml:space="preserve">MIE; 800.000 </w:t>
      </w:r>
      <w:r w:rsidR="002D1580" w:rsidRPr="00050FA4">
        <w:rPr>
          <w:lang w:val="sq-AL"/>
        </w:rPr>
        <w:t>euro grant</w:t>
      </w:r>
      <w:r w:rsidRPr="00050FA4">
        <w:rPr>
          <w:lang w:val="sq-AL"/>
        </w:rPr>
        <w:t>)</w:t>
      </w:r>
    </w:p>
    <w:p w14:paraId="6AA08FD0" w14:textId="5E26D7FB" w:rsidR="00A86175" w:rsidRPr="00050FA4" w:rsidRDefault="009E5AC9" w:rsidP="003F1DA7">
      <w:pPr>
        <w:pStyle w:val="AAAAAAATEXXXX"/>
        <w:rPr>
          <w:lang w:val="sq-AL"/>
        </w:rPr>
      </w:pPr>
      <w:r w:rsidRPr="00050FA4">
        <w:rPr>
          <w:lang w:val="sq-AL"/>
        </w:rPr>
        <w:t xml:space="preserve">vi. </w:t>
      </w:r>
      <w:r w:rsidR="00A86175" w:rsidRPr="00050FA4">
        <w:rPr>
          <w:lang w:val="sq-AL"/>
        </w:rPr>
        <w:t>Investimi në zonat e bardha</w:t>
      </w:r>
    </w:p>
    <w:p w14:paraId="2CB9FED9" w14:textId="4CE4C75A" w:rsidR="00A86175" w:rsidRPr="00050FA4" w:rsidRDefault="00A86175" w:rsidP="003F1DA7">
      <w:pPr>
        <w:pStyle w:val="AAAAAAATEXXXX"/>
        <w:rPr>
          <w:color w:val="0D0D0D" w:themeColor="text1" w:themeTint="F2"/>
          <w:lang w:val="sq-AL"/>
        </w:rPr>
      </w:pPr>
      <w:r w:rsidRPr="00050FA4">
        <w:rPr>
          <w:color w:val="0D0D0D" w:themeColor="text1" w:themeTint="F2"/>
          <w:lang w:val="sq-AL"/>
        </w:rPr>
        <w:t>Kosto</w:t>
      </w:r>
      <w:r w:rsidR="00317D3D" w:rsidRPr="00050FA4">
        <w:rPr>
          <w:color w:val="0D0D0D" w:themeColor="text1" w:themeTint="F2"/>
          <w:lang w:val="sq-AL"/>
        </w:rPr>
        <w:t>ja</w:t>
      </w:r>
      <w:r w:rsidRPr="00050FA4">
        <w:rPr>
          <w:color w:val="0D0D0D" w:themeColor="text1" w:themeTint="F2"/>
          <w:lang w:val="sq-AL"/>
        </w:rPr>
        <w:t xml:space="preserve"> </w:t>
      </w:r>
      <w:r w:rsidR="002D1580" w:rsidRPr="00050FA4">
        <w:rPr>
          <w:color w:val="0D0D0D" w:themeColor="text1" w:themeTint="F2"/>
          <w:lang w:val="sq-AL"/>
        </w:rPr>
        <w:t xml:space="preserve">totale </w:t>
      </w:r>
      <w:r w:rsidRPr="00050FA4">
        <w:rPr>
          <w:color w:val="0D0D0D" w:themeColor="text1" w:themeTint="F2"/>
          <w:lang w:val="sq-AL"/>
        </w:rPr>
        <w:t xml:space="preserve">5.000.000 </w:t>
      </w:r>
      <w:r w:rsidR="002D1580" w:rsidRPr="00050FA4">
        <w:rPr>
          <w:color w:val="0D0D0D" w:themeColor="text1" w:themeTint="F2"/>
          <w:lang w:val="sq-AL"/>
        </w:rPr>
        <w:t xml:space="preserve">euro </w:t>
      </w:r>
      <w:r w:rsidRPr="00050FA4">
        <w:rPr>
          <w:color w:val="0D0D0D" w:themeColor="text1" w:themeTint="F2"/>
          <w:lang w:val="sq-AL"/>
        </w:rPr>
        <w:t>(kërkohen për financim në zonat e bardha, por financimi nuk është siguruar ende).</w:t>
      </w:r>
    </w:p>
    <w:p w14:paraId="5A859B2D" w14:textId="1338A6DB" w:rsidR="00263B19" w:rsidRPr="00050FA4" w:rsidRDefault="009E5AC9"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4B446823" w14:textId="0D2914B0" w:rsidR="00A86175" w:rsidRPr="00050FA4" w:rsidRDefault="00A86175" w:rsidP="003F1DA7">
      <w:pPr>
        <w:pStyle w:val="AAAAAAATEXXXX"/>
        <w:rPr>
          <w:lang w:val="sq-AL"/>
        </w:rPr>
      </w:pPr>
      <w:r w:rsidRPr="00050FA4">
        <w:rPr>
          <w:lang w:val="sq-AL"/>
        </w:rPr>
        <w:t>Disa nga përfitimet sociale të reformës pritet të jenë janë:</w:t>
      </w:r>
    </w:p>
    <w:p w14:paraId="1A5BF576" w14:textId="26DA4435" w:rsidR="00A86175" w:rsidRPr="00050FA4" w:rsidRDefault="009E5AC9" w:rsidP="003F1DA7">
      <w:pPr>
        <w:pStyle w:val="AAAAAAATEXXXX"/>
        <w:rPr>
          <w:lang w:val="sq-AL"/>
        </w:rPr>
      </w:pPr>
      <w:r w:rsidRPr="00050FA4">
        <w:rPr>
          <w:lang w:val="sq-AL"/>
        </w:rPr>
        <w:t xml:space="preserve">- </w:t>
      </w:r>
      <w:r w:rsidR="00A86175" w:rsidRPr="00050FA4">
        <w:rPr>
          <w:lang w:val="sq-AL"/>
        </w:rPr>
        <w:t xml:space="preserve">Mbulim më i mire me internet </w:t>
      </w:r>
      <w:r w:rsidR="00A86175" w:rsidRPr="00050FA4">
        <w:rPr>
          <w:i/>
          <w:lang w:val="sq-AL"/>
        </w:rPr>
        <w:t>broadband</w:t>
      </w:r>
      <w:r w:rsidR="00A86175" w:rsidRPr="00050FA4">
        <w:rPr>
          <w:lang w:val="sq-AL"/>
        </w:rPr>
        <w:t>, që përkthehet në kohezion social dhe territorial;</w:t>
      </w:r>
    </w:p>
    <w:p w14:paraId="54E4752D" w14:textId="676523A2" w:rsidR="00A86175" w:rsidRPr="00050FA4" w:rsidRDefault="009E5AC9" w:rsidP="003F1DA7">
      <w:pPr>
        <w:pStyle w:val="AAAAAAATEXXXX"/>
        <w:rPr>
          <w:lang w:val="sq-AL"/>
        </w:rPr>
      </w:pPr>
      <w:r w:rsidRPr="00050FA4">
        <w:rPr>
          <w:lang w:val="sq-AL"/>
        </w:rPr>
        <w:t xml:space="preserve">- </w:t>
      </w:r>
      <w:r w:rsidR="00A86175" w:rsidRPr="00050FA4">
        <w:rPr>
          <w:lang w:val="sq-AL"/>
        </w:rPr>
        <w:t>Rritja e sinergjive ndërmjet sektorëve, p.sh. rrjete inteligjente dhe sisteme inteligjente të transportit;</w:t>
      </w:r>
    </w:p>
    <w:p w14:paraId="5B7019DC" w14:textId="734F9431" w:rsidR="00A86175" w:rsidRPr="00050FA4" w:rsidRDefault="009E5AC9" w:rsidP="003F1DA7">
      <w:pPr>
        <w:pStyle w:val="AAAAAAATEXXXX"/>
        <w:rPr>
          <w:lang w:val="sq-AL"/>
        </w:rPr>
      </w:pPr>
      <w:r w:rsidRPr="00050FA4">
        <w:rPr>
          <w:lang w:val="sq-AL"/>
        </w:rPr>
        <w:t xml:space="preserve">- </w:t>
      </w:r>
      <w:r w:rsidR="00A86175" w:rsidRPr="00050FA4">
        <w:rPr>
          <w:lang w:val="sq-AL"/>
        </w:rPr>
        <w:t>Dublikim më i vogël i punëve civile, që do të thotë më pak gërmime dhe/ose ndotje të zhurmës;</w:t>
      </w:r>
    </w:p>
    <w:p w14:paraId="769CF6F1" w14:textId="28ED4A64" w:rsidR="00A86175" w:rsidRPr="00050FA4" w:rsidRDefault="009E5AC9" w:rsidP="003F1DA7">
      <w:pPr>
        <w:pStyle w:val="AAAAAAATEXXXX"/>
        <w:rPr>
          <w:lang w:val="sq-AL"/>
        </w:rPr>
      </w:pPr>
      <w:r w:rsidRPr="00050FA4">
        <w:rPr>
          <w:lang w:val="sq-AL"/>
        </w:rPr>
        <w:t xml:space="preserve">- </w:t>
      </w:r>
      <w:r w:rsidR="00A86175" w:rsidRPr="00050FA4">
        <w:rPr>
          <w:lang w:val="sq-AL"/>
        </w:rPr>
        <w:t>Përmirësimi i klimës së biznesit përmes procedurave transparente dhe më të thjeshta për lejet e ndërtimit;</w:t>
      </w:r>
    </w:p>
    <w:p w14:paraId="7EBA7C93" w14:textId="1DB43D7E" w:rsidR="00A86175" w:rsidRPr="00050FA4" w:rsidRDefault="009E5AC9" w:rsidP="003F1DA7">
      <w:pPr>
        <w:pStyle w:val="AAAAAAATEXXXX"/>
        <w:rPr>
          <w:lang w:val="sq-AL"/>
        </w:rPr>
      </w:pPr>
      <w:r w:rsidRPr="00050FA4">
        <w:rPr>
          <w:lang w:val="sq-AL"/>
        </w:rPr>
        <w:t xml:space="preserve">- </w:t>
      </w:r>
      <w:r w:rsidR="00A86175" w:rsidRPr="00050FA4">
        <w:rPr>
          <w:lang w:val="sq-AL"/>
        </w:rPr>
        <w:t>Qasje e barabartë;</w:t>
      </w:r>
    </w:p>
    <w:p w14:paraId="534A0B83" w14:textId="57639E45" w:rsidR="00A86175" w:rsidRPr="00050FA4" w:rsidRDefault="009E5AC9" w:rsidP="003F1DA7">
      <w:pPr>
        <w:pStyle w:val="AAAAAAATEXXXX"/>
        <w:rPr>
          <w:lang w:val="sq-AL"/>
        </w:rPr>
      </w:pPr>
      <w:r w:rsidRPr="00050FA4">
        <w:rPr>
          <w:lang w:val="sq-AL"/>
        </w:rPr>
        <w:t xml:space="preserve">- </w:t>
      </w:r>
      <w:r w:rsidR="00A86175" w:rsidRPr="00050FA4">
        <w:rPr>
          <w:lang w:val="sq-AL"/>
        </w:rPr>
        <w:t>Mosdiskriminimi;</w:t>
      </w:r>
    </w:p>
    <w:p w14:paraId="60023802" w14:textId="23BB9E53" w:rsidR="00A86175" w:rsidRPr="00050FA4" w:rsidRDefault="009E5AC9" w:rsidP="003F1DA7">
      <w:pPr>
        <w:pStyle w:val="AAAAAAATEXXXX"/>
        <w:rPr>
          <w:lang w:val="sq-AL"/>
        </w:rPr>
      </w:pPr>
      <w:r w:rsidRPr="00050FA4">
        <w:rPr>
          <w:lang w:val="sq-AL"/>
        </w:rPr>
        <w:t xml:space="preserve">- </w:t>
      </w:r>
      <w:r w:rsidR="00A86175" w:rsidRPr="00050FA4">
        <w:rPr>
          <w:lang w:val="sq-AL"/>
        </w:rPr>
        <w:t>Krijimi i vendeve të punës etj.</w:t>
      </w:r>
    </w:p>
    <w:p w14:paraId="2310754C" w14:textId="374D90A9" w:rsidR="00A86175" w:rsidRPr="00050FA4" w:rsidRDefault="00A86175" w:rsidP="003F1DA7">
      <w:pPr>
        <w:pStyle w:val="AAAAAAATEXXXX"/>
        <w:rPr>
          <w:lang w:val="sq-AL"/>
        </w:rPr>
      </w:pPr>
      <w:r w:rsidRPr="00050FA4">
        <w:rPr>
          <w:lang w:val="sq-AL"/>
        </w:rPr>
        <w:t xml:space="preserve">Zhvillimi i </w:t>
      </w:r>
      <w:r w:rsidRPr="00050FA4">
        <w:rPr>
          <w:i/>
          <w:lang w:val="sq-AL"/>
        </w:rPr>
        <w:t>broadband</w:t>
      </w:r>
      <w:r w:rsidRPr="00050FA4">
        <w:rPr>
          <w:lang w:val="sq-AL"/>
        </w:rPr>
        <w:t xml:space="preserve">-it pritet të rrisë numrin e punësimeve, të krijojë mundësi për të adresuar çështjet gjinore në TIK dhe të krijojë më shumë mundësi për punë në internet për femrat. Investimet në infrastrukturën </w:t>
      </w:r>
      <w:r w:rsidRPr="00050FA4">
        <w:rPr>
          <w:i/>
          <w:lang w:val="sq-AL"/>
        </w:rPr>
        <w:t>broadband</w:t>
      </w:r>
      <w:r w:rsidRPr="00050FA4">
        <w:rPr>
          <w:lang w:val="sq-AL"/>
        </w:rPr>
        <w:t xml:space="preserve"> do të përmirësojnë produktivitetin e përgjithshëm pasi efektet relative në Vlerën e Shtuar Bruto tejkalojnë efektet në punësim. Duke shtuar përfitime të reja ekonomike dhe vende të lira pune, investimet në infrastrukturën </w:t>
      </w:r>
      <w:r w:rsidRPr="00050FA4">
        <w:rPr>
          <w:i/>
          <w:lang w:val="sq-AL"/>
        </w:rPr>
        <w:t>broadband</w:t>
      </w:r>
      <w:r w:rsidRPr="00050FA4">
        <w:rPr>
          <w:lang w:val="sq-AL"/>
        </w:rPr>
        <w:t xml:space="preserve"> nuk sjellin vetëm përfitime ekonomike, por gjithashtu promovojnë një stabilitet më të madh politik dhe cilësi më të lartë të shërbimeve publike. Reforma krijon mundësi për të trajtuar çështjen gjinore në TIK përmes rritjes së mundësive për gratë, si punonjëse </w:t>
      </w:r>
      <w:r w:rsidRPr="00050FA4">
        <w:rPr>
          <w:i/>
          <w:lang w:val="sq-AL"/>
        </w:rPr>
        <w:t>online</w:t>
      </w:r>
      <w:r w:rsidRPr="00050FA4">
        <w:rPr>
          <w:lang w:val="sq-AL"/>
        </w:rPr>
        <w:t xml:space="preserve"> nga shtëpia në zona të largëta/rurale.</w:t>
      </w:r>
    </w:p>
    <w:p w14:paraId="152C5676" w14:textId="26A7DD7F" w:rsidR="00263B19" w:rsidRPr="00050FA4" w:rsidRDefault="009E5AC9"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302005D8" w14:textId="77777777" w:rsidR="00A86175" w:rsidRPr="00050FA4" w:rsidRDefault="00A86175" w:rsidP="003F1DA7">
      <w:pPr>
        <w:pStyle w:val="AAAAAAATEXXXX"/>
        <w:rPr>
          <w:lang w:val="sq-AL"/>
        </w:rPr>
      </w:pPr>
      <w:r w:rsidRPr="00050FA4">
        <w:rPr>
          <w:lang w:val="sq-AL"/>
        </w:rPr>
        <w:t>Masa e reformës pritet të ketë ndikim në mjedis.</w:t>
      </w:r>
    </w:p>
    <w:p w14:paraId="3319FD92" w14:textId="578CF620" w:rsidR="00A86175" w:rsidRPr="00050FA4" w:rsidRDefault="00A86175" w:rsidP="003F1DA7">
      <w:pPr>
        <w:pStyle w:val="AAAAAAATEXXXX"/>
        <w:rPr>
          <w:lang w:val="sq-AL"/>
        </w:rPr>
      </w:pPr>
      <w:r w:rsidRPr="00050FA4">
        <w:rPr>
          <w:lang w:val="sq-AL"/>
        </w:rPr>
        <w:t xml:space="preserve">Nëpërmjet ndarjes së infrastrukturës dhe koordinimit të punës civile në vendosjen e infrastrukturës </w:t>
      </w:r>
      <w:r w:rsidRPr="00050FA4">
        <w:rPr>
          <w:i/>
          <w:lang w:val="sq-AL"/>
        </w:rPr>
        <w:t>broadband</w:t>
      </w:r>
      <w:r w:rsidRPr="00050FA4">
        <w:rPr>
          <w:lang w:val="sq-AL"/>
        </w:rPr>
        <w:t>, duke shkuar drejt digjitales, reduktohet ndotjen e ajrit dhe ndikimin në mjedis.</w:t>
      </w:r>
    </w:p>
    <w:p w14:paraId="73F7AD62" w14:textId="10E918FF" w:rsidR="00263B19" w:rsidRPr="00050FA4" w:rsidRDefault="009E5AC9" w:rsidP="003F1DA7">
      <w:pPr>
        <w:pStyle w:val="AAAAAAATEXXXX"/>
        <w:rPr>
          <w:lang w:val="sq-AL"/>
        </w:rPr>
      </w:pPr>
      <w:r w:rsidRPr="00050FA4">
        <w:rPr>
          <w:lang w:val="sq-AL"/>
        </w:rPr>
        <w:t xml:space="preserve">7. </w:t>
      </w:r>
      <w:r w:rsidR="00B2062A" w:rsidRPr="00050FA4">
        <w:rPr>
          <w:lang w:val="sq-AL"/>
        </w:rPr>
        <w:t>Rreziqet e mundshme</w:t>
      </w:r>
    </w:p>
    <w:p w14:paraId="7FC0B443" w14:textId="77777777" w:rsidR="00317D3D" w:rsidRPr="00050FA4" w:rsidRDefault="00317D3D" w:rsidP="003F1DA7">
      <w:pPr>
        <w:pStyle w:val="AAAAAAATEXXXX"/>
        <w:rPr>
          <w:lang w:val="sq-AL"/>
        </w:rPr>
      </w:pPr>
    </w:p>
    <w:p w14:paraId="1ED0761D" w14:textId="77777777" w:rsidR="00317D3D" w:rsidRPr="00050FA4" w:rsidRDefault="00317D3D" w:rsidP="003F1DA7">
      <w:pPr>
        <w:pStyle w:val="AAAAAAATEXXXX"/>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1681"/>
        <w:gridCol w:w="3287"/>
      </w:tblGrid>
      <w:tr w:rsidR="00FA29AB" w:rsidRPr="00050FA4" w14:paraId="58382111" w14:textId="77777777" w:rsidTr="002D1580">
        <w:trPr>
          <w:jc w:val="center"/>
        </w:trPr>
        <w:tc>
          <w:tcPr>
            <w:tcW w:w="5148" w:type="dxa"/>
            <w:shd w:val="clear" w:color="auto" w:fill="auto"/>
            <w:vAlign w:val="center"/>
          </w:tcPr>
          <w:p w14:paraId="326A53AA" w14:textId="32B0BD47" w:rsidR="00A92D0C" w:rsidRPr="00050FA4" w:rsidRDefault="00B2062A" w:rsidP="002D1580">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lastRenderedPageBreak/>
              <w:t>Rreziku</w:t>
            </w:r>
          </w:p>
        </w:tc>
        <w:tc>
          <w:tcPr>
            <w:tcW w:w="1681" w:type="dxa"/>
            <w:shd w:val="clear" w:color="auto" w:fill="auto"/>
            <w:vAlign w:val="center"/>
          </w:tcPr>
          <w:p w14:paraId="3373E31A" w14:textId="3D29EB0E" w:rsidR="002D1580" w:rsidRPr="00050FA4" w:rsidRDefault="00B2062A" w:rsidP="002D1580">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p>
          <w:p w14:paraId="34188217" w14:textId="7FDC2FFD" w:rsidR="00A92D0C" w:rsidRPr="00050FA4" w:rsidRDefault="00A92D0C" w:rsidP="002D1580">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0" w:type="auto"/>
            <w:shd w:val="clear" w:color="auto" w:fill="auto"/>
            <w:vAlign w:val="center"/>
          </w:tcPr>
          <w:p w14:paraId="2B438453" w14:textId="313589EC" w:rsidR="00A92D0C" w:rsidRPr="00050FA4" w:rsidRDefault="00B2062A" w:rsidP="002D1580">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3BAD6928" w14:textId="77777777" w:rsidTr="002D1580">
        <w:trPr>
          <w:jc w:val="center"/>
        </w:trPr>
        <w:tc>
          <w:tcPr>
            <w:tcW w:w="5148" w:type="dxa"/>
            <w:shd w:val="clear" w:color="auto" w:fill="auto"/>
          </w:tcPr>
          <w:p w14:paraId="7C597CDD" w14:textId="3E58A7E7" w:rsidR="00A86175" w:rsidRPr="00050FA4" w:rsidRDefault="00A86175" w:rsidP="00A95D23">
            <w:pPr>
              <w:pStyle w:val="TableParagraph"/>
              <w:rPr>
                <w:rFonts w:ascii="Garamond" w:eastAsia="Arial Narrow" w:hAnsi="Garamond" w:cstheme="majorBidi"/>
                <w:color w:val="0D0D0D" w:themeColor="text1" w:themeTint="F2"/>
                <w:sz w:val="18"/>
                <w:szCs w:val="18"/>
              </w:rPr>
            </w:pPr>
            <w:r w:rsidRPr="00050FA4">
              <w:rPr>
                <w:rFonts w:ascii="Garamond" w:hAnsi="Garamond"/>
                <w:color w:val="0D0D0D" w:themeColor="text1" w:themeTint="F2"/>
                <w:sz w:val="18"/>
                <w:szCs w:val="18"/>
              </w:rPr>
              <w:t>Infrastruktura digjitale dhe infrastrukturat e tjera siç janë transporti dhe energjia duhet të koordinohen në mënyrë që të përfitojnë nga sinergjia dhe investimet e përbashkëta</w:t>
            </w:r>
          </w:p>
        </w:tc>
        <w:tc>
          <w:tcPr>
            <w:tcW w:w="1681" w:type="dxa"/>
            <w:shd w:val="clear" w:color="auto" w:fill="auto"/>
          </w:tcPr>
          <w:p w14:paraId="06FDF35F" w14:textId="2644B03D" w:rsidR="00A86175" w:rsidRPr="00050FA4" w:rsidRDefault="00A86175" w:rsidP="00A95D23">
            <w:pPr>
              <w:pStyle w:val="TableParagraph"/>
              <w:rPr>
                <w:rFonts w:ascii="Garamond" w:hAnsi="Garamond"/>
                <w:color w:val="0D0D0D" w:themeColor="text1" w:themeTint="F2"/>
                <w:spacing w:val="-1"/>
                <w:sz w:val="18"/>
                <w:szCs w:val="18"/>
              </w:rPr>
            </w:pPr>
            <w:r w:rsidRPr="00050FA4">
              <w:rPr>
                <w:rFonts w:ascii="Garamond" w:hAnsi="Garamond"/>
                <w:color w:val="0D0D0D" w:themeColor="text1" w:themeTint="F2"/>
                <w:spacing w:val="-1"/>
                <w:sz w:val="18"/>
                <w:szCs w:val="18"/>
              </w:rPr>
              <w:t>E mesme</w:t>
            </w:r>
          </w:p>
        </w:tc>
        <w:tc>
          <w:tcPr>
            <w:tcW w:w="0" w:type="auto"/>
            <w:vMerge w:val="restart"/>
            <w:shd w:val="clear" w:color="auto" w:fill="auto"/>
          </w:tcPr>
          <w:p w14:paraId="576E4081" w14:textId="3A202EBF" w:rsidR="00A86175" w:rsidRPr="00050FA4" w:rsidRDefault="00A86175" w:rsidP="00A95D23">
            <w:pPr>
              <w:pStyle w:val="TableParagraph"/>
              <w:rPr>
                <w:rFonts w:ascii="Garamond" w:hAnsi="Garamond" w:cstheme="majorBidi"/>
                <w:color w:val="0D0D0D" w:themeColor="text1" w:themeTint="F2"/>
                <w:spacing w:val="-1"/>
                <w:sz w:val="18"/>
                <w:szCs w:val="18"/>
              </w:rPr>
            </w:pPr>
            <w:r w:rsidRPr="00050FA4">
              <w:rPr>
                <w:rFonts w:ascii="Garamond" w:hAnsi="Garamond"/>
                <w:color w:val="0D0D0D" w:themeColor="text1" w:themeTint="F2"/>
                <w:sz w:val="18"/>
                <w:szCs w:val="18"/>
              </w:rPr>
              <w:t>Monitorimi, raportimi dhe bashkëpunim i ngushtë i vazhdueshëm midis palëve të interesuara.</w:t>
            </w:r>
          </w:p>
        </w:tc>
      </w:tr>
      <w:tr w:rsidR="00FA29AB" w:rsidRPr="00050FA4" w14:paraId="4677DA7F" w14:textId="77777777" w:rsidTr="002D1580">
        <w:trPr>
          <w:jc w:val="center"/>
        </w:trPr>
        <w:tc>
          <w:tcPr>
            <w:tcW w:w="5148" w:type="dxa"/>
            <w:shd w:val="clear" w:color="auto" w:fill="auto"/>
          </w:tcPr>
          <w:p w14:paraId="06A80AA3" w14:textId="1B94BDF8" w:rsidR="00A86175" w:rsidRPr="00050FA4" w:rsidRDefault="00A86175" w:rsidP="00A95D23">
            <w:pPr>
              <w:pStyle w:val="TableParagraph"/>
              <w:rPr>
                <w:rFonts w:ascii="Garamond" w:eastAsia="Arial Narrow" w:hAnsi="Garamond" w:cstheme="majorBidi"/>
                <w:color w:val="0D0D0D" w:themeColor="text1" w:themeTint="F2"/>
                <w:sz w:val="18"/>
                <w:szCs w:val="18"/>
              </w:rPr>
            </w:pPr>
            <w:r w:rsidRPr="00050FA4">
              <w:rPr>
                <w:rFonts w:ascii="Garamond" w:hAnsi="Garamond"/>
                <w:color w:val="0D0D0D" w:themeColor="text1" w:themeTint="F2"/>
                <w:sz w:val="18"/>
                <w:szCs w:val="18"/>
              </w:rPr>
              <w:t>Mungesa e bashkëpunimit midis aktorëve të ndryshëm të përfshirë në këtë proces është një nga vështirësitë</w:t>
            </w:r>
            <w:r w:rsidR="00317D3D" w:rsidRPr="00050FA4">
              <w:rPr>
                <w:rFonts w:ascii="Garamond" w:hAnsi="Garamond"/>
                <w:color w:val="0D0D0D" w:themeColor="text1" w:themeTint="F2"/>
                <w:sz w:val="18"/>
                <w:szCs w:val="18"/>
              </w:rPr>
              <w:t xml:space="preserve"> e identifikuara në këtë sektor</w:t>
            </w:r>
          </w:p>
        </w:tc>
        <w:tc>
          <w:tcPr>
            <w:tcW w:w="1681" w:type="dxa"/>
            <w:shd w:val="clear" w:color="auto" w:fill="auto"/>
          </w:tcPr>
          <w:p w14:paraId="77ACC04A" w14:textId="519EFD7F" w:rsidR="00A86175" w:rsidRPr="00050FA4" w:rsidRDefault="00A86175" w:rsidP="00A95D23">
            <w:pPr>
              <w:pStyle w:val="TableParagraph"/>
              <w:rPr>
                <w:rFonts w:ascii="Garamond" w:hAnsi="Garamond" w:cstheme="majorBidi"/>
                <w:color w:val="0D0D0D" w:themeColor="text1" w:themeTint="F2"/>
                <w:spacing w:val="-1"/>
                <w:sz w:val="18"/>
                <w:szCs w:val="18"/>
              </w:rPr>
            </w:pPr>
            <w:r w:rsidRPr="00050FA4">
              <w:rPr>
                <w:rFonts w:ascii="Garamond" w:hAnsi="Garamond"/>
                <w:color w:val="0D0D0D" w:themeColor="text1" w:themeTint="F2"/>
                <w:spacing w:val="-1"/>
                <w:sz w:val="18"/>
                <w:szCs w:val="18"/>
              </w:rPr>
              <w:t>E mesme</w:t>
            </w:r>
          </w:p>
        </w:tc>
        <w:tc>
          <w:tcPr>
            <w:tcW w:w="0" w:type="auto"/>
            <w:vMerge/>
            <w:shd w:val="clear" w:color="auto" w:fill="auto"/>
          </w:tcPr>
          <w:p w14:paraId="3959D61D" w14:textId="77777777" w:rsidR="00A86175" w:rsidRPr="00050FA4" w:rsidRDefault="00A86175" w:rsidP="00A95D23">
            <w:pPr>
              <w:pStyle w:val="TableParagraph"/>
              <w:rPr>
                <w:rFonts w:ascii="Garamond" w:hAnsi="Garamond" w:cstheme="majorBidi"/>
                <w:color w:val="0D0D0D" w:themeColor="text1" w:themeTint="F2"/>
                <w:spacing w:val="-1"/>
                <w:sz w:val="18"/>
                <w:szCs w:val="18"/>
              </w:rPr>
            </w:pPr>
          </w:p>
        </w:tc>
      </w:tr>
    </w:tbl>
    <w:p w14:paraId="0BE95E56" w14:textId="77777777" w:rsidR="00263B19" w:rsidRPr="00050FA4" w:rsidRDefault="00263B19" w:rsidP="003F1DA7">
      <w:pPr>
        <w:ind w:firstLine="284"/>
        <w:rPr>
          <w:rFonts w:ascii="Garamond" w:hAnsi="Garamond" w:cstheme="majorBidi"/>
          <w:color w:val="0D0D0D" w:themeColor="text1" w:themeTint="F2"/>
          <w:sz w:val="20"/>
          <w:szCs w:val="20"/>
        </w:rPr>
      </w:pPr>
    </w:p>
    <w:p w14:paraId="58716580" w14:textId="0BAA049A" w:rsidR="00C21F03" w:rsidRPr="00050FA4" w:rsidRDefault="00D56FB0" w:rsidP="003F1DA7">
      <w:pPr>
        <w:pStyle w:val="AAAAAAATEXXXX"/>
        <w:rPr>
          <w:b/>
          <w:lang w:val="sq-AL"/>
        </w:rPr>
      </w:pPr>
      <w:bookmarkStart w:id="62" w:name="_Toc93325772"/>
      <w:r w:rsidRPr="00050FA4">
        <w:rPr>
          <w:b/>
          <w:lang w:val="sq-AL"/>
        </w:rPr>
        <w:t xml:space="preserve">5.2.4 </w:t>
      </w:r>
      <w:r w:rsidR="005B1B04" w:rsidRPr="00050FA4">
        <w:rPr>
          <w:b/>
          <w:lang w:val="sq-AL"/>
        </w:rPr>
        <w:t>Mjedisi i biznesit dhe reduktimi i ekonomisë informale</w:t>
      </w:r>
      <w:bookmarkEnd w:id="62"/>
    </w:p>
    <w:p w14:paraId="47711F24" w14:textId="7352C53C" w:rsidR="005B1B04" w:rsidRPr="00050FA4" w:rsidRDefault="009E5AC9" w:rsidP="003F1DA7">
      <w:pPr>
        <w:pStyle w:val="AAAAAAATEXXXX"/>
        <w:rPr>
          <w:b/>
          <w:i/>
          <w:lang w:val="sq-AL"/>
        </w:rPr>
      </w:pPr>
      <w:r w:rsidRPr="00050FA4">
        <w:rPr>
          <w:b/>
          <w:i/>
          <w:lang w:val="sq-AL"/>
        </w:rPr>
        <w:t>a</w:t>
      </w:r>
      <w:r w:rsidR="00317D3D" w:rsidRPr="00050FA4">
        <w:rPr>
          <w:b/>
          <w:i/>
          <w:lang w:val="sq-AL"/>
        </w:rPr>
        <w:t xml:space="preserve">) </w:t>
      </w:r>
      <w:r w:rsidR="005B1B04" w:rsidRPr="00050FA4">
        <w:rPr>
          <w:b/>
          <w:i/>
          <w:lang w:val="sq-AL"/>
        </w:rPr>
        <w:t>Analiza e pengesave kryesore</w:t>
      </w:r>
    </w:p>
    <w:p w14:paraId="1BAE0336" w14:textId="5E388AF2" w:rsidR="005B1B04" w:rsidRPr="00050FA4" w:rsidRDefault="00CD0E63" w:rsidP="003F1DA7">
      <w:pPr>
        <w:pStyle w:val="AAAAAAATEXXXX"/>
        <w:rPr>
          <w:lang w:val="sq-AL"/>
        </w:rPr>
      </w:pPr>
      <w:r w:rsidRPr="00050FA4">
        <w:rPr>
          <w:lang w:val="sq-AL"/>
        </w:rPr>
        <w:t>Pavarësisht progresit të fundit në rritjen e numrit të bizneseve të regjistruara, këto të fundit ndonjëherë ende nuk deklarojnë taksa apo punëtorë dhe kryejnë transaksione kryesisht me para në dorë. Bizneset informale në përgjithësi kanë produktivitet më të ulët se bizneset formale, gjë që është një zvarritje për firmat dhe një zvarritje për ekonominë. Të ardhurat publike zvogëlohen nga aktiviteti i fshehur ekonomik, duke rezultuar në uljen e ofrimit të të mirave dhe shërbimeve publike. Biznesi i kryer jashtë ekonomisë së rregulluar rrit sigurinë, shëndetin, mbrojtjen sociale dhe rreziqet mjedisore për punëtorët dhe komunitetet. Informaliteti pengon jo vetëm zhvillimin e atyre bizneseve që vendosin të qëndrojnë informalë, por është gjithashtu një pengesë për kompanitë formale të përballura me konkurrencën nga sektori informal. Duke qenë jashtë ekonomisë formale, këtyre kompanive u mungon mundësia për të përfituar nga aksesi në financa formale, aksesi në tregjet formale dhe nga mbrojtja ligjore e pronës, kontratave dhe investimeve të tyre. Për të lejuar bizneset të kontribuojnë më mirë në ekonomi, është e rëndësishme që qeveria të vazhdojë të investojë në mënyrë thelbësore në formalizimin e këtyre NMVM-ve. Qeveri</w:t>
      </w:r>
      <w:r w:rsidR="00E67ECA" w:rsidRPr="00050FA4">
        <w:rPr>
          <w:lang w:val="sq-AL"/>
        </w:rPr>
        <w:t>a shqiptare është e angazhuar t’</w:t>
      </w:r>
      <w:r w:rsidRPr="00050FA4">
        <w:rPr>
          <w:lang w:val="sq-AL"/>
        </w:rPr>
        <w:t>i shërbejë mirëqeverisjes së bizneseve, si dhe të reduktojë qasjen korruptive në disa aspekte në luftën kundër evazionit dhe informalitetit. Gjatë periudhës 2020</w:t>
      </w:r>
      <w:r w:rsidR="0082792B" w:rsidRPr="00050FA4">
        <w:rPr>
          <w:lang w:val="sq-AL"/>
        </w:rPr>
        <w:t>–</w:t>
      </w:r>
      <w:r w:rsidRPr="00050FA4">
        <w:rPr>
          <w:lang w:val="sq-AL"/>
        </w:rPr>
        <w:t xml:space="preserve">2021, qeveria shqiptare u përfshi në një proces shumë të rëndësishëm lidhur me </w:t>
      </w:r>
      <w:r w:rsidR="0082792B" w:rsidRPr="00050FA4">
        <w:rPr>
          <w:lang w:val="sq-AL"/>
        </w:rPr>
        <w:t>ligjin e fiskalizimit</w:t>
      </w:r>
      <w:r w:rsidRPr="00050FA4">
        <w:rPr>
          <w:lang w:val="sq-AL"/>
        </w:rPr>
        <w:t>, i cili do të ndihmojë drejtpërdrejt Administratën Tatimore për të marrë të dhëna në kohë reale dhe të sakta, për të gjitha transaksionet e biznesit me administratën tatimore, por</w:t>
      </w:r>
      <w:r w:rsidR="0082792B" w:rsidRPr="00050FA4">
        <w:rPr>
          <w:lang w:val="sq-AL"/>
        </w:rPr>
        <w:t>,</w:t>
      </w:r>
      <w:r w:rsidRPr="00050FA4">
        <w:rPr>
          <w:lang w:val="sq-AL"/>
        </w:rPr>
        <w:t xml:space="preserve"> gjithashtu</w:t>
      </w:r>
      <w:r w:rsidR="0082792B" w:rsidRPr="00050FA4">
        <w:rPr>
          <w:lang w:val="sq-AL"/>
        </w:rPr>
        <w:t>,</w:t>
      </w:r>
      <w:r w:rsidRPr="00050FA4">
        <w:rPr>
          <w:lang w:val="sq-AL"/>
        </w:rPr>
        <w:t xml:space="preserve"> të gjitha informacionet që qarkullojnë në marrëdhëniet </w:t>
      </w:r>
      <w:r w:rsidR="008A0E5B" w:rsidRPr="00050FA4">
        <w:rPr>
          <w:lang w:val="sq-AL"/>
        </w:rPr>
        <w:t>“</w:t>
      </w:r>
      <w:r w:rsidRPr="00050FA4">
        <w:rPr>
          <w:lang w:val="sq-AL"/>
        </w:rPr>
        <w:t>biznes me biznes</w:t>
      </w:r>
      <w:r w:rsidR="008A0E5B" w:rsidRPr="00050FA4">
        <w:rPr>
          <w:lang w:val="sq-AL"/>
        </w:rPr>
        <w:t>”</w:t>
      </w:r>
      <w:r w:rsidRPr="00050FA4">
        <w:rPr>
          <w:lang w:val="sq-AL"/>
        </w:rPr>
        <w:t xml:space="preserve"> dhe </w:t>
      </w:r>
      <w:r w:rsidR="008A0E5B" w:rsidRPr="00050FA4">
        <w:rPr>
          <w:lang w:val="sq-AL"/>
        </w:rPr>
        <w:t>“</w:t>
      </w:r>
      <w:r w:rsidRPr="00050FA4">
        <w:rPr>
          <w:lang w:val="sq-AL"/>
        </w:rPr>
        <w:t>biznes me qeverinë</w:t>
      </w:r>
      <w:r w:rsidR="008A0E5B" w:rsidRPr="00050FA4">
        <w:rPr>
          <w:lang w:val="sq-AL"/>
        </w:rPr>
        <w:t>”</w:t>
      </w:r>
      <w:r w:rsidRPr="00050FA4">
        <w:rPr>
          <w:lang w:val="sq-AL"/>
        </w:rPr>
        <w:t>. Synimi është që në vitin 2021 i gjithë procesi i informacionit përmes faturimit të jetë elektronik dhe kjo të ushtrojë një presion edhe më të madh drejt aksesit në pasqyrat reale financiare dhe jo ato fiskale që sot i konsiderojmë larg realitetit.</w:t>
      </w:r>
    </w:p>
    <w:p w14:paraId="40B5DF03" w14:textId="2556BD54" w:rsidR="00C21F03" w:rsidRPr="00050FA4" w:rsidRDefault="00D56FB0" w:rsidP="003F1DA7">
      <w:pPr>
        <w:pStyle w:val="AAAAAAATEXXXX"/>
        <w:rPr>
          <w:b/>
          <w:lang w:val="sq-AL"/>
        </w:rPr>
      </w:pPr>
      <w:bookmarkStart w:id="63" w:name="_Toc93325773"/>
      <w:r w:rsidRPr="00050FA4">
        <w:rPr>
          <w:b/>
          <w:lang w:val="sq-AL"/>
        </w:rPr>
        <w:t xml:space="preserve">5.2.5 </w:t>
      </w:r>
      <w:r w:rsidR="008D080B" w:rsidRPr="00050FA4">
        <w:rPr>
          <w:b/>
          <w:lang w:val="sq-AL"/>
        </w:rPr>
        <w:t>Integrimi ekonomik</w:t>
      </w:r>
      <w:bookmarkEnd w:id="63"/>
    </w:p>
    <w:p w14:paraId="1E4DFF4A" w14:textId="7509C1BB" w:rsidR="00CC1612" w:rsidRPr="00050FA4" w:rsidRDefault="009E5AC9" w:rsidP="003F1DA7">
      <w:pPr>
        <w:pStyle w:val="AAAAAAATEXXXX"/>
        <w:rPr>
          <w:i/>
          <w:lang w:val="sq-AL"/>
        </w:rPr>
      </w:pPr>
      <w:r w:rsidRPr="00050FA4">
        <w:rPr>
          <w:i/>
          <w:lang w:val="sq-AL"/>
        </w:rPr>
        <w:t>a</w:t>
      </w:r>
      <w:r w:rsidR="002D1580" w:rsidRPr="00050FA4">
        <w:rPr>
          <w:i/>
          <w:lang w:val="sq-AL"/>
        </w:rPr>
        <w:t>)</w:t>
      </w:r>
      <w:r w:rsidRPr="00050FA4">
        <w:rPr>
          <w:i/>
          <w:lang w:val="sq-AL"/>
        </w:rPr>
        <w:t xml:space="preserve"> </w:t>
      </w:r>
      <w:r w:rsidR="00B2062A" w:rsidRPr="00050FA4">
        <w:rPr>
          <w:i/>
          <w:lang w:val="sq-AL"/>
        </w:rPr>
        <w:t>Analiza e pengesave kryesore</w:t>
      </w:r>
    </w:p>
    <w:p w14:paraId="44256759" w14:textId="66BC9FE7" w:rsidR="0055335A" w:rsidRPr="00050FA4" w:rsidRDefault="0055335A" w:rsidP="003F1DA7">
      <w:pPr>
        <w:pStyle w:val="AAAAAAATEXXXX"/>
        <w:rPr>
          <w:lang w:val="sq-AL"/>
        </w:rPr>
      </w:pPr>
      <w:r w:rsidRPr="00050FA4">
        <w:rPr>
          <w:lang w:val="sq-AL"/>
        </w:rPr>
        <w:t xml:space="preserve">Sipas raportit të OECD </w:t>
      </w:r>
      <w:r w:rsidR="008A0E5B" w:rsidRPr="00050FA4">
        <w:rPr>
          <w:lang w:val="sq-AL"/>
        </w:rPr>
        <w:t>“</w:t>
      </w:r>
      <w:r w:rsidRPr="00050FA4">
        <w:rPr>
          <w:lang w:val="sq-AL"/>
        </w:rPr>
        <w:t>Outlook Competitiveness</w:t>
      </w:r>
      <w:r w:rsidR="008A0E5B" w:rsidRPr="00050FA4">
        <w:rPr>
          <w:lang w:val="sq-AL"/>
        </w:rPr>
        <w:t>”</w:t>
      </w:r>
      <w:r w:rsidRPr="00050FA4">
        <w:rPr>
          <w:lang w:val="sq-AL"/>
        </w:rPr>
        <w:t xml:space="preserve"> 2021, performanca e Shqipërisë në dimensionin e politikës tregtare është përmirësuar që nga viti 2018. Rezultati i ekonomisë shqiptare është rritur nga 2.8 në Perspektivën e Konkurrueshmërisë 2018 në 3.5 në vlerësimin e 2021.</w:t>
      </w:r>
    </w:p>
    <w:p w14:paraId="5086DCFB" w14:textId="77777777" w:rsidR="0055335A" w:rsidRPr="00050FA4" w:rsidRDefault="0055335A" w:rsidP="003F1DA7">
      <w:pPr>
        <w:pStyle w:val="AAAAAAATEXXXX"/>
        <w:rPr>
          <w:rFonts w:cstheme="majorBidi"/>
          <w:color w:val="0D0D0D" w:themeColor="text1" w:themeTint="F2"/>
          <w:lang w:val="sq-AL"/>
        </w:rPr>
      </w:pPr>
      <w:r w:rsidRPr="00050FA4">
        <w:rPr>
          <w:rFonts w:cstheme="majorBidi"/>
          <w:color w:val="0D0D0D" w:themeColor="text1" w:themeTint="F2"/>
          <w:lang w:val="sq-AL"/>
        </w:rPr>
        <w:t>Progresi i arritur veçanërisht në transparencën rregullatore, përmirësimin e konsultimeve publike në hartimin e politikave tregtare dhe zhvillimin dhe koordinimin e politikave tregtare. Mekanizmi i koordinimit ndërinstitucional të ekonomisë është forcuar nëpërmjet miratimit të rregullave dhe procedurave të reja për Komitetin Kombëtar të Lehtësimit të Tregtisë (KKLT).</w:t>
      </w:r>
    </w:p>
    <w:p w14:paraId="60D86305" w14:textId="74A12044" w:rsidR="0055335A" w:rsidRPr="00050FA4" w:rsidRDefault="0055335A" w:rsidP="003F1DA7">
      <w:pPr>
        <w:pStyle w:val="AAAAAAATEXXXX"/>
        <w:rPr>
          <w:lang w:val="sq-AL"/>
        </w:rPr>
      </w:pPr>
      <w:r w:rsidRPr="00050FA4">
        <w:rPr>
          <w:lang w:val="sq-AL"/>
        </w:rPr>
        <w:t xml:space="preserve">Gjatë situatës së </w:t>
      </w:r>
      <w:r w:rsidR="0082792B" w:rsidRPr="00050FA4">
        <w:rPr>
          <w:lang w:val="sq-AL"/>
        </w:rPr>
        <w:t>COVID</w:t>
      </w:r>
      <w:r w:rsidRPr="00050FA4">
        <w:rPr>
          <w:lang w:val="sq-AL"/>
        </w:rPr>
        <w:t>-it, Shqipëria është i vetmi vend që nuk ka vendosur masa kufizuese tregtare.</w:t>
      </w:r>
    </w:p>
    <w:p w14:paraId="204FBA96" w14:textId="77777777" w:rsidR="0055335A" w:rsidRPr="00050FA4" w:rsidRDefault="0055335A" w:rsidP="003F1DA7">
      <w:pPr>
        <w:pStyle w:val="AAAAAAATEXXXX"/>
        <w:rPr>
          <w:lang w:val="sq-AL"/>
        </w:rPr>
      </w:pPr>
      <w:r w:rsidRPr="00050FA4">
        <w:rPr>
          <w:lang w:val="sq-AL"/>
        </w:rPr>
        <w:t>Eksportet e mallrave dhe shërbimeve të Shqipërisë, të cilat kishin qenë në rritje të qëndrueshme që nga viti 2015, u stabilizuan në vitin 2018. Tregtia e përgjithshme në 2019 ishte 79.6% e PBB-së, afërsisht e njëjtë me vitin 2018 (në terma realë), krahasuar me 75.4% në 2014. Eksportet e mallrave shqiptar arritën në 2.4 miliardë euro në vitin 2019, ndërsa importet u rritën më ngadalë, duke arritur në 5 miliardë euro. Në vitin 2019, eksportet e mallrave dhe shërbimeve të Shqipërisë arritën në 31.6% të PBB-së ndërsa importet ishin 45.3%. Në përgjithësi, deficiti i tregtisë së jashtme arriti në 13.8% të PBB-së së ekonomisë në vitin 2019.</w:t>
      </w:r>
    </w:p>
    <w:p w14:paraId="34949099" w14:textId="48548341" w:rsidR="0055335A" w:rsidRPr="00050FA4" w:rsidRDefault="0055335A" w:rsidP="003F1DA7">
      <w:pPr>
        <w:pStyle w:val="AAAAAAATEXXXX"/>
        <w:rPr>
          <w:lang w:val="sq-AL"/>
        </w:rPr>
      </w:pPr>
      <w:r w:rsidRPr="00050FA4">
        <w:rPr>
          <w:lang w:val="sq-AL"/>
        </w:rPr>
        <w:t>Shqipëria ka intensifikuar bashkëpunimin me Sekretariatin e CEFTA-s dhe RCC-në për zbatimin e masave të Planit të Veprimit 2021</w:t>
      </w:r>
      <w:r w:rsidR="0082792B" w:rsidRPr="00050FA4">
        <w:rPr>
          <w:lang w:val="sq-AL"/>
        </w:rPr>
        <w:t>–</w:t>
      </w:r>
      <w:r w:rsidRPr="00050FA4">
        <w:rPr>
          <w:lang w:val="sq-AL"/>
        </w:rPr>
        <w:t>2024 në të gjitha fushat prioritare që lidhen me 4 liritë. Për shumicën e shtyllave, roli kryesor koordinues i takon Ministrisë së Financave dhe Ekonomisë.</w:t>
      </w:r>
    </w:p>
    <w:p w14:paraId="2B8793D5" w14:textId="77777777" w:rsidR="0055335A" w:rsidRPr="00050FA4" w:rsidRDefault="0055335A" w:rsidP="003F1DA7">
      <w:pPr>
        <w:pStyle w:val="AAAAAAATEXXXX"/>
        <w:rPr>
          <w:rFonts w:cstheme="majorBidi"/>
          <w:color w:val="0D0D0D" w:themeColor="text1" w:themeTint="F2"/>
          <w:lang w:val="sq-AL"/>
        </w:rPr>
      </w:pPr>
      <w:r w:rsidRPr="00050FA4">
        <w:rPr>
          <w:rFonts w:cstheme="majorBidi"/>
          <w:color w:val="0D0D0D" w:themeColor="text1" w:themeTint="F2"/>
          <w:lang w:val="sq-AL"/>
        </w:rPr>
        <w:t>Lidhur me zbatimin e Protokollit Shtesë 5 të CEFTA-s për Lehtësimin e Tregtisë, Shqipëria po punon në nivel rajonal:</w:t>
      </w:r>
    </w:p>
    <w:p w14:paraId="0B3F26E7" w14:textId="26E0FDD3" w:rsidR="0055335A" w:rsidRPr="00050FA4" w:rsidRDefault="0055335A" w:rsidP="003F1DA7">
      <w:pPr>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xml:space="preserve">Për të zgjeruar </w:t>
      </w:r>
      <w:r w:rsidR="008138A6" w:rsidRPr="00050FA4">
        <w:rPr>
          <w:rFonts w:ascii="Garamond" w:hAnsi="Garamond" w:cstheme="majorBidi"/>
          <w:color w:val="0D0D0D" w:themeColor="text1" w:themeTint="F2"/>
        </w:rPr>
        <w:t xml:space="preserve">korsitë/korridoret </w:t>
      </w:r>
      <w:r w:rsidRPr="00050FA4">
        <w:rPr>
          <w:rFonts w:ascii="Garamond" w:hAnsi="Garamond" w:cstheme="majorBidi"/>
          <w:color w:val="0D0D0D" w:themeColor="text1" w:themeTint="F2"/>
        </w:rPr>
        <w:t xml:space="preserve">e </w:t>
      </w:r>
      <w:r w:rsidR="00CF1976" w:rsidRPr="00050FA4">
        <w:rPr>
          <w:rFonts w:ascii="Garamond" w:hAnsi="Garamond" w:cstheme="majorBidi"/>
          <w:color w:val="0D0D0D" w:themeColor="text1" w:themeTint="F2"/>
        </w:rPr>
        <w:t xml:space="preserve">gjelbërta </w:t>
      </w:r>
      <w:r w:rsidRPr="00050FA4">
        <w:rPr>
          <w:rFonts w:ascii="Garamond" w:hAnsi="Garamond" w:cstheme="majorBidi"/>
          <w:color w:val="0D0D0D" w:themeColor="text1" w:themeTint="F2"/>
        </w:rPr>
        <w:t>me shtetet anëtare të BE-së, me Greqinë</w:t>
      </w:r>
      <w:r w:rsidR="00CF1976" w:rsidRPr="00050FA4">
        <w:rPr>
          <w:rFonts w:ascii="Garamond" w:hAnsi="Garamond" w:cstheme="majorBidi"/>
          <w:color w:val="0D0D0D" w:themeColor="text1" w:themeTint="F2"/>
        </w:rPr>
        <w:t>,</w:t>
      </w:r>
      <w:r w:rsidRPr="00050FA4">
        <w:rPr>
          <w:rFonts w:ascii="Garamond" w:hAnsi="Garamond" w:cstheme="majorBidi"/>
          <w:color w:val="0D0D0D" w:themeColor="text1" w:themeTint="F2"/>
        </w:rPr>
        <w:t xml:space="preserve"> </w:t>
      </w:r>
      <w:r w:rsidR="00CF1976" w:rsidRPr="00050FA4">
        <w:rPr>
          <w:rFonts w:ascii="Garamond" w:hAnsi="Garamond" w:cstheme="majorBidi"/>
          <w:color w:val="0D0D0D" w:themeColor="text1" w:themeTint="F2"/>
        </w:rPr>
        <w:t xml:space="preserve">pikën kufitare </w:t>
      </w:r>
      <w:r w:rsidRPr="00050FA4">
        <w:rPr>
          <w:rFonts w:ascii="Garamond" w:hAnsi="Garamond" w:cstheme="majorBidi"/>
          <w:color w:val="0D0D0D" w:themeColor="text1" w:themeTint="F2"/>
        </w:rPr>
        <w:t>të Kapshticës dhe Kakavijës;</w:t>
      </w:r>
    </w:p>
    <w:p w14:paraId="10C41B33" w14:textId="77142120" w:rsidR="0055335A" w:rsidRPr="00050FA4" w:rsidRDefault="009E5AC9" w:rsidP="003F1DA7">
      <w:pPr>
        <w:pStyle w:val="AAAAAAATEXXXX"/>
        <w:rPr>
          <w:lang w:val="sq-AL"/>
        </w:rPr>
      </w:pPr>
      <w:r w:rsidRPr="00050FA4">
        <w:rPr>
          <w:lang w:val="sq-AL"/>
        </w:rPr>
        <w:t xml:space="preserve">- </w:t>
      </w:r>
      <w:r w:rsidR="0055335A" w:rsidRPr="00050FA4">
        <w:rPr>
          <w:lang w:val="sq-AL"/>
        </w:rPr>
        <w:t xml:space="preserve">Për të reduktuar kohën e pritjes në pikat kufitare të kamionëve dhe të </w:t>
      </w:r>
      <w:r w:rsidR="0055335A" w:rsidRPr="00050FA4">
        <w:rPr>
          <w:b/>
          <w:lang w:val="sq-AL"/>
        </w:rPr>
        <w:t>harmonizojë orarin e punës</w:t>
      </w:r>
      <w:r w:rsidR="0055335A" w:rsidRPr="00050FA4">
        <w:rPr>
          <w:lang w:val="sq-AL"/>
        </w:rPr>
        <w:t xml:space="preserve"> së të gjitha autoriteteve inspektuese me palët e CEFTA</w:t>
      </w:r>
      <w:r w:rsidR="00CF1976" w:rsidRPr="00050FA4">
        <w:rPr>
          <w:lang w:val="sq-AL"/>
        </w:rPr>
        <w:t>-s</w:t>
      </w:r>
      <w:r w:rsidR="0055335A" w:rsidRPr="00050FA4">
        <w:rPr>
          <w:lang w:val="sq-AL"/>
        </w:rPr>
        <w:t xml:space="preserve"> fqinje dhe po mbështet propozimin për </w:t>
      </w:r>
      <w:r w:rsidR="0055335A" w:rsidRPr="00050FA4">
        <w:rPr>
          <w:lang w:val="sq-AL"/>
        </w:rPr>
        <w:lastRenderedPageBreak/>
        <w:t>harmonizimin e orarit 24/7.</w:t>
      </w:r>
    </w:p>
    <w:p w14:paraId="4E543E9B" w14:textId="3BEC34F1" w:rsidR="0055335A" w:rsidRPr="00050FA4" w:rsidRDefault="009E5AC9" w:rsidP="003F1DA7">
      <w:pPr>
        <w:pStyle w:val="AAAAAAATEXXXX"/>
        <w:rPr>
          <w:lang w:val="sq-AL"/>
        </w:rPr>
      </w:pPr>
      <w:r w:rsidRPr="00050FA4">
        <w:rPr>
          <w:lang w:val="sq-AL"/>
        </w:rPr>
        <w:t xml:space="preserve">- </w:t>
      </w:r>
      <w:r w:rsidR="0055335A" w:rsidRPr="00050FA4">
        <w:rPr>
          <w:lang w:val="sq-AL"/>
        </w:rPr>
        <w:t xml:space="preserve">Për të zbatuar </w:t>
      </w:r>
      <w:r w:rsidR="00CF1976" w:rsidRPr="00050FA4">
        <w:rPr>
          <w:lang w:val="sq-AL"/>
        </w:rPr>
        <w:t xml:space="preserve">vendimin </w:t>
      </w:r>
      <w:r w:rsidR="0055335A" w:rsidRPr="00050FA4">
        <w:rPr>
          <w:lang w:val="sq-AL"/>
        </w:rPr>
        <w:t xml:space="preserve">e Komitetit të Përbashkët për </w:t>
      </w:r>
      <w:r w:rsidR="0055335A" w:rsidRPr="00050FA4">
        <w:rPr>
          <w:b/>
          <w:lang w:val="sq-AL"/>
        </w:rPr>
        <w:t>Lehtësimin e Tregtisë së Frutave dhe Perimeve</w:t>
      </w:r>
      <w:r w:rsidR="0055335A" w:rsidRPr="00050FA4">
        <w:rPr>
          <w:lang w:val="sq-AL"/>
        </w:rPr>
        <w:t>, ku është rënë dakord për listën e frutave dhe perimeve për të cilat situata fitosanitare në të gjitha palët është e ngjashme, duke punuar në rajon për hartimin e planeve shumëvjeçare të kontrollit</w:t>
      </w:r>
      <w:r w:rsidR="00CF1976" w:rsidRPr="00050FA4">
        <w:rPr>
          <w:lang w:val="sq-AL"/>
        </w:rPr>
        <w:t>,</w:t>
      </w:r>
      <w:r w:rsidR="003C1014" w:rsidRPr="00050FA4">
        <w:rPr>
          <w:lang w:val="sq-AL"/>
        </w:rPr>
        <w:t xml:space="preserve"> si dhe ka bërë </w:t>
      </w:r>
      <w:r w:rsidR="0055335A" w:rsidRPr="00050FA4">
        <w:rPr>
          <w:lang w:val="sq-AL"/>
        </w:rPr>
        <w:t>regjistrimin e operatorëve eksportues që duan të përfshihen në eksport, lista i është d</w:t>
      </w:r>
      <w:r w:rsidR="000C661E" w:rsidRPr="00050FA4">
        <w:rPr>
          <w:lang w:val="sq-AL"/>
        </w:rPr>
        <w:t>ërguar Sekretariatit të CEFTA-s</w:t>
      </w:r>
      <w:r w:rsidR="0055335A" w:rsidRPr="00050FA4">
        <w:rPr>
          <w:lang w:val="sq-AL"/>
        </w:rPr>
        <w:t>.</w:t>
      </w:r>
    </w:p>
    <w:p w14:paraId="10F29A4D" w14:textId="66444ADE" w:rsidR="0055335A" w:rsidRPr="00050FA4" w:rsidRDefault="009E5AC9" w:rsidP="003F1DA7">
      <w:pPr>
        <w:pStyle w:val="AAAAAAATEXXXX"/>
        <w:rPr>
          <w:lang w:val="sq-AL"/>
        </w:rPr>
      </w:pPr>
      <w:r w:rsidRPr="00050FA4">
        <w:rPr>
          <w:lang w:val="sq-AL"/>
        </w:rPr>
        <w:t xml:space="preserve">- </w:t>
      </w:r>
      <w:r w:rsidR="0055335A" w:rsidRPr="00050FA4">
        <w:rPr>
          <w:lang w:val="sq-AL"/>
        </w:rPr>
        <w:t xml:space="preserve">Të zbatohet vendimi i Komitetit të Përbashkët </w:t>
      </w:r>
      <w:r w:rsidR="0055335A" w:rsidRPr="00050FA4">
        <w:rPr>
          <w:b/>
          <w:lang w:val="sq-AL"/>
        </w:rPr>
        <w:t>për programet e njohjes reciproke të operatorëve ekonomikë të autorizuar (OAE)</w:t>
      </w:r>
      <w:r w:rsidR="0055335A" w:rsidRPr="00050FA4">
        <w:rPr>
          <w:lang w:val="sq-AL"/>
        </w:rPr>
        <w:t>, - si rezultat i fushatës sensibilizuese janë paraqitur 9 aplikime për autorizim nga kompanitë e interesuara. Gjatë muajit shtator 2021, Drejtoria e Përgjithshme e Doganave Shqiptare ka dorëzuar në Sekretariatin e CEFTA-s dokumentacionin për 4 aplikime për vleftësimin e OEA.</w:t>
      </w:r>
    </w:p>
    <w:p w14:paraId="5D04767D" w14:textId="3A663367" w:rsidR="0055335A" w:rsidRPr="00050FA4" w:rsidRDefault="0055335A" w:rsidP="00A95D23">
      <w:pPr>
        <w:ind w:firstLine="284"/>
        <w:jc w:val="both"/>
        <w:rPr>
          <w:rFonts w:ascii="Garamond" w:eastAsia="Times New Roman" w:hAnsi="Garamond" w:cstheme="majorBidi"/>
          <w:color w:val="0D0D0D" w:themeColor="text1" w:themeTint="F2"/>
        </w:rPr>
      </w:pPr>
      <w:r w:rsidRPr="00050FA4">
        <w:rPr>
          <w:rFonts w:ascii="Garamond" w:eastAsia="Times New Roman" w:hAnsi="Garamond" w:cstheme="majorBidi"/>
          <w:color w:val="0D0D0D" w:themeColor="text1" w:themeTint="F2"/>
        </w:rPr>
        <w:t xml:space="preserve">Protokolli Shtesë </w:t>
      </w:r>
      <w:r w:rsidRPr="00050FA4">
        <w:rPr>
          <w:rFonts w:ascii="Garamond" w:eastAsia="Times New Roman" w:hAnsi="Garamond" w:cstheme="majorBidi"/>
          <w:b/>
          <w:color w:val="0D0D0D" w:themeColor="text1" w:themeTint="F2"/>
        </w:rPr>
        <w:t>i CEFTA-s (AP) 6 për liberalizimin e tregtisë së shërbimeve</w:t>
      </w:r>
      <w:r w:rsidRPr="00050FA4">
        <w:rPr>
          <w:rFonts w:ascii="Garamond" w:eastAsia="Times New Roman" w:hAnsi="Garamond" w:cstheme="majorBidi"/>
          <w:color w:val="0D0D0D" w:themeColor="text1" w:themeTint="F2"/>
        </w:rPr>
        <w:t xml:space="preserve"> ka hyrë në fuqi më 11 janar 2021 dhe ka filluar zbatimin pas depozitimit të instrumentit të tretë të ratifikimit. Në dritën e angazhimit të Protokollit Shtesë 6 dhe Planit të Vepri</w:t>
      </w:r>
      <w:r w:rsidR="00D812CC" w:rsidRPr="00050FA4">
        <w:rPr>
          <w:rFonts w:ascii="Garamond" w:eastAsia="Times New Roman" w:hAnsi="Garamond" w:cstheme="majorBidi"/>
          <w:color w:val="0D0D0D" w:themeColor="text1" w:themeTint="F2"/>
        </w:rPr>
        <w:t>mit CRM 2021–</w:t>
      </w:r>
      <w:r w:rsidRPr="00050FA4">
        <w:rPr>
          <w:rFonts w:ascii="Garamond" w:eastAsia="Times New Roman" w:hAnsi="Garamond" w:cstheme="majorBidi"/>
          <w:color w:val="0D0D0D" w:themeColor="text1" w:themeTint="F2"/>
        </w:rPr>
        <w:t>2024:</w:t>
      </w:r>
    </w:p>
    <w:p w14:paraId="0F428EC0" w14:textId="2D26C245" w:rsidR="0055335A" w:rsidRPr="00050FA4" w:rsidRDefault="009E5AC9" w:rsidP="00A95D23">
      <w:pPr>
        <w:pStyle w:val="AAAAAAATEXXXX"/>
        <w:rPr>
          <w:lang w:val="sq-AL"/>
        </w:rPr>
      </w:pPr>
      <w:r w:rsidRPr="00050FA4">
        <w:rPr>
          <w:lang w:val="sq-AL"/>
        </w:rPr>
        <w:t xml:space="preserve">- </w:t>
      </w:r>
      <w:r w:rsidR="0055335A" w:rsidRPr="00050FA4">
        <w:rPr>
          <w:lang w:val="sq-AL"/>
        </w:rPr>
        <w:t xml:space="preserve">Është ngritur grupi i punës për </w:t>
      </w:r>
      <w:r w:rsidR="0055335A" w:rsidRPr="00050FA4">
        <w:rPr>
          <w:b/>
          <w:lang w:val="sq-AL"/>
        </w:rPr>
        <w:t>liberalizimin e tregtisë në sektorin e turizmit</w:t>
      </w:r>
      <w:r w:rsidR="0055335A" w:rsidRPr="00050FA4">
        <w:rPr>
          <w:lang w:val="sq-AL"/>
        </w:rPr>
        <w:t xml:space="preserve"> i cili është përzgjedhur si sektor pilot i guidave turistike dhe operatorëve turistikë për harmonizimin e legjislacionit ndërmjet palëve. Harmonizimi do të bëhet bazuar në </w:t>
      </w:r>
      <w:r w:rsidR="007A0592" w:rsidRPr="00050FA4">
        <w:rPr>
          <w:lang w:val="sq-AL"/>
        </w:rPr>
        <w:t xml:space="preserve">direktivën e shërbimeve </w:t>
      </w:r>
      <w:r w:rsidR="0055335A" w:rsidRPr="00050FA4">
        <w:rPr>
          <w:lang w:val="sq-AL"/>
        </w:rPr>
        <w:t>të BE-së. Është përgatitur dhe është ende në diskutim projektvendimi i Komisionit të Përbashkët të CEFTA-s për njohjen e kritereve të licencimit për operatorët turistikë dhe guidat turistike.</w:t>
      </w:r>
    </w:p>
    <w:p w14:paraId="076B2077" w14:textId="5A93DA34" w:rsidR="0055335A" w:rsidRPr="00050FA4" w:rsidRDefault="009E5AC9" w:rsidP="003F1DA7">
      <w:pPr>
        <w:pStyle w:val="AAAAAAATEXXXX"/>
        <w:rPr>
          <w:lang w:val="sq-AL"/>
        </w:rPr>
      </w:pPr>
      <w:r w:rsidRPr="00050FA4">
        <w:rPr>
          <w:lang w:val="sq-AL"/>
        </w:rPr>
        <w:t xml:space="preserve">- </w:t>
      </w:r>
      <w:r w:rsidR="00B71BE3" w:rsidRPr="00050FA4">
        <w:rPr>
          <w:lang w:val="sq-AL"/>
        </w:rPr>
        <w:t>Është</w:t>
      </w:r>
      <w:r w:rsidR="0055335A" w:rsidRPr="00050FA4">
        <w:rPr>
          <w:lang w:val="sq-AL"/>
        </w:rPr>
        <w:t xml:space="preserve"> hartuar vendimi i Komitetit të Përbashkët të CEFTA-s për </w:t>
      </w:r>
      <w:r w:rsidR="007A0592" w:rsidRPr="00050FA4">
        <w:rPr>
          <w:b/>
          <w:lang w:val="sq-AL"/>
        </w:rPr>
        <w:t xml:space="preserve">njohjen </w:t>
      </w:r>
      <w:r w:rsidR="0055335A" w:rsidRPr="00050FA4">
        <w:rPr>
          <w:b/>
          <w:lang w:val="sq-AL"/>
        </w:rPr>
        <w:t>e ndërsjellë të kualifikimeve profesionale</w:t>
      </w:r>
      <w:r w:rsidR="0055335A" w:rsidRPr="00050FA4">
        <w:rPr>
          <w:lang w:val="sq-AL"/>
        </w:rPr>
        <w:t>, duke filluar me profesionin e pilotit të inxhinierit të ndërtimit. Vendimi është dakordësuar në nivel teknik ndërmjet palëve. Janë ende në diskutim dy çështje, për titullin e vendimit dhe për preambulën.</w:t>
      </w:r>
    </w:p>
    <w:p w14:paraId="33C91800" w14:textId="4F6375BB" w:rsidR="0055335A" w:rsidRPr="00050FA4" w:rsidRDefault="009E5AC9" w:rsidP="003F1DA7">
      <w:pPr>
        <w:pStyle w:val="AAAAAAATEXXXX"/>
        <w:rPr>
          <w:lang w:val="sq-AL"/>
        </w:rPr>
      </w:pPr>
      <w:r w:rsidRPr="00050FA4">
        <w:rPr>
          <w:lang w:val="sq-AL"/>
        </w:rPr>
        <w:t xml:space="preserve">- </w:t>
      </w:r>
      <w:r w:rsidR="0055335A" w:rsidRPr="00050FA4">
        <w:rPr>
          <w:lang w:val="sq-AL"/>
        </w:rPr>
        <w:t xml:space="preserve">Është hartuar teksti </w:t>
      </w:r>
      <w:r w:rsidR="007A0592" w:rsidRPr="00050FA4">
        <w:rPr>
          <w:lang w:val="sq-AL"/>
        </w:rPr>
        <w:t>i projektvendimi</w:t>
      </w:r>
      <w:r w:rsidR="0055335A" w:rsidRPr="00050FA4">
        <w:rPr>
          <w:lang w:val="sq-AL"/>
        </w:rPr>
        <w:t xml:space="preserve">t të Komitetit të Përbashkët të CEFTA-s për harmonizimit të angazhimit horizontal </w:t>
      </w:r>
      <w:r w:rsidR="0055335A" w:rsidRPr="00050FA4">
        <w:rPr>
          <w:b/>
          <w:lang w:val="sq-AL"/>
        </w:rPr>
        <w:t>për heqjen e lejeve të punës</w:t>
      </w:r>
      <w:r w:rsidR="0055335A" w:rsidRPr="00050FA4">
        <w:rPr>
          <w:lang w:val="sq-AL"/>
        </w:rPr>
        <w:t xml:space="preserve"> për veprimtaritë profesionale sipas AP6. </w:t>
      </w:r>
      <w:r w:rsidR="007575BB" w:rsidRPr="00050FA4">
        <w:rPr>
          <w:lang w:val="sq-AL"/>
        </w:rPr>
        <w:t>Projektvendimi</w:t>
      </w:r>
      <w:r w:rsidR="0055335A" w:rsidRPr="00050FA4">
        <w:rPr>
          <w:lang w:val="sq-AL"/>
        </w:rPr>
        <w:t xml:space="preserve"> është ende në diskutim mes palëve.</w:t>
      </w:r>
    </w:p>
    <w:p w14:paraId="44AA7644" w14:textId="7F64C775" w:rsidR="0055335A" w:rsidRPr="00050FA4" w:rsidRDefault="009E5AC9" w:rsidP="003F1DA7">
      <w:pPr>
        <w:pStyle w:val="AAAAAAATEXXXX"/>
        <w:rPr>
          <w:lang w:val="sq-AL"/>
        </w:rPr>
      </w:pPr>
      <w:r w:rsidRPr="00050FA4">
        <w:rPr>
          <w:lang w:val="sq-AL"/>
        </w:rPr>
        <w:t xml:space="preserve">- </w:t>
      </w:r>
      <w:r w:rsidR="0055335A" w:rsidRPr="00050FA4">
        <w:rPr>
          <w:lang w:val="sq-AL"/>
        </w:rPr>
        <w:t xml:space="preserve">Projektvendimi për </w:t>
      </w:r>
      <w:r w:rsidR="0055335A" w:rsidRPr="00050FA4">
        <w:rPr>
          <w:b/>
          <w:lang w:val="sq-AL"/>
        </w:rPr>
        <w:t>lehtësimin e tregtisë elektronike</w:t>
      </w:r>
      <w:r w:rsidR="0055335A" w:rsidRPr="00050FA4">
        <w:rPr>
          <w:lang w:val="sq-AL"/>
        </w:rPr>
        <w:t xml:space="preserve"> është diskutuar dhe dakordësuar mes palëve të CEFTA-s. Palët janë duke përfunduar procedurat e brendshme ligjore për t</w:t>
      </w:r>
      <w:r w:rsidR="007575BB" w:rsidRPr="00050FA4">
        <w:rPr>
          <w:lang w:val="sq-AL"/>
        </w:rPr>
        <w:t>’</w:t>
      </w:r>
      <w:r w:rsidR="0055335A" w:rsidRPr="00050FA4">
        <w:rPr>
          <w:lang w:val="sq-AL"/>
        </w:rPr>
        <w:t>i hapur rrugë miratimit të projektvendimit nga Komiteti i Përbashkët i CEFTA-s. Këshilli i Ministrave i Shqipërisë ka miratuar projektvendimin dhe pret përfundimin e procedurave të brendshme të palëve të tjera për t’ u miratuar tjera në Komitetin e Përbashkët të CEFTA-s.</w:t>
      </w:r>
    </w:p>
    <w:p w14:paraId="2A9D91EC" w14:textId="24D0D44D" w:rsidR="0055335A" w:rsidRPr="00050FA4" w:rsidRDefault="0055335A" w:rsidP="003F1DA7">
      <w:pPr>
        <w:ind w:right="23" w:firstLine="284"/>
        <w:jc w:val="both"/>
        <w:rPr>
          <w:rFonts w:ascii="Garamond" w:eastAsia="Times New Roman" w:hAnsi="Garamond" w:cstheme="majorBidi"/>
          <w:color w:val="0D0D0D" w:themeColor="text1" w:themeTint="F2"/>
          <w:lang w:eastAsia="en-GB"/>
        </w:rPr>
      </w:pPr>
      <w:r w:rsidRPr="00050FA4">
        <w:rPr>
          <w:rFonts w:ascii="Garamond" w:eastAsia="Times New Roman" w:hAnsi="Garamond" w:cstheme="majorBidi"/>
          <w:color w:val="0D0D0D" w:themeColor="text1" w:themeTint="F2"/>
          <w:lang w:eastAsia="en-GB"/>
        </w:rPr>
        <w:t xml:space="preserve">Negociatat për </w:t>
      </w:r>
      <w:r w:rsidRPr="00050FA4">
        <w:rPr>
          <w:rFonts w:ascii="Garamond" w:eastAsia="Times New Roman" w:hAnsi="Garamond" w:cstheme="majorBidi"/>
          <w:b/>
          <w:color w:val="0D0D0D" w:themeColor="text1" w:themeTint="F2"/>
          <w:lang w:eastAsia="en-GB"/>
        </w:rPr>
        <w:t>Protokollin Shtesë 7 për Zgjidhjen e Mosmarrëveshjeve</w:t>
      </w:r>
      <w:r w:rsidRPr="00050FA4">
        <w:rPr>
          <w:rFonts w:ascii="Garamond" w:eastAsia="Times New Roman" w:hAnsi="Garamond" w:cstheme="majorBidi"/>
          <w:color w:val="0D0D0D" w:themeColor="text1" w:themeTint="F2"/>
          <w:lang w:eastAsia="en-GB"/>
        </w:rPr>
        <w:t xml:space="preserve"> sipas CEFTA-s kanë vazhduar rregullisht. Që nga janari i vitit 2021 janë organizuar 7 raunde negociatash. Ekipi negociator shqiptar luan një rol aktiv. Në negociata janë duke diskutuar çështje të rëndësishme si kostoja dhe financimi i procedimeve dhe paneleve, hyrja në fuqi e protokollit, organi i apelimit</w:t>
      </w:r>
      <w:r w:rsidR="00577E94" w:rsidRPr="00050FA4">
        <w:rPr>
          <w:rFonts w:ascii="Garamond" w:eastAsia="Times New Roman" w:hAnsi="Garamond" w:cstheme="majorBidi"/>
          <w:color w:val="0D0D0D" w:themeColor="text1" w:themeTint="F2"/>
          <w:lang w:eastAsia="en-GB"/>
        </w:rPr>
        <w:t xml:space="preserve"> etj</w:t>
      </w:r>
      <w:r w:rsidRPr="00050FA4">
        <w:rPr>
          <w:rFonts w:ascii="Garamond" w:eastAsia="Times New Roman" w:hAnsi="Garamond" w:cstheme="majorBidi"/>
          <w:color w:val="0D0D0D" w:themeColor="text1" w:themeTint="F2"/>
          <w:lang w:eastAsia="en-GB"/>
        </w:rPr>
        <w:t>.</w:t>
      </w:r>
    </w:p>
    <w:p w14:paraId="3D6EBCB1" w14:textId="4FD731F1" w:rsidR="008D080B" w:rsidRPr="00050FA4" w:rsidRDefault="0055335A" w:rsidP="003F1DA7">
      <w:pPr>
        <w:snapToGrid w:val="0"/>
        <w:ind w:firstLine="284"/>
        <w:jc w:val="both"/>
        <w:rPr>
          <w:rFonts w:ascii="Garamond" w:hAnsi="Garamond" w:cstheme="majorBidi"/>
          <w:color w:val="0D0D0D" w:themeColor="text1" w:themeTint="F2"/>
        </w:rPr>
      </w:pPr>
      <w:r w:rsidRPr="00050FA4">
        <w:rPr>
          <w:rFonts w:ascii="Garamond" w:eastAsia="Times New Roman" w:hAnsi="Garamond" w:cstheme="majorBidi"/>
          <w:color w:val="0D0D0D" w:themeColor="text1" w:themeTint="F2"/>
          <w:lang w:eastAsia="en-GB"/>
        </w:rPr>
        <w:t xml:space="preserve">Shqipëria ka përfunduar procedurat e brendshme dhe ka ratifikuar </w:t>
      </w:r>
      <w:r w:rsidRPr="00050FA4">
        <w:rPr>
          <w:rFonts w:ascii="Garamond" w:eastAsia="Times New Roman" w:hAnsi="Garamond" w:cstheme="majorBidi"/>
          <w:b/>
          <w:color w:val="0D0D0D" w:themeColor="text1" w:themeTint="F2"/>
          <w:lang w:eastAsia="en-GB"/>
        </w:rPr>
        <w:t>Protokollin e rregullave alternative të origjinës</w:t>
      </w:r>
      <w:r w:rsidRPr="00050FA4">
        <w:rPr>
          <w:rFonts w:ascii="Garamond" w:eastAsia="Times New Roman" w:hAnsi="Garamond" w:cstheme="majorBidi"/>
          <w:color w:val="0D0D0D" w:themeColor="text1" w:themeTint="F2"/>
          <w:lang w:eastAsia="en-GB"/>
        </w:rPr>
        <w:t xml:space="preserve"> të zbatueshme të rishikuara për përcaktimin e konceptit të </w:t>
      </w:r>
      <w:r w:rsidR="008A0E5B" w:rsidRPr="00050FA4">
        <w:rPr>
          <w:rFonts w:ascii="Garamond" w:eastAsia="Times New Roman" w:hAnsi="Garamond" w:cstheme="majorBidi"/>
          <w:color w:val="0D0D0D" w:themeColor="text1" w:themeTint="F2"/>
          <w:lang w:eastAsia="en-GB"/>
        </w:rPr>
        <w:t>“</w:t>
      </w:r>
      <w:r w:rsidRPr="00050FA4">
        <w:rPr>
          <w:rFonts w:ascii="Garamond" w:eastAsia="Times New Roman" w:hAnsi="Garamond" w:cstheme="majorBidi"/>
          <w:color w:val="0D0D0D" w:themeColor="text1" w:themeTint="F2"/>
          <w:lang w:eastAsia="en-GB"/>
        </w:rPr>
        <w:t>produkteve origjinuese</w:t>
      </w:r>
      <w:r w:rsidR="008A0E5B" w:rsidRPr="00050FA4">
        <w:rPr>
          <w:rFonts w:ascii="Garamond" w:eastAsia="Times New Roman" w:hAnsi="Garamond" w:cstheme="majorBidi"/>
          <w:color w:val="0D0D0D" w:themeColor="text1" w:themeTint="F2"/>
          <w:lang w:eastAsia="en-GB"/>
        </w:rPr>
        <w:t>”</w:t>
      </w:r>
      <w:r w:rsidRPr="00050FA4">
        <w:rPr>
          <w:rFonts w:ascii="Garamond" w:eastAsia="Times New Roman" w:hAnsi="Garamond" w:cstheme="majorBidi"/>
          <w:color w:val="0D0D0D" w:themeColor="text1" w:themeTint="F2"/>
          <w:lang w:eastAsia="en-GB"/>
        </w:rPr>
        <w:t xml:space="preserve"> dhe metodave të bashkëpunimit administrativ</w:t>
      </w:r>
      <w:r w:rsidR="008A0E5B" w:rsidRPr="00050FA4">
        <w:rPr>
          <w:rFonts w:ascii="Garamond" w:eastAsia="Times New Roman" w:hAnsi="Garamond" w:cstheme="majorBidi"/>
          <w:color w:val="0D0D0D" w:themeColor="text1" w:themeTint="F2"/>
          <w:lang w:eastAsia="en-GB"/>
        </w:rPr>
        <w:t>”</w:t>
      </w:r>
      <w:r w:rsidRPr="00050FA4">
        <w:rPr>
          <w:rFonts w:ascii="Garamond" w:eastAsia="Times New Roman" w:hAnsi="Garamond" w:cstheme="majorBidi"/>
          <w:color w:val="0D0D0D" w:themeColor="text1" w:themeTint="F2"/>
          <w:lang w:eastAsia="en-GB"/>
        </w:rPr>
        <w:t>, sipas Konventës për Rregullat e Origjinës Preferenciale Pan</w:t>
      </w:r>
      <w:r w:rsidR="0059226E" w:rsidRPr="00050FA4">
        <w:rPr>
          <w:rFonts w:ascii="Garamond" w:eastAsia="Times New Roman" w:hAnsi="Garamond" w:cstheme="majorBidi"/>
          <w:color w:val="0D0D0D" w:themeColor="text1" w:themeTint="F2"/>
          <w:lang w:eastAsia="en-GB"/>
        </w:rPr>
        <w:t>e</w:t>
      </w:r>
      <w:r w:rsidRPr="00050FA4">
        <w:rPr>
          <w:rFonts w:ascii="Garamond" w:eastAsia="Times New Roman" w:hAnsi="Garamond" w:cstheme="majorBidi"/>
          <w:color w:val="0D0D0D" w:themeColor="text1" w:themeTint="F2"/>
          <w:lang w:eastAsia="en-GB"/>
        </w:rPr>
        <w:t>uro</w:t>
      </w:r>
      <w:r w:rsidR="0059226E" w:rsidRPr="00050FA4">
        <w:rPr>
          <w:rFonts w:ascii="Garamond" w:eastAsia="Times New Roman" w:hAnsi="Garamond" w:cstheme="majorBidi"/>
          <w:color w:val="0D0D0D" w:themeColor="text1" w:themeTint="F2"/>
          <w:lang w:eastAsia="en-GB"/>
        </w:rPr>
        <w:t>m</w:t>
      </w:r>
      <w:r w:rsidRPr="00050FA4">
        <w:rPr>
          <w:rFonts w:ascii="Garamond" w:eastAsia="Times New Roman" w:hAnsi="Garamond" w:cstheme="majorBidi"/>
          <w:color w:val="0D0D0D" w:themeColor="text1" w:themeTint="F2"/>
          <w:lang w:eastAsia="en-GB"/>
        </w:rPr>
        <w:t>esdhetare, me Bashkimin Evropian, me CEFTA-n dhe me shtetet e EFTA-s, para 1 shtatorit 2021. Procesi po vazhdon me Turqinë.</w:t>
      </w:r>
    </w:p>
    <w:p w14:paraId="202946D5" w14:textId="7DC14D39" w:rsidR="00CC1612" w:rsidRPr="00050FA4" w:rsidRDefault="009E5AC9" w:rsidP="003F1DA7">
      <w:pPr>
        <w:pStyle w:val="AAAAAAATEXXXX"/>
        <w:rPr>
          <w:lang w:val="sq-AL"/>
        </w:rPr>
      </w:pPr>
      <w:r w:rsidRPr="00050FA4">
        <w:rPr>
          <w:lang w:val="sq-AL"/>
        </w:rPr>
        <w:t>b</w:t>
      </w:r>
      <w:r w:rsidR="00621F5D" w:rsidRPr="00050FA4">
        <w:rPr>
          <w:lang w:val="sq-AL"/>
        </w:rPr>
        <w:t>)</w:t>
      </w:r>
      <w:r w:rsidRPr="00050FA4">
        <w:rPr>
          <w:lang w:val="sq-AL"/>
        </w:rPr>
        <w:t xml:space="preserve"> </w:t>
      </w:r>
      <w:r w:rsidR="00B2062A" w:rsidRPr="00050FA4">
        <w:rPr>
          <w:lang w:val="sq-AL"/>
        </w:rPr>
        <w:t>Masat e reformës</w:t>
      </w:r>
    </w:p>
    <w:p w14:paraId="6A8F1BD7" w14:textId="63D82CA8" w:rsidR="00CC1612" w:rsidRPr="00050FA4" w:rsidRDefault="00B2062A" w:rsidP="003F1DA7">
      <w:pPr>
        <w:pStyle w:val="Heading5"/>
        <w:snapToGrid w:val="0"/>
        <w:ind w:left="0" w:firstLine="284"/>
        <w:rPr>
          <w:rFonts w:ascii="Garamond" w:hAnsi="Garamond" w:cstheme="majorBidi"/>
          <w:i w:val="0"/>
          <w:color w:val="0D0D0D" w:themeColor="text1" w:themeTint="F2"/>
          <w:sz w:val="24"/>
          <w:szCs w:val="24"/>
        </w:rPr>
      </w:pPr>
      <w:r w:rsidRPr="00050FA4">
        <w:rPr>
          <w:rFonts w:ascii="Garamond" w:hAnsi="Garamond" w:cstheme="majorBidi"/>
          <w:i w:val="0"/>
          <w:color w:val="0D0D0D" w:themeColor="text1" w:themeTint="F2"/>
          <w:sz w:val="24"/>
          <w:szCs w:val="24"/>
        </w:rPr>
        <w:t>Masa e reformës</w:t>
      </w:r>
      <w:r w:rsidR="005358F8" w:rsidRPr="00050FA4">
        <w:rPr>
          <w:rFonts w:ascii="Garamond" w:hAnsi="Garamond" w:cstheme="majorBidi"/>
          <w:i w:val="0"/>
          <w:color w:val="0D0D0D" w:themeColor="text1" w:themeTint="F2"/>
          <w:sz w:val="24"/>
          <w:szCs w:val="24"/>
        </w:rPr>
        <w:t xml:space="preserve"> 12</w:t>
      </w:r>
      <w:r w:rsidR="00CC1612" w:rsidRPr="00050FA4">
        <w:rPr>
          <w:rFonts w:ascii="Garamond" w:hAnsi="Garamond" w:cstheme="majorBidi"/>
          <w:i w:val="0"/>
          <w:color w:val="0D0D0D" w:themeColor="text1" w:themeTint="F2"/>
          <w:sz w:val="24"/>
          <w:szCs w:val="24"/>
        </w:rPr>
        <w:t xml:space="preserve">: </w:t>
      </w:r>
      <w:r w:rsidR="008D080B" w:rsidRPr="00050FA4">
        <w:rPr>
          <w:rFonts w:ascii="Garamond" w:hAnsi="Garamond" w:cstheme="majorBidi"/>
          <w:i w:val="0"/>
          <w:color w:val="0D0D0D" w:themeColor="text1" w:themeTint="F2"/>
          <w:sz w:val="24"/>
          <w:szCs w:val="24"/>
        </w:rPr>
        <w:t>Thellimi i integrimit ekonomik</w:t>
      </w:r>
    </w:p>
    <w:p w14:paraId="0F2BE55E" w14:textId="5D2C20F3" w:rsidR="00CC1612" w:rsidRPr="00050FA4" w:rsidRDefault="009E5AC9" w:rsidP="003F1DA7">
      <w:pPr>
        <w:pStyle w:val="AAAAAAATEXXXX"/>
        <w:rPr>
          <w:lang w:val="sq-AL"/>
        </w:rPr>
      </w:pPr>
      <w:r w:rsidRPr="00050FA4">
        <w:rPr>
          <w:lang w:val="sq-AL"/>
        </w:rPr>
        <w:t xml:space="preserve">1. </w:t>
      </w:r>
      <w:r w:rsidR="00B2062A" w:rsidRPr="00050FA4">
        <w:rPr>
          <w:lang w:val="sq-AL"/>
        </w:rPr>
        <w:t>Përshkrimi i masës</w:t>
      </w:r>
    </w:p>
    <w:p w14:paraId="22D0336C" w14:textId="0029822D" w:rsidR="0055335A" w:rsidRPr="00050FA4" w:rsidRDefault="0055335A" w:rsidP="003F1DA7">
      <w:pPr>
        <w:pStyle w:val="AAAAAAATEXXXX"/>
        <w:rPr>
          <w:lang w:val="sq-AL"/>
        </w:rPr>
      </w:pPr>
      <w:r w:rsidRPr="00050FA4">
        <w:rPr>
          <w:b/>
          <w:lang w:val="sq-AL"/>
        </w:rPr>
        <w:t>Komiteti Kombëtar i Lehtësimit të Tregtisë</w:t>
      </w:r>
      <w:r w:rsidRPr="00050FA4">
        <w:rPr>
          <w:lang w:val="sq-AL"/>
        </w:rPr>
        <w:t xml:space="preserve">: Grupi ndërinstitucional i Koordinimit të Politikës Tregtare dhe Lehtësimit të Tregtisë, tashmë i krijuar, është rikompozuar me </w:t>
      </w:r>
      <w:r w:rsidR="00621F5D" w:rsidRPr="00050FA4">
        <w:rPr>
          <w:lang w:val="sq-AL"/>
        </w:rPr>
        <w:t>urdhrin e Kryeministrit nr. 104, datë 7.</w:t>
      </w:r>
      <w:r w:rsidRPr="00050FA4">
        <w:rPr>
          <w:lang w:val="sq-AL"/>
        </w:rPr>
        <w:t xml:space="preserve">8.2020, për </w:t>
      </w:r>
      <w:r w:rsidR="00B71BE3" w:rsidRPr="00050FA4">
        <w:rPr>
          <w:lang w:val="sq-AL"/>
        </w:rPr>
        <w:t>arsye</w:t>
      </w:r>
      <w:r w:rsidRPr="00050FA4">
        <w:rPr>
          <w:lang w:val="sq-AL"/>
        </w:rPr>
        <w:t xml:space="preserve"> të zgjerimit të mandatit duke përfshirë tregtinë e shërbimeve si një aspekt i rëndësishëm i lehtësimit të tregtisë, për t</w:t>
      </w:r>
      <w:r w:rsidR="00E67ECA" w:rsidRPr="00050FA4">
        <w:rPr>
          <w:lang w:val="sq-AL"/>
        </w:rPr>
        <w:t>’</w:t>
      </w:r>
      <w:r w:rsidRPr="00050FA4">
        <w:rPr>
          <w:lang w:val="sq-AL"/>
        </w:rPr>
        <w:t>iu përgjigjur zhvillimit intensiv sipas CEFTA-s për fillimin e zbatimit të Protokollit Shtesë 6 për Tregtinë e Shërbimeve. Ky grup ndërinstitucional ka përfshirë përfaqësues të biznesit nga sektori i turizmit dhe përfaqësues të biznesit të përpunimit të qumështit.</w:t>
      </w:r>
    </w:p>
    <w:p w14:paraId="28517F4B" w14:textId="045CF8B7" w:rsidR="0055335A" w:rsidRPr="00050FA4" w:rsidRDefault="0055335A" w:rsidP="003F1DA7">
      <w:pPr>
        <w:pStyle w:val="AAAAAAATEXXXX"/>
        <w:rPr>
          <w:lang w:val="sq-AL"/>
        </w:rPr>
      </w:pPr>
      <w:r w:rsidRPr="00050FA4">
        <w:rPr>
          <w:lang w:val="sq-AL"/>
        </w:rPr>
        <w:t xml:space="preserve">Deri më tani, ka pasur dy takime </w:t>
      </w:r>
      <w:r w:rsidRPr="00050FA4">
        <w:rPr>
          <w:i/>
          <w:lang w:val="sq-AL"/>
        </w:rPr>
        <w:t>online</w:t>
      </w:r>
      <w:r w:rsidRPr="00050FA4">
        <w:rPr>
          <w:lang w:val="sq-AL"/>
        </w:rPr>
        <w:t xml:space="preserve"> të NCTF</w:t>
      </w:r>
      <w:r w:rsidR="007575BB" w:rsidRPr="00050FA4">
        <w:rPr>
          <w:lang w:val="sq-AL"/>
        </w:rPr>
        <w:t>-së</w:t>
      </w:r>
      <w:r w:rsidRPr="00050FA4">
        <w:rPr>
          <w:lang w:val="sq-AL"/>
        </w:rPr>
        <w:t xml:space="preserve">, në dhjetor 2020 dhe mars 2021, dhe një takim </w:t>
      </w:r>
      <w:r w:rsidR="00621F5D" w:rsidRPr="00050FA4">
        <w:rPr>
          <w:lang w:val="sq-AL"/>
        </w:rPr>
        <w:t>i</w:t>
      </w:r>
      <w:r w:rsidRPr="00050FA4">
        <w:rPr>
          <w:lang w:val="sq-AL"/>
        </w:rPr>
        <w:t xml:space="preserve"> drejtpërdrejtë në tetor 2021. Është hartuar plani për lehtësimin e tregtisë 2021</w:t>
      </w:r>
      <w:r w:rsidR="00621F5D" w:rsidRPr="00050FA4">
        <w:rPr>
          <w:lang w:val="sq-AL"/>
        </w:rPr>
        <w:t>–</w:t>
      </w:r>
      <w:r w:rsidRPr="00050FA4">
        <w:rPr>
          <w:lang w:val="sq-AL"/>
        </w:rPr>
        <w:t>2023, i cili përmban jo vetëm detyrime për lehtësimin e tregtisë sipas marrëveshjes CEFTA, por edhe masa për adresimin e çështjeve të ngritura nga përfaqësues të biznesit. Plani Kombëtar i Lehtësimit të Tregtisë 2021–2023 u miratua më 30 qershor 2021.</w:t>
      </w:r>
    </w:p>
    <w:p w14:paraId="14CD0B49" w14:textId="5A5F0ACF" w:rsidR="0055335A" w:rsidRPr="00050FA4" w:rsidRDefault="0055335A" w:rsidP="003F1DA7">
      <w:pPr>
        <w:pStyle w:val="AAAAAAATEXXXX"/>
        <w:rPr>
          <w:lang w:val="sq-AL"/>
        </w:rPr>
      </w:pPr>
      <w:r w:rsidRPr="00050FA4">
        <w:rPr>
          <w:b/>
          <w:lang w:val="sq-AL"/>
        </w:rPr>
        <w:lastRenderedPageBreak/>
        <w:t>Kalim Ndërkufitar i Përbashkët</w:t>
      </w:r>
      <w:r w:rsidRPr="00050FA4">
        <w:rPr>
          <w:lang w:val="sq-AL"/>
        </w:rPr>
        <w:t>: Në korrik 2021 u nënshkrua marrëveshja ndërmjet Shqipërisë dhe Maqedonisë së Veriut për ngritjen e pikave të përbashk</w:t>
      </w:r>
      <w:r w:rsidR="00621F5D" w:rsidRPr="00050FA4">
        <w:rPr>
          <w:lang w:val="sq-AL"/>
        </w:rPr>
        <w:t>ëta të kalimit kufitar në Qafët</w:t>
      </w:r>
      <w:r w:rsidRPr="00050FA4">
        <w:rPr>
          <w:lang w:val="sq-AL"/>
        </w:rPr>
        <w:t xml:space="preserve">hanë, e cila do të vendosë një kontroll të integruar – </w:t>
      </w:r>
      <w:r w:rsidRPr="00050FA4">
        <w:rPr>
          <w:i/>
          <w:lang w:val="sq-AL"/>
        </w:rPr>
        <w:t xml:space="preserve">one-stop-shop </w:t>
      </w:r>
      <w:r w:rsidRPr="00050FA4">
        <w:rPr>
          <w:lang w:val="sq-AL"/>
        </w:rPr>
        <w:t>– për të siguruar që të gjitha formalitetet të mund të kryhen në një vend dhe për të mundësuar agjencitë e përfshira në procesin e zhdoganimit të mallrave të operojnë nga një zyrë e vetme. Marrëveshja është ratifikuar nga Kuvendi i Shqipërisë. Zbatimi do të fillojë pas finalizimit të procedurave të brendshme ligjore nga Maqedonia e Veriut. Sipas kësaj marrëveshjeje, të dyja palët angazhohen për të lehtësuar dhe përshpejtuar kontrollet doganore dhe kufitare, me qëllim lehtësimin e lëvizjes së njerëzve dhe mallrave.</w:t>
      </w:r>
    </w:p>
    <w:p w14:paraId="6306208D" w14:textId="65C5DC0C" w:rsidR="0055335A" w:rsidRPr="00050FA4" w:rsidRDefault="0055335A" w:rsidP="003F1DA7">
      <w:pPr>
        <w:pStyle w:val="AAAAAAATEXXXX"/>
        <w:rPr>
          <w:lang w:val="sq-AL"/>
        </w:rPr>
      </w:pPr>
      <w:r w:rsidRPr="00050FA4">
        <w:rPr>
          <w:b/>
          <w:lang w:val="sq-AL"/>
        </w:rPr>
        <w:t>OEA:</w:t>
      </w:r>
      <w:r w:rsidRPr="00050FA4">
        <w:rPr>
          <w:lang w:val="sq-AL"/>
        </w:rPr>
        <w:t xml:space="preserve"> Do të vazhdojë puna për njohjen reciproke të </w:t>
      </w:r>
      <w:r w:rsidR="00957259" w:rsidRPr="00050FA4">
        <w:rPr>
          <w:lang w:val="sq-AL"/>
        </w:rPr>
        <w:t xml:space="preserve">operatorëve ekonomikë të autorizuar </w:t>
      </w:r>
      <w:r w:rsidRPr="00050FA4">
        <w:rPr>
          <w:lang w:val="sq-AL"/>
        </w:rPr>
        <w:t>(OEA). Shqipëria ka përgatitur dosjet e 4 operatorëve ekonomikë për të cilët do të bëhet njohja reciproke nga palët e CEFTA-s. Procesi i njohjes kalon përmes procesit të validimit të operatorëve të përzgjedhur nga Shqipëria, i cili do të kryhet nga misioni vlerësues i Sekretariatit të CEFTA-s.</w:t>
      </w:r>
    </w:p>
    <w:p w14:paraId="2C906781" w14:textId="33F9818D" w:rsidR="0055335A" w:rsidRPr="00050FA4" w:rsidRDefault="0055335A" w:rsidP="003F1DA7">
      <w:pPr>
        <w:pStyle w:val="AAAAAAATEXXXX"/>
        <w:rPr>
          <w:lang w:val="sq-AL"/>
        </w:rPr>
      </w:pPr>
      <w:r w:rsidRPr="00050FA4">
        <w:rPr>
          <w:b/>
          <w:lang w:val="sq-AL"/>
        </w:rPr>
        <w:t>Projektet e Tregtisë Ndërkufitare:</w:t>
      </w:r>
      <w:r w:rsidRPr="00050FA4">
        <w:rPr>
          <w:lang w:val="sq-AL"/>
        </w:rPr>
        <w:t xml:space="preserve"> Në fushën e tregtisë ndërkufitare janë nisur dy projekte madhore: Një Dritare e Vetme Kombëtare dhe Lehtësimi i Transportit Tregtar . Deri në fund të vitit 2025, kur pritet të finalizohen këto dy projekte, do të kemi procedura tregtare plotësisht të </w:t>
      </w:r>
      <w:r w:rsidR="00C948AF" w:rsidRPr="00050FA4">
        <w:rPr>
          <w:lang w:val="sq-AL"/>
        </w:rPr>
        <w:t>digjital</w:t>
      </w:r>
      <w:r w:rsidRPr="00050FA4">
        <w:rPr>
          <w:lang w:val="sq-AL"/>
        </w:rPr>
        <w:t>izuara, procedura më të thjeshtuara si dhe koordinim dhe bashkëpunim më të mirë me rajonin.</w:t>
      </w:r>
    </w:p>
    <w:p w14:paraId="2D3B3588" w14:textId="00160D6B" w:rsidR="0055335A" w:rsidRPr="00050FA4" w:rsidRDefault="0055335A" w:rsidP="003F1DA7">
      <w:pPr>
        <w:pStyle w:val="AAAAAAATEXXXX"/>
        <w:rPr>
          <w:lang w:val="sq-AL"/>
        </w:rPr>
      </w:pPr>
      <w:r w:rsidRPr="00050FA4">
        <w:rPr>
          <w:b/>
          <w:lang w:val="sq-AL"/>
        </w:rPr>
        <w:t>Ndërkombëtarizimet e markës shqiptare</w:t>
      </w:r>
      <w:r w:rsidRPr="00050FA4">
        <w:rPr>
          <w:lang w:val="sq-AL"/>
        </w:rPr>
        <w:t xml:space="preserve">: Duke investuar në zhvillimin teknologjik, ne do të nxisim një ekonomi të fortë produktive, duke siguruar që kompanitë dhe bizneset fillestare të suksesshme në vend të krijojnë një vlerë të shtuar në zinxhirin e prodhimit. Sipërmarrjet prodhuese nuk do të jenë më të kufizuara në regjimin aktiv të përpunimit të ‘markave’ ndërkombëtare, por do të kalojnë në një nivel tjetër, në ciklin e plotë të prodhimit duke promovuar markën </w:t>
      </w:r>
      <w:r w:rsidR="008A0E5B" w:rsidRPr="00050FA4">
        <w:rPr>
          <w:i/>
          <w:lang w:val="sq-AL"/>
        </w:rPr>
        <w:t>“</w:t>
      </w:r>
      <w:r w:rsidRPr="00050FA4">
        <w:rPr>
          <w:i/>
          <w:lang w:val="sq-AL"/>
        </w:rPr>
        <w:t>Made in Albania</w:t>
      </w:r>
      <w:r w:rsidR="008A0E5B" w:rsidRPr="00050FA4">
        <w:rPr>
          <w:i/>
          <w:lang w:val="sq-AL"/>
        </w:rPr>
        <w:t>”</w:t>
      </w:r>
      <w:r w:rsidRPr="00050FA4">
        <w:rPr>
          <w:lang w:val="sq-AL"/>
        </w:rPr>
        <w:t>, me të cilën do të konkurrojmë globalisht.</w:t>
      </w:r>
    </w:p>
    <w:p w14:paraId="287FDA75" w14:textId="7262BB84" w:rsidR="0055335A" w:rsidRPr="00050FA4" w:rsidRDefault="0055335A" w:rsidP="003F1DA7">
      <w:pPr>
        <w:pStyle w:val="AAAAAAATEXXXX"/>
        <w:rPr>
          <w:lang w:val="sq-AL"/>
        </w:rPr>
      </w:pPr>
      <w:r w:rsidRPr="00050FA4">
        <w:rPr>
          <w:b/>
          <w:lang w:val="sq-AL"/>
        </w:rPr>
        <w:t xml:space="preserve">Ballkani i </w:t>
      </w:r>
      <w:r w:rsidR="006C3868" w:rsidRPr="00050FA4">
        <w:rPr>
          <w:b/>
          <w:lang w:val="sq-AL"/>
        </w:rPr>
        <w:t>Hapur</w:t>
      </w:r>
      <w:r w:rsidRPr="00050FA4">
        <w:rPr>
          <w:b/>
          <w:lang w:val="sq-AL"/>
        </w:rPr>
        <w:t xml:space="preserve">: </w:t>
      </w:r>
      <w:r w:rsidRPr="00050FA4">
        <w:rPr>
          <w:lang w:val="sq-AL"/>
        </w:rPr>
        <w:t xml:space="preserve">Në korrik 2021, kryeministrat e Serbisë, Maqedonisë së Veriut dhe Shqipërisë nënshkruan Memorandumin e Mirëkuptimit për bashkëpunimin në lehtësimin e importeve, eksporteve dhe lëvizjes së mallrave në Ballkanin Perëndimor. Kjo iniciativë e quajtur </w:t>
      </w:r>
      <w:r w:rsidR="008A0E5B" w:rsidRPr="00050FA4">
        <w:rPr>
          <w:lang w:val="sq-AL"/>
        </w:rPr>
        <w:t>“</w:t>
      </w:r>
      <w:r w:rsidRPr="00050FA4">
        <w:rPr>
          <w:lang w:val="sq-AL"/>
        </w:rPr>
        <w:t xml:space="preserve">Ballkani i </w:t>
      </w:r>
      <w:r w:rsidR="006C3868" w:rsidRPr="00050FA4">
        <w:rPr>
          <w:lang w:val="sq-AL"/>
        </w:rPr>
        <w:t>Hapur</w:t>
      </w:r>
      <w:r w:rsidR="008A0E5B" w:rsidRPr="00050FA4">
        <w:rPr>
          <w:lang w:val="sq-AL"/>
        </w:rPr>
        <w:t>”</w:t>
      </w:r>
      <w:r w:rsidRPr="00050FA4">
        <w:rPr>
          <w:lang w:val="sq-AL"/>
        </w:rPr>
        <w:t xml:space="preserve"> është një nismë që synon nxitjen e bashkëpunimit ekonomik ndërmjet tr</w:t>
      </w:r>
      <w:r w:rsidR="007808AC" w:rsidRPr="00050FA4">
        <w:rPr>
          <w:lang w:val="sq-AL"/>
        </w:rPr>
        <w:t>i</w:t>
      </w:r>
      <w:r w:rsidRPr="00050FA4">
        <w:rPr>
          <w:lang w:val="sq-AL"/>
        </w:rPr>
        <w:t xml:space="preserve"> shteteve nënshkruese, Shqipërisë, Maqedonisë së Veriut dhe Serbisë dhe rritjen dhe forcimin e bashkëpunimit ekonomik ndërmjet palëve, thjeshtimin e procedurave në lidhje me importet, eksportet dhe lëvizjen e mallrave. , në masën më të gjerë të mundshme, dhe eliminimin gradualisht të barrierave në tregtinë e mallrave. Në thelb, objektivat e këtij memorandumi janë objektivat për të cil</w:t>
      </w:r>
      <w:r w:rsidR="00655F22" w:rsidRPr="00050FA4">
        <w:rPr>
          <w:lang w:val="sq-AL"/>
        </w:rPr>
        <w:t>ë</w:t>
      </w:r>
      <w:r w:rsidRPr="00050FA4">
        <w:rPr>
          <w:lang w:val="sq-AL"/>
        </w:rPr>
        <w:t>t vendet anëtare të CEFTA-s kanë rënë dakord në Protokollin 5 të CEFTA-s, zbatimi i të cilit po ecën ngadalë.</w:t>
      </w:r>
    </w:p>
    <w:p w14:paraId="4BEC8F66" w14:textId="77777777" w:rsidR="0055335A" w:rsidRPr="00050FA4" w:rsidRDefault="0055335A" w:rsidP="003F1DA7">
      <w:pPr>
        <w:pStyle w:val="AAAAAAATEXXXX"/>
        <w:rPr>
          <w:lang w:val="sq-AL"/>
        </w:rPr>
      </w:pPr>
      <w:r w:rsidRPr="00050FA4">
        <w:rPr>
          <w:lang w:val="sq-AL"/>
        </w:rPr>
        <w:t>Ky memorandum synon të lehtësojë procedurat doganore të palëve dhe autoriteteve të tjera të inspektimit kufitar të mallrave (procedurat e zhdoganimit, inspektimin veterinar, sanitar dhe fitosanitar dhe inspektimin ushqimor), formalitetet, kontrollet dhe numrin e dokumenteve që do t'u kërkohen bizneseve në ndërkufitare. Këto masa kanë për qëllim reduktimin e kohës së inspektimit që përkthehet në ulje të kostos për operatorët e biznesit.</w:t>
      </w:r>
    </w:p>
    <w:p w14:paraId="3D6F06B8" w14:textId="0DBBE5E6" w:rsidR="008D080B" w:rsidRPr="00050FA4" w:rsidRDefault="0055335A" w:rsidP="003F1DA7">
      <w:pPr>
        <w:pStyle w:val="AAAAAAATEXXXX"/>
        <w:rPr>
          <w:lang w:val="sq-AL"/>
        </w:rPr>
      </w:pPr>
      <w:r w:rsidRPr="00050FA4">
        <w:rPr>
          <w:lang w:val="sq-AL"/>
        </w:rPr>
        <w:t xml:space="preserve">Ky </w:t>
      </w:r>
      <w:r w:rsidR="00957259" w:rsidRPr="00050FA4">
        <w:rPr>
          <w:lang w:val="sq-AL"/>
        </w:rPr>
        <w:t xml:space="preserve">memorandum </w:t>
      </w:r>
      <w:r w:rsidRPr="00050FA4">
        <w:rPr>
          <w:lang w:val="sq-AL"/>
        </w:rPr>
        <w:t>është një dokument për Ballkanin Perëndimor dhe jo vetëm ndërmjet tr</w:t>
      </w:r>
      <w:r w:rsidR="007808AC" w:rsidRPr="00050FA4">
        <w:rPr>
          <w:lang w:val="sq-AL"/>
        </w:rPr>
        <w:t>i</w:t>
      </w:r>
      <w:r w:rsidRPr="00050FA4">
        <w:rPr>
          <w:lang w:val="sq-AL"/>
        </w:rPr>
        <w:t xml:space="preserve"> vendeve nënshkruese</w:t>
      </w:r>
      <w:r w:rsidR="009B1D6B" w:rsidRPr="00050FA4">
        <w:rPr>
          <w:lang w:val="sq-AL"/>
        </w:rPr>
        <w:t xml:space="preserve"> </w:t>
      </w:r>
      <w:r w:rsidRPr="00050FA4">
        <w:rPr>
          <w:lang w:val="sq-AL"/>
        </w:rPr>
        <w:t>por ftohen të marrin pjesë në çdo kohë dhe vendet e tjera të Ballkani Perëndimor.</w:t>
      </w:r>
    </w:p>
    <w:p w14:paraId="1D233C6F" w14:textId="39321741" w:rsidR="00CC1612" w:rsidRPr="00050FA4" w:rsidRDefault="009E5AC9" w:rsidP="003F1DA7">
      <w:pPr>
        <w:pStyle w:val="AAAAAAATEXXXX"/>
        <w:rPr>
          <w:b/>
          <w:lang w:val="sq-AL"/>
        </w:rPr>
      </w:pPr>
      <w:r w:rsidRPr="00050FA4">
        <w:rPr>
          <w:b/>
          <w:lang w:val="sq-AL"/>
        </w:rPr>
        <w:t>a</w:t>
      </w:r>
      <w:r w:rsidR="002D1580" w:rsidRPr="00050FA4">
        <w:rPr>
          <w:b/>
          <w:lang w:val="sq-AL"/>
        </w:rPr>
        <w:t>)</w:t>
      </w:r>
      <w:r w:rsidRPr="00050FA4">
        <w:rPr>
          <w:b/>
          <w:lang w:val="sq-AL"/>
        </w:rPr>
        <w:t xml:space="preserve"> </w:t>
      </w:r>
      <w:r w:rsidR="00B2062A" w:rsidRPr="00050FA4">
        <w:rPr>
          <w:b/>
          <w:lang w:val="sq-AL"/>
        </w:rPr>
        <w:t xml:space="preserve">Aktivitete të planifikuara </w:t>
      </w:r>
      <w:r w:rsidR="00957259" w:rsidRPr="00050FA4">
        <w:rPr>
          <w:b/>
          <w:lang w:val="sq-AL"/>
        </w:rPr>
        <w:t>m</w:t>
      </w:r>
      <w:r w:rsidR="00B2062A" w:rsidRPr="00050FA4">
        <w:rPr>
          <w:b/>
          <w:lang w:val="sq-AL"/>
        </w:rPr>
        <w:t>ë</w:t>
      </w:r>
      <w:r w:rsidR="00CC1612" w:rsidRPr="00050FA4">
        <w:rPr>
          <w:b/>
          <w:lang w:val="sq-AL"/>
        </w:rPr>
        <w:t xml:space="preserve"> 2022</w:t>
      </w:r>
      <w:r w:rsidR="00957259" w:rsidRPr="00050FA4">
        <w:rPr>
          <w:b/>
          <w:lang w:val="sq-AL"/>
        </w:rPr>
        <w:t>-shin</w:t>
      </w:r>
    </w:p>
    <w:p w14:paraId="07671152" w14:textId="09BD050E" w:rsidR="00627F6C" w:rsidRPr="00050FA4" w:rsidRDefault="009E5AC9" w:rsidP="003F1DA7">
      <w:pPr>
        <w:pStyle w:val="AAAAAAATEXXXX"/>
        <w:rPr>
          <w:lang w:val="sq-AL"/>
        </w:rPr>
      </w:pPr>
      <w:r w:rsidRPr="00050FA4">
        <w:rPr>
          <w:lang w:val="sq-AL"/>
        </w:rPr>
        <w:t>a</w:t>
      </w:r>
      <w:r w:rsidR="002D1580" w:rsidRPr="00050FA4">
        <w:rPr>
          <w:lang w:val="sq-AL"/>
        </w:rPr>
        <w:t>)</w:t>
      </w:r>
      <w:r w:rsidRPr="00050FA4">
        <w:rPr>
          <w:lang w:val="sq-AL"/>
        </w:rPr>
        <w:t xml:space="preserve"> </w:t>
      </w:r>
      <w:r w:rsidR="00957259" w:rsidRPr="00050FA4">
        <w:rPr>
          <w:lang w:val="sq-AL"/>
        </w:rPr>
        <w:t xml:space="preserve">Zbatimi </w:t>
      </w:r>
      <w:r w:rsidR="0055335A" w:rsidRPr="00050FA4">
        <w:rPr>
          <w:lang w:val="sq-AL"/>
        </w:rPr>
        <w:t>i Planit Rajonal të Veprimit për krijimin e Tregut të Përbashkët Rajonal, në bashkëpunim me Palët e CEFTA-s</w:t>
      </w:r>
      <w:r w:rsidR="00957259" w:rsidRPr="00050FA4">
        <w:rPr>
          <w:lang w:val="sq-AL"/>
        </w:rPr>
        <w:t>,</w:t>
      </w:r>
      <w:r w:rsidR="0055335A" w:rsidRPr="00050FA4">
        <w:rPr>
          <w:lang w:val="sq-AL"/>
        </w:rPr>
        <w:t xml:space="preserve"> duke hartuar dokumente rajonale për zbatimin e veprimeve në 4 </w:t>
      </w:r>
      <w:r w:rsidR="002D1580" w:rsidRPr="00050FA4">
        <w:rPr>
          <w:lang w:val="sq-AL"/>
        </w:rPr>
        <w:t>shtyllat e integrimit rajonal</w:t>
      </w:r>
      <w:r w:rsidR="00957259" w:rsidRPr="00050FA4">
        <w:rPr>
          <w:lang w:val="sq-AL"/>
        </w:rPr>
        <w:t>:</w:t>
      </w:r>
      <w:r w:rsidR="002D1580" w:rsidRPr="00050FA4">
        <w:rPr>
          <w:lang w:val="sq-AL"/>
        </w:rPr>
        <w:t xml:space="preserve"> </w:t>
      </w:r>
      <w:r w:rsidR="0055335A" w:rsidRPr="00050FA4">
        <w:rPr>
          <w:lang w:val="sq-AL"/>
        </w:rPr>
        <w:t>i</w:t>
      </w:r>
      <w:r w:rsidR="002D1580" w:rsidRPr="00050FA4">
        <w:rPr>
          <w:lang w:val="sq-AL"/>
        </w:rPr>
        <w:t xml:space="preserve">. lëvizjen e lirë të mallrave; </w:t>
      </w:r>
      <w:r w:rsidR="0055335A" w:rsidRPr="00050FA4">
        <w:rPr>
          <w:lang w:val="sq-AL"/>
        </w:rPr>
        <w:t>ii</w:t>
      </w:r>
      <w:r w:rsidR="002D1580" w:rsidRPr="00050FA4">
        <w:rPr>
          <w:lang w:val="sq-AL"/>
        </w:rPr>
        <w:t>.</w:t>
      </w:r>
      <w:r w:rsidR="0055335A" w:rsidRPr="00050FA4">
        <w:rPr>
          <w:lang w:val="sq-AL"/>
        </w:rPr>
        <w:t xml:space="preserve"> të lirë lëvizja e shërbimeve</w:t>
      </w:r>
      <w:r w:rsidR="002D1580" w:rsidRPr="00050FA4">
        <w:rPr>
          <w:lang w:val="sq-AL"/>
        </w:rPr>
        <w:t xml:space="preserve">; </w:t>
      </w:r>
      <w:r w:rsidR="0055335A" w:rsidRPr="00050FA4">
        <w:rPr>
          <w:lang w:val="sq-AL"/>
        </w:rPr>
        <w:t>iii</w:t>
      </w:r>
      <w:r w:rsidR="002D1580" w:rsidRPr="00050FA4">
        <w:rPr>
          <w:lang w:val="sq-AL"/>
        </w:rPr>
        <w:t>.</w:t>
      </w:r>
      <w:r w:rsidR="0055335A" w:rsidRPr="00050FA4">
        <w:rPr>
          <w:lang w:val="sq-AL"/>
        </w:rPr>
        <w:t xml:space="preserve"> lëvizja e lirë e kapitalit</w:t>
      </w:r>
      <w:r w:rsidR="002D1580" w:rsidRPr="00050FA4">
        <w:rPr>
          <w:lang w:val="sq-AL"/>
        </w:rPr>
        <w:t xml:space="preserve">; dhe </w:t>
      </w:r>
      <w:r w:rsidR="0055335A" w:rsidRPr="00050FA4">
        <w:rPr>
          <w:lang w:val="sq-AL"/>
        </w:rPr>
        <w:t>iv</w:t>
      </w:r>
      <w:r w:rsidR="002D1580" w:rsidRPr="00050FA4">
        <w:rPr>
          <w:lang w:val="sq-AL"/>
        </w:rPr>
        <w:t>.</w:t>
      </w:r>
      <w:r w:rsidR="0055335A" w:rsidRPr="00050FA4">
        <w:rPr>
          <w:lang w:val="sq-AL"/>
        </w:rPr>
        <w:t xml:space="preserve"> lëvizja e lirë e njerëzve, duke përfshirë masat ndërsektoriale</w:t>
      </w:r>
      <w:r w:rsidR="002D1580" w:rsidRPr="00050FA4">
        <w:rPr>
          <w:lang w:val="sq-AL"/>
        </w:rPr>
        <w:t>;</w:t>
      </w:r>
    </w:p>
    <w:p w14:paraId="397F9C44" w14:textId="0916A8D9" w:rsidR="00627F6C" w:rsidRPr="00050FA4" w:rsidRDefault="009E5AC9" w:rsidP="003F1DA7">
      <w:pPr>
        <w:pStyle w:val="AAAAAAATEXXXX"/>
        <w:rPr>
          <w:lang w:val="sq-AL"/>
        </w:rPr>
      </w:pPr>
      <w:r w:rsidRPr="00050FA4">
        <w:rPr>
          <w:lang w:val="sq-AL"/>
        </w:rPr>
        <w:t>b</w:t>
      </w:r>
      <w:r w:rsidR="002D1580" w:rsidRPr="00050FA4">
        <w:rPr>
          <w:lang w:val="sq-AL"/>
        </w:rPr>
        <w:t>)</w:t>
      </w:r>
      <w:r w:rsidRPr="00050FA4">
        <w:rPr>
          <w:lang w:val="sq-AL"/>
        </w:rPr>
        <w:t xml:space="preserve"> </w:t>
      </w:r>
      <w:r w:rsidR="00957259" w:rsidRPr="00050FA4">
        <w:rPr>
          <w:lang w:val="sq-AL"/>
        </w:rPr>
        <w:t xml:space="preserve">Zbatimi </w:t>
      </w:r>
      <w:r w:rsidR="00627F6C" w:rsidRPr="00050FA4">
        <w:rPr>
          <w:lang w:val="sq-AL"/>
        </w:rPr>
        <w:t xml:space="preserve">i Planit të Veprimit të </w:t>
      </w:r>
      <w:r w:rsidR="0055335A" w:rsidRPr="00050FA4">
        <w:rPr>
          <w:lang w:val="sq-AL"/>
        </w:rPr>
        <w:t>KKLT</w:t>
      </w:r>
      <w:r w:rsidR="002D1580" w:rsidRPr="00050FA4">
        <w:rPr>
          <w:lang w:val="sq-AL"/>
        </w:rPr>
        <w:t>-së;</w:t>
      </w:r>
    </w:p>
    <w:p w14:paraId="0EF030DC" w14:textId="63CD9DB5" w:rsidR="00627F6C" w:rsidRPr="00050FA4" w:rsidRDefault="009E5AC9" w:rsidP="003F1DA7">
      <w:pPr>
        <w:pStyle w:val="AAAAAAATEXXXX"/>
        <w:rPr>
          <w:lang w:val="sq-AL"/>
        </w:rPr>
      </w:pPr>
      <w:r w:rsidRPr="00050FA4">
        <w:rPr>
          <w:lang w:val="sq-AL"/>
        </w:rPr>
        <w:t>c</w:t>
      </w:r>
      <w:r w:rsidR="002D1580" w:rsidRPr="00050FA4">
        <w:rPr>
          <w:lang w:val="sq-AL"/>
        </w:rPr>
        <w:t>)</w:t>
      </w:r>
      <w:r w:rsidRPr="00050FA4">
        <w:rPr>
          <w:lang w:val="sq-AL"/>
        </w:rPr>
        <w:t xml:space="preserve"> </w:t>
      </w:r>
      <w:r w:rsidR="00957259" w:rsidRPr="00050FA4">
        <w:rPr>
          <w:lang w:val="sq-AL"/>
        </w:rPr>
        <w:t xml:space="preserve">Ngritja </w:t>
      </w:r>
      <w:r w:rsidR="00627F6C" w:rsidRPr="00050FA4">
        <w:rPr>
          <w:lang w:val="sq-AL"/>
        </w:rPr>
        <w:t>e një grupi teknik ekspertësh që do të analizojnë sektorët e prodhimit</w:t>
      </w:r>
      <w:r w:rsidR="002D1580" w:rsidRPr="00050FA4">
        <w:rPr>
          <w:lang w:val="sq-AL"/>
        </w:rPr>
        <w:t>;</w:t>
      </w:r>
    </w:p>
    <w:p w14:paraId="6097531F" w14:textId="381183B0" w:rsidR="00627F6C" w:rsidRPr="00050FA4" w:rsidRDefault="009E5AC9" w:rsidP="003F1DA7">
      <w:pPr>
        <w:pStyle w:val="AAAAAAATEXXXX"/>
        <w:rPr>
          <w:lang w:val="sq-AL"/>
        </w:rPr>
      </w:pPr>
      <w:r w:rsidRPr="00050FA4">
        <w:rPr>
          <w:lang w:val="sq-AL"/>
        </w:rPr>
        <w:t>d</w:t>
      </w:r>
      <w:r w:rsidR="002D1580" w:rsidRPr="00050FA4">
        <w:rPr>
          <w:lang w:val="sq-AL"/>
        </w:rPr>
        <w:t>)</w:t>
      </w:r>
      <w:r w:rsidRPr="00050FA4">
        <w:rPr>
          <w:lang w:val="sq-AL"/>
        </w:rPr>
        <w:t xml:space="preserve"> </w:t>
      </w:r>
      <w:r w:rsidR="00957259" w:rsidRPr="00050FA4">
        <w:rPr>
          <w:lang w:val="sq-AL"/>
        </w:rPr>
        <w:t xml:space="preserve">Hartimi </w:t>
      </w:r>
      <w:r w:rsidR="002D1580" w:rsidRPr="00050FA4">
        <w:rPr>
          <w:lang w:val="sq-AL"/>
        </w:rPr>
        <w:t>i Strategjisë së eksportit;</w:t>
      </w:r>
    </w:p>
    <w:p w14:paraId="68EA88C8" w14:textId="6CE60BFE" w:rsidR="00627F6C" w:rsidRPr="00050FA4" w:rsidRDefault="009E5AC9" w:rsidP="003F1DA7">
      <w:pPr>
        <w:pStyle w:val="AAAAAAATEXXXX"/>
        <w:rPr>
          <w:lang w:val="sq-AL"/>
        </w:rPr>
      </w:pPr>
      <w:r w:rsidRPr="00050FA4">
        <w:rPr>
          <w:lang w:val="sq-AL"/>
        </w:rPr>
        <w:t>e</w:t>
      </w:r>
      <w:r w:rsidR="002D1580" w:rsidRPr="00050FA4">
        <w:rPr>
          <w:lang w:val="sq-AL"/>
        </w:rPr>
        <w:t>)</w:t>
      </w:r>
      <w:r w:rsidRPr="00050FA4">
        <w:rPr>
          <w:lang w:val="sq-AL"/>
        </w:rPr>
        <w:t xml:space="preserve"> </w:t>
      </w:r>
      <w:r w:rsidR="00957259" w:rsidRPr="00050FA4">
        <w:rPr>
          <w:lang w:val="sq-AL"/>
        </w:rPr>
        <w:t xml:space="preserve">Inkurajimi </w:t>
      </w:r>
      <w:r w:rsidR="00627F6C" w:rsidRPr="00050FA4">
        <w:rPr>
          <w:lang w:val="sq-AL"/>
        </w:rPr>
        <w:t>i markave të njohura ndërkombëtare për të investuar apo operuar në Shqipëri</w:t>
      </w:r>
      <w:r w:rsidR="00957259" w:rsidRPr="00050FA4">
        <w:rPr>
          <w:lang w:val="sq-AL"/>
        </w:rPr>
        <w:t>;</w:t>
      </w:r>
    </w:p>
    <w:p w14:paraId="71DDE94D" w14:textId="72FC3097" w:rsidR="00627F6C" w:rsidRPr="00050FA4" w:rsidRDefault="009E5AC9" w:rsidP="003F1DA7">
      <w:pPr>
        <w:pStyle w:val="AAAAAAATEXXXX"/>
        <w:rPr>
          <w:lang w:val="sq-AL"/>
        </w:rPr>
      </w:pPr>
      <w:r w:rsidRPr="00050FA4">
        <w:rPr>
          <w:lang w:val="sq-AL"/>
        </w:rPr>
        <w:t>f</w:t>
      </w:r>
      <w:r w:rsidR="002D1580" w:rsidRPr="00050FA4">
        <w:rPr>
          <w:lang w:val="sq-AL"/>
        </w:rPr>
        <w:t>)</w:t>
      </w:r>
      <w:r w:rsidRPr="00050FA4">
        <w:rPr>
          <w:lang w:val="sq-AL"/>
        </w:rPr>
        <w:t xml:space="preserve"> </w:t>
      </w:r>
      <w:r w:rsidR="00957259" w:rsidRPr="00050FA4">
        <w:rPr>
          <w:lang w:val="sq-AL"/>
        </w:rPr>
        <w:t xml:space="preserve">Zbatimi </w:t>
      </w:r>
      <w:r w:rsidR="00627F6C" w:rsidRPr="00050FA4">
        <w:rPr>
          <w:lang w:val="sq-AL"/>
        </w:rPr>
        <w:t xml:space="preserve">i </w:t>
      </w:r>
      <w:r w:rsidR="00957259" w:rsidRPr="00050FA4">
        <w:rPr>
          <w:lang w:val="sq-AL"/>
        </w:rPr>
        <w:t xml:space="preserve">iniciativës </w:t>
      </w:r>
      <w:r w:rsidR="00627F6C" w:rsidRPr="00050FA4">
        <w:rPr>
          <w:lang w:val="sq-AL"/>
        </w:rPr>
        <w:t>së Ballkani i Hapur</w:t>
      </w:r>
      <w:r w:rsidR="002D1580" w:rsidRPr="00050FA4">
        <w:rPr>
          <w:lang w:val="sq-AL"/>
        </w:rPr>
        <w:t>;</w:t>
      </w:r>
    </w:p>
    <w:p w14:paraId="6BE9ADA9" w14:textId="5475EDD4" w:rsidR="00627F6C" w:rsidRPr="00050FA4" w:rsidRDefault="009E5AC9" w:rsidP="003F1DA7">
      <w:pPr>
        <w:pStyle w:val="AAAAAAATEXXXX"/>
        <w:rPr>
          <w:lang w:val="sq-AL"/>
        </w:rPr>
      </w:pPr>
      <w:r w:rsidRPr="00050FA4">
        <w:rPr>
          <w:lang w:val="sq-AL"/>
        </w:rPr>
        <w:t>g</w:t>
      </w:r>
      <w:r w:rsidR="002D1580" w:rsidRPr="00050FA4">
        <w:rPr>
          <w:lang w:val="sq-AL"/>
        </w:rPr>
        <w:t>)</w:t>
      </w:r>
      <w:r w:rsidRPr="00050FA4">
        <w:rPr>
          <w:lang w:val="sq-AL"/>
        </w:rPr>
        <w:t xml:space="preserve"> </w:t>
      </w:r>
      <w:r w:rsidR="00957259" w:rsidRPr="00050FA4">
        <w:rPr>
          <w:lang w:val="sq-AL"/>
        </w:rPr>
        <w:t xml:space="preserve">Validimi </w:t>
      </w:r>
      <w:r w:rsidR="00627F6C" w:rsidRPr="00050FA4">
        <w:rPr>
          <w:lang w:val="sq-AL"/>
        </w:rPr>
        <w:t>i OAE</w:t>
      </w:r>
      <w:r w:rsidR="00957259" w:rsidRPr="00050FA4">
        <w:rPr>
          <w:lang w:val="sq-AL"/>
        </w:rPr>
        <w:t>-së</w:t>
      </w:r>
      <w:r w:rsidR="00627F6C" w:rsidRPr="00050FA4">
        <w:rPr>
          <w:lang w:val="sq-AL"/>
        </w:rPr>
        <w:t xml:space="preserve"> </w:t>
      </w:r>
      <w:r w:rsidR="00957259" w:rsidRPr="00050FA4">
        <w:rPr>
          <w:lang w:val="sq-AL"/>
        </w:rPr>
        <w:t xml:space="preserve">shqiptar </w:t>
      </w:r>
      <w:r w:rsidR="00627F6C" w:rsidRPr="00050FA4">
        <w:rPr>
          <w:lang w:val="sq-AL"/>
        </w:rPr>
        <w:t>në nivel CEFTA</w:t>
      </w:r>
      <w:r w:rsidR="00957259" w:rsidRPr="00050FA4">
        <w:rPr>
          <w:lang w:val="sq-AL"/>
        </w:rPr>
        <w:t>;</w:t>
      </w:r>
    </w:p>
    <w:p w14:paraId="02EA06FE" w14:textId="2BBFA42D" w:rsidR="00627F6C" w:rsidRPr="00050FA4" w:rsidRDefault="009E5AC9" w:rsidP="003F1DA7">
      <w:pPr>
        <w:pStyle w:val="AAAAAAATEXXXX"/>
        <w:rPr>
          <w:lang w:val="sq-AL"/>
        </w:rPr>
      </w:pPr>
      <w:r w:rsidRPr="00050FA4">
        <w:rPr>
          <w:lang w:val="sq-AL"/>
        </w:rPr>
        <w:t>h</w:t>
      </w:r>
      <w:r w:rsidR="002D1580" w:rsidRPr="00050FA4">
        <w:rPr>
          <w:lang w:val="sq-AL"/>
        </w:rPr>
        <w:t>)</w:t>
      </w:r>
      <w:r w:rsidRPr="00050FA4">
        <w:rPr>
          <w:lang w:val="sq-AL"/>
        </w:rPr>
        <w:t xml:space="preserve"> </w:t>
      </w:r>
      <w:r w:rsidR="0055335A" w:rsidRPr="00050FA4">
        <w:rPr>
          <w:lang w:val="sq-AL"/>
        </w:rPr>
        <w:t>Finalizi</w:t>
      </w:r>
      <w:r w:rsidR="002D1580" w:rsidRPr="00050FA4">
        <w:rPr>
          <w:lang w:val="sq-AL"/>
        </w:rPr>
        <w:t xml:space="preserve">mi i Projekteve Ndërkufitare: </w:t>
      </w:r>
      <w:r w:rsidR="0055335A" w:rsidRPr="00050FA4">
        <w:rPr>
          <w:lang w:val="sq-AL"/>
        </w:rPr>
        <w:t>i</w:t>
      </w:r>
      <w:r w:rsidR="002D1580" w:rsidRPr="00050FA4">
        <w:rPr>
          <w:lang w:val="sq-AL"/>
        </w:rPr>
        <w:t>.</w:t>
      </w:r>
      <w:r w:rsidR="0055335A" w:rsidRPr="00050FA4">
        <w:rPr>
          <w:lang w:val="sq-AL"/>
        </w:rPr>
        <w:t xml:space="preserve"> </w:t>
      </w:r>
      <w:r w:rsidR="00957259" w:rsidRPr="00050FA4">
        <w:rPr>
          <w:lang w:val="sq-AL"/>
        </w:rPr>
        <w:t xml:space="preserve">qasja </w:t>
      </w:r>
      <w:r w:rsidR="0055335A" w:rsidRPr="00050FA4">
        <w:rPr>
          <w:lang w:val="sq-AL"/>
        </w:rPr>
        <w:t xml:space="preserve">e drejtpërdrejtë e tregtarëve në </w:t>
      </w:r>
      <w:r w:rsidR="00957259" w:rsidRPr="00050FA4">
        <w:rPr>
          <w:lang w:val="sq-AL"/>
        </w:rPr>
        <w:t>sistemet e informacionit doga</w:t>
      </w:r>
      <w:r w:rsidR="0055335A" w:rsidRPr="00050FA4">
        <w:rPr>
          <w:lang w:val="sq-AL"/>
        </w:rPr>
        <w:t>nor</w:t>
      </w:r>
      <w:r w:rsidR="002D1580" w:rsidRPr="00050FA4">
        <w:rPr>
          <w:lang w:val="sq-AL"/>
        </w:rPr>
        <w:t>; ii.</w:t>
      </w:r>
      <w:r w:rsidR="0055335A" w:rsidRPr="00050FA4">
        <w:rPr>
          <w:lang w:val="sq-AL"/>
        </w:rPr>
        <w:t xml:space="preserve"> </w:t>
      </w:r>
      <w:r w:rsidR="00957259" w:rsidRPr="00050FA4">
        <w:rPr>
          <w:lang w:val="sq-AL"/>
        </w:rPr>
        <w:t xml:space="preserve">krijimi </w:t>
      </w:r>
      <w:r w:rsidR="0055335A" w:rsidRPr="00050FA4">
        <w:rPr>
          <w:lang w:val="sq-AL"/>
        </w:rPr>
        <w:t>i sistemit të kompjuterizuar të eksportit</w:t>
      </w:r>
      <w:r w:rsidR="002D1580" w:rsidRPr="00050FA4">
        <w:rPr>
          <w:lang w:val="sq-AL"/>
        </w:rPr>
        <w:t xml:space="preserve">; </w:t>
      </w:r>
      <w:r w:rsidR="0055335A" w:rsidRPr="00050FA4">
        <w:rPr>
          <w:lang w:val="sq-AL"/>
        </w:rPr>
        <w:t>ii</w:t>
      </w:r>
      <w:r w:rsidR="002D1580" w:rsidRPr="00050FA4">
        <w:rPr>
          <w:lang w:val="sq-AL"/>
        </w:rPr>
        <w:t>.</w:t>
      </w:r>
      <w:r w:rsidR="0055335A" w:rsidRPr="00050FA4">
        <w:rPr>
          <w:lang w:val="sq-AL"/>
        </w:rPr>
        <w:t xml:space="preserve"> </w:t>
      </w:r>
      <w:r w:rsidR="002D1580" w:rsidRPr="00050FA4">
        <w:rPr>
          <w:lang w:val="sq-AL"/>
        </w:rPr>
        <w:t xml:space="preserve">krijimi </w:t>
      </w:r>
      <w:r w:rsidR="0055335A" w:rsidRPr="00050FA4">
        <w:rPr>
          <w:lang w:val="sq-AL"/>
        </w:rPr>
        <w:t>i sistemit elektronik të kontrollit të importit</w:t>
      </w:r>
      <w:r w:rsidR="002D1580" w:rsidRPr="00050FA4">
        <w:rPr>
          <w:lang w:val="sq-AL"/>
        </w:rPr>
        <w:t xml:space="preserve">; </w:t>
      </w:r>
      <w:r w:rsidR="0055335A" w:rsidRPr="00050FA4">
        <w:rPr>
          <w:lang w:val="sq-AL"/>
        </w:rPr>
        <w:t>iv</w:t>
      </w:r>
      <w:r w:rsidR="002D1580" w:rsidRPr="00050FA4">
        <w:rPr>
          <w:lang w:val="sq-AL"/>
        </w:rPr>
        <w:t>.</w:t>
      </w:r>
      <w:r w:rsidR="0055335A" w:rsidRPr="00050FA4">
        <w:rPr>
          <w:lang w:val="sq-AL"/>
        </w:rPr>
        <w:t xml:space="preserve"> </w:t>
      </w:r>
      <w:r w:rsidR="002D1580" w:rsidRPr="00050FA4">
        <w:rPr>
          <w:lang w:val="sq-AL"/>
        </w:rPr>
        <w:t xml:space="preserve">zhdoganimi i centralizuar i importit; </w:t>
      </w:r>
      <w:r w:rsidR="0055335A" w:rsidRPr="00050FA4">
        <w:rPr>
          <w:lang w:val="sq-AL"/>
        </w:rPr>
        <w:t>v</w:t>
      </w:r>
      <w:r w:rsidR="002D1580" w:rsidRPr="00050FA4">
        <w:rPr>
          <w:lang w:val="sq-AL"/>
        </w:rPr>
        <w:t>.</w:t>
      </w:r>
      <w:r w:rsidR="0055335A" w:rsidRPr="00050FA4">
        <w:rPr>
          <w:lang w:val="sq-AL"/>
        </w:rPr>
        <w:t xml:space="preserve"> </w:t>
      </w:r>
      <w:r w:rsidR="002D1580" w:rsidRPr="00050FA4">
        <w:rPr>
          <w:lang w:val="sq-AL"/>
        </w:rPr>
        <w:t xml:space="preserve">informacioni </w:t>
      </w:r>
      <w:r w:rsidR="0055335A" w:rsidRPr="00050FA4">
        <w:rPr>
          <w:lang w:val="sq-AL"/>
        </w:rPr>
        <w:t xml:space="preserve">paraprak, mbërritja, prezantimi dhe </w:t>
      </w:r>
      <w:r w:rsidR="002D1580" w:rsidRPr="00050FA4">
        <w:rPr>
          <w:lang w:val="sq-AL"/>
        </w:rPr>
        <w:t xml:space="preserve">ruajtja e përkohshme; </w:t>
      </w:r>
      <w:r w:rsidR="0055335A" w:rsidRPr="00050FA4">
        <w:rPr>
          <w:lang w:val="sq-AL"/>
        </w:rPr>
        <w:t>vi</w:t>
      </w:r>
      <w:r w:rsidR="002D1580" w:rsidRPr="00050FA4">
        <w:rPr>
          <w:lang w:val="sq-AL"/>
        </w:rPr>
        <w:t>.</w:t>
      </w:r>
      <w:r w:rsidR="0055335A" w:rsidRPr="00050FA4">
        <w:rPr>
          <w:lang w:val="sq-AL"/>
        </w:rPr>
        <w:t xml:space="preserve"> </w:t>
      </w:r>
      <w:r w:rsidR="002D1580" w:rsidRPr="00050FA4">
        <w:rPr>
          <w:lang w:val="sq-AL"/>
        </w:rPr>
        <w:t xml:space="preserve">menaxhimi </w:t>
      </w:r>
      <w:r w:rsidR="0055335A" w:rsidRPr="00050FA4">
        <w:rPr>
          <w:lang w:val="sq-AL"/>
        </w:rPr>
        <w:t xml:space="preserve">i </w:t>
      </w:r>
      <w:r w:rsidR="002D1580" w:rsidRPr="00050FA4">
        <w:rPr>
          <w:lang w:val="sq-AL"/>
        </w:rPr>
        <w:t>garancisë.</w:t>
      </w:r>
    </w:p>
    <w:p w14:paraId="78F9F509" w14:textId="4AD07789" w:rsidR="00CC1612" w:rsidRPr="00050FA4" w:rsidRDefault="00516ACC" w:rsidP="003F1DA7">
      <w:pPr>
        <w:pStyle w:val="AAAAAAATEXXXX"/>
        <w:rPr>
          <w:b/>
          <w:lang w:val="sq-AL"/>
        </w:rPr>
      </w:pPr>
      <w:r w:rsidRPr="00050FA4">
        <w:rPr>
          <w:b/>
          <w:lang w:val="sq-AL"/>
        </w:rPr>
        <w:t>b</w:t>
      </w:r>
      <w:r w:rsidR="002D1580" w:rsidRPr="00050FA4">
        <w:rPr>
          <w:b/>
          <w:lang w:val="sq-AL"/>
        </w:rPr>
        <w:t>)</w:t>
      </w:r>
      <w:r w:rsidRPr="00050FA4">
        <w:rPr>
          <w:b/>
          <w:lang w:val="sq-AL"/>
        </w:rPr>
        <w:t xml:space="preserve"> </w:t>
      </w:r>
      <w:r w:rsidR="00B2062A" w:rsidRPr="00050FA4">
        <w:rPr>
          <w:b/>
          <w:lang w:val="sq-AL"/>
        </w:rPr>
        <w:t xml:space="preserve">Aktivitete të planifikuara </w:t>
      </w:r>
      <w:r w:rsidR="002D1580" w:rsidRPr="00050FA4">
        <w:rPr>
          <w:b/>
          <w:lang w:val="sq-AL"/>
        </w:rPr>
        <w:t>m</w:t>
      </w:r>
      <w:r w:rsidR="00B2062A" w:rsidRPr="00050FA4">
        <w:rPr>
          <w:b/>
          <w:lang w:val="sq-AL"/>
        </w:rPr>
        <w:t>ë</w:t>
      </w:r>
      <w:r w:rsidR="00CC1612" w:rsidRPr="00050FA4">
        <w:rPr>
          <w:b/>
          <w:lang w:val="sq-AL"/>
        </w:rPr>
        <w:t xml:space="preserve"> 2023</w:t>
      </w:r>
      <w:r w:rsidR="002D1580" w:rsidRPr="00050FA4">
        <w:rPr>
          <w:b/>
          <w:lang w:val="sq-AL"/>
        </w:rPr>
        <w:t>-shin</w:t>
      </w:r>
    </w:p>
    <w:p w14:paraId="68743F4B" w14:textId="4E61E431" w:rsidR="00A54F3A" w:rsidRPr="00050FA4" w:rsidRDefault="00516ACC" w:rsidP="003F1DA7">
      <w:pPr>
        <w:pStyle w:val="AAAAAAATEXXXX"/>
        <w:rPr>
          <w:lang w:val="sq-AL"/>
        </w:rPr>
      </w:pPr>
      <w:r w:rsidRPr="00050FA4">
        <w:rPr>
          <w:lang w:val="sq-AL"/>
        </w:rPr>
        <w:lastRenderedPageBreak/>
        <w:t>a</w:t>
      </w:r>
      <w:r w:rsidR="002D1580" w:rsidRPr="00050FA4">
        <w:rPr>
          <w:lang w:val="sq-AL"/>
        </w:rPr>
        <w:t>)</w:t>
      </w:r>
      <w:r w:rsidRPr="00050FA4">
        <w:rPr>
          <w:lang w:val="sq-AL"/>
        </w:rPr>
        <w:t xml:space="preserve"> </w:t>
      </w:r>
      <w:r w:rsidR="0055335A" w:rsidRPr="00050FA4">
        <w:rPr>
          <w:lang w:val="sq-AL"/>
        </w:rPr>
        <w:t>Zbatimi i Planit Rajonal të Veprimit për krijimin e Tregut të Përbashkët Rajonal, në bashkëpunim me Palët e CEFTA-s, duke hartuar dokumente rajonale për zbatimin e veprimeve në 4 shtyllat e integrim</w:t>
      </w:r>
      <w:r w:rsidR="0025734E" w:rsidRPr="00050FA4">
        <w:rPr>
          <w:lang w:val="sq-AL"/>
        </w:rPr>
        <w:t xml:space="preserve">it rajonal: </w:t>
      </w:r>
      <w:r w:rsidR="0055335A" w:rsidRPr="00050FA4">
        <w:rPr>
          <w:lang w:val="sq-AL"/>
        </w:rPr>
        <w:t>i</w:t>
      </w:r>
      <w:r w:rsidR="0025734E" w:rsidRPr="00050FA4">
        <w:rPr>
          <w:lang w:val="sq-AL"/>
        </w:rPr>
        <w:t>.</w:t>
      </w:r>
      <w:r w:rsidR="0055335A" w:rsidRPr="00050FA4">
        <w:rPr>
          <w:lang w:val="sq-AL"/>
        </w:rPr>
        <w:t xml:space="preserve"> lëvizjen e lirë të mallrave</w:t>
      </w:r>
      <w:r w:rsidR="0025734E" w:rsidRPr="00050FA4">
        <w:rPr>
          <w:lang w:val="sq-AL"/>
        </w:rPr>
        <w:t xml:space="preserve">; </w:t>
      </w:r>
      <w:r w:rsidR="0055335A" w:rsidRPr="00050FA4">
        <w:rPr>
          <w:lang w:val="sq-AL"/>
        </w:rPr>
        <w:t>ii</w:t>
      </w:r>
      <w:r w:rsidR="0025734E" w:rsidRPr="00050FA4">
        <w:rPr>
          <w:lang w:val="sq-AL"/>
        </w:rPr>
        <w:t xml:space="preserve">. </w:t>
      </w:r>
      <w:r w:rsidR="0055335A" w:rsidRPr="00050FA4">
        <w:rPr>
          <w:lang w:val="sq-AL"/>
        </w:rPr>
        <w:t>lëvizja e lirë e shërbimeve</w:t>
      </w:r>
      <w:r w:rsidR="0025734E" w:rsidRPr="00050FA4">
        <w:rPr>
          <w:lang w:val="sq-AL"/>
        </w:rPr>
        <w:t xml:space="preserve">; </w:t>
      </w:r>
      <w:r w:rsidR="0055335A" w:rsidRPr="00050FA4">
        <w:rPr>
          <w:lang w:val="sq-AL"/>
        </w:rPr>
        <w:t>iii</w:t>
      </w:r>
      <w:r w:rsidR="0025734E" w:rsidRPr="00050FA4">
        <w:rPr>
          <w:lang w:val="sq-AL"/>
        </w:rPr>
        <w:t>.</w:t>
      </w:r>
      <w:r w:rsidR="0055335A" w:rsidRPr="00050FA4">
        <w:rPr>
          <w:lang w:val="sq-AL"/>
        </w:rPr>
        <w:t xml:space="preserve"> lëvizja e lirë e kapitalit</w:t>
      </w:r>
      <w:r w:rsidR="0025734E" w:rsidRPr="00050FA4">
        <w:rPr>
          <w:lang w:val="sq-AL"/>
        </w:rPr>
        <w:t>;</w:t>
      </w:r>
      <w:r w:rsidR="0055335A" w:rsidRPr="00050FA4">
        <w:rPr>
          <w:lang w:val="sq-AL"/>
        </w:rPr>
        <w:t xml:space="preserve"> dhe iv</w:t>
      </w:r>
      <w:r w:rsidR="0025734E" w:rsidRPr="00050FA4">
        <w:rPr>
          <w:lang w:val="sq-AL"/>
        </w:rPr>
        <w:t>.</w:t>
      </w:r>
      <w:r w:rsidR="0055335A" w:rsidRPr="00050FA4">
        <w:rPr>
          <w:lang w:val="sq-AL"/>
        </w:rPr>
        <w:t xml:space="preserve"> lëvizja e lirë e njerëzve, duke përfshirë masat ndërsektoriale</w:t>
      </w:r>
      <w:r w:rsidR="006C3868" w:rsidRPr="00050FA4">
        <w:rPr>
          <w:bCs/>
          <w:lang w:val="sq-AL"/>
        </w:rPr>
        <w:t>;</w:t>
      </w:r>
    </w:p>
    <w:p w14:paraId="39F1EB98" w14:textId="1CAB587E" w:rsidR="00627F6C" w:rsidRPr="00050FA4" w:rsidRDefault="00516ACC" w:rsidP="003F1DA7">
      <w:pPr>
        <w:pStyle w:val="AAAAAAATEXXXX"/>
        <w:rPr>
          <w:lang w:val="sq-AL"/>
        </w:rPr>
      </w:pPr>
      <w:r w:rsidRPr="00050FA4">
        <w:rPr>
          <w:bCs/>
          <w:lang w:val="sq-AL"/>
        </w:rPr>
        <w:t>b</w:t>
      </w:r>
      <w:r w:rsidR="0025734E" w:rsidRPr="00050FA4">
        <w:rPr>
          <w:bCs/>
          <w:lang w:val="sq-AL"/>
        </w:rPr>
        <w:t>)</w:t>
      </w:r>
      <w:r w:rsidRPr="00050FA4">
        <w:rPr>
          <w:bCs/>
          <w:lang w:val="sq-AL"/>
        </w:rPr>
        <w:t xml:space="preserve"> </w:t>
      </w:r>
      <w:r w:rsidR="00627F6C" w:rsidRPr="00050FA4">
        <w:rPr>
          <w:bCs/>
          <w:lang w:val="sq-AL"/>
        </w:rPr>
        <w:t>Zbatimi i Planit të Veprimit 2021</w:t>
      </w:r>
      <w:r w:rsidR="007575BB" w:rsidRPr="00050FA4">
        <w:rPr>
          <w:bCs/>
          <w:lang w:val="sq-AL"/>
        </w:rPr>
        <w:t>–</w:t>
      </w:r>
      <w:r w:rsidR="00627F6C" w:rsidRPr="00050FA4">
        <w:rPr>
          <w:bCs/>
          <w:lang w:val="sq-AL"/>
        </w:rPr>
        <w:t xml:space="preserve">2023 të </w:t>
      </w:r>
      <w:r w:rsidR="0055335A" w:rsidRPr="00050FA4">
        <w:rPr>
          <w:bCs/>
          <w:lang w:val="sq-AL"/>
        </w:rPr>
        <w:t>KKLT</w:t>
      </w:r>
      <w:r w:rsidR="006C3868" w:rsidRPr="00050FA4">
        <w:rPr>
          <w:bCs/>
          <w:lang w:val="sq-AL"/>
        </w:rPr>
        <w:t>-së;</w:t>
      </w:r>
    </w:p>
    <w:p w14:paraId="694151D3" w14:textId="52FC4197" w:rsidR="00627F6C" w:rsidRPr="00050FA4" w:rsidRDefault="00516ACC" w:rsidP="003F1DA7">
      <w:pPr>
        <w:pStyle w:val="AAAAAAATEXXXX"/>
        <w:rPr>
          <w:lang w:val="sq-AL"/>
        </w:rPr>
      </w:pPr>
      <w:r w:rsidRPr="00050FA4">
        <w:rPr>
          <w:bCs/>
          <w:lang w:val="sq-AL"/>
        </w:rPr>
        <w:t>c</w:t>
      </w:r>
      <w:r w:rsidR="0025734E" w:rsidRPr="00050FA4">
        <w:rPr>
          <w:bCs/>
          <w:lang w:val="sq-AL"/>
        </w:rPr>
        <w:t>)</w:t>
      </w:r>
      <w:r w:rsidRPr="00050FA4">
        <w:rPr>
          <w:bCs/>
          <w:lang w:val="sq-AL"/>
        </w:rPr>
        <w:t xml:space="preserve"> </w:t>
      </w:r>
      <w:r w:rsidR="00627F6C" w:rsidRPr="00050FA4">
        <w:rPr>
          <w:bCs/>
          <w:lang w:val="sq-AL"/>
        </w:rPr>
        <w:t>Inkurajimi i markave të njohura ndërkombëtare për të investuar apo operuar në Shqipëri</w:t>
      </w:r>
      <w:r w:rsidR="006C3868" w:rsidRPr="00050FA4">
        <w:rPr>
          <w:bCs/>
          <w:lang w:val="sq-AL"/>
        </w:rPr>
        <w:t>;</w:t>
      </w:r>
    </w:p>
    <w:p w14:paraId="495667F2" w14:textId="1EF6508B" w:rsidR="00627F6C" w:rsidRPr="00050FA4" w:rsidRDefault="00516ACC" w:rsidP="003F1DA7">
      <w:pPr>
        <w:pStyle w:val="AAAAAAATEXXXX"/>
        <w:rPr>
          <w:lang w:val="sq-AL"/>
        </w:rPr>
      </w:pPr>
      <w:r w:rsidRPr="00050FA4">
        <w:rPr>
          <w:bCs/>
          <w:lang w:val="sq-AL"/>
        </w:rPr>
        <w:t>d</w:t>
      </w:r>
      <w:r w:rsidR="0025734E" w:rsidRPr="00050FA4">
        <w:rPr>
          <w:bCs/>
          <w:lang w:val="sq-AL"/>
        </w:rPr>
        <w:t>)</w:t>
      </w:r>
      <w:r w:rsidRPr="00050FA4">
        <w:rPr>
          <w:bCs/>
          <w:lang w:val="sq-AL"/>
        </w:rPr>
        <w:t xml:space="preserve"> </w:t>
      </w:r>
      <w:r w:rsidR="00627F6C" w:rsidRPr="00050FA4">
        <w:rPr>
          <w:bCs/>
          <w:lang w:val="sq-AL"/>
        </w:rPr>
        <w:t>Zbatimi i nismës Ballkani i Hapur</w:t>
      </w:r>
      <w:r w:rsidR="006C3868" w:rsidRPr="00050FA4">
        <w:rPr>
          <w:bCs/>
          <w:lang w:val="sq-AL"/>
        </w:rPr>
        <w:t>;</w:t>
      </w:r>
    </w:p>
    <w:p w14:paraId="7ACA58F1" w14:textId="79CE5F44" w:rsidR="00627F6C" w:rsidRPr="00050FA4" w:rsidRDefault="00516ACC" w:rsidP="003F1DA7">
      <w:pPr>
        <w:pStyle w:val="AAAAAAATEXXXX"/>
        <w:rPr>
          <w:lang w:val="sq-AL"/>
        </w:rPr>
      </w:pPr>
      <w:r w:rsidRPr="00050FA4">
        <w:rPr>
          <w:bCs/>
          <w:lang w:val="sq-AL"/>
        </w:rPr>
        <w:t>e</w:t>
      </w:r>
      <w:r w:rsidR="0025734E" w:rsidRPr="00050FA4">
        <w:rPr>
          <w:bCs/>
          <w:lang w:val="sq-AL"/>
        </w:rPr>
        <w:t>)</w:t>
      </w:r>
      <w:r w:rsidRPr="00050FA4">
        <w:rPr>
          <w:bCs/>
          <w:lang w:val="sq-AL"/>
        </w:rPr>
        <w:t xml:space="preserve"> </w:t>
      </w:r>
      <w:r w:rsidR="00627F6C" w:rsidRPr="00050FA4">
        <w:rPr>
          <w:bCs/>
          <w:lang w:val="sq-AL"/>
        </w:rPr>
        <w:t>Finalizimi i Projekteve Ndërkufitare</w:t>
      </w:r>
      <w:r w:rsidR="0025734E" w:rsidRPr="00050FA4">
        <w:rPr>
          <w:bCs/>
          <w:lang w:val="sq-AL"/>
        </w:rPr>
        <w:t xml:space="preserve">: </w:t>
      </w:r>
      <w:r w:rsidR="00627F6C" w:rsidRPr="00050FA4">
        <w:rPr>
          <w:bCs/>
          <w:lang w:val="sq-AL"/>
        </w:rPr>
        <w:t>i</w:t>
      </w:r>
      <w:r w:rsidR="0025734E" w:rsidRPr="00050FA4">
        <w:rPr>
          <w:bCs/>
          <w:lang w:val="sq-AL"/>
        </w:rPr>
        <w:t>.</w:t>
      </w:r>
      <w:r w:rsidR="00627F6C" w:rsidRPr="00050FA4">
        <w:rPr>
          <w:bCs/>
          <w:lang w:val="sq-AL"/>
        </w:rPr>
        <w:t xml:space="preserve"> </w:t>
      </w:r>
      <w:r w:rsidR="006C3868" w:rsidRPr="00050FA4">
        <w:rPr>
          <w:bCs/>
          <w:lang w:val="sq-AL"/>
        </w:rPr>
        <w:t xml:space="preserve">qasja </w:t>
      </w:r>
      <w:r w:rsidR="00627F6C" w:rsidRPr="00050FA4">
        <w:rPr>
          <w:bCs/>
          <w:lang w:val="sq-AL"/>
        </w:rPr>
        <w:t xml:space="preserve">e drejtpërdrejtë e tregtarëve në </w:t>
      </w:r>
      <w:r w:rsidR="006C3868" w:rsidRPr="00050FA4">
        <w:rPr>
          <w:bCs/>
          <w:lang w:val="sq-AL"/>
        </w:rPr>
        <w:t>sistemet e informacionit dogan</w:t>
      </w:r>
      <w:r w:rsidR="0025734E" w:rsidRPr="00050FA4">
        <w:rPr>
          <w:bCs/>
          <w:lang w:val="sq-AL"/>
        </w:rPr>
        <w:t xml:space="preserve">or; </w:t>
      </w:r>
      <w:r w:rsidR="00627F6C" w:rsidRPr="00050FA4">
        <w:rPr>
          <w:bCs/>
          <w:lang w:val="sq-AL"/>
        </w:rPr>
        <w:t>ii</w:t>
      </w:r>
      <w:r w:rsidR="0025734E" w:rsidRPr="00050FA4">
        <w:rPr>
          <w:bCs/>
          <w:lang w:val="sq-AL"/>
        </w:rPr>
        <w:t>.</w:t>
      </w:r>
      <w:r w:rsidR="00627F6C" w:rsidRPr="00050FA4">
        <w:rPr>
          <w:bCs/>
          <w:lang w:val="sq-AL"/>
        </w:rPr>
        <w:t xml:space="preserve"> </w:t>
      </w:r>
      <w:r w:rsidR="0025734E" w:rsidRPr="00050FA4">
        <w:rPr>
          <w:bCs/>
          <w:lang w:val="sq-AL"/>
        </w:rPr>
        <w:t xml:space="preserve">krijimi </w:t>
      </w:r>
      <w:r w:rsidR="00627F6C" w:rsidRPr="00050FA4">
        <w:rPr>
          <w:bCs/>
          <w:lang w:val="sq-AL"/>
        </w:rPr>
        <w:t>i sistemit të kompjuterizuar të eksportit</w:t>
      </w:r>
      <w:r w:rsidR="0025734E" w:rsidRPr="00050FA4">
        <w:rPr>
          <w:bCs/>
          <w:lang w:val="sq-AL"/>
        </w:rPr>
        <w:t>;</w:t>
      </w:r>
      <w:r w:rsidR="00627F6C" w:rsidRPr="00050FA4">
        <w:rPr>
          <w:bCs/>
          <w:lang w:val="sq-AL"/>
        </w:rPr>
        <w:t xml:space="preserve"> ii</w:t>
      </w:r>
      <w:r w:rsidR="0025734E" w:rsidRPr="00050FA4">
        <w:rPr>
          <w:bCs/>
          <w:lang w:val="sq-AL"/>
        </w:rPr>
        <w:t>.</w:t>
      </w:r>
      <w:r w:rsidR="00627F6C" w:rsidRPr="00050FA4">
        <w:rPr>
          <w:bCs/>
          <w:lang w:val="sq-AL"/>
        </w:rPr>
        <w:t xml:space="preserve"> </w:t>
      </w:r>
      <w:r w:rsidR="0025734E" w:rsidRPr="00050FA4">
        <w:rPr>
          <w:bCs/>
          <w:lang w:val="sq-AL"/>
        </w:rPr>
        <w:t xml:space="preserve">krijimi </w:t>
      </w:r>
      <w:r w:rsidR="00627F6C" w:rsidRPr="00050FA4">
        <w:rPr>
          <w:bCs/>
          <w:lang w:val="sq-AL"/>
        </w:rPr>
        <w:t>i sistemit elektronik të kontrollit të importit</w:t>
      </w:r>
      <w:r w:rsidR="0025734E" w:rsidRPr="00050FA4">
        <w:rPr>
          <w:bCs/>
          <w:lang w:val="sq-AL"/>
        </w:rPr>
        <w:t xml:space="preserve">; </w:t>
      </w:r>
      <w:r w:rsidR="00627F6C" w:rsidRPr="00050FA4">
        <w:rPr>
          <w:bCs/>
          <w:lang w:val="sq-AL"/>
        </w:rPr>
        <w:t>iv</w:t>
      </w:r>
      <w:r w:rsidR="0025734E" w:rsidRPr="00050FA4">
        <w:rPr>
          <w:bCs/>
          <w:lang w:val="sq-AL"/>
        </w:rPr>
        <w:t>.</w:t>
      </w:r>
      <w:r w:rsidR="00627F6C" w:rsidRPr="00050FA4">
        <w:rPr>
          <w:bCs/>
          <w:lang w:val="sq-AL"/>
        </w:rPr>
        <w:t xml:space="preserve"> </w:t>
      </w:r>
      <w:r w:rsidR="0025734E" w:rsidRPr="00050FA4">
        <w:rPr>
          <w:bCs/>
          <w:lang w:val="sq-AL"/>
        </w:rPr>
        <w:t xml:space="preserve">zhdoganimi i centralizuar i importit; </w:t>
      </w:r>
      <w:r w:rsidR="00627F6C" w:rsidRPr="00050FA4">
        <w:rPr>
          <w:bCs/>
          <w:lang w:val="sq-AL"/>
        </w:rPr>
        <w:t>v</w:t>
      </w:r>
      <w:r w:rsidR="0025734E" w:rsidRPr="00050FA4">
        <w:rPr>
          <w:bCs/>
          <w:lang w:val="sq-AL"/>
        </w:rPr>
        <w:t>.</w:t>
      </w:r>
      <w:r w:rsidR="00627F6C" w:rsidRPr="00050FA4">
        <w:rPr>
          <w:bCs/>
          <w:lang w:val="sq-AL"/>
        </w:rPr>
        <w:t xml:space="preserve"> </w:t>
      </w:r>
      <w:r w:rsidR="0025734E" w:rsidRPr="00050FA4">
        <w:rPr>
          <w:bCs/>
          <w:lang w:val="sq-AL"/>
        </w:rPr>
        <w:t xml:space="preserve">informacioni </w:t>
      </w:r>
      <w:r w:rsidR="00627F6C" w:rsidRPr="00050FA4">
        <w:rPr>
          <w:bCs/>
          <w:lang w:val="sq-AL"/>
        </w:rPr>
        <w:t>paraprak, mbërritja, preza</w:t>
      </w:r>
      <w:r w:rsidR="0025734E" w:rsidRPr="00050FA4">
        <w:rPr>
          <w:bCs/>
          <w:lang w:val="sq-AL"/>
        </w:rPr>
        <w:t xml:space="preserve">ntimi dhe Ruajtja e Përkohshme; </w:t>
      </w:r>
      <w:r w:rsidR="00627F6C" w:rsidRPr="00050FA4">
        <w:rPr>
          <w:bCs/>
          <w:lang w:val="sq-AL"/>
        </w:rPr>
        <w:t>vi</w:t>
      </w:r>
      <w:r w:rsidR="0025734E" w:rsidRPr="00050FA4">
        <w:rPr>
          <w:bCs/>
          <w:lang w:val="sq-AL"/>
        </w:rPr>
        <w:t>.</w:t>
      </w:r>
      <w:r w:rsidR="00627F6C" w:rsidRPr="00050FA4">
        <w:rPr>
          <w:bCs/>
          <w:lang w:val="sq-AL"/>
        </w:rPr>
        <w:t xml:space="preserve"> </w:t>
      </w:r>
      <w:r w:rsidR="0025734E" w:rsidRPr="00050FA4">
        <w:rPr>
          <w:bCs/>
          <w:lang w:val="sq-AL"/>
        </w:rPr>
        <w:t>menaxhimi i garancisë</w:t>
      </w:r>
      <w:r w:rsidR="00627F6C" w:rsidRPr="00050FA4">
        <w:rPr>
          <w:bCs/>
          <w:lang w:val="sq-AL"/>
        </w:rPr>
        <w:t>.</w:t>
      </w:r>
    </w:p>
    <w:p w14:paraId="6168A8CE" w14:textId="4DE1401E" w:rsidR="00CC1612" w:rsidRPr="00050FA4" w:rsidRDefault="00516ACC" w:rsidP="003F1DA7">
      <w:pPr>
        <w:pStyle w:val="AAAAAAATEXXXX"/>
        <w:rPr>
          <w:b/>
          <w:lang w:val="sq-AL"/>
        </w:rPr>
      </w:pPr>
      <w:r w:rsidRPr="00050FA4">
        <w:rPr>
          <w:b/>
          <w:lang w:val="sq-AL"/>
        </w:rPr>
        <w:t>c</w:t>
      </w:r>
      <w:r w:rsidR="0025734E" w:rsidRPr="00050FA4">
        <w:rPr>
          <w:b/>
          <w:lang w:val="sq-AL"/>
        </w:rPr>
        <w:t>)</w:t>
      </w:r>
      <w:r w:rsidRPr="00050FA4">
        <w:rPr>
          <w:b/>
          <w:lang w:val="sq-AL"/>
        </w:rPr>
        <w:t xml:space="preserve"> </w:t>
      </w:r>
      <w:r w:rsidR="00B2062A" w:rsidRPr="00050FA4">
        <w:rPr>
          <w:b/>
          <w:lang w:val="sq-AL"/>
        </w:rPr>
        <w:t xml:space="preserve">Aktivitete të planifikuara </w:t>
      </w:r>
      <w:r w:rsidR="00957259" w:rsidRPr="00050FA4">
        <w:rPr>
          <w:b/>
          <w:lang w:val="sq-AL"/>
        </w:rPr>
        <w:t>m</w:t>
      </w:r>
      <w:r w:rsidR="00B2062A" w:rsidRPr="00050FA4">
        <w:rPr>
          <w:b/>
          <w:lang w:val="sq-AL"/>
        </w:rPr>
        <w:t>ë</w:t>
      </w:r>
      <w:r w:rsidR="00CC1612" w:rsidRPr="00050FA4">
        <w:rPr>
          <w:b/>
          <w:lang w:val="sq-AL"/>
        </w:rPr>
        <w:t xml:space="preserve"> 2024</w:t>
      </w:r>
      <w:r w:rsidR="00957259" w:rsidRPr="00050FA4">
        <w:rPr>
          <w:b/>
          <w:lang w:val="sq-AL"/>
        </w:rPr>
        <w:t>-ën</w:t>
      </w:r>
    </w:p>
    <w:p w14:paraId="5A330288" w14:textId="482F3FEF" w:rsidR="00627F6C" w:rsidRPr="00050FA4" w:rsidRDefault="00516ACC" w:rsidP="003F1DA7">
      <w:pPr>
        <w:pStyle w:val="AAAAAAATEXXXX"/>
        <w:rPr>
          <w:b/>
          <w:lang w:val="sq-AL"/>
        </w:rPr>
      </w:pPr>
      <w:r w:rsidRPr="00050FA4">
        <w:rPr>
          <w:lang w:val="sq-AL"/>
        </w:rPr>
        <w:t>a</w:t>
      </w:r>
      <w:r w:rsidR="0025734E" w:rsidRPr="00050FA4">
        <w:rPr>
          <w:lang w:val="sq-AL"/>
        </w:rPr>
        <w:t>)</w:t>
      </w:r>
      <w:r w:rsidRPr="00050FA4">
        <w:rPr>
          <w:lang w:val="sq-AL"/>
        </w:rPr>
        <w:t xml:space="preserve"> </w:t>
      </w:r>
      <w:r w:rsidR="0055335A" w:rsidRPr="00050FA4">
        <w:rPr>
          <w:lang w:val="sq-AL"/>
        </w:rPr>
        <w:t>Zbatimi i Planit Rajonal të Veprimit për krijimin e Tregut të Përbashkët Rajonal, në bashkëpunim me Palët e CEFTA-s, duke hartuar dokumente rajonale për zbatimin e veprimeve në shtyllën</w:t>
      </w:r>
      <w:r w:rsidR="007575BB" w:rsidRPr="00050FA4">
        <w:rPr>
          <w:lang w:val="sq-AL"/>
        </w:rPr>
        <w:t xml:space="preserve"> e katërt të integrimit rajonal</w:t>
      </w:r>
      <w:r w:rsidR="0055335A" w:rsidRPr="00050FA4">
        <w:rPr>
          <w:lang w:val="sq-AL"/>
        </w:rPr>
        <w:t>:</w:t>
      </w:r>
      <w:r w:rsidR="007575BB" w:rsidRPr="00050FA4">
        <w:rPr>
          <w:lang w:val="sq-AL"/>
        </w:rPr>
        <w:t xml:space="preserve"> </w:t>
      </w:r>
      <w:r w:rsidR="0055335A" w:rsidRPr="00050FA4">
        <w:rPr>
          <w:lang w:val="sq-AL"/>
        </w:rPr>
        <w:t>i</w:t>
      </w:r>
      <w:r w:rsidR="007575BB" w:rsidRPr="00050FA4">
        <w:rPr>
          <w:lang w:val="sq-AL"/>
        </w:rPr>
        <w:t>.</w:t>
      </w:r>
      <w:r w:rsidR="0055335A" w:rsidRPr="00050FA4">
        <w:rPr>
          <w:lang w:val="sq-AL"/>
        </w:rPr>
        <w:t xml:space="preserve"> lëvizjen e lirë të mallrave</w:t>
      </w:r>
      <w:r w:rsidR="007575BB" w:rsidRPr="00050FA4">
        <w:rPr>
          <w:lang w:val="sq-AL"/>
        </w:rPr>
        <w:t xml:space="preserve">; </w:t>
      </w:r>
      <w:r w:rsidR="0055335A" w:rsidRPr="00050FA4">
        <w:rPr>
          <w:lang w:val="sq-AL"/>
        </w:rPr>
        <w:t>ii</w:t>
      </w:r>
      <w:r w:rsidR="007575BB" w:rsidRPr="00050FA4">
        <w:rPr>
          <w:lang w:val="sq-AL"/>
        </w:rPr>
        <w:t xml:space="preserve">. lëvizjen e lirë të shërbimeve; </w:t>
      </w:r>
      <w:r w:rsidR="0055335A" w:rsidRPr="00050FA4">
        <w:rPr>
          <w:lang w:val="sq-AL"/>
        </w:rPr>
        <w:t>iii</w:t>
      </w:r>
      <w:r w:rsidR="007575BB" w:rsidRPr="00050FA4">
        <w:rPr>
          <w:lang w:val="sq-AL"/>
        </w:rPr>
        <w:t>.</w:t>
      </w:r>
      <w:r w:rsidR="0055335A" w:rsidRPr="00050FA4">
        <w:rPr>
          <w:lang w:val="sq-AL"/>
        </w:rPr>
        <w:t xml:space="preserve"> lëvizjen e lirë të kapitalit</w:t>
      </w:r>
      <w:r w:rsidR="007575BB" w:rsidRPr="00050FA4">
        <w:rPr>
          <w:lang w:val="sq-AL"/>
        </w:rPr>
        <w:t xml:space="preserve">; dhe </w:t>
      </w:r>
      <w:r w:rsidR="0055335A" w:rsidRPr="00050FA4">
        <w:rPr>
          <w:lang w:val="sq-AL"/>
        </w:rPr>
        <w:t>iv) lëvizjen e lirë të njerëzve, duke përfshirë masat ndërsektoriale</w:t>
      </w:r>
      <w:r w:rsidR="007575BB" w:rsidRPr="00050FA4">
        <w:rPr>
          <w:lang w:val="sq-AL"/>
        </w:rPr>
        <w:t>;</w:t>
      </w:r>
    </w:p>
    <w:p w14:paraId="0A56A26E" w14:textId="02F64631" w:rsidR="00627F6C" w:rsidRPr="00050FA4" w:rsidRDefault="00516ACC" w:rsidP="003F1DA7">
      <w:pPr>
        <w:pStyle w:val="AAAAAAATEXXXX"/>
        <w:rPr>
          <w:b/>
          <w:lang w:val="sq-AL"/>
        </w:rPr>
      </w:pPr>
      <w:r w:rsidRPr="00050FA4">
        <w:rPr>
          <w:bCs/>
          <w:lang w:val="sq-AL"/>
        </w:rPr>
        <w:t>b</w:t>
      </w:r>
      <w:r w:rsidR="0025734E" w:rsidRPr="00050FA4">
        <w:rPr>
          <w:bCs/>
          <w:lang w:val="sq-AL"/>
        </w:rPr>
        <w:t>)</w:t>
      </w:r>
      <w:r w:rsidRPr="00050FA4">
        <w:rPr>
          <w:bCs/>
          <w:lang w:val="sq-AL"/>
        </w:rPr>
        <w:t xml:space="preserve"> </w:t>
      </w:r>
      <w:r w:rsidR="00627F6C" w:rsidRPr="00050FA4">
        <w:rPr>
          <w:bCs/>
          <w:lang w:val="sq-AL"/>
        </w:rPr>
        <w:t xml:space="preserve">Zbatimi i Planit të Veprimit të </w:t>
      </w:r>
      <w:r w:rsidR="0055335A" w:rsidRPr="00050FA4">
        <w:rPr>
          <w:bCs/>
          <w:lang w:val="sq-AL"/>
        </w:rPr>
        <w:t>KKLT</w:t>
      </w:r>
      <w:r w:rsidR="007575BB" w:rsidRPr="00050FA4">
        <w:rPr>
          <w:bCs/>
          <w:lang w:val="sq-AL"/>
        </w:rPr>
        <w:t>-së;</w:t>
      </w:r>
    </w:p>
    <w:p w14:paraId="523E005F" w14:textId="202737D8" w:rsidR="00627F6C" w:rsidRPr="00050FA4" w:rsidRDefault="00516ACC" w:rsidP="003F1DA7">
      <w:pPr>
        <w:pStyle w:val="AAAAAAATEXXXX"/>
        <w:rPr>
          <w:b/>
          <w:lang w:val="sq-AL"/>
        </w:rPr>
      </w:pPr>
      <w:r w:rsidRPr="00050FA4">
        <w:rPr>
          <w:bCs/>
          <w:lang w:val="sq-AL"/>
        </w:rPr>
        <w:t>c</w:t>
      </w:r>
      <w:r w:rsidR="0025734E" w:rsidRPr="00050FA4">
        <w:rPr>
          <w:bCs/>
          <w:lang w:val="sq-AL"/>
        </w:rPr>
        <w:t>)</w:t>
      </w:r>
      <w:r w:rsidRPr="00050FA4">
        <w:rPr>
          <w:bCs/>
          <w:lang w:val="sq-AL"/>
        </w:rPr>
        <w:t xml:space="preserve"> </w:t>
      </w:r>
      <w:r w:rsidR="00627F6C" w:rsidRPr="00050FA4">
        <w:rPr>
          <w:bCs/>
          <w:lang w:val="sq-AL"/>
        </w:rPr>
        <w:t>Inkurajimi i markave të njohura ndërkombëtare për të in</w:t>
      </w:r>
      <w:r w:rsidR="007575BB" w:rsidRPr="00050FA4">
        <w:rPr>
          <w:bCs/>
          <w:lang w:val="sq-AL"/>
        </w:rPr>
        <w:t>vestuar apo operuar në Shqipëri;</w:t>
      </w:r>
    </w:p>
    <w:p w14:paraId="4485073E" w14:textId="3D40734C" w:rsidR="00627F6C" w:rsidRPr="00050FA4" w:rsidRDefault="00516ACC" w:rsidP="003F1DA7">
      <w:pPr>
        <w:pStyle w:val="AAAAAAATEXXXX"/>
        <w:rPr>
          <w:bCs/>
          <w:lang w:val="sq-AL"/>
        </w:rPr>
      </w:pPr>
      <w:r w:rsidRPr="00050FA4">
        <w:rPr>
          <w:bCs/>
          <w:lang w:val="sq-AL"/>
        </w:rPr>
        <w:t>d</w:t>
      </w:r>
      <w:r w:rsidR="0025734E" w:rsidRPr="00050FA4">
        <w:rPr>
          <w:bCs/>
          <w:lang w:val="sq-AL"/>
        </w:rPr>
        <w:t>)</w:t>
      </w:r>
      <w:r w:rsidRPr="00050FA4">
        <w:rPr>
          <w:bCs/>
          <w:lang w:val="sq-AL"/>
        </w:rPr>
        <w:t xml:space="preserve"> </w:t>
      </w:r>
      <w:r w:rsidR="00627F6C" w:rsidRPr="00050FA4">
        <w:rPr>
          <w:bCs/>
          <w:lang w:val="sq-AL"/>
        </w:rPr>
        <w:t>Zbatimi i nismës Ballkani i Hapur.</w:t>
      </w:r>
    </w:p>
    <w:p w14:paraId="14D0F0AB" w14:textId="77777777" w:rsidR="00CB4F25" w:rsidRPr="00050FA4" w:rsidRDefault="00CB4F25" w:rsidP="003F1DA7">
      <w:pPr>
        <w:pStyle w:val="AAAAAAATEXXXX"/>
        <w:rPr>
          <w:b/>
          <w:lang w:val="sq-AL"/>
        </w:rPr>
      </w:pPr>
    </w:p>
    <w:p w14:paraId="3A36F9D5" w14:textId="0D3A6693" w:rsidR="00CC1612" w:rsidRPr="00050FA4" w:rsidRDefault="00516ACC" w:rsidP="003F1DA7">
      <w:pPr>
        <w:pStyle w:val="AAAAAAATEXXXX"/>
        <w:rPr>
          <w:lang w:val="sq-AL"/>
        </w:rPr>
      </w:pPr>
      <w:r w:rsidRPr="00050FA4">
        <w:rPr>
          <w:lang w:val="sq-AL"/>
        </w:rPr>
        <w:t xml:space="preserve">2. </w:t>
      </w:r>
      <w:r w:rsidR="00B2062A" w:rsidRPr="00050FA4">
        <w:rPr>
          <w:lang w:val="sq-AL"/>
        </w:rPr>
        <w:t>Treguesit e rezultateve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1090"/>
        <w:gridCol w:w="1253"/>
        <w:gridCol w:w="745"/>
      </w:tblGrid>
      <w:tr w:rsidR="00FA29AB" w:rsidRPr="00050FA4" w14:paraId="0FC2CDB3" w14:textId="77777777" w:rsidTr="0025734E">
        <w:trPr>
          <w:trHeight w:val="20"/>
          <w:jc w:val="center"/>
        </w:trPr>
        <w:tc>
          <w:tcPr>
            <w:tcW w:w="0" w:type="auto"/>
            <w:shd w:val="clear" w:color="auto" w:fill="auto"/>
            <w:vAlign w:val="center"/>
            <w:hideMark/>
          </w:tcPr>
          <w:p w14:paraId="7D4400D2" w14:textId="48E5CC2C" w:rsidR="00A54F3A" w:rsidRPr="00050FA4" w:rsidRDefault="00B2062A" w:rsidP="00A95D23">
            <w:pP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Tregues</w:t>
            </w:r>
          </w:p>
        </w:tc>
        <w:tc>
          <w:tcPr>
            <w:tcW w:w="0" w:type="auto"/>
            <w:shd w:val="clear" w:color="auto" w:fill="auto"/>
            <w:vAlign w:val="center"/>
            <w:hideMark/>
          </w:tcPr>
          <w:p w14:paraId="34E079EB" w14:textId="04E0BBDC" w:rsidR="00A54F3A" w:rsidRPr="00050FA4" w:rsidRDefault="00B2062A" w:rsidP="00A95D23">
            <w:pPr>
              <w:jc w:val="both"/>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Bazë</w:t>
            </w:r>
            <w:r w:rsidR="00EB42F4" w:rsidRPr="00050FA4">
              <w:rPr>
                <w:rFonts w:ascii="Garamond" w:eastAsia="Times New Roman" w:hAnsi="Garamond" w:cstheme="majorBidi"/>
                <w:b/>
                <w:color w:val="0D0D0D" w:themeColor="text1" w:themeTint="F2"/>
                <w:sz w:val="18"/>
                <w:szCs w:val="18"/>
              </w:rPr>
              <w:t xml:space="preserve"> (2019)</w:t>
            </w:r>
          </w:p>
        </w:tc>
        <w:tc>
          <w:tcPr>
            <w:tcW w:w="0" w:type="auto"/>
            <w:shd w:val="clear" w:color="auto" w:fill="auto"/>
            <w:vAlign w:val="center"/>
            <w:hideMark/>
          </w:tcPr>
          <w:p w14:paraId="22B1E924" w14:textId="5BF84992" w:rsidR="00A54F3A" w:rsidRPr="00050FA4" w:rsidRDefault="00B2062A" w:rsidP="00A95D2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I ndërmjetëm</w:t>
            </w:r>
          </w:p>
        </w:tc>
        <w:tc>
          <w:tcPr>
            <w:tcW w:w="0" w:type="auto"/>
            <w:shd w:val="clear" w:color="auto" w:fill="auto"/>
            <w:vAlign w:val="center"/>
            <w:hideMark/>
          </w:tcPr>
          <w:p w14:paraId="1E49C978" w14:textId="296D723F" w:rsidR="00A54F3A" w:rsidRPr="00050FA4" w:rsidRDefault="00B2062A" w:rsidP="00A95D23">
            <w:pPr>
              <w:jc w:val="center"/>
              <w:rPr>
                <w:rFonts w:ascii="Garamond" w:eastAsia="Times New Roman" w:hAnsi="Garamond" w:cstheme="majorBidi"/>
                <w:b/>
                <w:color w:val="0D0D0D" w:themeColor="text1" w:themeTint="F2"/>
                <w:sz w:val="18"/>
                <w:szCs w:val="18"/>
              </w:rPr>
            </w:pPr>
            <w:r w:rsidRPr="00050FA4">
              <w:rPr>
                <w:rFonts w:ascii="Garamond" w:eastAsia="Times New Roman" w:hAnsi="Garamond" w:cstheme="majorBidi"/>
                <w:b/>
                <w:color w:val="0D0D0D" w:themeColor="text1" w:themeTint="F2"/>
                <w:sz w:val="18"/>
                <w:szCs w:val="18"/>
              </w:rPr>
              <w:t>Synimi</w:t>
            </w:r>
          </w:p>
        </w:tc>
      </w:tr>
      <w:tr w:rsidR="00FA29AB" w:rsidRPr="00050FA4" w14:paraId="1FB9037D" w14:textId="77777777" w:rsidTr="0025734E">
        <w:trPr>
          <w:trHeight w:val="20"/>
          <w:jc w:val="center"/>
        </w:trPr>
        <w:tc>
          <w:tcPr>
            <w:tcW w:w="0" w:type="auto"/>
            <w:shd w:val="clear" w:color="auto" w:fill="auto"/>
            <w:vAlign w:val="bottom"/>
          </w:tcPr>
          <w:p w14:paraId="3F59FBFB" w14:textId="61A96DD3" w:rsidR="0055335A" w:rsidRPr="00050FA4" w:rsidRDefault="0055335A" w:rsidP="00F72E8C">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 xml:space="preserve">Pjesa e </w:t>
            </w:r>
            <w:r w:rsidR="00F72E8C" w:rsidRPr="00050FA4">
              <w:rPr>
                <w:rFonts w:ascii="Garamond" w:eastAsia="Times New Roman" w:hAnsi="Garamond" w:cstheme="majorBidi"/>
                <w:color w:val="0D0D0D" w:themeColor="text1" w:themeTint="F2"/>
                <w:sz w:val="18"/>
                <w:szCs w:val="18"/>
              </w:rPr>
              <w:t xml:space="preserve">eksporteve shqiptare te palët </w:t>
            </w:r>
            <w:r w:rsidRPr="00050FA4">
              <w:rPr>
                <w:rFonts w:ascii="Garamond" w:eastAsia="Times New Roman" w:hAnsi="Garamond" w:cstheme="majorBidi"/>
                <w:color w:val="0D0D0D" w:themeColor="text1" w:themeTint="F2"/>
                <w:sz w:val="18"/>
                <w:szCs w:val="18"/>
              </w:rPr>
              <w:t>e CFTA-s</w:t>
            </w:r>
          </w:p>
        </w:tc>
        <w:tc>
          <w:tcPr>
            <w:tcW w:w="0" w:type="auto"/>
            <w:shd w:val="clear" w:color="auto" w:fill="auto"/>
            <w:vAlign w:val="center"/>
          </w:tcPr>
          <w:p w14:paraId="7A24AF9C" w14:textId="6DB8C74E"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 xml:space="preserve">16,3% </w:t>
            </w:r>
          </w:p>
        </w:tc>
        <w:tc>
          <w:tcPr>
            <w:tcW w:w="0" w:type="auto"/>
            <w:shd w:val="clear" w:color="auto" w:fill="auto"/>
            <w:vAlign w:val="center"/>
          </w:tcPr>
          <w:p w14:paraId="6C71F54C" w14:textId="64C2E9EE"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20%</w:t>
            </w:r>
          </w:p>
        </w:tc>
        <w:tc>
          <w:tcPr>
            <w:tcW w:w="0" w:type="auto"/>
            <w:shd w:val="clear" w:color="auto" w:fill="auto"/>
            <w:vAlign w:val="center"/>
          </w:tcPr>
          <w:p w14:paraId="6ADC47BD" w14:textId="24952D33"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20%</w:t>
            </w:r>
          </w:p>
        </w:tc>
      </w:tr>
      <w:tr w:rsidR="00FA29AB" w:rsidRPr="00050FA4" w14:paraId="10E5BEE8" w14:textId="77777777" w:rsidTr="0025734E">
        <w:trPr>
          <w:trHeight w:val="20"/>
          <w:jc w:val="center"/>
        </w:trPr>
        <w:tc>
          <w:tcPr>
            <w:tcW w:w="0" w:type="auto"/>
            <w:shd w:val="clear" w:color="auto" w:fill="auto"/>
            <w:vAlign w:val="bottom"/>
          </w:tcPr>
          <w:p w14:paraId="17C7A68F" w14:textId="72CBF553" w:rsidR="0055335A" w:rsidRPr="00050FA4" w:rsidRDefault="0055335A" w:rsidP="00A95D23">
            <w:pPr>
              <w:rPr>
                <w:rFonts w:ascii="Garamond" w:eastAsia="Times New Roman" w:hAnsi="Garamond" w:cstheme="majorBidi"/>
                <w:b/>
                <w:bCs/>
                <w:color w:val="0D0D0D" w:themeColor="text1" w:themeTint="F2"/>
                <w:sz w:val="18"/>
                <w:szCs w:val="18"/>
              </w:rPr>
            </w:pPr>
            <w:r w:rsidRPr="00050FA4">
              <w:rPr>
                <w:rFonts w:ascii="Garamond" w:eastAsia="Times New Roman" w:hAnsi="Garamond" w:cstheme="majorBidi"/>
                <w:color w:val="0D0D0D" w:themeColor="text1" w:themeTint="F2"/>
                <w:sz w:val="18"/>
                <w:szCs w:val="18"/>
              </w:rPr>
              <w:t>Koha e pritjes në pikat e kalimit kufitar për zhdoganimin e mallrave</w:t>
            </w:r>
          </w:p>
        </w:tc>
        <w:tc>
          <w:tcPr>
            <w:tcW w:w="0" w:type="auto"/>
            <w:shd w:val="clear" w:color="auto" w:fill="auto"/>
            <w:vAlign w:val="center"/>
          </w:tcPr>
          <w:p w14:paraId="614D6EC0" w14:textId="3CA3DB03" w:rsidR="0055335A" w:rsidRPr="00050FA4" w:rsidRDefault="0025734E"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1,5 orë</w:t>
            </w:r>
            <w:r w:rsidR="0055335A" w:rsidRPr="00050FA4">
              <w:rPr>
                <w:rStyle w:val="FootnoteReference"/>
                <w:rFonts w:ascii="Garamond" w:eastAsia="Times New Roman" w:hAnsi="Garamond" w:cstheme="majorBidi"/>
                <w:color w:val="0D0D0D" w:themeColor="text1" w:themeTint="F2"/>
                <w:sz w:val="18"/>
                <w:szCs w:val="18"/>
              </w:rPr>
              <w:footnoteReference w:id="20"/>
            </w:r>
          </w:p>
        </w:tc>
        <w:tc>
          <w:tcPr>
            <w:tcW w:w="0" w:type="auto"/>
            <w:shd w:val="clear" w:color="auto" w:fill="auto"/>
            <w:vAlign w:val="center"/>
          </w:tcPr>
          <w:p w14:paraId="729E9B6E" w14:textId="6D57BED9" w:rsidR="0055335A" w:rsidRPr="00050FA4" w:rsidRDefault="0025734E"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 orë</w:t>
            </w:r>
          </w:p>
        </w:tc>
        <w:tc>
          <w:tcPr>
            <w:tcW w:w="0" w:type="auto"/>
            <w:shd w:val="clear" w:color="auto" w:fill="auto"/>
            <w:vAlign w:val="center"/>
          </w:tcPr>
          <w:p w14:paraId="49BDC971" w14:textId="1F9988C8"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1 or</w:t>
            </w:r>
            <w:r w:rsidR="0025734E" w:rsidRPr="00050FA4">
              <w:rPr>
                <w:rFonts w:ascii="Garamond" w:eastAsia="Times New Roman" w:hAnsi="Garamond" w:cstheme="majorBidi"/>
                <w:color w:val="0D0D0D" w:themeColor="text1" w:themeTint="F2"/>
                <w:sz w:val="18"/>
                <w:szCs w:val="18"/>
              </w:rPr>
              <w:t>ë</w:t>
            </w:r>
          </w:p>
        </w:tc>
      </w:tr>
      <w:tr w:rsidR="00FA29AB" w:rsidRPr="00050FA4" w14:paraId="0A62BBCD" w14:textId="77777777" w:rsidTr="0025734E">
        <w:trPr>
          <w:trHeight w:val="20"/>
          <w:jc w:val="center"/>
        </w:trPr>
        <w:tc>
          <w:tcPr>
            <w:tcW w:w="0" w:type="auto"/>
            <w:shd w:val="clear" w:color="auto" w:fill="auto"/>
            <w:vAlign w:val="bottom"/>
          </w:tcPr>
          <w:p w14:paraId="58D98F5D" w14:textId="10B2B59F" w:rsidR="0055335A" w:rsidRPr="00050FA4" w:rsidRDefault="0055335A" w:rsidP="00A95D23">
            <w:pPr>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Vleftësimi i </w:t>
            </w:r>
            <w:r w:rsidR="000C71F9" w:rsidRPr="00050FA4">
              <w:rPr>
                <w:rFonts w:ascii="Garamond" w:hAnsi="Garamond" w:cstheme="majorBidi"/>
                <w:color w:val="0D0D0D" w:themeColor="text1" w:themeTint="F2"/>
                <w:sz w:val="18"/>
                <w:szCs w:val="18"/>
              </w:rPr>
              <w:t>operatorëve ekonomi</w:t>
            </w:r>
            <w:r w:rsidR="00991174" w:rsidRPr="00050FA4">
              <w:rPr>
                <w:rFonts w:ascii="Garamond" w:hAnsi="Garamond" w:cstheme="majorBidi"/>
                <w:color w:val="0D0D0D" w:themeColor="text1" w:themeTint="F2"/>
                <w:sz w:val="18"/>
                <w:szCs w:val="18"/>
              </w:rPr>
              <w:t xml:space="preserve">së të autorizuat </w:t>
            </w:r>
            <w:r w:rsidRPr="00050FA4">
              <w:rPr>
                <w:rFonts w:ascii="Garamond" w:hAnsi="Garamond" w:cstheme="majorBidi"/>
                <w:color w:val="0D0D0D" w:themeColor="text1" w:themeTint="F2"/>
                <w:sz w:val="18"/>
                <w:szCs w:val="18"/>
              </w:rPr>
              <w:t>në nivel CEFTA</w:t>
            </w:r>
          </w:p>
        </w:tc>
        <w:tc>
          <w:tcPr>
            <w:tcW w:w="0" w:type="auto"/>
            <w:shd w:val="clear" w:color="auto" w:fill="auto"/>
            <w:vAlign w:val="center"/>
          </w:tcPr>
          <w:p w14:paraId="2D5DCEC2" w14:textId="25858776"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0</w:t>
            </w:r>
          </w:p>
        </w:tc>
        <w:tc>
          <w:tcPr>
            <w:tcW w:w="0" w:type="auto"/>
            <w:shd w:val="clear" w:color="auto" w:fill="auto"/>
            <w:vAlign w:val="center"/>
          </w:tcPr>
          <w:p w14:paraId="02D1B881" w14:textId="0EAA7630"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4</w:t>
            </w:r>
          </w:p>
        </w:tc>
        <w:tc>
          <w:tcPr>
            <w:tcW w:w="0" w:type="auto"/>
            <w:shd w:val="clear" w:color="auto" w:fill="auto"/>
            <w:vAlign w:val="center"/>
          </w:tcPr>
          <w:p w14:paraId="429FE00A" w14:textId="4D7B2E11" w:rsidR="0055335A" w:rsidRPr="00050FA4" w:rsidRDefault="0055335A" w:rsidP="0025734E">
            <w:pPr>
              <w:jc w:val="right"/>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4</w:t>
            </w:r>
          </w:p>
        </w:tc>
      </w:tr>
    </w:tbl>
    <w:p w14:paraId="2E596D43" w14:textId="77777777" w:rsidR="00CC1612" w:rsidRPr="00050FA4" w:rsidRDefault="00CC1612" w:rsidP="003F1DA7">
      <w:pPr>
        <w:snapToGrid w:val="0"/>
        <w:ind w:firstLine="284"/>
        <w:rPr>
          <w:rFonts w:ascii="Garamond" w:hAnsi="Garamond" w:cstheme="majorBidi"/>
          <w:color w:val="0D0D0D" w:themeColor="text1" w:themeTint="F2"/>
        </w:rPr>
      </w:pPr>
    </w:p>
    <w:p w14:paraId="37C17A55" w14:textId="4ECB8AA1" w:rsidR="00CC1612" w:rsidRPr="00050FA4" w:rsidRDefault="00991174" w:rsidP="00991174">
      <w:pPr>
        <w:pStyle w:val="Heading6"/>
        <w:numPr>
          <w:ilvl w:val="0"/>
          <w:numId w:val="0"/>
        </w:numPr>
        <w:snapToGrid w:val="0"/>
        <w:ind w:left="720" w:hanging="360"/>
        <w:rPr>
          <w:rFonts w:ascii="Garamond" w:hAnsi="Garamond" w:cstheme="majorBidi"/>
          <w:i w:val="0"/>
          <w:color w:val="0D0D0D" w:themeColor="text1" w:themeTint="F2"/>
          <w:u w:val="none"/>
          <w:lang w:val="sq-AL"/>
        </w:rPr>
      </w:pPr>
      <w:r w:rsidRPr="00050FA4">
        <w:rPr>
          <w:rFonts w:ascii="Garamond" w:hAnsi="Garamond" w:cstheme="majorBidi"/>
          <w:i w:val="0"/>
          <w:color w:val="0D0D0D" w:themeColor="text1" w:themeTint="F2"/>
          <w:u w:val="none"/>
          <w:lang w:val="sq-AL"/>
        </w:rPr>
        <w:t xml:space="preserve">3. </w:t>
      </w:r>
      <w:r w:rsidR="00B2062A" w:rsidRPr="00050FA4">
        <w:rPr>
          <w:rFonts w:ascii="Garamond" w:hAnsi="Garamond" w:cstheme="majorBidi"/>
          <w:i w:val="0"/>
          <w:color w:val="0D0D0D" w:themeColor="text1" w:themeTint="F2"/>
          <w:u w:val="none"/>
          <w:lang w:val="sq-AL"/>
        </w:rPr>
        <w:t>Ndikimi i pritshëm në konkurrueshmëri</w:t>
      </w:r>
    </w:p>
    <w:p w14:paraId="2B62F3D9" w14:textId="1C19A08F" w:rsidR="00627F6C" w:rsidRPr="00050FA4" w:rsidRDefault="0055335A" w:rsidP="003F1DA7">
      <w:pPr>
        <w:pStyle w:val="AAAAAAATEXXXX"/>
        <w:rPr>
          <w:lang w:val="sq-AL" w:eastAsia="x-none"/>
        </w:rPr>
      </w:pPr>
      <w:r w:rsidRPr="00050FA4">
        <w:rPr>
          <w:lang w:val="sq-AL"/>
        </w:rPr>
        <w:t>Orientimi i politikës sonë të tregtisë së jashtme me partnerët tregtarë bazohet në adresimin e problemeve dhe pengesave me të cilat përballen bizneset tona si: ulja e kostove dhe tarifave lidhur me import/eksportin të aplikuara nga vendet e tjera, heqja e barrierave në tregti, harmonizimi i orarit të punës, të agjencive kufitare me vendet fqinje etj. Heqja e kësaj pengese do të nxisë konkurrencën e Shqipërisë në tregjet rajonale, BE dhe të tjera</w:t>
      </w:r>
      <w:r w:rsidR="00627F6C" w:rsidRPr="00050FA4">
        <w:rPr>
          <w:lang w:val="sq-AL" w:eastAsia="x-none"/>
        </w:rPr>
        <w:t>.</w:t>
      </w:r>
    </w:p>
    <w:p w14:paraId="6E56B5CA" w14:textId="36EECF68" w:rsidR="00CC1612" w:rsidRPr="00050FA4" w:rsidRDefault="00516ACC" w:rsidP="003F1DA7">
      <w:pPr>
        <w:pStyle w:val="AAAAAAATEXXXX"/>
        <w:rPr>
          <w:lang w:val="sq-AL"/>
        </w:rPr>
      </w:pPr>
      <w:r w:rsidRPr="00050FA4">
        <w:rPr>
          <w:lang w:val="sq-AL"/>
        </w:rPr>
        <w:t xml:space="preserve">4. </w:t>
      </w:r>
      <w:r w:rsidR="00B2062A" w:rsidRPr="00050FA4">
        <w:rPr>
          <w:lang w:val="sq-AL"/>
        </w:rPr>
        <w:t>Kosto</w:t>
      </w:r>
      <w:r w:rsidR="0064232A" w:rsidRPr="00050FA4">
        <w:rPr>
          <w:lang w:val="sq-AL"/>
        </w:rPr>
        <w:t>ja</w:t>
      </w:r>
      <w:r w:rsidR="00B2062A" w:rsidRPr="00050FA4">
        <w:rPr>
          <w:lang w:val="sq-AL"/>
        </w:rPr>
        <w:t xml:space="preserve"> e parashikuar e aktiviteteve dhe burimi i financimit</w:t>
      </w:r>
    </w:p>
    <w:p w14:paraId="1A419AF9" w14:textId="6AD0FC96" w:rsidR="00627F6C" w:rsidRPr="00050FA4" w:rsidRDefault="00627F6C" w:rsidP="003F1DA7">
      <w:pPr>
        <w:pStyle w:val="AAAAAAATEXXXX"/>
        <w:rPr>
          <w:lang w:val="sq-AL"/>
        </w:rPr>
      </w:pPr>
      <w:r w:rsidRPr="00050FA4">
        <w:rPr>
          <w:lang w:val="sq-AL"/>
        </w:rPr>
        <w:t>Kostoja e aktiviteteve dhe burimi i financimit janë të detajuara në tabelën 10a dhe tabelën 10b të aneksit 1.</w:t>
      </w:r>
    </w:p>
    <w:p w14:paraId="3F41FBBD" w14:textId="77E62CCE" w:rsidR="00CC1612" w:rsidRPr="00050FA4" w:rsidRDefault="00516ACC"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2AE82205" w14:textId="0904EADD" w:rsidR="00627F6C" w:rsidRPr="00050FA4" w:rsidRDefault="00627F6C" w:rsidP="003F1DA7">
      <w:pPr>
        <w:pStyle w:val="AAAAAAATEXXXX"/>
        <w:rPr>
          <w:lang w:val="sq-AL"/>
        </w:rPr>
      </w:pPr>
      <w:r w:rsidRPr="00050FA4">
        <w:rPr>
          <w:lang w:val="sq-AL"/>
        </w:rPr>
        <w:t>Rritja e konkurrencës shqiptare do të gjenerojë vende pune dhe ndërkombëtarizim të produkteve shqiptare.</w:t>
      </w:r>
    </w:p>
    <w:p w14:paraId="7F664170" w14:textId="5451C1F0" w:rsidR="00CC1612" w:rsidRPr="00050FA4" w:rsidRDefault="00516ACC"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4AE096CC" w14:textId="28695A66" w:rsidR="00627F6C" w:rsidRPr="00050FA4" w:rsidRDefault="00627F6C" w:rsidP="003F1DA7">
      <w:pPr>
        <w:pStyle w:val="AAAAAAATEXXXX"/>
        <w:rPr>
          <w:lang w:val="sq-AL"/>
        </w:rPr>
      </w:pPr>
      <w:r w:rsidRPr="00050FA4">
        <w:rPr>
          <w:lang w:val="sq-AL"/>
        </w:rPr>
        <w:t>Kjo masë nuk parashikohet të ketë ndikim në mjedis.</w:t>
      </w:r>
    </w:p>
    <w:p w14:paraId="767BCD25" w14:textId="5F89EBA1" w:rsidR="00CC1612" w:rsidRPr="00050FA4" w:rsidRDefault="00516ACC" w:rsidP="003F1DA7">
      <w:pPr>
        <w:pStyle w:val="AAAAAAATEXXXX"/>
        <w:rPr>
          <w:lang w:val="sq-AL"/>
        </w:rPr>
      </w:pPr>
      <w:r w:rsidRPr="00050FA4">
        <w:rPr>
          <w:lang w:val="sq-AL"/>
        </w:rPr>
        <w:t xml:space="preserve">7. </w:t>
      </w:r>
      <w:r w:rsidR="00B2062A" w:rsidRPr="00050FA4">
        <w:rPr>
          <w:lang w:val="sq-AL"/>
        </w:rPr>
        <w:t>Rreziqet e mundshme</w:t>
      </w:r>
    </w:p>
    <w:p w14:paraId="5E4364B4" w14:textId="77777777" w:rsidR="00D22711" w:rsidRPr="00050FA4" w:rsidRDefault="00D22711" w:rsidP="003F1DA7">
      <w:pPr>
        <w:pStyle w:val="AAAAAAATEXXXX"/>
        <w:rPr>
          <w:lang w:val="sq-AL"/>
        </w:rPr>
      </w:pPr>
    </w:p>
    <w:tbl>
      <w:tblPr>
        <w:tblStyle w:val="TableGrid"/>
        <w:tblW w:w="0" w:type="auto"/>
        <w:jc w:val="center"/>
        <w:tblLook w:val="04A0" w:firstRow="1" w:lastRow="0" w:firstColumn="1" w:lastColumn="0" w:noHBand="0" w:noVBand="1"/>
      </w:tblPr>
      <w:tblGrid>
        <w:gridCol w:w="5058"/>
        <w:gridCol w:w="2340"/>
        <w:gridCol w:w="2718"/>
      </w:tblGrid>
      <w:tr w:rsidR="00FA29AB" w:rsidRPr="00050FA4" w14:paraId="614F58F0" w14:textId="77777777" w:rsidTr="0064232A">
        <w:trPr>
          <w:jc w:val="center"/>
        </w:trPr>
        <w:tc>
          <w:tcPr>
            <w:tcW w:w="5058" w:type="dxa"/>
            <w:vAlign w:val="center"/>
          </w:tcPr>
          <w:p w14:paraId="0BB29F82" w14:textId="381362D9" w:rsidR="00A54F3A" w:rsidRPr="00050FA4" w:rsidRDefault="00B2062A" w:rsidP="0064232A">
            <w:pPr>
              <w:pStyle w:val="AAAAAAATEXXXX"/>
              <w:ind w:firstLine="0"/>
              <w:jc w:val="center"/>
              <w:rPr>
                <w:b/>
                <w:sz w:val="18"/>
                <w:szCs w:val="18"/>
                <w:lang w:val="sq-AL"/>
              </w:rPr>
            </w:pPr>
            <w:r w:rsidRPr="00050FA4">
              <w:rPr>
                <w:b/>
                <w:sz w:val="18"/>
                <w:szCs w:val="18"/>
                <w:lang w:val="sq-AL"/>
              </w:rPr>
              <w:t>Rreziku</w:t>
            </w:r>
          </w:p>
        </w:tc>
        <w:tc>
          <w:tcPr>
            <w:tcW w:w="2340" w:type="dxa"/>
            <w:vAlign w:val="center"/>
          </w:tcPr>
          <w:p w14:paraId="5E9DF49F" w14:textId="28BE84F9" w:rsidR="00A54F3A" w:rsidRPr="00050FA4" w:rsidRDefault="00B2062A" w:rsidP="0064232A">
            <w:pPr>
              <w:pStyle w:val="AAAAAAATEXXXX"/>
              <w:ind w:firstLine="0"/>
              <w:jc w:val="center"/>
              <w:rPr>
                <w:b/>
                <w:sz w:val="18"/>
                <w:szCs w:val="18"/>
                <w:lang w:val="sq-AL"/>
              </w:rPr>
            </w:pPr>
            <w:r w:rsidRPr="00050FA4">
              <w:rPr>
                <w:b/>
                <w:sz w:val="18"/>
                <w:szCs w:val="18"/>
                <w:lang w:val="sq-AL"/>
              </w:rPr>
              <w:t>Mundësia</w:t>
            </w:r>
            <w:r w:rsidR="00A54F3A" w:rsidRPr="00050FA4">
              <w:rPr>
                <w:b/>
                <w:sz w:val="18"/>
                <w:szCs w:val="18"/>
                <w:lang w:val="sq-AL"/>
              </w:rPr>
              <w:t xml:space="preserve"> (</w:t>
            </w:r>
            <w:r w:rsidRPr="00050FA4">
              <w:rPr>
                <w:b/>
                <w:sz w:val="18"/>
                <w:szCs w:val="18"/>
                <w:lang w:val="sq-AL"/>
              </w:rPr>
              <w:t>e ulët, e lartë</w:t>
            </w:r>
            <w:r w:rsidR="00A54F3A" w:rsidRPr="00050FA4">
              <w:rPr>
                <w:b/>
                <w:sz w:val="18"/>
                <w:szCs w:val="18"/>
                <w:lang w:val="sq-AL"/>
              </w:rPr>
              <w:t>)</w:t>
            </w:r>
          </w:p>
        </w:tc>
        <w:tc>
          <w:tcPr>
            <w:tcW w:w="2718" w:type="dxa"/>
            <w:vAlign w:val="center"/>
          </w:tcPr>
          <w:p w14:paraId="6CBE7304" w14:textId="00413025" w:rsidR="00A54F3A" w:rsidRPr="00050FA4" w:rsidRDefault="00B2062A" w:rsidP="0064232A">
            <w:pPr>
              <w:pStyle w:val="AAAAAAATEXXXX"/>
              <w:ind w:firstLine="0"/>
              <w:jc w:val="center"/>
              <w:rPr>
                <w:b/>
                <w:sz w:val="18"/>
                <w:szCs w:val="18"/>
                <w:lang w:val="sq-AL"/>
              </w:rPr>
            </w:pPr>
            <w:r w:rsidRPr="00050FA4">
              <w:rPr>
                <w:b/>
                <w:sz w:val="18"/>
                <w:szCs w:val="18"/>
                <w:lang w:val="sq-AL"/>
              </w:rPr>
              <w:t>Veprimi zbutës i parashikuar</w:t>
            </w:r>
          </w:p>
        </w:tc>
      </w:tr>
      <w:tr w:rsidR="00FA29AB" w:rsidRPr="00050FA4" w14:paraId="004F28DA" w14:textId="77777777" w:rsidTr="0064232A">
        <w:trPr>
          <w:jc w:val="center"/>
        </w:trPr>
        <w:tc>
          <w:tcPr>
            <w:tcW w:w="5058" w:type="dxa"/>
          </w:tcPr>
          <w:p w14:paraId="3C13CC06" w14:textId="126720E9" w:rsidR="00A54F3A" w:rsidRPr="00050FA4" w:rsidRDefault="0055335A" w:rsidP="00A95D23">
            <w:pPr>
              <w:pStyle w:val="AAAAAAATEXXXX"/>
              <w:ind w:firstLine="0"/>
              <w:rPr>
                <w:sz w:val="18"/>
                <w:szCs w:val="18"/>
                <w:lang w:val="sq-AL"/>
              </w:rPr>
            </w:pPr>
            <w:r w:rsidRPr="00050FA4">
              <w:rPr>
                <w:sz w:val="18"/>
                <w:szCs w:val="18"/>
                <w:lang w:val="sq-AL"/>
              </w:rPr>
              <w:t>Vonesa në aprovimin e vendimeve të Komitetit të Përbashkët të CEFTA për shkak të çështjeve politike.</w:t>
            </w:r>
          </w:p>
        </w:tc>
        <w:tc>
          <w:tcPr>
            <w:tcW w:w="2340" w:type="dxa"/>
          </w:tcPr>
          <w:p w14:paraId="5E86DE0A" w14:textId="0A7AEB26" w:rsidR="00A54F3A" w:rsidRPr="00050FA4" w:rsidRDefault="0064232A" w:rsidP="00A95D23">
            <w:pPr>
              <w:pStyle w:val="AAAAAAATEXXXX"/>
              <w:ind w:firstLine="0"/>
              <w:rPr>
                <w:sz w:val="18"/>
                <w:szCs w:val="18"/>
                <w:lang w:val="sq-AL"/>
              </w:rPr>
            </w:pPr>
            <w:r w:rsidRPr="00050FA4">
              <w:rPr>
                <w:sz w:val="18"/>
                <w:szCs w:val="18"/>
                <w:lang w:val="sq-AL"/>
              </w:rPr>
              <w:t>E</w:t>
            </w:r>
            <w:r w:rsidR="00A74C26" w:rsidRPr="00050FA4">
              <w:rPr>
                <w:sz w:val="18"/>
                <w:szCs w:val="18"/>
                <w:lang w:val="sq-AL"/>
              </w:rPr>
              <w:t xml:space="preserve"> lartë</w:t>
            </w:r>
          </w:p>
        </w:tc>
        <w:tc>
          <w:tcPr>
            <w:tcW w:w="2718" w:type="dxa"/>
          </w:tcPr>
          <w:p w14:paraId="770119FE" w14:textId="0BE7DBA6" w:rsidR="00A54F3A" w:rsidRPr="00050FA4" w:rsidRDefault="0055335A" w:rsidP="00A95D23">
            <w:pPr>
              <w:pStyle w:val="AAAAAAATEXXXX"/>
              <w:ind w:firstLine="0"/>
              <w:rPr>
                <w:sz w:val="18"/>
                <w:szCs w:val="18"/>
                <w:lang w:val="sq-AL"/>
              </w:rPr>
            </w:pPr>
            <w:r w:rsidRPr="00050FA4">
              <w:rPr>
                <w:sz w:val="18"/>
                <w:szCs w:val="18"/>
                <w:lang w:val="sq-AL"/>
              </w:rPr>
              <w:t>Nivel rajonal</w:t>
            </w:r>
          </w:p>
        </w:tc>
      </w:tr>
    </w:tbl>
    <w:p w14:paraId="555E6B0F" w14:textId="77777777" w:rsidR="00CB4F25" w:rsidRPr="00050FA4" w:rsidRDefault="00CB4F25" w:rsidP="003F1DA7">
      <w:pPr>
        <w:pStyle w:val="AAAAAAATEXXXX"/>
        <w:rPr>
          <w:b/>
          <w:lang w:val="sq-AL"/>
        </w:rPr>
      </w:pPr>
      <w:bookmarkStart w:id="64" w:name="_Toc93325774"/>
    </w:p>
    <w:p w14:paraId="7DAACA65" w14:textId="067082CE" w:rsidR="00C21F03" w:rsidRPr="00050FA4" w:rsidRDefault="00D56FB0" w:rsidP="003F1DA7">
      <w:pPr>
        <w:pStyle w:val="AAAAAAATEXXXX"/>
        <w:rPr>
          <w:b/>
          <w:lang w:val="sq-AL"/>
        </w:rPr>
      </w:pPr>
      <w:r w:rsidRPr="00050FA4">
        <w:rPr>
          <w:b/>
          <w:lang w:val="sq-AL"/>
        </w:rPr>
        <w:t xml:space="preserve">5.2.6 </w:t>
      </w:r>
      <w:r w:rsidR="001E4FC2" w:rsidRPr="00050FA4">
        <w:rPr>
          <w:b/>
          <w:lang w:val="sq-AL"/>
        </w:rPr>
        <w:t>E</w:t>
      </w:r>
      <w:r w:rsidR="002C5872" w:rsidRPr="00050FA4">
        <w:rPr>
          <w:b/>
          <w:lang w:val="sq-AL"/>
        </w:rPr>
        <w:t>nergji</w:t>
      </w:r>
      <w:r w:rsidR="001E4FC2" w:rsidRPr="00050FA4">
        <w:rPr>
          <w:b/>
          <w:lang w:val="sq-AL"/>
        </w:rPr>
        <w:t>a</w:t>
      </w:r>
      <w:bookmarkEnd w:id="64"/>
    </w:p>
    <w:p w14:paraId="05A0058E" w14:textId="216256A6" w:rsidR="00080139" w:rsidRPr="00050FA4" w:rsidRDefault="00516ACC" w:rsidP="003F1DA7">
      <w:pPr>
        <w:pStyle w:val="AAAAAAATEXXXX"/>
        <w:rPr>
          <w:b/>
          <w:i/>
          <w:lang w:val="sq-AL"/>
        </w:rPr>
      </w:pPr>
      <w:r w:rsidRPr="00050FA4">
        <w:rPr>
          <w:b/>
          <w:i/>
          <w:lang w:val="sq-AL"/>
        </w:rPr>
        <w:t>a</w:t>
      </w:r>
      <w:r w:rsidR="0064232A" w:rsidRPr="00050FA4">
        <w:rPr>
          <w:b/>
          <w:i/>
          <w:lang w:val="sq-AL"/>
        </w:rPr>
        <w:t>)</w:t>
      </w:r>
      <w:r w:rsidRPr="00050FA4">
        <w:rPr>
          <w:b/>
          <w:i/>
          <w:lang w:val="sq-AL"/>
        </w:rPr>
        <w:t xml:space="preserve"> </w:t>
      </w:r>
      <w:r w:rsidR="00B2062A" w:rsidRPr="00050FA4">
        <w:rPr>
          <w:b/>
          <w:i/>
          <w:lang w:val="sq-AL"/>
        </w:rPr>
        <w:t>Analiza e pengesave kryesore</w:t>
      </w:r>
    </w:p>
    <w:p w14:paraId="75F9791A" w14:textId="711E46D4" w:rsidR="00877F0D" w:rsidRPr="00050FA4" w:rsidRDefault="00877F0D" w:rsidP="003F1DA7">
      <w:pPr>
        <w:pStyle w:val="AAAAAAATEXXXX"/>
        <w:rPr>
          <w:lang w:val="sq-AL"/>
        </w:rPr>
      </w:pPr>
      <w:r w:rsidRPr="00050FA4">
        <w:rPr>
          <w:lang w:val="sq-AL"/>
        </w:rPr>
        <w:t xml:space="preserve">Sektori i energjisë luan një rol kyç në zhvillimin ekonomik të vendit. Hidroenergjia zë pjesën më të madhe të prodhimit të energjisë elektrike në vend, duke përfaqësuar rreth 95% të kapacitetit të instaluar të energjisë elektrike të Shqipërisë. Kjo do të thotë se përzierja energjetike e Shqipërisë ka një nga përqindjet </w:t>
      </w:r>
      <w:r w:rsidRPr="00050FA4">
        <w:rPr>
          <w:lang w:val="sq-AL"/>
        </w:rPr>
        <w:lastRenderedPageBreak/>
        <w:t>më të larta të energjisë së rinovueshme në Evropën Juglindore; megjithatë, është</w:t>
      </w:r>
      <w:r w:rsidR="00D22711" w:rsidRPr="00050FA4">
        <w:rPr>
          <w:lang w:val="sq-AL"/>
        </w:rPr>
        <w:t>,</w:t>
      </w:r>
      <w:r w:rsidRPr="00050FA4">
        <w:rPr>
          <w:lang w:val="sq-AL"/>
        </w:rPr>
        <w:t xml:space="preserve"> gjithashtu</w:t>
      </w:r>
      <w:r w:rsidR="00D22711" w:rsidRPr="00050FA4">
        <w:rPr>
          <w:lang w:val="sq-AL"/>
        </w:rPr>
        <w:t>,</w:t>
      </w:r>
      <w:r w:rsidRPr="00050FA4">
        <w:rPr>
          <w:lang w:val="sq-AL"/>
        </w:rPr>
        <w:t xml:space="preserve"> shumë i varur nga reshjet vjetore. </w:t>
      </w:r>
      <w:r w:rsidR="00D22711" w:rsidRPr="00050FA4">
        <w:rPr>
          <w:lang w:val="sq-AL"/>
        </w:rPr>
        <w:t xml:space="preserve">Vulnerabiliteti </w:t>
      </w:r>
      <w:r w:rsidRPr="00050FA4">
        <w:rPr>
          <w:lang w:val="sq-AL"/>
        </w:rPr>
        <w:t xml:space="preserve">pasues ndaj eksternaliteteve klimatike për prodhimin e energjisë elektrike krijon luhatje të dukshme në prodhimin </w:t>
      </w:r>
      <w:r w:rsidR="00643BAF" w:rsidRPr="00050FA4">
        <w:rPr>
          <w:lang w:val="sq-AL"/>
        </w:rPr>
        <w:t>vendës</w:t>
      </w:r>
      <w:r w:rsidRPr="00050FA4">
        <w:rPr>
          <w:lang w:val="sq-AL"/>
        </w:rPr>
        <w:t xml:space="preserve"> të energjisë, i cili nuk është në gjendje të plotësojë kërkesën; Prandaj, Shqipëria është mesatarisht një importues neto i energjisë. Importet e energjisë kufizojnë ndjeshëm rritjen ekonomike, kanë një efekt negativ në deficitin tregtar të vendit dhe e lënë vendin të hapur ndaj goditjeve të ofertës.</w:t>
      </w:r>
    </w:p>
    <w:p w14:paraId="09EECA60" w14:textId="6541558F" w:rsidR="00877F0D" w:rsidRPr="00050FA4" w:rsidRDefault="00877F0D" w:rsidP="003F1DA7">
      <w:pPr>
        <w:pStyle w:val="AAAAAAATEXXXX"/>
        <w:rPr>
          <w:lang w:val="sq-AL"/>
        </w:rPr>
      </w:pPr>
      <w:r w:rsidRPr="00050FA4">
        <w:rPr>
          <w:lang w:val="sq-AL"/>
        </w:rPr>
        <w:t xml:space="preserve">Bilanci i shkëmbimit (importit) të energjisë elektrike për vitin 2020 në total është 3,238 </w:t>
      </w:r>
      <w:r w:rsidR="007575BB" w:rsidRPr="00050FA4">
        <w:rPr>
          <w:lang w:val="sq-AL"/>
        </w:rPr>
        <w:t>gwh</w:t>
      </w:r>
      <w:r w:rsidRPr="00050FA4">
        <w:rPr>
          <w:lang w:val="sq-AL"/>
        </w:rPr>
        <w:t xml:space="preserve">, në furnizim rezulton në vlerën 963 </w:t>
      </w:r>
      <w:r w:rsidR="007575BB" w:rsidRPr="00050FA4">
        <w:rPr>
          <w:lang w:val="sq-AL"/>
        </w:rPr>
        <w:t xml:space="preserve">gwh </w:t>
      </w:r>
      <w:r w:rsidRPr="00050FA4">
        <w:rPr>
          <w:lang w:val="sq-AL"/>
        </w:rPr>
        <w:t xml:space="preserve">dhe merr 2,276 </w:t>
      </w:r>
      <w:r w:rsidR="007575BB" w:rsidRPr="00050FA4">
        <w:rPr>
          <w:lang w:val="sq-AL"/>
        </w:rPr>
        <w:t>gwh</w:t>
      </w:r>
      <w:r w:rsidRPr="00050FA4">
        <w:rPr>
          <w:lang w:val="sq-AL"/>
        </w:rPr>
        <w:t xml:space="preserve">. Prodhimi i energjisë elektrike në 5,313 </w:t>
      </w:r>
      <w:r w:rsidR="007575BB" w:rsidRPr="00050FA4">
        <w:rPr>
          <w:lang w:val="sq-AL"/>
        </w:rPr>
        <w:t xml:space="preserve">gwh </w:t>
      </w:r>
      <w:r w:rsidRPr="00050FA4">
        <w:rPr>
          <w:lang w:val="sq-AL"/>
        </w:rPr>
        <w:t xml:space="preserve">është realizuar nga termocentralet në pronësi të shoqërisë së prodhimit publik (kompania KESH) në masën 3,090 </w:t>
      </w:r>
      <w:r w:rsidR="007575BB" w:rsidRPr="00050FA4">
        <w:rPr>
          <w:lang w:val="sq-AL"/>
        </w:rPr>
        <w:t xml:space="preserve">gwh </w:t>
      </w:r>
      <w:r w:rsidRPr="00050FA4">
        <w:rPr>
          <w:lang w:val="sq-AL"/>
        </w:rPr>
        <w:t xml:space="preserve">dhe pjesa tjetër prej 2,222 </w:t>
      </w:r>
      <w:r w:rsidR="007575BB" w:rsidRPr="00050FA4">
        <w:rPr>
          <w:lang w:val="sq-AL"/>
        </w:rPr>
        <w:t xml:space="preserve">gwh </w:t>
      </w:r>
      <w:r w:rsidRPr="00050FA4">
        <w:rPr>
          <w:lang w:val="sq-AL"/>
        </w:rPr>
        <w:t xml:space="preserve">është prodhuar nga impiante të tjera. Siç shihet nga këto shifra, pesha e prodhimit të realizuar nga prodhuesit e pavarur privatë të energjisë elektrike, zë një pjesë të konsiderueshme në prodhimin </w:t>
      </w:r>
      <w:r w:rsidR="00643BAF" w:rsidRPr="00050FA4">
        <w:rPr>
          <w:lang w:val="sq-AL"/>
        </w:rPr>
        <w:t>vendës</w:t>
      </w:r>
      <w:r w:rsidRPr="00050FA4">
        <w:rPr>
          <w:lang w:val="sq-AL"/>
        </w:rPr>
        <w:t>. Numri i prodhuesve të pavarur të energjisë elektrike po rritet çdo vit, duke rritur kështu rëndësinë e këtyre prodhuesve në treg, që është një hap i rëndësishëm për liberalizimin e tregut të energjisë elektrike në vendin tonë. Në lidhje me rritjen e kapaciteteve gjeneruese dhe me ngritjen e Bursës së Energjisë Elektrike</w:t>
      </w:r>
      <w:r w:rsidR="00D22711" w:rsidRPr="00050FA4">
        <w:rPr>
          <w:lang w:val="sq-AL"/>
        </w:rPr>
        <w:t>,</w:t>
      </w:r>
      <w:r w:rsidRPr="00050FA4">
        <w:rPr>
          <w:lang w:val="sq-AL"/>
        </w:rPr>
        <w:t xml:space="preserve"> duke shfrytëzuar kontratat për diferenca, do të optimizohet efekti financiar i tyre për klientët e energjisë elektrike.</w:t>
      </w:r>
    </w:p>
    <w:p w14:paraId="4746E132" w14:textId="5B066221" w:rsidR="00877F0D" w:rsidRPr="00050FA4" w:rsidRDefault="00877F0D"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Kërkesa për energji elektrike në vitin 2020 ka arritur vlerën e 7,589 </w:t>
      </w:r>
      <w:r w:rsidR="007575BB" w:rsidRPr="00050FA4">
        <w:rPr>
          <w:rFonts w:cstheme="majorBidi"/>
          <w:color w:val="0D0D0D" w:themeColor="text1" w:themeTint="F2"/>
          <w:lang w:val="sq-AL"/>
        </w:rPr>
        <w:t>gwh</w:t>
      </w:r>
      <w:r w:rsidRPr="00050FA4">
        <w:rPr>
          <w:rFonts w:cstheme="majorBidi"/>
          <w:color w:val="0D0D0D" w:themeColor="text1" w:themeTint="F2"/>
          <w:lang w:val="sq-AL"/>
        </w:rPr>
        <w:t>. Rënia e kërkesës e vërejtur më parë dhe gjatë këtij viti, lidhet kryesisht me ndryshimet klimatike, efi</w:t>
      </w:r>
      <w:r w:rsidR="007575BB" w:rsidRPr="00050FA4">
        <w:rPr>
          <w:rFonts w:cstheme="majorBidi"/>
          <w:color w:val="0D0D0D" w:themeColor="text1" w:themeTint="F2"/>
          <w:lang w:val="sq-AL"/>
        </w:rPr>
        <w:t>ci</w:t>
      </w:r>
      <w:r w:rsidRPr="00050FA4">
        <w:rPr>
          <w:rFonts w:cstheme="majorBidi"/>
          <w:color w:val="0D0D0D" w:themeColor="text1" w:themeTint="F2"/>
          <w:lang w:val="sq-AL"/>
        </w:rPr>
        <w:t>encën e energjisë apo shtrirjen për zbatimin e masave (nga instalimi i sistemit të matjes së energjisë për çdo konsumator e deri te dispozitat e kodi penal për vjedhjen e energjisë elektrike) për reduktimin e vjedhjes së energjisë elektrike dhe kryesisht lidhur me masat e miratuara nga qeveria shqiptare për kufizimet në lidhje me përhapjen e pandemisë duke filluar nga marsi 2020. Këto masa ndër të tjera kanë ulur kërkesën për energji elektrike pasi disa biznese ishin të detyruar të punonin me orar të kufizuar ose të mbylleshin plotësisht. Në këtë kuadër, humbjet e energjisë elektrike në sistemin e shpërndarjes për vitin 2020 sipas të dhënave të raportuara nga kompania kapin vlerën 21.48%, duke shënuar një ulje të lehtë të nivelit të humbjeve krahasuar me vlerën prej 21.79% në vitin 2019, trend ky që do të vazhdojnë edhe në vitet në vijim, pasi në këtë pikë niveli i humbjeve lidhet më së shumti me investimet në rrjetin e shpërndarjes.</w:t>
      </w:r>
    </w:p>
    <w:p w14:paraId="733A6CEE" w14:textId="525EBDE6" w:rsidR="00877F0D" w:rsidRPr="00050FA4" w:rsidRDefault="00877F0D" w:rsidP="003F1DA7">
      <w:pPr>
        <w:pStyle w:val="AAAAAAATEXXXX"/>
        <w:rPr>
          <w:lang w:val="sq-AL"/>
        </w:rPr>
      </w:pPr>
      <w:r w:rsidRPr="00050FA4">
        <w:rPr>
          <w:lang w:val="sq-AL"/>
        </w:rPr>
        <w:t xml:space="preserve">Për vitin 2020, humbjet totale të energjisë elektrike në sistemin e shpërndarjes dhe transmetimit sipas raporteve të kompanive kanë qenë në vlerat 1632 </w:t>
      </w:r>
      <w:r w:rsidR="007575BB" w:rsidRPr="00050FA4">
        <w:rPr>
          <w:lang w:val="sq-AL"/>
        </w:rPr>
        <w:t>gwh</w:t>
      </w:r>
      <w:r w:rsidRPr="00050FA4">
        <w:rPr>
          <w:lang w:val="sq-AL"/>
        </w:rPr>
        <w:t xml:space="preserve">, me një ulje prej </w:t>
      </w:r>
      <w:r w:rsidR="00516ACC" w:rsidRPr="00050FA4">
        <w:rPr>
          <w:lang w:val="sq-AL"/>
        </w:rPr>
        <w:t xml:space="preserve">19 </w:t>
      </w:r>
      <w:r w:rsidR="007575BB" w:rsidRPr="00050FA4">
        <w:rPr>
          <w:lang w:val="sq-AL"/>
        </w:rPr>
        <w:t xml:space="preserve">gwh </w:t>
      </w:r>
      <w:r w:rsidR="00516ACC" w:rsidRPr="00050FA4">
        <w:rPr>
          <w:lang w:val="sq-AL"/>
        </w:rPr>
        <w:t>krahasuar me vitin 2019.</w:t>
      </w:r>
    </w:p>
    <w:p w14:paraId="2371EC96" w14:textId="74810835" w:rsidR="00877F0D" w:rsidRPr="00050FA4" w:rsidRDefault="00877F0D" w:rsidP="003F1DA7">
      <w:pPr>
        <w:pStyle w:val="AAAAAAATEXXXX"/>
        <w:rPr>
          <w:lang w:val="sq-AL"/>
        </w:rPr>
      </w:pPr>
      <w:r w:rsidRPr="00050FA4">
        <w:rPr>
          <w:lang w:val="sq-AL"/>
        </w:rPr>
        <w:t xml:space="preserve">Në lidhje me ngritjen e Bursës Shqiptare të Energjisë Elektrike, operatorët e sistemit të transmetimit të Shqipërisë dhe </w:t>
      </w:r>
      <w:r w:rsidR="00D22711" w:rsidRPr="00050FA4">
        <w:rPr>
          <w:lang w:val="sq-AL"/>
        </w:rPr>
        <w:t xml:space="preserve">të </w:t>
      </w:r>
      <w:r w:rsidRPr="00050FA4">
        <w:rPr>
          <w:lang w:val="sq-AL"/>
        </w:rPr>
        <w:t xml:space="preserve">Kosovës*, si </w:t>
      </w:r>
      <w:r w:rsidR="007575BB" w:rsidRPr="00050FA4">
        <w:rPr>
          <w:lang w:val="sq-AL"/>
        </w:rPr>
        <w:t>aksionarë</w:t>
      </w:r>
      <w:r w:rsidRPr="00050FA4">
        <w:rPr>
          <w:lang w:val="sq-AL"/>
        </w:rPr>
        <w:t xml:space="preserve"> themelues, në datën 23.10.2020 themeluan shoqërinë ALPEX, e cila do të punojë për realizimin e bashkimit të tregut të ditës në vijim. Krijimi i këtij tregu do të përmirësojë sigurinë e furnizimit me energji elektrike, për të dy</w:t>
      </w:r>
      <w:r w:rsidR="00821414" w:rsidRPr="00050FA4">
        <w:rPr>
          <w:lang w:val="sq-AL"/>
        </w:rPr>
        <w:t>ja</w:t>
      </w:r>
      <w:r w:rsidRPr="00050FA4">
        <w:rPr>
          <w:lang w:val="sq-AL"/>
        </w:rPr>
        <w:t xml:space="preserve"> vendet, dhe integriteti i tregjeve do të ndikojë ndjeshëm në rritjen e konkurrencës në shitjen e energjisë elektrike në tregun me shumicë dhe si pasojë mund të sjellë uljen e çmimeve të energjisë elektrike në tregun e shitjes me pakicë. </w:t>
      </w:r>
    </w:p>
    <w:p w14:paraId="24A8FB0E" w14:textId="73367705" w:rsidR="00877F0D" w:rsidRPr="00050FA4" w:rsidRDefault="00877F0D" w:rsidP="003F1DA7">
      <w:pPr>
        <w:pStyle w:val="AAAAAAATEXXXX"/>
        <w:rPr>
          <w:lang w:val="sq-AL"/>
        </w:rPr>
      </w:pPr>
      <w:r w:rsidRPr="00050FA4">
        <w:rPr>
          <w:lang w:val="sq-AL"/>
        </w:rPr>
        <w:t xml:space="preserve">Lidhur me hapjen e tregut, me </w:t>
      </w:r>
      <w:r w:rsidR="00D22711" w:rsidRPr="00050FA4">
        <w:rPr>
          <w:lang w:val="sq-AL"/>
        </w:rPr>
        <w:t xml:space="preserve">urdhrin e ministrit </w:t>
      </w:r>
      <w:r w:rsidRPr="00050FA4">
        <w:rPr>
          <w:lang w:val="sq-AL"/>
        </w:rPr>
        <w:t>të Infrastrukturës</w:t>
      </w:r>
      <w:r w:rsidR="00D22711" w:rsidRPr="00050FA4">
        <w:rPr>
          <w:lang w:val="sq-AL"/>
        </w:rPr>
        <w:t xml:space="preserve"> dhe Energjisë nr. 28, datë 18.</w:t>
      </w:r>
      <w:r w:rsidRPr="00050FA4">
        <w:rPr>
          <w:lang w:val="sq-AL"/>
        </w:rPr>
        <w:t>1.2021</w:t>
      </w:r>
      <w:r w:rsidR="00D22711" w:rsidRPr="00050FA4">
        <w:rPr>
          <w:lang w:val="sq-AL"/>
        </w:rPr>
        <w:t>,</w:t>
      </w:r>
      <w:r w:rsidRPr="00050FA4">
        <w:rPr>
          <w:lang w:val="sq-AL"/>
        </w:rPr>
        <w:t xml:space="preserve"> </w:t>
      </w:r>
      <w:r w:rsidR="008A0E5B" w:rsidRPr="00050FA4">
        <w:rPr>
          <w:lang w:val="sq-AL"/>
        </w:rPr>
        <w:t>“</w:t>
      </w:r>
      <w:r w:rsidRPr="00050FA4">
        <w:rPr>
          <w:lang w:val="sq-AL"/>
        </w:rPr>
        <w:t>Për miratimin e udhërrëfyesit për hapjen e tregut dhe çrregullimin e çmimeve të energjisë elektrike</w:t>
      </w:r>
      <w:r w:rsidR="008A0E5B" w:rsidRPr="00050FA4">
        <w:rPr>
          <w:lang w:val="sq-AL"/>
        </w:rPr>
        <w:t>”</w:t>
      </w:r>
      <w:r w:rsidRPr="00050FA4">
        <w:rPr>
          <w:lang w:val="sq-AL"/>
        </w:rPr>
        <w:t xml:space="preserve">, u miratua udhërrëfyesi për hapjen e tregut dhe derregullimin e çmimeve, i cili parashikon që duke filluar nga 1 janari 2021 të gjithë konsumatorët e kyçur në 35 kV dhe një pjesë e konsumatorëve të lidhur në 20 kV do të furnizohen përmes tregut dhe çmimit të çrregulluar (faza 1) dhe duke filluar nga 1 janari 2022 të gjithë konsumatorët përveç 0.4 kV do të furnizohen me çmime të çrregulluara. Hyrja në tregun e parregulluar të konsumatorëve të energjisë elektrike është e lidhur ngushtë me cilësinë e shërbimit të ofruar nga OSSH </w:t>
      </w:r>
      <w:r w:rsidR="007575BB" w:rsidRPr="00050FA4">
        <w:rPr>
          <w:lang w:val="sq-AL"/>
        </w:rPr>
        <w:t xml:space="preserve">s.a., </w:t>
      </w:r>
      <w:r w:rsidRPr="00050FA4">
        <w:rPr>
          <w:lang w:val="sq-AL"/>
        </w:rPr>
        <w:t>si dhe me treguesit e lejuar të performancës. Një nga element</w:t>
      </w:r>
      <w:r w:rsidR="00097DAF" w:rsidRPr="00050FA4">
        <w:rPr>
          <w:lang w:val="sq-AL"/>
        </w:rPr>
        <w:t>e</w:t>
      </w:r>
      <w:r w:rsidRPr="00050FA4">
        <w:rPr>
          <w:lang w:val="sq-AL"/>
        </w:rPr>
        <w:t>t kryesor</w:t>
      </w:r>
      <w:r w:rsidR="00097DAF" w:rsidRPr="00050FA4">
        <w:rPr>
          <w:lang w:val="sq-AL"/>
        </w:rPr>
        <w:t>e</w:t>
      </w:r>
      <w:r w:rsidRPr="00050FA4">
        <w:rPr>
          <w:lang w:val="sq-AL"/>
        </w:rPr>
        <w:t xml:space="preserve"> për kontrollin e monitorimit të cilësisë së tensionit dhe treguesve të performancës së rrjetit të shpërndarjes së energjisë elektrike është ven</w:t>
      </w:r>
      <w:r w:rsidR="00A417C0" w:rsidRPr="00050FA4">
        <w:rPr>
          <w:lang w:val="sq-AL"/>
        </w:rPr>
        <w:t>dosja e matësve inteligjentë te</w:t>
      </w:r>
      <w:r w:rsidRPr="00050FA4">
        <w:rPr>
          <w:lang w:val="sq-AL"/>
        </w:rPr>
        <w:t xml:space="preserve"> klientët si detyrim i OSSH </w:t>
      </w:r>
      <w:r w:rsidR="007575BB" w:rsidRPr="00050FA4">
        <w:rPr>
          <w:lang w:val="sq-AL"/>
        </w:rPr>
        <w:t>s.a.,</w:t>
      </w:r>
      <w:r w:rsidRPr="00050FA4">
        <w:rPr>
          <w:lang w:val="sq-AL"/>
        </w:rPr>
        <w:t xml:space="preserve"> në përputhje me nenin 78 </w:t>
      </w:r>
      <w:r w:rsidR="008A0E5B" w:rsidRPr="00050FA4">
        <w:rPr>
          <w:lang w:val="sq-AL"/>
        </w:rPr>
        <w:t>“</w:t>
      </w:r>
      <w:r w:rsidRPr="00050FA4">
        <w:rPr>
          <w:lang w:val="sq-AL"/>
        </w:rPr>
        <w:t>Sistemet inteligjente të matjes</w:t>
      </w:r>
      <w:r w:rsidR="008A0E5B" w:rsidRPr="00050FA4">
        <w:rPr>
          <w:lang w:val="sq-AL"/>
        </w:rPr>
        <w:t>”</w:t>
      </w:r>
      <w:r w:rsidRPr="00050FA4">
        <w:rPr>
          <w:lang w:val="sq-AL"/>
        </w:rPr>
        <w:t xml:space="preserve"> të ligjit nr.</w:t>
      </w:r>
      <w:r w:rsidR="007575BB" w:rsidRPr="00050FA4">
        <w:rPr>
          <w:lang w:val="sq-AL"/>
        </w:rPr>
        <w:t xml:space="preserve"> 43/</w:t>
      </w:r>
      <w:r w:rsidRPr="00050FA4">
        <w:rPr>
          <w:lang w:val="sq-AL"/>
        </w:rPr>
        <w:t>2015</w:t>
      </w:r>
      <w:r w:rsidR="007575BB" w:rsidRPr="00050FA4">
        <w:rPr>
          <w:lang w:val="sq-AL"/>
        </w:rPr>
        <w:t>,</w:t>
      </w:r>
      <w:r w:rsidRPr="00050FA4">
        <w:rPr>
          <w:lang w:val="sq-AL"/>
        </w:rPr>
        <w:t xml:space="preserve"> </w:t>
      </w:r>
      <w:r w:rsidR="008A0E5B" w:rsidRPr="00050FA4">
        <w:rPr>
          <w:lang w:val="sq-AL"/>
        </w:rPr>
        <w:t>“</w:t>
      </w:r>
      <w:r w:rsidRPr="00050FA4">
        <w:rPr>
          <w:lang w:val="sq-AL"/>
        </w:rPr>
        <w:t>Për sektorin e energjisë elektrike</w:t>
      </w:r>
      <w:r w:rsidR="008A0E5B" w:rsidRPr="00050FA4">
        <w:rPr>
          <w:lang w:val="sq-AL"/>
        </w:rPr>
        <w:t>”</w:t>
      </w:r>
      <w:r w:rsidRPr="00050FA4">
        <w:rPr>
          <w:lang w:val="sq-AL"/>
        </w:rPr>
        <w:t xml:space="preserve"> i ndryshuar. Sipas këtij neni, kërkohen investime të konsiderueshme si në sistemet e informacionit ashtu edhe në pajisjet termi</w:t>
      </w:r>
      <w:r w:rsidR="007575BB" w:rsidRPr="00050FA4">
        <w:rPr>
          <w:lang w:val="sq-AL"/>
        </w:rPr>
        <w:t>nale. Ndonëse gjatë viteve 2019–</w:t>
      </w:r>
      <w:r w:rsidRPr="00050FA4">
        <w:rPr>
          <w:lang w:val="sq-AL"/>
        </w:rPr>
        <w:t xml:space="preserve">2020 janë realizuar dy projekte pilot për matje inteligjente, me rezultate premtuese dhe pozitive, sfidat me të cilat është përballur kompania në vitet e fundit duke filluar nga situata e pafavorshme hidrologjike, pasojat e tërmetit 2019 dhe ndikimi i </w:t>
      </w:r>
      <w:r w:rsidR="007575BB" w:rsidRPr="00050FA4">
        <w:rPr>
          <w:lang w:val="sq-AL"/>
        </w:rPr>
        <w:t>COVID-</w:t>
      </w:r>
      <w:r w:rsidRPr="00050FA4">
        <w:rPr>
          <w:lang w:val="sq-AL"/>
        </w:rPr>
        <w:t>2019, kanë detyruar kompaninë të devijojë dhe të reduktojë investimet për të siguruar energji për të gjithë përdoruesit.</w:t>
      </w:r>
    </w:p>
    <w:p w14:paraId="7C155F85" w14:textId="77777777" w:rsidR="00877F0D" w:rsidRPr="00050FA4" w:rsidRDefault="00877F0D" w:rsidP="003F1DA7">
      <w:pPr>
        <w:pStyle w:val="AAAAAAATEXXXX"/>
        <w:rPr>
          <w:b/>
          <w:lang w:val="sq-AL"/>
        </w:rPr>
      </w:pPr>
      <w:r w:rsidRPr="00050FA4">
        <w:rPr>
          <w:b/>
          <w:lang w:val="sq-AL"/>
        </w:rPr>
        <w:t>Burimet e rinovueshme dhe energjia dhe efikasiteti i energjisë</w:t>
      </w:r>
    </w:p>
    <w:p w14:paraId="5AFE769D" w14:textId="2A936A20" w:rsidR="00877F0D" w:rsidRPr="00050FA4" w:rsidRDefault="00877F0D" w:rsidP="003F1DA7">
      <w:pPr>
        <w:pStyle w:val="AAAAAAATEXXXX"/>
        <w:rPr>
          <w:lang w:val="sq-AL"/>
        </w:rPr>
      </w:pPr>
      <w:r w:rsidRPr="00050FA4">
        <w:rPr>
          <w:lang w:val="sq-AL"/>
        </w:rPr>
        <w:t xml:space="preserve">Qeveria e Shqipërisë njeh rolin kyç të sektorit të energjisë në zhvillimin ekonomik të vendit. Prandaj, </w:t>
      </w:r>
      <w:r w:rsidRPr="00050FA4">
        <w:rPr>
          <w:lang w:val="sq-AL"/>
        </w:rPr>
        <w:lastRenderedPageBreak/>
        <w:t xml:space="preserve">Shqipëria po i jep shtysë të re reformave energjetike duke konsoliduar gjithashtu përpjekjet ekzistuese për të ofruar kushte të favorshme për zhvillimin e energjisë së rinovueshme dhe për të përmbushur angazhimet e saj rajonale dhe ndërkombëtare. Ndërsa tregu ka përjetuar përparime të konsiderueshme vitet e fundit, </w:t>
      </w:r>
      <w:r w:rsidR="00D22711" w:rsidRPr="00050FA4">
        <w:rPr>
          <w:lang w:val="sq-AL"/>
        </w:rPr>
        <w:t xml:space="preserve">qeveria shqiptare </w:t>
      </w:r>
      <w:r w:rsidRPr="00050FA4">
        <w:rPr>
          <w:lang w:val="sq-AL"/>
        </w:rPr>
        <w:t>është tani më e vendosur se kurrë për të rritur investimet që do të formësojnë të ardhmen e energjisë, duke krijuar një udhërrëfyes të qartë strategjik për burimet e rinovueshme.</w:t>
      </w:r>
    </w:p>
    <w:p w14:paraId="375CDFBC" w14:textId="10CF00FA" w:rsidR="00877F0D" w:rsidRPr="00050FA4" w:rsidRDefault="00877F0D" w:rsidP="003F1DA7">
      <w:pPr>
        <w:pStyle w:val="AAAAAAATEXXXX"/>
        <w:rPr>
          <w:lang w:val="sq-AL"/>
        </w:rPr>
      </w:pPr>
      <w:r w:rsidRPr="00050FA4">
        <w:rPr>
          <w:lang w:val="sq-AL"/>
        </w:rPr>
        <w:t xml:space="preserve">Rritja e qëndrueshme ekonomike është një komponent kyç i agjendës së zhvillimit të qëndrueshëm ekonomik dhe social të vendit dhe kontributi i sektorit të energjisë luan një rol gjithnjë e më kritik. Siguria e energjisë, qëndrueshmëria e sektorit dhe sigurimi i furnizimit me energji me çmime konkurruese janë disa nga sfidat kryesore që vendi duhet të adresojë në të ardhmen e afërt. Këto sfida mund të përballohen duke rritur më tej peshën e energjisë së rinovueshme në prodhimin përfundimtar bruto dhe duke diversifikuar sektorin e energjisë elektrike në vend. Shqipëria është në një pozicion fillestar të shkëlqyer për </w:t>
      </w:r>
      <w:r w:rsidR="00D22711" w:rsidRPr="00050FA4">
        <w:rPr>
          <w:lang w:val="sq-AL"/>
        </w:rPr>
        <w:t>agjendën e gjelbër</w:t>
      </w:r>
      <w:r w:rsidRPr="00050FA4">
        <w:rPr>
          <w:lang w:val="sq-AL"/>
        </w:rPr>
        <w:t>, me një sektor energjetik të bazuar tërësisht në hidrocentralet pa emetim karboni. Reforma në tregun e energjisë elektrike është në rrugën e duhur.</w:t>
      </w:r>
    </w:p>
    <w:p w14:paraId="7AE6C450" w14:textId="77777777" w:rsidR="00877F0D" w:rsidRPr="00050FA4" w:rsidRDefault="00877F0D" w:rsidP="003F1DA7">
      <w:pPr>
        <w:pStyle w:val="AAAAAAATEXXXX"/>
        <w:rPr>
          <w:b/>
          <w:lang w:val="sq-AL"/>
        </w:rPr>
      </w:pPr>
      <w:r w:rsidRPr="00050FA4">
        <w:rPr>
          <w:b/>
          <w:lang w:val="sq-AL"/>
        </w:rPr>
        <w:t>Burimet e rinovueshme</w:t>
      </w:r>
    </w:p>
    <w:p w14:paraId="020629ED" w14:textId="08BCDAE5" w:rsidR="00877F0D" w:rsidRPr="00050FA4" w:rsidRDefault="00877F0D" w:rsidP="003F1DA7">
      <w:pPr>
        <w:pStyle w:val="AAAAAAATEXXXX"/>
        <w:rPr>
          <w:lang w:val="sq-AL"/>
        </w:rPr>
      </w:pPr>
      <w:r w:rsidRPr="00050FA4">
        <w:rPr>
          <w:lang w:val="sq-AL"/>
        </w:rPr>
        <w:t>Vitet e fundit, qeveria shqiptare ka ndërmarrë hapa të lavdërueshëm në promovimin e përdorimit të energjisë së rinovueshme jo hidro. Në Strategjinë Kombëtare të Sektorit të Energjisë 2018, Shqipëria ka përcaktuar një pjesë prej 42% të energjisë së rinovueshme në totalin e furnizimit me energji parësore (TPES) deri në vitin 2030. Gjithashtu, Plani Kombëtar i Veprimit për Energjinë e Rinovueshme të Shqipërisë (PKREAP) përcakton objektivat e energjisë së rinovueshme de</w:t>
      </w:r>
      <w:r w:rsidR="002D3CE6" w:rsidRPr="00050FA4">
        <w:rPr>
          <w:lang w:val="sq-AL"/>
        </w:rPr>
        <w:t>ri në vitin 2021 dhe në vazhdim</w:t>
      </w:r>
      <w:r w:rsidRPr="00050FA4">
        <w:rPr>
          <w:lang w:val="sq-AL"/>
        </w:rPr>
        <w:t xml:space="preserve">, NREAP do të zëvendësohet nga Plani Kombëtar i Energjisë dhe Klimës (NECP), i cili është ende për t'u zhvilluar dhe do të përcaktojë objektivat e energjisë së rinovueshme deri në vitin 2030. Diversifikimi i prodhimit të energjisë elektrike ka avancuar më tej kohët e fundit duke promovuar burimet alternative të energjisë së rinovueshme (era dhe solar) nëpërmjet investimeve private dhe ankandeve. </w:t>
      </w:r>
    </w:p>
    <w:p w14:paraId="5F9571EF" w14:textId="024A19D4" w:rsidR="00877F0D" w:rsidRPr="00050FA4" w:rsidRDefault="00877F0D" w:rsidP="003F1DA7">
      <w:pPr>
        <w:pStyle w:val="AAAAAAATEXXXX"/>
        <w:rPr>
          <w:color w:val="0D0D0D" w:themeColor="text1" w:themeTint="F2"/>
          <w:lang w:val="sq-AL"/>
        </w:rPr>
      </w:pPr>
      <w:r w:rsidRPr="00050FA4">
        <w:rPr>
          <w:color w:val="0D0D0D" w:themeColor="text1" w:themeTint="F2"/>
          <w:lang w:val="sq-AL"/>
        </w:rPr>
        <w:t>Politikat aktive të energjisë së rinovueshme krahas hidrocentraleve datojnë që në vitin 2017 me miratimin e ligjit 7/2017</w:t>
      </w:r>
      <w:r w:rsidR="00D22711" w:rsidRPr="00050FA4">
        <w:rPr>
          <w:color w:val="0D0D0D" w:themeColor="text1" w:themeTint="F2"/>
          <w:lang w:val="sq-AL"/>
        </w:rPr>
        <w:t>,</w:t>
      </w:r>
      <w:r w:rsidRPr="00050FA4">
        <w:rPr>
          <w:color w:val="0D0D0D" w:themeColor="text1" w:themeTint="F2"/>
          <w:lang w:val="sq-AL"/>
        </w:rPr>
        <w:t xml:space="preserve"> </w:t>
      </w:r>
      <w:r w:rsidR="008A0E5B" w:rsidRPr="00050FA4">
        <w:rPr>
          <w:color w:val="0D0D0D" w:themeColor="text1" w:themeTint="F2"/>
          <w:lang w:val="sq-AL"/>
        </w:rPr>
        <w:t>“</w:t>
      </w:r>
      <w:r w:rsidRPr="00050FA4">
        <w:rPr>
          <w:color w:val="0D0D0D" w:themeColor="text1" w:themeTint="F2"/>
          <w:lang w:val="sq-AL"/>
        </w:rPr>
        <w:t>Për nxitjen e përdorimit të energjisë nga burimet e rinovueshme</w:t>
      </w:r>
      <w:r w:rsidR="008A0E5B" w:rsidRPr="00050FA4">
        <w:rPr>
          <w:color w:val="0D0D0D" w:themeColor="text1" w:themeTint="F2"/>
          <w:lang w:val="sq-AL"/>
        </w:rPr>
        <w:t>”</w:t>
      </w:r>
      <w:r w:rsidRPr="00050FA4">
        <w:rPr>
          <w:color w:val="0D0D0D" w:themeColor="text1" w:themeTint="F2"/>
          <w:lang w:val="sq-AL"/>
        </w:rPr>
        <w:t xml:space="preserve">. Ky ligj është i harmonizuar me ligjin nr. 43/2015, </w:t>
      </w:r>
      <w:r w:rsidR="008A0E5B" w:rsidRPr="00050FA4">
        <w:rPr>
          <w:color w:val="0D0D0D" w:themeColor="text1" w:themeTint="F2"/>
          <w:lang w:val="sq-AL"/>
        </w:rPr>
        <w:t>“</w:t>
      </w:r>
      <w:r w:rsidRPr="00050FA4">
        <w:rPr>
          <w:color w:val="0D0D0D" w:themeColor="text1" w:themeTint="F2"/>
          <w:lang w:val="sq-AL"/>
        </w:rPr>
        <w:t>Për sektorin e energjisë elektrike</w:t>
      </w:r>
      <w:r w:rsidR="008A0E5B" w:rsidRPr="00050FA4">
        <w:rPr>
          <w:color w:val="0D0D0D" w:themeColor="text1" w:themeTint="F2"/>
          <w:lang w:val="sq-AL"/>
        </w:rPr>
        <w:t>”</w:t>
      </w:r>
      <w:r w:rsidR="00D22711" w:rsidRPr="00050FA4">
        <w:rPr>
          <w:color w:val="0D0D0D" w:themeColor="text1" w:themeTint="F2"/>
          <w:lang w:val="sq-AL"/>
        </w:rPr>
        <w:t>,</w:t>
      </w:r>
      <w:r w:rsidRPr="00050FA4">
        <w:rPr>
          <w:color w:val="0D0D0D" w:themeColor="text1" w:themeTint="F2"/>
          <w:lang w:val="sq-AL"/>
        </w:rPr>
        <w:t xml:space="preserve"> dhe pasqyron plotësisht mundësinë e hyrjes në tregun e liberalizuar të energjisë elektrike të gjeneruesve nga burimet e rinovueshme. Plani Kombëtar i Veprimit për BRE (2018–2021)</w:t>
      </w:r>
      <w:r w:rsidR="00D22711" w:rsidRPr="00050FA4">
        <w:rPr>
          <w:color w:val="0D0D0D" w:themeColor="text1" w:themeTint="F2"/>
          <w:lang w:val="sq-AL"/>
        </w:rPr>
        <w:t>,</w:t>
      </w:r>
      <w:r w:rsidRPr="00050FA4">
        <w:rPr>
          <w:color w:val="0D0D0D" w:themeColor="text1" w:themeTint="F2"/>
          <w:lang w:val="sq-AL"/>
        </w:rPr>
        <w:t xml:space="preserve"> i cili krahas masave brenda kuadrit ligjor, përcakton metodologjitë e përcaktimit të çmimit të blerjes së energjisë përmes </w:t>
      </w:r>
      <w:r w:rsidR="008A0E5B" w:rsidRPr="00050FA4">
        <w:rPr>
          <w:color w:val="0D0D0D" w:themeColor="text1" w:themeTint="F2"/>
          <w:lang w:val="sq-AL"/>
        </w:rPr>
        <w:t>“</w:t>
      </w:r>
      <w:r w:rsidRPr="00050FA4">
        <w:rPr>
          <w:color w:val="0D0D0D" w:themeColor="text1" w:themeTint="F2"/>
          <w:lang w:val="sq-AL"/>
        </w:rPr>
        <w:t xml:space="preserve">Skemave të </w:t>
      </w:r>
      <w:r w:rsidR="00D22711" w:rsidRPr="00050FA4">
        <w:rPr>
          <w:color w:val="0D0D0D" w:themeColor="text1" w:themeTint="F2"/>
          <w:lang w:val="sq-AL"/>
        </w:rPr>
        <w:t>mbështetjes financiare</w:t>
      </w:r>
      <w:r w:rsidR="008A0E5B" w:rsidRPr="00050FA4">
        <w:rPr>
          <w:color w:val="0D0D0D" w:themeColor="text1" w:themeTint="F2"/>
          <w:lang w:val="sq-AL"/>
        </w:rPr>
        <w:t>”</w:t>
      </w:r>
      <w:r w:rsidR="00D22711" w:rsidRPr="00050FA4">
        <w:rPr>
          <w:color w:val="0D0D0D" w:themeColor="text1" w:themeTint="F2"/>
          <w:lang w:val="sq-AL"/>
        </w:rPr>
        <w:t xml:space="preserve">, </w:t>
      </w:r>
      <w:r w:rsidRPr="00050FA4">
        <w:rPr>
          <w:color w:val="0D0D0D" w:themeColor="text1" w:themeTint="F2"/>
          <w:lang w:val="sq-AL"/>
        </w:rPr>
        <w:t xml:space="preserve">si një angazhim i drejtpërdrejtë i qeverisë për arritjen e objektivit kombëtar. </w:t>
      </w:r>
    </w:p>
    <w:p w14:paraId="68C978C7" w14:textId="0D5ABAB3" w:rsidR="00877F0D" w:rsidRPr="00050FA4" w:rsidRDefault="00877F0D" w:rsidP="003F1DA7">
      <w:pPr>
        <w:pStyle w:val="AAAAAAATEXXXX"/>
        <w:rPr>
          <w:color w:val="0D0D0D" w:themeColor="text1" w:themeTint="F2"/>
          <w:lang w:val="sq-AL"/>
        </w:rPr>
      </w:pPr>
      <w:r w:rsidRPr="00050FA4">
        <w:rPr>
          <w:color w:val="0D0D0D" w:themeColor="text1" w:themeTint="F2"/>
          <w:lang w:val="sq-AL"/>
        </w:rPr>
        <w:t xml:space="preserve">Për arritjen e objektivit, janë miratuar lejet tarifore të rregulluara për këto burime dhe metodologjitë për çmimet e blerjes së energjisë elektrike nga BRE. Në fakt MIE ka hartuar një Strategji të re për kalimin nga skemat ekzistuese </w:t>
      </w:r>
      <w:r w:rsidR="008A0E5B" w:rsidRPr="00050FA4">
        <w:rPr>
          <w:color w:val="0D0D0D" w:themeColor="text1" w:themeTint="F2"/>
          <w:lang w:val="sq-AL"/>
        </w:rPr>
        <w:t>“</w:t>
      </w:r>
      <w:r w:rsidRPr="00050FA4">
        <w:rPr>
          <w:color w:val="0D0D0D" w:themeColor="text1" w:themeTint="F2"/>
          <w:lang w:val="sq-AL"/>
        </w:rPr>
        <w:t>Feed-in-Tariff</w:t>
      </w:r>
      <w:r w:rsidR="008A0E5B" w:rsidRPr="00050FA4">
        <w:rPr>
          <w:color w:val="0D0D0D" w:themeColor="text1" w:themeTint="F2"/>
          <w:lang w:val="sq-AL"/>
        </w:rPr>
        <w:t>”</w:t>
      </w:r>
      <w:r w:rsidRPr="00050FA4">
        <w:rPr>
          <w:color w:val="0D0D0D" w:themeColor="text1" w:themeTint="F2"/>
          <w:lang w:val="sq-AL"/>
        </w:rPr>
        <w:t xml:space="preserve"> (FiT) në </w:t>
      </w:r>
      <w:r w:rsidR="008A0E5B" w:rsidRPr="00050FA4">
        <w:rPr>
          <w:color w:val="0D0D0D" w:themeColor="text1" w:themeTint="F2"/>
          <w:lang w:val="sq-AL"/>
        </w:rPr>
        <w:t>“</w:t>
      </w:r>
      <w:r w:rsidRPr="00050FA4">
        <w:rPr>
          <w:color w:val="0D0D0D" w:themeColor="text1" w:themeTint="F2"/>
          <w:lang w:val="sq-AL"/>
        </w:rPr>
        <w:t>Feed-in-Premium</w:t>
      </w:r>
      <w:r w:rsidR="008A0E5B" w:rsidRPr="00050FA4">
        <w:rPr>
          <w:color w:val="0D0D0D" w:themeColor="text1" w:themeTint="F2"/>
          <w:lang w:val="sq-AL"/>
        </w:rPr>
        <w:t>”</w:t>
      </w:r>
      <w:r w:rsidRPr="00050FA4">
        <w:rPr>
          <w:color w:val="0D0D0D" w:themeColor="text1" w:themeTint="F2"/>
          <w:lang w:val="sq-AL"/>
        </w:rPr>
        <w:t xml:space="preserve"> (tarifa FiP) që në thelb konsiston në transformimin e FiT në Kontratë për Diferencë (Auksione). i cili do të zbatohet nëpërmjet Operatorit të Energjive të Rinovueshme, FTL dhe ALPEX që do të shërbejë si një nxitje për rritjen e kapaciteteve prodhuese nga dielli dhe era Diversifikimi i prodhimit të energjisë elektrike kohët e fundit ka avancuar më tej duke promovuar burime alternative të energjisë së rinovueshme (erë dhe diellore) nëpërmjet investimet private dhe ankandet.</w:t>
      </w:r>
    </w:p>
    <w:p w14:paraId="5B465080" w14:textId="364761CA" w:rsidR="00877F0D" w:rsidRPr="00050FA4" w:rsidRDefault="00877F0D" w:rsidP="003F1DA7">
      <w:pPr>
        <w:pStyle w:val="AAAAAAATEXXXX"/>
        <w:rPr>
          <w:color w:val="0D0D0D" w:themeColor="text1" w:themeTint="F2"/>
          <w:lang w:val="sq-AL"/>
        </w:rPr>
      </w:pPr>
      <w:r w:rsidRPr="00050FA4">
        <w:rPr>
          <w:color w:val="0D0D0D" w:themeColor="text1" w:themeTint="F2"/>
          <w:lang w:val="sq-AL"/>
        </w:rPr>
        <w:t>Në këtë drejtim, janë zhvilluar dy ankande solare, gjatë viteve 2020</w:t>
      </w:r>
      <w:r w:rsidR="00F6635C" w:rsidRPr="00050FA4">
        <w:rPr>
          <w:color w:val="0D0D0D" w:themeColor="text1" w:themeTint="F2"/>
          <w:lang w:val="sq-AL"/>
        </w:rPr>
        <w:t>–</w:t>
      </w:r>
      <w:r w:rsidRPr="00050FA4">
        <w:rPr>
          <w:color w:val="0D0D0D" w:themeColor="text1" w:themeTint="F2"/>
          <w:lang w:val="sq-AL"/>
        </w:rPr>
        <w:t xml:space="preserve">2021 me një çmim rekord të ulët Karavasta për ndërtimin e një centrali PV diellor 140 </w:t>
      </w:r>
      <w:r w:rsidR="002D3CE6" w:rsidRPr="00050FA4">
        <w:rPr>
          <w:color w:val="0D0D0D" w:themeColor="text1" w:themeTint="F2"/>
          <w:lang w:val="sq-AL"/>
        </w:rPr>
        <w:t>mw</w:t>
      </w:r>
      <w:r w:rsidRPr="00050FA4">
        <w:rPr>
          <w:color w:val="0D0D0D" w:themeColor="text1" w:themeTint="F2"/>
          <w:lang w:val="sq-AL"/>
        </w:rPr>
        <w:t xml:space="preserve"> në Lushnjë dhe ankandi i Spitallës për ndërtimin e një centrali PV diellor 100 </w:t>
      </w:r>
      <w:r w:rsidR="002D3CE6" w:rsidRPr="00050FA4">
        <w:rPr>
          <w:color w:val="0D0D0D" w:themeColor="text1" w:themeTint="F2"/>
          <w:lang w:val="sq-AL"/>
        </w:rPr>
        <w:t>mw</w:t>
      </w:r>
      <w:r w:rsidRPr="00050FA4">
        <w:rPr>
          <w:color w:val="0D0D0D" w:themeColor="text1" w:themeTint="F2"/>
          <w:lang w:val="sq-AL"/>
        </w:rPr>
        <w:t xml:space="preserve"> në Durrës. Ministria e Infrastrukturës dhe Energjisë ka shpallur një proces konkurrues për gjeneruesit e energjisë elektrike me erë me kapacitet total prej 100 </w:t>
      </w:r>
      <w:r w:rsidR="00F6635C" w:rsidRPr="00050FA4">
        <w:rPr>
          <w:color w:val="0D0D0D" w:themeColor="text1" w:themeTint="F2"/>
          <w:lang w:val="sq-AL"/>
        </w:rPr>
        <w:t xml:space="preserve">mw. </w:t>
      </w:r>
      <w:r w:rsidRPr="00050FA4">
        <w:rPr>
          <w:color w:val="0D0D0D" w:themeColor="text1" w:themeTint="F2"/>
          <w:lang w:val="sq-AL"/>
        </w:rPr>
        <w:t>Gjithashtu, Ministria e Infrastrukturës dhe Energjisë po hap një proces konkurrues për ankandet Hibride PV me kapacitet të instal</w:t>
      </w:r>
      <w:r w:rsidR="002D3CE6" w:rsidRPr="00050FA4">
        <w:rPr>
          <w:color w:val="0D0D0D" w:themeColor="text1" w:themeTint="F2"/>
          <w:lang w:val="sq-AL"/>
        </w:rPr>
        <w:t>uar 5–</w:t>
      </w:r>
      <w:r w:rsidRPr="00050FA4">
        <w:rPr>
          <w:color w:val="0D0D0D" w:themeColor="text1" w:themeTint="F2"/>
          <w:lang w:val="sq-AL"/>
        </w:rPr>
        <w:t xml:space="preserve">10 </w:t>
      </w:r>
      <w:r w:rsidR="002D3CE6" w:rsidRPr="00050FA4">
        <w:rPr>
          <w:color w:val="0D0D0D" w:themeColor="text1" w:themeTint="F2"/>
          <w:lang w:val="sq-AL"/>
        </w:rPr>
        <w:t>mw,</w:t>
      </w:r>
      <w:r w:rsidRPr="00050FA4">
        <w:rPr>
          <w:color w:val="0D0D0D" w:themeColor="text1" w:themeTint="F2"/>
          <w:lang w:val="sq-AL"/>
        </w:rPr>
        <w:t xml:space="preserve"> për një kapacitet total prej 50 </w:t>
      </w:r>
      <w:r w:rsidR="002D3CE6" w:rsidRPr="00050FA4">
        <w:rPr>
          <w:color w:val="0D0D0D" w:themeColor="text1" w:themeTint="F2"/>
          <w:lang w:val="sq-AL"/>
        </w:rPr>
        <w:t>mw</w:t>
      </w:r>
      <w:r w:rsidRPr="00050FA4">
        <w:rPr>
          <w:color w:val="0D0D0D" w:themeColor="text1" w:themeTint="F2"/>
          <w:lang w:val="sq-AL"/>
        </w:rPr>
        <w:t>.</w:t>
      </w:r>
    </w:p>
    <w:p w14:paraId="7A2613CB" w14:textId="0FB28208" w:rsidR="00877F0D" w:rsidRPr="00050FA4" w:rsidRDefault="00877F0D" w:rsidP="003F1DA7">
      <w:pPr>
        <w:pStyle w:val="AAAAAAATEXXXX"/>
        <w:rPr>
          <w:color w:val="0D0D0D" w:themeColor="text1" w:themeTint="F2"/>
          <w:lang w:val="sq-AL"/>
        </w:rPr>
      </w:pPr>
      <w:r w:rsidRPr="00050FA4">
        <w:rPr>
          <w:color w:val="0D0D0D" w:themeColor="text1" w:themeTint="F2"/>
          <w:lang w:val="sq-AL"/>
        </w:rPr>
        <w:t>Është e rëndësishme të përmendet se kostot e masave të vendosura në Plan (të pasqyruara në ERP 2021</w:t>
      </w:r>
      <w:r w:rsidR="00564877" w:rsidRPr="00050FA4">
        <w:rPr>
          <w:color w:val="0D0D0D" w:themeColor="text1" w:themeTint="F2"/>
          <w:lang w:val="sq-AL"/>
        </w:rPr>
        <w:t>–</w:t>
      </w:r>
      <w:r w:rsidRPr="00050FA4">
        <w:rPr>
          <w:color w:val="0D0D0D" w:themeColor="text1" w:themeTint="F2"/>
          <w:lang w:val="sq-AL"/>
        </w:rPr>
        <w:t xml:space="preserve">2023, </w:t>
      </w:r>
      <w:r w:rsidR="00564877" w:rsidRPr="00050FA4">
        <w:rPr>
          <w:color w:val="0D0D0D" w:themeColor="text1" w:themeTint="F2"/>
          <w:lang w:val="sq-AL"/>
        </w:rPr>
        <w:t>tab.</w:t>
      </w:r>
      <w:r w:rsidRPr="00050FA4">
        <w:rPr>
          <w:color w:val="0D0D0D" w:themeColor="text1" w:themeTint="F2"/>
          <w:lang w:val="sq-AL"/>
        </w:rPr>
        <w:t xml:space="preserve"> 10b) nuk paguhen nga Buxheti i Shtetit. Bazuar në legjislacionin në fuqi, prodhuesit prioritarë do të paguhen nga OSHEE GROUP.</w:t>
      </w:r>
    </w:p>
    <w:p w14:paraId="196C6C91" w14:textId="50264640" w:rsidR="00877F0D" w:rsidRPr="00050FA4" w:rsidRDefault="00877F0D" w:rsidP="003F1DA7">
      <w:pPr>
        <w:pStyle w:val="AAAAAAATEXXXX"/>
        <w:rPr>
          <w:b/>
          <w:lang w:val="sq-AL"/>
        </w:rPr>
      </w:pPr>
      <w:r w:rsidRPr="00050FA4">
        <w:rPr>
          <w:b/>
          <w:lang w:val="sq-AL"/>
        </w:rPr>
        <w:t>Efic</w:t>
      </w:r>
      <w:r w:rsidR="002D3CE6" w:rsidRPr="00050FA4">
        <w:rPr>
          <w:b/>
          <w:lang w:val="sq-AL"/>
        </w:rPr>
        <w:t>i</w:t>
      </w:r>
      <w:r w:rsidRPr="00050FA4">
        <w:rPr>
          <w:b/>
          <w:lang w:val="sq-AL"/>
        </w:rPr>
        <w:t>enca e energjisë</w:t>
      </w:r>
    </w:p>
    <w:p w14:paraId="29D0BFD0" w14:textId="6FCD92A9" w:rsidR="00877F0D" w:rsidRPr="00050FA4" w:rsidRDefault="00877F0D" w:rsidP="003F1DA7">
      <w:pPr>
        <w:pStyle w:val="AAAAAAATEXXXX"/>
        <w:rPr>
          <w:lang w:val="sq-AL"/>
        </w:rPr>
      </w:pPr>
      <w:r w:rsidRPr="00050FA4">
        <w:rPr>
          <w:lang w:val="sq-AL"/>
        </w:rPr>
        <w:t>Efi</w:t>
      </w:r>
      <w:r w:rsidR="00564877" w:rsidRPr="00050FA4">
        <w:rPr>
          <w:lang w:val="sq-AL"/>
        </w:rPr>
        <w:t>ci</w:t>
      </w:r>
      <w:r w:rsidRPr="00050FA4">
        <w:rPr>
          <w:lang w:val="sq-AL"/>
        </w:rPr>
        <w:t>enca e energjisë luan një rol të madh në Strategjinë Kombëtare të Energjisë, në veçanti janë konsideruar dy politika afatshkurtra dhe afatmesme: rritja e kursimit të energjisë dhe reduktimi i emetimeve të gazeve serrë. Një nga objektivat kryesor</w:t>
      </w:r>
      <w:r w:rsidR="00655F22" w:rsidRPr="00050FA4">
        <w:rPr>
          <w:lang w:val="sq-AL"/>
        </w:rPr>
        <w:t>ë</w:t>
      </w:r>
      <w:r w:rsidRPr="00050FA4">
        <w:rPr>
          <w:lang w:val="sq-AL"/>
        </w:rPr>
        <w:t xml:space="preserve"> ishte diversifikimi nëpërmjet ndërtimit të burimeve të rinovueshme të energjisë dhe masave për efi</w:t>
      </w:r>
      <w:r w:rsidR="00564877" w:rsidRPr="00050FA4">
        <w:rPr>
          <w:lang w:val="sq-AL"/>
        </w:rPr>
        <w:t>ci</w:t>
      </w:r>
      <w:r w:rsidRPr="00050FA4">
        <w:rPr>
          <w:lang w:val="sq-AL"/>
        </w:rPr>
        <w:t>encën e energjisë, për të arritur sigurinë politike dhe makroekonomike të prodhimit të energjisë. Reduktimi i konsumit të energjisë duke rritur efi</w:t>
      </w:r>
      <w:r w:rsidR="00564877" w:rsidRPr="00050FA4">
        <w:rPr>
          <w:lang w:val="sq-AL"/>
        </w:rPr>
        <w:t>ci</w:t>
      </w:r>
      <w:r w:rsidRPr="00050FA4">
        <w:rPr>
          <w:lang w:val="sq-AL"/>
        </w:rPr>
        <w:t xml:space="preserve">encën e </w:t>
      </w:r>
      <w:r w:rsidRPr="00050FA4">
        <w:rPr>
          <w:lang w:val="sq-AL"/>
        </w:rPr>
        <w:lastRenderedPageBreak/>
        <w:t>energjisë është një mënyrë shumë e suksesshme për të përmbushur objektivat kryesor</w:t>
      </w:r>
      <w:r w:rsidR="00655F22" w:rsidRPr="00050FA4">
        <w:rPr>
          <w:lang w:val="sq-AL"/>
        </w:rPr>
        <w:t>ë</w:t>
      </w:r>
      <w:r w:rsidRPr="00050FA4">
        <w:rPr>
          <w:lang w:val="sq-AL"/>
        </w:rPr>
        <w:t xml:space="preserve"> të politikës energjetike të sigurisë së furnizimit, kostove të përballueshme të shërbimeve të energjisë dhe qëndrueshmërisë së mjedisit. Brenda vitit 2021 do të hartohen dhe miratohen disa urdhëresa të ministrit të mbetura nga aktet nënligjore bazuar në ligjin për efi</w:t>
      </w:r>
      <w:r w:rsidR="00564877" w:rsidRPr="00050FA4">
        <w:rPr>
          <w:lang w:val="sq-AL"/>
        </w:rPr>
        <w:t>ci</w:t>
      </w:r>
      <w:r w:rsidRPr="00050FA4">
        <w:rPr>
          <w:lang w:val="sq-AL"/>
        </w:rPr>
        <w:t>encën e energjisë dhe ligjin për performancën energjetike në ndërtesa.</w:t>
      </w:r>
    </w:p>
    <w:p w14:paraId="75C10916" w14:textId="43DBA45A" w:rsidR="00877F0D" w:rsidRPr="00050FA4" w:rsidRDefault="00877F0D" w:rsidP="003F1DA7">
      <w:pPr>
        <w:pStyle w:val="AAAAAAATEXXXX"/>
        <w:rPr>
          <w:color w:val="0D0D0D" w:themeColor="text1" w:themeTint="F2"/>
          <w:lang w:val="sq-AL"/>
        </w:rPr>
      </w:pPr>
      <w:r w:rsidRPr="00050FA4">
        <w:rPr>
          <w:color w:val="0D0D0D" w:themeColor="text1" w:themeTint="F2"/>
          <w:lang w:val="sq-AL"/>
        </w:rPr>
        <w:t>Për sa i përket kostos së masave të efi</w:t>
      </w:r>
      <w:r w:rsidR="00564877" w:rsidRPr="00050FA4">
        <w:rPr>
          <w:color w:val="0D0D0D" w:themeColor="text1" w:themeTint="F2"/>
          <w:lang w:val="sq-AL"/>
        </w:rPr>
        <w:t>ci</w:t>
      </w:r>
      <w:r w:rsidRPr="00050FA4">
        <w:rPr>
          <w:color w:val="0D0D0D" w:themeColor="text1" w:themeTint="F2"/>
          <w:lang w:val="sq-AL"/>
        </w:rPr>
        <w:t>encës së energjisë, mund të përmendet se MIE është në proces të hartimit të Planit Kombëtar të Energjisë dhe Klimës, i cili do të zëvendësojë Planin Kombëtar të Veprimit për Efi</w:t>
      </w:r>
      <w:r w:rsidR="00564877" w:rsidRPr="00050FA4">
        <w:rPr>
          <w:color w:val="0D0D0D" w:themeColor="text1" w:themeTint="F2"/>
          <w:lang w:val="sq-AL"/>
        </w:rPr>
        <w:t>c</w:t>
      </w:r>
      <w:r w:rsidRPr="00050FA4">
        <w:rPr>
          <w:color w:val="0D0D0D" w:themeColor="text1" w:themeTint="F2"/>
          <w:lang w:val="sq-AL"/>
        </w:rPr>
        <w:t>iencën e Energjisë i cili duhet të jetë aktiv për 2022-2024 sipas legjislacionit në fuqi. Viti 2021 do të jetë një vit tranzicioni për reformat në efi</w:t>
      </w:r>
      <w:r w:rsidR="00564877" w:rsidRPr="00050FA4">
        <w:rPr>
          <w:color w:val="0D0D0D" w:themeColor="text1" w:themeTint="F2"/>
          <w:lang w:val="sq-AL"/>
        </w:rPr>
        <w:t>ci</w:t>
      </w:r>
      <w:r w:rsidRPr="00050FA4">
        <w:rPr>
          <w:color w:val="0D0D0D" w:themeColor="text1" w:themeTint="F2"/>
          <w:lang w:val="sq-AL"/>
        </w:rPr>
        <w:t>encë deri në miratimin e planit të ri të përmendur më sipër. Plani duhet të përfshijë një kapitull të gjerë të efikasitetit të energjisë.</w:t>
      </w:r>
    </w:p>
    <w:p w14:paraId="0A6BBDB1" w14:textId="27FFE01D" w:rsidR="00877F0D" w:rsidRPr="00050FA4" w:rsidRDefault="00877F0D" w:rsidP="003F1DA7">
      <w:pPr>
        <w:pStyle w:val="AAAAAAATEXXXX"/>
        <w:rPr>
          <w:color w:val="0D0D0D" w:themeColor="text1" w:themeTint="F2"/>
          <w:lang w:val="sq-AL"/>
        </w:rPr>
      </w:pPr>
      <w:r w:rsidRPr="00050FA4">
        <w:rPr>
          <w:color w:val="0D0D0D" w:themeColor="text1" w:themeTint="F2"/>
          <w:lang w:val="sq-AL"/>
        </w:rPr>
        <w:t>Ministria e Infrastrukturës dhe Energjisë ka rishikuar ligjin ekzistues nr. 124/2015, datë 12.11.2015</w:t>
      </w:r>
      <w:r w:rsidR="00286F8D" w:rsidRPr="00050FA4">
        <w:rPr>
          <w:color w:val="0D0D0D" w:themeColor="text1" w:themeTint="F2"/>
          <w:lang w:val="sq-AL"/>
        </w:rPr>
        <w:t>,</w:t>
      </w:r>
      <w:r w:rsidRPr="00050FA4">
        <w:rPr>
          <w:color w:val="0D0D0D" w:themeColor="text1" w:themeTint="F2"/>
          <w:lang w:val="sq-AL"/>
        </w:rPr>
        <w:t xml:space="preserve"> </w:t>
      </w:r>
      <w:r w:rsidR="008A0E5B" w:rsidRPr="00050FA4">
        <w:rPr>
          <w:color w:val="0D0D0D" w:themeColor="text1" w:themeTint="F2"/>
          <w:lang w:val="sq-AL"/>
        </w:rPr>
        <w:t>“</w:t>
      </w:r>
      <w:r w:rsidRPr="00050FA4">
        <w:rPr>
          <w:color w:val="0D0D0D" w:themeColor="text1" w:themeTint="F2"/>
          <w:lang w:val="sq-AL"/>
        </w:rPr>
        <w:t>Për efi</w:t>
      </w:r>
      <w:r w:rsidR="00564877" w:rsidRPr="00050FA4">
        <w:rPr>
          <w:color w:val="0D0D0D" w:themeColor="text1" w:themeTint="F2"/>
          <w:lang w:val="sq-AL"/>
        </w:rPr>
        <w:t>ci</w:t>
      </w:r>
      <w:r w:rsidRPr="00050FA4">
        <w:rPr>
          <w:color w:val="0D0D0D" w:themeColor="text1" w:themeTint="F2"/>
          <w:lang w:val="sq-AL"/>
        </w:rPr>
        <w:t>encën e energjisë</w:t>
      </w:r>
      <w:r w:rsidR="008A0E5B" w:rsidRPr="00050FA4">
        <w:rPr>
          <w:color w:val="0D0D0D" w:themeColor="text1" w:themeTint="F2"/>
          <w:lang w:val="sq-AL"/>
        </w:rPr>
        <w:t>”</w:t>
      </w:r>
      <w:r w:rsidRPr="00050FA4">
        <w:rPr>
          <w:color w:val="0D0D0D" w:themeColor="text1" w:themeTint="F2"/>
          <w:lang w:val="sq-AL"/>
        </w:rPr>
        <w:t xml:space="preserve"> </w:t>
      </w:r>
      <w:r w:rsidR="00564877" w:rsidRPr="00050FA4">
        <w:rPr>
          <w:color w:val="0D0D0D" w:themeColor="text1" w:themeTint="F2"/>
          <w:lang w:val="sq-AL"/>
        </w:rPr>
        <w:t xml:space="preserve">ligji </w:t>
      </w:r>
      <w:r w:rsidRPr="00050FA4">
        <w:rPr>
          <w:color w:val="0D0D0D" w:themeColor="text1" w:themeTint="F2"/>
          <w:lang w:val="sq-AL"/>
        </w:rPr>
        <w:t xml:space="preserve">i rishikuar </w:t>
      </w:r>
      <w:r w:rsidR="008A0E5B" w:rsidRPr="00050FA4">
        <w:rPr>
          <w:color w:val="0D0D0D" w:themeColor="text1" w:themeTint="F2"/>
          <w:lang w:val="sq-AL"/>
        </w:rPr>
        <w:t>“</w:t>
      </w:r>
      <w:r w:rsidRPr="00050FA4">
        <w:rPr>
          <w:color w:val="0D0D0D" w:themeColor="text1" w:themeTint="F2"/>
          <w:lang w:val="sq-AL"/>
        </w:rPr>
        <w:t>Për efi</w:t>
      </w:r>
      <w:r w:rsidR="00564877" w:rsidRPr="00050FA4">
        <w:rPr>
          <w:color w:val="0D0D0D" w:themeColor="text1" w:themeTint="F2"/>
          <w:lang w:val="sq-AL"/>
        </w:rPr>
        <w:t>ci</w:t>
      </w:r>
      <w:r w:rsidRPr="00050FA4">
        <w:rPr>
          <w:color w:val="0D0D0D" w:themeColor="text1" w:themeTint="F2"/>
          <w:lang w:val="sq-AL"/>
        </w:rPr>
        <w:t>encën e energjisë</w:t>
      </w:r>
      <w:r w:rsidR="008A0E5B" w:rsidRPr="00050FA4">
        <w:rPr>
          <w:color w:val="0D0D0D" w:themeColor="text1" w:themeTint="F2"/>
          <w:lang w:val="sq-AL"/>
        </w:rPr>
        <w:t>”</w:t>
      </w:r>
      <w:r w:rsidRPr="00050FA4">
        <w:rPr>
          <w:color w:val="0D0D0D" w:themeColor="text1" w:themeTint="F2"/>
          <w:lang w:val="sq-AL"/>
        </w:rPr>
        <w:t xml:space="preserve"> nr. 28/2021, i miratuar më </w:t>
      </w:r>
      <w:r w:rsidR="00286F8D" w:rsidRPr="00050FA4">
        <w:rPr>
          <w:color w:val="0D0D0D" w:themeColor="text1" w:themeTint="F2"/>
          <w:lang w:val="sq-AL"/>
        </w:rPr>
        <w:t>8.</w:t>
      </w:r>
      <w:r w:rsidRPr="00050FA4">
        <w:rPr>
          <w:color w:val="0D0D0D" w:themeColor="text1" w:themeTint="F2"/>
          <w:lang w:val="sq-AL"/>
        </w:rPr>
        <w:t xml:space="preserve">3.2021 është në përputhje të plotë me </w:t>
      </w:r>
      <w:r w:rsidR="00286F8D" w:rsidRPr="00050FA4">
        <w:rPr>
          <w:color w:val="0D0D0D" w:themeColor="text1" w:themeTint="F2"/>
          <w:lang w:val="sq-AL"/>
        </w:rPr>
        <w:t xml:space="preserve">direktivën </w:t>
      </w:r>
      <w:r w:rsidRPr="00050FA4">
        <w:rPr>
          <w:color w:val="0D0D0D" w:themeColor="text1" w:themeTint="F2"/>
          <w:lang w:val="sq-AL"/>
        </w:rPr>
        <w:t>2012/27/BE. Akoma nënligjore lidhur me nenet e ndryshuara të ligjit të mësipërm nuk ka filluar. Krijimi i mekanizmave financiarë të efi</w:t>
      </w:r>
      <w:r w:rsidR="00564877" w:rsidRPr="00050FA4">
        <w:rPr>
          <w:color w:val="0D0D0D" w:themeColor="text1" w:themeTint="F2"/>
          <w:lang w:val="sq-AL"/>
        </w:rPr>
        <w:t>ci</w:t>
      </w:r>
      <w:r w:rsidRPr="00050FA4">
        <w:rPr>
          <w:color w:val="0D0D0D" w:themeColor="text1" w:themeTint="F2"/>
          <w:lang w:val="sq-AL"/>
        </w:rPr>
        <w:t>encës së energjisë është një parakusht për ekspertizë shtesë dhe mundësi financimi për masat dhe projektet në fushën e efi</w:t>
      </w:r>
      <w:r w:rsidR="00286F8D" w:rsidRPr="00050FA4">
        <w:rPr>
          <w:color w:val="0D0D0D" w:themeColor="text1" w:themeTint="F2"/>
          <w:lang w:val="sq-AL"/>
        </w:rPr>
        <w:t>ci</w:t>
      </w:r>
      <w:r w:rsidRPr="00050FA4">
        <w:rPr>
          <w:color w:val="0D0D0D" w:themeColor="text1" w:themeTint="F2"/>
          <w:lang w:val="sq-AL"/>
        </w:rPr>
        <w:t>encës së energjisë në Shqipëri.</w:t>
      </w:r>
    </w:p>
    <w:p w14:paraId="53A1B788" w14:textId="46ACB21B" w:rsidR="00877F0D" w:rsidRPr="00050FA4" w:rsidRDefault="00877F0D" w:rsidP="003F1DA7">
      <w:pPr>
        <w:pStyle w:val="AAAAAAATEXXXX"/>
        <w:rPr>
          <w:rFonts w:cstheme="majorBidi"/>
          <w:color w:val="0D0D0D" w:themeColor="text1" w:themeTint="F2"/>
          <w:lang w:val="sq-AL"/>
        </w:rPr>
      </w:pPr>
      <w:r w:rsidRPr="00050FA4">
        <w:rPr>
          <w:rFonts w:eastAsia="Times New Roman"/>
          <w:color w:val="0D0D0D" w:themeColor="text1" w:themeTint="F2"/>
          <w:spacing w:val="-1"/>
          <w:lang w:val="sq-AL"/>
        </w:rPr>
        <w:t>Metodologjia për EPC është e vendosur dhe aktualisht është në përdorim nga Auditimet e Energjisë të certifikuara nga AEE. Agjencia për Efi</w:t>
      </w:r>
      <w:r w:rsidR="00564877" w:rsidRPr="00050FA4">
        <w:rPr>
          <w:rFonts w:eastAsia="Times New Roman"/>
          <w:color w:val="0D0D0D" w:themeColor="text1" w:themeTint="F2"/>
          <w:spacing w:val="-1"/>
          <w:lang w:val="sq-AL"/>
        </w:rPr>
        <w:t>ci</w:t>
      </w:r>
      <w:r w:rsidRPr="00050FA4">
        <w:rPr>
          <w:rFonts w:eastAsia="Times New Roman"/>
          <w:color w:val="0D0D0D" w:themeColor="text1" w:themeTint="F2"/>
          <w:spacing w:val="-1"/>
          <w:lang w:val="sq-AL"/>
        </w:rPr>
        <w:t>iencë të Energjisë është duke i vlerësuar raportet e auditimit.</w:t>
      </w:r>
    </w:p>
    <w:p w14:paraId="3D58502C" w14:textId="33FCC165" w:rsidR="00080139" w:rsidRPr="00050FA4" w:rsidRDefault="00516ACC" w:rsidP="003F1DA7">
      <w:pPr>
        <w:pStyle w:val="AAAAAAATEXXXX"/>
        <w:rPr>
          <w:lang w:val="sq-AL"/>
        </w:rPr>
      </w:pPr>
      <w:r w:rsidRPr="00231E45">
        <w:rPr>
          <w:lang w:val="sq-AL"/>
        </w:rPr>
        <w:t>b</w:t>
      </w:r>
      <w:r w:rsidR="002D3CE6" w:rsidRPr="00231E45">
        <w:rPr>
          <w:lang w:val="sq-AL"/>
        </w:rPr>
        <w:t>)</w:t>
      </w:r>
      <w:r w:rsidRPr="00050FA4">
        <w:rPr>
          <w:lang w:val="sq-AL"/>
        </w:rPr>
        <w:t xml:space="preserve"> </w:t>
      </w:r>
      <w:r w:rsidR="00B2062A" w:rsidRPr="00050FA4">
        <w:rPr>
          <w:lang w:val="sq-AL"/>
        </w:rPr>
        <w:t>Masat e reformës</w:t>
      </w:r>
    </w:p>
    <w:p w14:paraId="000878FC" w14:textId="504B95F2" w:rsidR="00080139" w:rsidRPr="00050FA4" w:rsidRDefault="00B2062A" w:rsidP="003F1DA7">
      <w:pPr>
        <w:pStyle w:val="Heading5"/>
        <w:snapToGrid w:val="0"/>
        <w:ind w:left="0" w:firstLine="284"/>
        <w:rPr>
          <w:rFonts w:ascii="Garamond" w:hAnsi="Garamond" w:cstheme="majorBidi"/>
          <w:i w:val="0"/>
          <w:color w:val="0D0D0D" w:themeColor="text1" w:themeTint="F2"/>
          <w:sz w:val="24"/>
          <w:szCs w:val="24"/>
        </w:rPr>
      </w:pPr>
      <w:r w:rsidRPr="00050FA4">
        <w:rPr>
          <w:rFonts w:ascii="Garamond" w:hAnsi="Garamond" w:cstheme="majorBidi"/>
          <w:i w:val="0"/>
          <w:color w:val="0D0D0D" w:themeColor="text1" w:themeTint="F2"/>
          <w:sz w:val="24"/>
          <w:szCs w:val="24"/>
        </w:rPr>
        <w:t>Masa e reformës</w:t>
      </w:r>
      <w:r w:rsidR="005358F8" w:rsidRPr="00050FA4">
        <w:rPr>
          <w:rFonts w:ascii="Garamond" w:hAnsi="Garamond" w:cstheme="majorBidi"/>
          <w:i w:val="0"/>
          <w:color w:val="0D0D0D" w:themeColor="text1" w:themeTint="F2"/>
          <w:sz w:val="24"/>
          <w:szCs w:val="24"/>
        </w:rPr>
        <w:t xml:space="preserve"> 13</w:t>
      </w:r>
      <w:r w:rsidR="00080139" w:rsidRPr="00050FA4">
        <w:rPr>
          <w:rFonts w:ascii="Garamond" w:hAnsi="Garamond" w:cstheme="majorBidi"/>
          <w:i w:val="0"/>
          <w:color w:val="0D0D0D" w:themeColor="text1" w:themeTint="F2"/>
          <w:sz w:val="24"/>
          <w:szCs w:val="24"/>
        </w:rPr>
        <w:t>: Liberaliz</w:t>
      </w:r>
      <w:r w:rsidR="005528DF" w:rsidRPr="00050FA4">
        <w:rPr>
          <w:rFonts w:ascii="Garamond" w:hAnsi="Garamond" w:cstheme="majorBidi"/>
          <w:i w:val="0"/>
          <w:color w:val="0D0D0D" w:themeColor="text1" w:themeTint="F2"/>
          <w:sz w:val="24"/>
          <w:szCs w:val="24"/>
        </w:rPr>
        <w:t>imi i tregut të</w:t>
      </w:r>
      <w:r w:rsidR="002C5872" w:rsidRPr="00050FA4">
        <w:rPr>
          <w:rFonts w:ascii="Garamond" w:hAnsi="Garamond" w:cstheme="majorBidi"/>
          <w:i w:val="0"/>
          <w:color w:val="0D0D0D" w:themeColor="text1" w:themeTint="F2"/>
          <w:sz w:val="24"/>
          <w:szCs w:val="24"/>
        </w:rPr>
        <w:t xml:space="preserve"> energjisë</w:t>
      </w:r>
    </w:p>
    <w:p w14:paraId="60161C95" w14:textId="04C4507F" w:rsidR="00080139" w:rsidRPr="00050FA4" w:rsidRDefault="00516ACC" w:rsidP="003F1DA7">
      <w:pPr>
        <w:pStyle w:val="AAAAAAATEXXXX"/>
        <w:rPr>
          <w:rStyle w:val="alt-edited"/>
          <w:lang w:val="sq-AL"/>
        </w:rPr>
      </w:pPr>
      <w:r w:rsidRPr="00050FA4">
        <w:rPr>
          <w:rStyle w:val="alt-edited"/>
          <w:lang w:val="sq-AL"/>
        </w:rPr>
        <w:t xml:space="preserve">1. </w:t>
      </w:r>
      <w:r w:rsidR="00B2062A" w:rsidRPr="00050FA4">
        <w:rPr>
          <w:rStyle w:val="alt-edited"/>
          <w:lang w:val="sq-AL"/>
        </w:rPr>
        <w:t>Përshkrimi i masës</w:t>
      </w:r>
    </w:p>
    <w:p w14:paraId="7885D22B" w14:textId="77777777" w:rsidR="00877F0D" w:rsidRPr="00050FA4" w:rsidRDefault="00877F0D" w:rsidP="003F1DA7">
      <w:pPr>
        <w:pStyle w:val="AAAAAAATEXXXX"/>
        <w:rPr>
          <w:lang w:val="sq-AL"/>
        </w:rPr>
      </w:pPr>
      <w:r w:rsidRPr="00050FA4">
        <w:rPr>
          <w:lang w:val="sq-AL"/>
        </w:rPr>
        <w:t>Zhvillimi i një tregu të organizuar të energjisë elektrike dhe integrimi i tregut shqiptar të energjisë elektrike me tregjet më të gjera rajonale të energjisë dhe në fund me tregun e brendshëm të energjisë në BE. Qëllimi është krijimi i një tregu që gjeneron, transmeton dhe konsumon energji elektrike në mënyrë efikase, si dhe një treg që çon në fitime më të larta, të organizuar sipas modelit të BE-së, i cili udhëhiqet nga parimet e transparencës, mosdiskriminimit dhe të qëndrueshëm në afatgjatë, bazuar në çmime konkurruese.</w:t>
      </w:r>
    </w:p>
    <w:p w14:paraId="6BA3477D" w14:textId="60DADC58" w:rsidR="00877F0D" w:rsidRPr="00050FA4" w:rsidRDefault="00877F0D" w:rsidP="003F1DA7">
      <w:pPr>
        <w:pStyle w:val="AAAAAAATEXXXX"/>
        <w:rPr>
          <w:lang w:val="sq-AL"/>
        </w:rPr>
      </w:pPr>
      <w:r w:rsidRPr="00050FA4">
        <w:rPr>
          <w:lang w:val="sq-AL"/>
        </w:rPr>
        <w:t xml:space="preserve">Liberalizimi i tregut të energjisë dhe paralelisht krijimi i bursës së energjisë janë dy projekte të integruara që ndihmojnë njëri-tjetrin. Për sa i përket krijimit të Bursës </w:t>
      </w:r>
      <w:r w:rsidR="0059793E" w:rsidRPr="00050FA4">
        <w:rPr>
          <w:lang w:val="sq-AL"/>
        </w:rPr>
        <w:t>Energjetike</w:t>
      </w:r>
      <w:r w:rsidRPr="00050FA4">
        <w:rPr>
          <w:lang w:val="sq-AL"/>
        </w:rPr>
        <w:t xml:space="preserve"> Shqiptare, ndryshimet e bëra në vitin 2018 në ligjin e sektorit të energjisë elektrike vendosën një afat dhe kushte të reja për ngritjen e Bursës së Energjisë Elektrike. Ndërsa aktet nënligjore (</w:t>
      </w:r>
      <w:r w:rsidR="00286F8D" w:rsidRPr="00050FA4">
        <w:rPr>
          <w:lang w:val="sq-AL"/>
        </w:rPr>
        <w:t xml:space="preserve">vendimi </w:t>
      </w:r>
      <w:r w:rsidRPr="00050FA4">
        <w:rPr>
          <w:lang w:val="sq-AL"/>
        </w:rPr>
        <w:t xml:space="preserve">i Këshillit </w:t>
      </w:r>
      <w:r w:rsidR="00286F8D" w:rsidRPr="00050FA4">
        <w:rPr>
          <w:lang w:val="sq-AL"/>
        </w:rPr>
        <w:t>të Ministrave nr. 322, datë 15.</w:t>
      </w:r>
      <w:r w:rsidRPr="00050FA4">
        <w:rPr>
          <w:lang w:val="sq-AL"/>
        </w:rPr>
        <w:t>5.2019</w:t>
      </w:r>
      <w:r w:rsidR="00286F8D" w:rsidRPr="00050FA4">
        <w:rPr>
          <w:lang w:val="sq-AL"/>
        </w:rPr>
        <w:t>,</w:t>
      </w:r>
      <w:r w:rsidRPr="00050FA4">
        <w:rPr>
          <w:lang w:val="sq-AL"/>
        </w:rPr>
        <w:t xml:space="preserve"> </w:t>
      </w:r>
      <w:r w:rsidR="008A0E5B" w:rsidRPr="00050FA4">
        <w:rPr>
          <w:lang w:val="sq-AL"/>
        </w:rPr>
        <w:t>“</w:t>
      </w:r>
      <w:r w:rsidRPr="00050FA4">
        <w:rPr>
          <w:lang w:val="sq-AL"/>
        </w:rPr>
        <w:t>Për krijimin dhe formën ligjore dhe strukturën e kapitalit të operatorit të tregut</w:t>
      </w:r>
      <w:r w:rsidR="008A0E5B" w:rsidRPr="00050FA4">
        <w:rPr>
          <w:lang w:val="sq-AL"/>
        </w:rPr>
        <w:t>”</w:t>
      </w:r>
      <w:r w:rsidRPr="00050FA4">
        <w:rPr>
          <w:lang w:val="sq-AL"/>
        </w:rPr>
        <w:t xml:space="preserve"> dhe Vendimi i Këshillit </w:t>
      </w:r>
      <w:r w:rsidR="00286F8D" w:rsidRPr="00050FA4">
        <w:rPr>
          <w:lang w:val="sq-AL"/>
        </w:rPr>
        <w:t>të Ministrave nr. 609, datë 11.</w:t>
      </w:r>
      <w:r w:rsidRPr="00050FA4">
        <w:rPr>
          <w:lang w:val="sq-AL"/>
        </w:rPr>
        <w:t>9.2019</w:t>
      </w:r>
      <w:r w:rsidR="00286F8D" w:rsidRPr="00050FA4">
        <w:rPr>
          <w:lang w:val="sq-AL"/>
        </w:rPr>
        <w:t>,</w:t>
      </w:r>
      <w:r w:rsidRPr="00050FA4">
        <w:rPr>
          <w:lang w:val="sq-AL"/>
        </w:rPr>
        <w:t xml:space="preserve"> </w:t>
      </w:r>
      <w:r w:rsidR="008A0E5B" w:rsidRPr="00050FA4">
        <w:rPr>
          <w:lang w:val="sq-AL"/>
        </w:rPr>
        <w:t>“</w:t>
      </w:r>
      <w:r w:rsidR="00286F8D" w:rsidRPr="00050FA4">
        <w:rPr>
          <w:lang w:val="sq-AL"/>
        </w:rPr>
        <w:t>Për përcaktimin e kritereve</w:t>
      </w:r>
      <w:r w:rsidRPr="00050FA4">
        <w:rPr>
          <w:lang w:val="sq-AL"/>
        </w:rPr>
        <w:t xml:space="preserve"> dhe procedurat për përzgjedhjen e aksionarëve në kapitalin e operatorit të tregut</w:t>
      </w:r>
      <w:r w:rsidR="008A0E5B" w:rsidRPr="00050FA4">
        <w:rPr>
          <w:lang w:val="sq-AL"/>
        </w:rPr>
        <w:t>”</w:t>
      </w:r>
      <w:r w:rsidRPr="00050FA4">
        <w:rPr>
          <w:lang w:val="sq-AL"/>
        </w:rPr>
        <w:t>) plotësuan bazën e nevojshme ligjore për ngritjen e operatorit të tregut në Shqipëri. Procedura e përzgjedhjes konkurruese të pjesëmarrësve në kapitalin e operatorit të tregu</w:t>
      </w:r>
      <w:r w:rsidR="00731894" w:rsidRPr="00050FA4">
        <w:rPr>
          <w:lang w:val="sq-AL"/>
        </w:rPr>
        <w:t>t u pezullua për shkak të COVID</w:t>
      </w:r>
      <w:r w:rsidR="00516ACC" w:rsidRPr="00050FA4">
        <w:rPr>
          <w:lang w:val="sq-AL"/>
        </w:rPr>
        <w:t>-</w:t>
      </w:r>
      <w:r w:rsidRPr="00050FA4">
        <w:rPr>
          <w:lang w:val="sq-AL"/>
        </w:rPr>
        <w:t>19 dhe data 29 qershor 2020 ishte afati i ri për dorëzimin e propozimeve.</w:t>
      </w:r>
    </w:p>
    <w:p w14:paraId="300009C1" w14:textId="043E4DE6" w:rsidR="00877F0D" w:rsidRPr="00050FA4" w:rsidRDefault="00877F0D" w:rsidP="003F1DA7">
      <w:pPr>
        <w:pStyle w:val="AAAAAAATEXXXX"/>
        <w:rPr>
          <w:lang w:val="sq-AL"/>
        </w:rPr>
      </w:pPr>
      <w:r w:rsidRPr="00050FA4">
        <w:rPr>
          <w:lang w:val="sq-AL"/>
        </w:rPr>
        <w:t>Në datën 23.10.2020 operatorët e sistemit të transmetimit të Shqipërisë dhe Kosovës*, si aksionarë themelues, themeluan kompaninë ALPEX, e cila do të punojë për realizimin e bashkimit të tregut në ditët e ardhshme. Kompania shqiptare e shkëmbimit të energjisë ALPEX, e cila është përgjegjëse për ngritjen e këtyre tregjeve</w:t>
      </w:r>
      <w:r w:rsidR="00286F8D" w:rsidRPr="00050FA4">
        <w:rPr>
          <w:lang w:val="sq-AL"/>
        </w:rPr>
        <w:t>,</w:t>
      </w:r>
      <w:r w:rsidRPr="00050FA4">
        <w:rPr>
          <w:lang w:val="sq-AL"/>
        </w:rPr>
        <w:t xml:space="preserve"> si në Shqipëri</w:t>
      </w:r>
      <w:r w:rsidR="00286F8D" w:rsidRPr="00050FA4">
        <w:rPr>
          <w:lang w:val="sq-AL"/>
        </w:rPr>
        <w:t>,</w:t>
      </w:r>
      <w:r w:rsidRPr="00050FA4">
        <w:rPr>
          <w:lang w:val="sq-AL"/>
        </w:rPr>
        <w:t xml:space="preserve"> ashtu edhe në Kosovë*, aktualisht është duke tenderuar për një ofrues shërbimi të platformave të tregtimit elektronik dhe shërbimeve përkatëse. Pas dy tentativave të pasuksesshme, ALPEX ka nisur një tender të tretë i cili është pezulluar</w:t>
      </w:r>
      <w:r w:rsidR="00286F8D" w:rsidRPr="00050FA4">
        <w:rPr>
          <w:lang w:val="sq-AL"/>
        </w:rPr>
        <w:t>,</w:t>
      </w:r>
      <w:r w:rsidRPr="00050FA4">
        <w:rPr>
          <w:lang w:val="sq-AL"/>
        </w:rPr>
        <w:t xml:space="preserve"> për shkak të një ankese. Tregu i ditës në Shqipëri duhet të jetë funksional pas nëntë muajsh dhe lidhja me Kosovën* duhet të fillojë 11 muaj pas nënshkrimit të kontratës me ofertuesin e suksesshëm.</w:t>
      </w:r>
    </w:p>
    <w:p w14:paraId="1ADD7D97" w14:textId="0D3E762F" w:rsidR="00877F0D" w:rsidRPr="00050FA4" w:rsidRDefault="00877F0D" w:rsidP="003F1DA7">
      <w:pPr>
        <w:pStyle w:val="AAAAAAATEXXXX"/>
        <w:rPr>
          <w:lang w:val="sq-AL"/>
        </w:rPr>
      </w:pPr>
      <w:r w:rsidRPr="00050FA4">
        <w:rPr>
          <w:lang w:val="sq-AL"/>
        </w:rPr>
        <w:t xml:space="preserve">Lidhur me hapjen e tregut, me Urdhrin e Ministrit të Infrastrukturës dhe Energjisë nr. 28, datë 18.01.2021 </w:t>
      </w:r>
      <w:r w:rsidR="008A0E5B" w:rsidRPr="00050FA4">
        <w:rPr>
          <w:lang w:val="sq-AL"/>
        </w:rPr>
        <w:t>“</w:t>
      </w:r>
      <w:r w:rsidRPr="00050FA4">
        <w:rPr>
          <w:lang w:val="sq-AL"/>
        </w:rPr>
        <w:t>Për miratimin e udhërrëfyesit për hapjen e tregut dhe çrregullimin e çmimeve të energjisë elektrike</w:t>
      </w:r>
      <w:r w:rsidR="008A0E5B" w:rsidRPr="00050FA4">
        <w:rPr>
          <w:lang w:val="sq-AL"/>
        </w:rPr>
        <w:t>”</w:t>
      </w:r>
      <w:r w:rsidRPr="00050FA4">
        <w:rPr>
          <w:lang w:val="sq-AL"/>
        </w:rPr>
        <w:t xml:space="preserve">, u miratua udhërrëfyesi për hapjen e tregut dhe procedurat e derregullimit, i cili parashikon që duke filluar nga 1 janari 2021 të gjithë konsumatorët e kyçur në 35 kV dhe një pjesë e konsumatorëve të lidhur në 20 kV do të furnizohen përmes tregut dhe çmimit të çrregulluar (faza 1) dhe duke filluar nga 1 janari 2022 të gjithë konsumatorët përveç 0.4 kV do të furnizohen me çmime të çrregulluara. Hyrja në tregun e parregulluar të konsumatorëve të energjisë elektrike është e lidhur ngushtë me cilësinë e shërbimit të ofruar nga OSSH </w:t>
      </w:r>
      <w:r w:rsidR="00731894" w:rsidRPr="00050FA4">
        <w:rPr>
          <w:lang w:val="sq-AL"/>
        </w:rPr>
        <w:t>s.a.</w:t>
      </w:r>
      <w:r w:rsidRPr="00050FA4">
        <w:rPr>
          <w:lang w:val="sq-AL"/>
        </w:rPr>
        <w:t xml:space="preserve"> si dhe me treguesit e lejuar t</w:t>
      </w:r>
      <w:r w:rsidR="00097DAF" w:rsidRPr="00050FA4">
        <w:rPr>
          <w:lang w:val="sq-AL"/>
        </w:rPr>
        <w:t>ë performancës. Një nga elemente</w:t>
      </w:r>
      <w:r w:rsidRPr="00050FA4">
        <w:rPr>
          <w:lang w:val="sq-AL"/>
        </w:rPr>
        <w:t>t kryesor</w:t>
      </w:r>
      <w:r w:rsidR="00097DAF" w:rsidRPr="00050FA4">
        <w:rPr>
          <w:lang w:val="sq-AL"/>
        </w:rPr>
        <w:t>e</w:t>
      </w:r>
      <w:r w:rsidRPr="00050FA4">
        <w:rPr>
          <w:lang w:val="sq-AL"/>
        </w:rPr>
        <w:t xml:space="preserve"> për kontrollin e monitorimit të cilësisë së tensionit dhe treguesve të performancës së rrjetit të shpërndarjes së </w:t>
      </w:r>
      <w:r w:rsidRPr="00050FA4">
        <w:rPr>
          <w:lang w:val="sq-AL"/>
        </w:rPr>
        <w:lastRenderedPageBreak/>
        <w:t xml:space="preserve">energjisë elektrike është vendosja e matësve </w:t>
      </w:r>
      <w:r w:rsidR="00A417C0" w:rsidRPr="00050FA4">
        <w:rPr>
          <w:lang w:val="sq-AL"/>
        </w:rPr>
        <w:t>inteligjentë te</w:t>
      </w:r>
      <w:r w:rsidRPr="00050FA4">
        <w:rPr>
          <w:lang w:val="sq-AL"/>
        </w:rPr>
        <w:t xml:space="preserve"> klientët si detyrim i OSSH </w:t>
      </w:r>
      <w:r w:rsidR="00731894" w:rsidRPr="00050FA4">
        <w:rPr>
          <w:lang w:val="sq-AL"/>
        </w:rPr>
        <w:t>s.a,</w:t>
      </w:r>
      <w:r w:rsidRPr="00050FA4">
        <w:rPr>
          <w:lang w:val="sq-AL"/>
        </w:rPr>
        <w:t xml:space="preserve"> në përputhje me nenin 78 </w:t>
      </w:r>
      <w:r w:rsidR="008A0E5B" w:rsidRPr="00050FA4">
        <w:rPr>
          <w:lang w:val="sq-AL"/>
        </w:rPr>
        <w:t>“</w:t>
      </w:r>
      <w:r w:rsidRPr="00050FA4">
        <w:rPr>
          <w:lang w:val="sq-AL"/>
        </w:rPr>
        <w:t>Sistemet inteligjente të matjes</w:t>
      </w:r>
      <w:r w:rsidR="008A0E5B" w:rsidRPr="00050FA4">
        <w:rPr>
          <w:lang w:val="sq-AL"/>
        </w:rPr>
        <w:t>”</w:t>
      </w:r>
      <w:r w:rsidRPr="00050FA4">
        <w:rPr>
          <w:lang w:val="sq-AL"/>
        </w:rPr>
        <w:t xml:space="preserve"> të ligjit nr.</w:t>
      </w:r>
      <w:r w:rsidR="00731894" w:rsidRPr="00050FA4">
        <w:rPr>
          <w:lang w:val="sq-AL"/>
        </w:rPr>
        <w:t xml:space="preserve"> 43/</w:t>
      </w:r>
      <w:r w:rsidRPr="00050FA4">
        <w:rPr>
          <w:lang w:val="sq-AL"/>
        </w:rPr>
        <w:t>2015</w:t>
      </w:r>
      <w:r w:rsidR="00731894" w:rsidRPr="00050FA4">
        <w:rPr>
          <w:lang w:val="sq-AL"/>
        </w:rPr>
        <w:t>,</w:t>
      </w:r>
      <w:r w:rsidRPr="00050FA4">
        <w:rPr>
          <w:lang w:val="sq-AL"/>
        </w:rPr>
        <w:t xml:space="preserve"> </w:t>
      </w:r>
      <w:r w:rsidR="008A0E5B" w:rsidRPr="00050FA4">
        <w:rPr>
          <w:lang w:val="sq-AL"/>
        </w:rPr>
        <w:t>“</w:t>
      </w:r>
      <w:r w:rsidRPr="00050FA4">
        <w:rPr>
          <w:lang w:val="sq-AL"/>
        </w:rPr>
        <w:t>Për sektorin e energjisë elektrike</w:t>
      </w:r>
      <w:r w:rsidR="008A0E5B" w:rsidRPr="00050FA4">
        <w:rPr>
          <w:lang w:val="sq-AL"/>
        </w:rPr>
        <w:t>”</w:t>
      </w:r>
      <w:r w:rsidR="00731894" w:rsidRPr="00050FA4">
        <w:rPr>
          <w:lang w:val="sq-AL"/>
        </w:rPr>
        <w:t>,</w:t>
      </w:r>
      <w:r w:rsidRPr="00050FA4">
        <w:rPr>
          <w:lang w:val="sq-AL"/>
        </w:rPr>
        <w:t xml:space="preserve"> </w:t>
      </w:r>
      <w:r w:rsidR="00731894" w:rsidRPr="00050FA4">
        <w:rPr>
          <w:lang w:val="sq-AL"/>
        </w:rPr>
        <w:t>të</w:t>
      </w:r>
      <w:r w:rsidRPr="00050FA4">
        <w:rPr>
          <w:lang w:val="sq-AL"/>
        </w:rPr>
        <w:t xml:space="preserve"> ndryshuar. Sipas këtij neni, kërkohen investime të konsiderueshme si në sistemet e informacionit ashtu edhe në pajisjet terminale. Ndonëse gjatë viteve 2019</w:t>
      </w:r>
      <w:r w:rsidR="00286F8D" w:rsidRPr="00050FA4">
        <w:rPr>
          <w:lang w:val="sq-AL"/>
        </w:rPr>
        <w:t>–</w:t>
      </w:r>
      <w:r w:rsidRPr="00050FA4">
        <w:rPr>
          <w:lang w:val="sq-AL"/>
        </w:rPr>
        <w:t xml:space="preserve">2020 janë realizuar dy projekte pilot për matje inteligjente, me rezultate premtuese dhe pozitive, sfidat me të cilat është përballur kompania në vitet e fundit duke filluar nga situata e pafavorshme hidrologjike, pasojat e tërmetit 2019 dhe ndikimi i </w:t>
      </w:r>
      <w:r w:rsidR="00286F8D" w:rsidRPr="00050FA4">
        <w:rPr>
          <w:lang w:val="sq-AL"/>
        </w:rPr>
        <w:t>COVID-</w:t>
      </w:r>
      <w:r w:rsidRPr="00050FA4">
        <w:rPr>
          <w:lang w:val="sq-AL"/>
        </w:rPr>
        <w:t>201</w:t>
      </w:r>
      <w:r w:rsidR="00286F8D" w:rsidRPr="00050FA4">
        <w:rPr>
          <w:lang w:val="sq-AL"/>
        </w:rPr>
        <w:t>9</w:t>
      </w:r>
      <w:r w:rsidRPr="00050FA4">
        <w:rPr>
          <w:lang w:val="sq-AL"/>
        </w:rPr>
        <w:t>, kanë detyruar kompaninë të devijojë dhe të reduktojë investimet për të siguruar energji për të gjithë përdoruesit.</w:t>
      </w:r>
    </w:p>
    <w:p w14:paraId="3E27CCC4" w14:textId="6B52263C" w:rsidR="00877F0D" w:rsidRPr="00050FA4" w:rsidRDefault="00CA688A" w:rsidP="003F1DA7">
      <w:pPr>
        <w:pStyle w:val="AAAAAAATEXXXX"/>
        <w:rPr>
          <w:lang w:val="sq-AL"/>
        </w:rPr>
      </w:pPr>
      <w:r w:rsidRPr="00050FA4">
        <w:rPr>
          <w:lang w:val="sq-AL"/>
        </w:rPr>
        <w:t>Linja e interkon</w:t>
      </w:r>
      <w:r w:rsidR="00877F0D" w:rsidRPr="00050FA4">
        <w:rPr>
          <w:lang w:val="sq-AL"/>
        </w:rPr>
        <w:t>eksionit 400 kV ndërmjet Shqipëri</w:t>
      </w:r>
      <w:r w:rsidR="001A5F8B" w:rsidRPr="00050FA4">
        <w:rPr>
          <w:lang w:val="sq-AL"/>
        </w:rPr>
        <w:t>së dhe Kosovës përfundoi më 28.</w:t>
      </w:r>
      <w:r w:rsidR="00877F0D" w:rsidRPr="00050FA4">
        <w:rPr>
          <w:lang w:val="sq-AL"/>
        </w:rPr>
        <w:t>6.2016 dhe më 20.04.2020, u përmbyll me sukses marrëveshja e re për kyçje ndërmjet operatorit të sistemit të transmisionit të Kosovës (OST) KOSTT dhe ENTSO-E nga Grupi Rajonal i</w:t>
      </w:r>
      <w:r w:rsidR="002D3CE6" w:rsidRPr="00050FA4">
        <w:rPr>
          <w:lang w:val="sq-AL"/>
        </w:rPr>
        <w:t xml:space="preserve"> Evropës Kontinentale (RGCE).</w:t>
      </w:r>
      <w:r w:rsidR="00877F0D" w:rsidRPr="00050FA4">
        <w:rPr>
          <w:lang w:val="sq-AL"/>
        </w:rPr>
        <w:t xml:space="preserve"> Pas votimit, e më pas nënshkrimit, KOSTT dhe Republika e Kosovës fitojnë pavarësinë energjetike nga Serbia dhe Operacionin e Pavarur si Zonë Rregullatore, në kuadër </w:t>
      </w:r>
      <w:r w:rsidR="003C2ECC" w:rsidRPr="00050FA4">
        <w:rPr>
          <w:lang w:val="sq-AL"/>
        </w:rPr>
        <w:t>të Bllokut Rregullator Kosovë–</w:t>
      </w:r>
      <w:r w:rsidR="00877F0D" w:rsidRPr="00050FA4">
        <w:rPr>
          <w:lang w:val="sq-AL"/>
        </w:rPr>
        <w:t xml:space="preserve">Shqipëri. Më 14.12.2020, Marrëveshja e Kyçjes ndërmjet KOSTT-it dhe operatorëve të sistemit të transmisionit (OST) nga Evropa Kontinentale ka hyrë në fuqi duke shënuar ditën e parë të funksionimit të KOSTT-it si zonë kontrolli brenda bllokut të përbashkët të kontrollit me OST-në </w:t>
      </w:r>
      <w:r w:rsidR="003C2ECC" w:rsidRPr="00050FA4">
        <w:rPr>
          <w:lang w:val="sq-AL"/>
        </w:rPr>
        <w:t>shqiptare</w:t>
      </w:r>
      <w:r w:rsidR="00877F0D" w:rsidRPr="00050FA4">
        <w:rPr>
          <w:lang w:val="sq-AL"/>
        </w:rPr>
        <w:t>, OST. Përveç kësaj, linja e re 400 kV ndërmjet Kosovës dhe Shqipërisë tani është në funksionim</w:t>
      </w:r>
      <w:r w:rsidR="003C2ECC" w:rsidRPr="00050FA4">
        <w:rPr>
          <w:lang w:val="sq-AL"/>
        </w:rPr>
        <w:t>,</w:t>
      </w:r>
      <w:r w:rsidR="00877F0D" w:rsidRPr="00050FA4">
        <w:rPr>
          <w:lang w:val="sq-AL"/>
        </w:rPr>
        <w:t xml:space="preserve"> duke kontribuar në shkëmbimet e mëtejshme ndërkufitare.</w:t>
      </w:r>
    </w:p>
    <w:p w14:paraId="1E407F6D" w14:textId="4A5E0DA9" w:rsidR="00877F0D" w:rsidRPr="00050FA4" w:rsidRDefault="00877F0D" w:rsidP="003F1DA7">
      <w:pPr>
        <w:pStyle w:val="AAAAAAATEXXXX"/>
        <w:rPr>
          <w:rFonts w:cstheme="majorBidi"/>
          <w:color w:val="0D0D0D" w:themeColor="text1" w:themeTint="F2"/>
          <w:lang w:val="sq-AL"/>
        </w:rPr>
      </w:pPr>
      <w:r w:rsidRPr="00050FA4">
        <w:rPr>
          <w:rFonts w:cstheme="majorBidi"/>
          <w:color w:val="0D0D0D" w:themeColor="text1" w:themeTint="F2"/>
          <w:lang w:val="sq-AL"/>
        </w:rPr>
        <w:t>Ndërtimi i Hidrocentralit të Skavicës është një hap i rëndësishëm drejt rritjes së sigurisë energjetike, reduktimit të importit të energjisë elektrike dhe rritjes së efi</w:t>
      </w:r>
      <w:r w:rsidR="00CA688A" w:rsidRPr="00050FA4">
        <w:rPr>
          <w:rFonts w:cstheme="majorBidi"/>
          <w:color w:val="0D0D0D" w:themeColor="text1" w:themeTint="F2"/>
          <w:lang w:val="sq-AL"/>
        </w:rPr>
        <w:t>ci</w:t>
      </w:r>
      <w:r w:rsidRPr="00050FA4">
        <w:rPr>
          <w:rFonts w:cstheme="majorBidi"/>
          <w:color w:val="0D0D0D" w:themeColor="text1" w:themeTint="F2"/>
          <w:lang w:val="sq-AL"/>
        </w:rPr>
        <w:t>encës dhe prodhimit të energjisë nga hidrocentralet e tjerë të kaskadës së lumit Drin. Qeveria shqiptare do të ndërtojë me financim 100% shtetëror HEC Skavica, duke përfunduar përfundimisht skemën e shfrytëzimit të kaskadës së lumit Drin.</w:t>
      </w:r>
    </w:p>
    <w:p w14:paraId="64BD1689" w14:textId="32427881" w:rsidR="00877F0D" w:rsidRPr="00050FA4" w:rsidRDefault="00877F0D" w:rsidP="003F1DA7">
      <w:pPr>
        <w:pStyle w:val="AAAAAAATEXXXX"/>
        <w:rPr>
          <w:rFonts w:cstheme="majorBidi"/>
          <w:color w:val="0D0D0D" w:themeColor="text1" w:themeTint="F2"/>
          <w:lang w:val="sq-AL"/>
        </w:rPr>
      </w:pPr>
      <w:r w:rsidRPr="00050FA4">
        <w:rPr>
          <w:rFonts w:cstheme="majorBidi"/>
          <w:color w:val="0D0D0D" w:themeColor="text1" w:themeTint="F2"/>
          <w:lang w:val="sq-AL"/>
        </w:rPr>
        <w:t>Hidrocentrali i Skavicës, ashtu si tr</w:t>
      </w:r>
      <w:r w:rsidR="007808AC" w:rsidRPr="00050FA4">
        <w:rPr>
          <w:rFonts w:cstheme="majorBidi"/>
          <w:color w:val="0D0D0D" w:themeColor="text1" w:themeTint="F2"/>
          <w:lang w:val="sq-AL"/>
        </w:rPr>
        <w:t>i</w:t>
      </w:r>
      <w:r w:rsidRPr="00050FA4">
        <w:rPr>
          <w:rFonts w:cstheme="majorBidi"/>
          <w:color w:val="0D0D0D" w:themeColor="text1" w:themeTint="F2"/>
          <w:lang w:val="sq-AL"/>
        </w:rPr>
        <w:t xml:space="preserve"> hidrocentralet e tjer</w:t>
      </w:r>
      <w:r w:rsidR="007808AC" w:rsidRPr="00050FA4">
        <w:rPr>
          <w:rFonts w:cstheme="majorBidi"/>
          <w:color w:val="0D0D0D" w:themeColor="text1" w:themeTint="F2"/>
          <w:lang w:val="sq-AL"/>
        </w:rPr>
        <w:t>a</w:t>
      </w:r>
      <w:r w:rsidRPr="00050FA4">
        <w:rPr>
          <w:rFonts w:cstheme="majorBidi"/>
          <w:color w:val="0D0D0D" w:themeColor="text1" w:themeTint="F2"/>
          <w:lang w:val="sq-AL"/>
        </w:rPr>
        <w:t xml:space="preserve"> në kaskadën e lumit Drin, do të operohet nga Korporata Elektroenergjetike Shqiptare (KESH).</w:t>
      </w:r>
    </w:p>
    <w:p w14:paraId="0A35C91E" w14:textId="5C700CA5" w:rsidR="00877F0D" w:rsidRPr="00050FA4" w:rsidRDefault="00877F0D"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Në kuadër të Memorandumit të Bashkëpunimit Ekonomik për Projekte dhe Blerje ndërmjet </w:t>
      </w:r>
      <w:r w:rsidR="00F364E5" w:rsidRPr="00050FA4">
        <w:rPr>
          <w:rFonts w:cstheme="majorBidi"/>
          <w:color w:val="0D0D0D" w:themeColor="text1" w:themeTint="F2"/>
          <w:lang w:val="sq-AL"/>
        </w:rPr>
        <w:t xml:space="preserve">qeverisë shqiptare dhe qeverisë amerikane, ministri </w:t>
      </w:r>
      <w:r w:rsidRPr="00050FA4">
        <w:rPr>
          <w:rFonts w:cstheme="majorBidi"/>
          <w:color w:val="0D0D0D" w:themeColor="text1" w:themeTint="F2"/>
          <w:lang w:val="sq-AL"/>
        </w:rPr>
        <w:t>i Infrastrukturës dhe Energjisë dhe përfaqësuesi i Bechtel, nënshkruan Memorandumin e Mirëkuptimit për Bashkëpunimin në lidhje me Projektin e HEC Skavica.</w:t>
      </w:r>
    </w:p>
    <w:p w14:paraId="2FD61EFF" w14:textId="512D4524" w:rsidR="00877F0D" w:rsidRPr="00050FA4" w:rsidRDefault="00F364E5" w:rsidP="003F1DA7">
      <w:pPr>
        <w:pStyle w:val="AAAAAAATEXXXX"/>
        <w:rPr>
          <w:rFonts w:cstheme="majorBidi"/>
          <w:color w:val="0D0D0D" w:themeColor="text1" w:themeTint="F2"/>
          <w:lang w:val="sq-AL"/>
        </w:rPr>
      </w:pPr>
      <w:r w:rsidRPr="00050FA4">
        <w:rPr>
          <w:rFonts w:cstheme="majorBidi"/>
          <w:color w:val="0D0D0D" w:themeColor="text1" w:themeTint="F2"/>
          <w:lang w:val="sq-AL"/>
        </w:rPr>
        <w:t>Me ligjin nr. 38/2021, datë 23.</w:t>
      </w:r>
      <w:r w:rsidR="00877F0D" w:rsidRPr="00050FA4">
        <w:rPr>
          <w:rFonts w:cstheme="majorBidi"/>
          <w:color w:val="0D0D0D" w:themeColor="text1" w:themeTint="F2"/>
          <w:lang w:val="sq-AL"/>
        </w:rPr>
        <w:t>3.2021</w:t>
      </w:r>
      <w:r w:rsidRPr="00050FA4">
        <w:rPr>
          <w:rFonts w:cstheme="majorBidi"/>
          <w:color w:val="0D0D0D" w:themeColor="text1" w:themeTint="F2"/>
          <w:lang w:val="sq-AL"/>
        </w:rPr>
        <w:t>,</w:t>
      </w:r>
      <w:r w:rsidR="00877F0D" w:rsidRPr="00050FA4">
        <w:rPr>
          <w:rFonts w:cstheme="majorBidi"/>
          <w:color w:val="0D0D0D" w:themeColor="text1" w:themeTint="F2"/>
          <w:lang w:val="sq-AL"/>
        </w:rPr>
        <w:t xml:space="preserve">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Për përcaktimin e procedurës së veçantë për negocimin dhe ekzekutimin e kontratës me shoqërinë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Bechtel International, Inc</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për projektimin dhe ndërtimin e Hidrocentralit të Skavicës</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 parashikohet procedura e veçantë</w:t>
      </w:r>
      <w:r w:rsidR="004F71E9" w:rsidRPr="00050FA4">
        <w:rPr>
          <w:rFonts w:cstheme="majorBidi"/>
          <w:color w:val="0D0D0D" w:themeColor="text1" w:themeTint="F2"/>
          <w:lang w:val="sq-AL"/>
        </w:rPr>
        <w:t>,</w:t>
      </w:r>
      <w:r w:rsidR="00877F0D" w:rsidRPr="00050FA4">
        <w:rPr>
          <w:rFonts w:cstheme="majorBidi"/>
          <w:color w:val="0D0D0D" w:themeColor="text1" w:themeTint="F2"/>
          <w:lang w:val="sq-AL"/>
        </w:rPr>
        <w:t xml:space="preserve"> për negocimin e ekzekutimit dhe miratimin e kontratës me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Bechtel International, Inc</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 ose filialet e saj për projektimin dhe ndërtimin e Hidrocentralit të Skavicës bazuar në shprehjen paraprake të interesit të depozituar pranë Ministrisë së Infrastrukturës dhe Energjisë.</w:t>
      </w:r>
    </w:p>
    <w:p w14:paraId="12B99CE0" w14:textId="5C307A9D" w:rsidR="00877F0D" w:rsidRPr="00050FA4" w:rsidRDefault="00877F0D"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Kontrata me </w:t>
      </w:r>
      <w:r w:rsidRPr="00050FA4">
        <w:rPr>
          <w:rFonts w:cstheme="majorBidi"/>
          <w:i/>
          <w:color w:val="0D0D0D" w:themeColor="text1" w:themeTint="F2"/>
          <w:lang w:val="sq-AL"/>
        </w:rPr>
        <w:t>Bechtel</w:t>
      </w:r>
      <w:r w:rsidRPr="00050FA4">
        <w:rPr>
          <w:rFonts w:cstheme="majorBidi"/>
          <w:color w:val="0D0D0D" w:themeColor="text1" w:themeTint="F2"/>
          <w:lang w:val="sq-AL"/>
        </w:rPr>
        <w:t xml:space="preserve"> është e ndarë në dy faza. Kontrata e fazës së parë, miratuar me vendim të Këshillit të Ministrave nr. 485, </w:t>
      </w:r>
      <w:r w:rsidR="003874A6" w:rsidRPr="00050FA4">
        <w:rPr>
          <w:rFonts w:cstheme="majorBidi"/>
          <w:color w:val="0D0D0D" w:themeColor="text1" w:themeTint="F2"/>
          <w:lang w:val="sq-AL"/>
        </w:rPr>
        <w:t>datë 30.</w:t>
      </w:r>
      <w:r w:rsidRPr="00050FA4">
        <w:rPr>
          <w:rFonts w:cstheme="majorBidi"/>
          <w:color w:val="0D0D0D" w:themeColor="text1" w:themeTint="F2"/>
          <w:lang w:val="sq-AL"/>
        </w:rPr>
        <w:t>7.2021, përfshin akt</w:t>
      </w:r>
      <w:r w:rsidR="00E67ECA" w:rsidRPr="00050FA4">
        <w:rPr>
          <w:rFonts w:cstheme="majorBidi"/>
          <w:color w:val="0D0D0D" w:themeColor="text1" w:themeTint="F2"/>
          <w:lang w:val="sq-AL"/>
        </w:rPr>
        <w:t>ivitete paraprake të cilat do t’</w:t>
      </w:r>
      <w:r w:rsidRPr="00050FA4">
        <w:rPr>
          <w:rFonts w:cstheme="majorBidi"/>
          <w:color w:val="0D0D0D" w:themeColor="text1" w:themeTint="F2"/>
          <w:lang w:val="sq-AL"/>
        </w:rPr>
        <w:t xml:space="preserve">i mundësojnë </w:t>
      </w:r>
      <w:r w:rsidRPr="00050FA4">
        <w:rPr>
          <w:rFonts w:cstheme="majorBidi"/>
          <w:i/>
          <w:color w:val="0D0D0D" w:themeColor="text1" w:themeTint="F2"/>
          <w:lang w:val="sq-AL"/>
        </w:rPr>
        <w:t>Bechtel</w:t>
      </w:r>
      <w:r w:rsidRPr="00050FA4">
        <w:rPr>
          <w:rFonts w:cstheme="majorBidi"/>
          <w:color w:val="0D0D0D" w:themeColor="text1" w:themeTint="F2"/>
          <w:lang w:val="sq-AL"/>
        </w:rPr>
        <w:t>-it të paraqesë një propozim pranë Autoritetit Kontraktor për kontratën e fazës së dytë dhe do të ndihmojë Autoritetin Kontraktor dhe Këshilli i Ministrave të Shqipërisë të sigurojë mbështetjen financiare për projektin. Kontrata e fazës së dytë konsiston në projektimin dhe ndërtimin e hidrocentralit të S</w:t>
      </w:r>
      <w:r w:rsidR="0059793E" w:rsidRPr="00050FA4">
        <w:rPr>
          <w:rFonts w:cstheme="majorBidi"/>
          <w:color w:val="0D0D0D" w:themeColor="text1" w:themeTint="F2"/>
          <w:lang w:val="sq-AL"/>
        </w:rPr>
        <w:t>k</w:t>
      </w:r>
      <w:r w:rsidRPr="00050FA4">
        <w:rPr>
          <w:rFonts w:cstheme="majorBidi"/>
          <w:color w:val="0D0D0D" w:themeColor="text1" w:themeTint="F2"/>
          <w:lang w:val="sq-AL"/>
        </w:rPr>
        <w:t>avicës.</w:t>
      </w:r>
    </w:p>
    <w:p w14:paraId="734A13E1" w14:textId="23E0278B" w:rsidR="00080139" w:rsidRPr="00050FA4" w:rsidRDefault="00B83FA4" w:rsidP="003F1DA7">
      <w:pPr>
        <w:pStyle w:val="AAAAAAATEXXXX"/>
        <w:rPr>
          <w:b/>
          <w:lang w:val="sq-AL"/>
        </w:rPr>
      </w:pPr>
      <w:r w:rsidRPr="00050FA4">
        <w:rPr>
          <w:b/>
          <w:lang w:val="sq-AL"/>
        </w:rPr>
        <w:t>a)</w:t>
      </w:r>
      <w:r w:rsidR="00516ACC" w:rsidRPr="00050FA4">
        <w:rPr>
          <w:b/>
          <w:lang w:val="sq-AL"/>
        </w:rPr>
        <w:t xml:space="preserve"> </w:t>
      </w:r>
      <w:r w:rsidR="00B2062A" w:rsidRPr="00050FA4">
        <w:rPr>
          <w:b/>
          <w:lang w:val="sq-AL"/>
        </w:rPr>
        <w:t xml:space="preserve">Aktivitete të planifikuara </w:t>
      </w:r>
      <w:r w:rsidR="006537E2" w:rsidRPr="00050FA4">
        <w:rPr>
          <w:b/>
          <w:lang w:val="sq-AL"/>
        </w:rPr>
        <w:t>m</w:t>
      </w:r>
      <w:r w:rsidR="00B2062A" w:rsidRPr="00050FA4">
        <w:rPr>
          <w:b/>
          <w:lang w:val="sq-AL"/>
        </w:rPr>
        <w:t>ë</w:t>
      </w:r>
      <w:r w:rsidR="00080139" w:rsidRPr="00050FA4">
        <w:rPr>
          <w:b/>
          <w:lang w:val="sq-AL"/>
        </w:rPr>
        <w:t xml:space="preserve"> 2022</w:t>
      </w:r>
      <w:r w:rsidR="006537E2" w:rsidRPr="00050FA4">
        <w:rPr>
          <w:b/>
          <w:lang w:val="sq-AL"/>
        </w:rPr>
        <w:t>-shin</w:t>
      </w:r>
    </w:p>
    <w:p w14:paraId="564512A9" w14:textId="4ADCB0C7"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Liberalizimi i mëtejshëm i tregut të energjisë elektrike (konsumatorët në tregun e lirë)</w:t>
      </w:r>
      <w:r w:rsidR="003874A6" w:rsidRPr="00050FA4">
        <w:rPr>
          <w:rFonts w:eastAsia="Times New Roman"/>
          <w:spacing w:val="-1"/>
          <w:lang w:val="sq-AL"/>
        </w:rPr>
        <w:t>;</w:t>
      </w:r>
    </w:p>
    <w:p w14:paraId="32E9CACA" w14:textId="1CE2E93E"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655282" w:rsidRPr="00050FA4">
        <w:rPr>
          <w:rFonts w:eastAsia="Times New Roman"/>
          <w:spacing w:val="-1"/>
          <w:lang w:val="sq-AL"/>
        </w:rPr>
        <w:t>I</w:t>
      </w:r>
      <w:r w:rsidR="00877F0D" w:rsidRPr="00050FA4">
        <w:rPr>
          <w:rFonts w:eastAsia="Times New Roman"/>
          <w:spacing w:val="-1"/>
          <w:lang w:val="sq-AL"/>
        </w:rPr>
        <w:t>nstalimi i matësve inteligjentë në klientë i cili është ende në proces nga OSSH</w:t>
      </w:r>
      <w:r w:rsidR="003874A6" w:rsidRPr="00050FA4">
        <w:rPr>
          <w:rFonts w:eastAsia="Times New Roman"/>
          <w:spacing w:val="-1"/>
          <w:lang w:val="sq-AL"/>
        </w:rPr>
        <w:t>-ja;</w:t>
      </w:r>
    </w:p>
    <w:p w14:paraId="4E1588B7" w14:textId="44D17BCC"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655282" w:rsidRPr="00050FA4">
        <w:rPr>
          <w:rFonts w:eastAsia="Times New Roman"/>
          <w:spacing w:val="-1"/>
          <w:lang w:val="sq-AL"/>
        </w:rPr>
        <w:t>P</w:t>
      </w:r>
      <w:r w:rsidR="00877F0D" w:rsidRPr="00050FA4">
        <w:rPr>
          <w:rFonts w:eastAsia="Times New Roman"/>
          <w:spacing w:val="-1"/>
          <w:lang w:val="sq-AL"/>
        </w:rPr>
        <w:t>ërgatitja e rrjetit 20 kV duke e kthyer në rrjet SMART, zëvendësimi i rrjeteve ajrore 6/10 kV jashtë standardeve teknike dhe zëvendësimi i tyre me rrjet kabllor me gjatësi dhe seksione në përputhje me këto standarde</w:t>
      </w:r>
      <w:r w:rsidR="003874A6" w:rsidRPr="00050FA4">
        <w:rPr>
          <w:rFonts w:eastAsia="Times New Roman"/>
          <w:spacing w:val="-1"/>
          <w:lang w:val="sq-AL"/>
        </w:rPr>
        <w:t>;</w:t>
      </w:r>
    </w:p>
    <w:p w14:paraId="2B2AAC73" w14:textId="5F7B20F5"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Planifikimi i rrjeteve të energjisë elektrike në formë aktive (ku energjia ka dy drejtime) që vjen si rezultat i injektimit të energjisë nga përdoruesit/prodhuesit në rrjetin e shpërndarjes. Planifikimi i këtyre investimeve sjell si pasojë kërkesën për zbatimin e treguesve të cilësisë dhe për rrjedhojë hyrjen në një treg të parregulluar. Afatet për zbatimin e treguesve të cilësisë nuk lidhen me afatet e hyrjes së parregulluar në treg të klientëve jofamiljarë, por mund të përcaktojnë një tendencë daljeje në mënyrë të përshkallëzuar sipas zonave me ngarkesë/konsum më të lartë</w:t>
      </w:r>
      <w:r w:rsidR="003874A6" w:rsidRPr="00050FA4">
        <w:rPr>
          <w:rFonts w:eastAsia="Times New Roman"/>
          <w:spacing w:val="-1"/>
          <w:lang w:val="sq-AL"/>
        </w:rPr>
        <w:t>;</w:t>
      </w:r>
    </w:p>
    <w:p w14:paraId="1F2674B2" w14:textId="1A558C8B"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Funksionimi i Bursës Shqiptare të Energjisë Elektrike – Siguria e Furnizimit ALPEX</w:t>
      </w:r>
      <w:r w:rsidR="003874A6" w:rsidRPr="00050FA4">
        <w:rPr>
          <w:rFonts w:eastAsia="Times New Roman"/>
          <w:spacing w:val="-1"/>
          <w:lang w:val="sq-AL"/>
        </w:rPr>
        <w:t>;</w:t>
      </w:r>
    </w:p>
    <w:p w14:paraId="21579DFE" w14:textId="2A1F5E5F"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Zbatimi i projektit Elbasan (</w:t>
      </w:r>
      <w:r w:rsidR="0059793E" w:rsidRPr="00050FA4">
        <w:rPr>
          <w:rFonts w:eastAsia="Times New Roman"/>
          <w:spacing w:val="-1"/>
          <w:lang w:val="sq-AL"/>
        </w:rPr>
        <w:t>Shqipëri</w:t>
      </w:r>
      <w:r w:rsidR="00877F0D" w:rsidRPr="00050FA4">
        <w:rPr>
          <w:rFonts w:eastAsia="Times New Roman"/>
          <w:spacing w:val="-1"/>
          <w:lang w:val="sq-AL"/>
        </w:rPr>
        <w:t xml:space="preserve">) - </w:t>
      </w:r>
      <w:r w:rsidR="00050FA4">
        <w:rPr>
          <w:rFonts w:eastAsia="Times New Roman"/>
          <w:spacing w:val="-1"/>
          <w:lang w:val="sq-AL"/>
        </w:rPr>
        <w:t>Manastir (RNM), linja e interkon</w:t>
      </w:r>
      <w:r w:rsidR="00877F0D" w:rsidRPr="00050FA4">
        <w:rPr>
          <w:rFonts w:eastAsia="Times New Roman"/>
          <w:spacing w:val="-1"/>
          <w:lang w:val="sq-AL"/>
        </w:rPr>
        <w:t xml:space="preserve">eksionit 400 kV: </w:t>
      </w:r>
      <w:r w:rsidR="00050FA4" w:rsidRPr="00050FA4">
        <w:rPr>
          <w:rFonts w:eastAsia="Times New Roman"/>
          <w:spacing w:val="-1"/>
          <w:lang w:val="sq-AL"/>
        </w:rPr>
        <w:t xml:space="preserve">loti 1 </w:t>
      </w:r>
      <w:r w:rsidR="00050FA4">
        <w:rPr>
          <w:rFonts w:eastAsia="Times New Roman"/>
          <w:spacing w:val="-1"/>
          <w:lang w:val="sq-AL"/>
        </w:rPr>
        <w:t>dhe</w:t>
      </w:r>
      <w:r w:rsidR="00050FA4" w:rsidRPr="00050FA4">
        <w:rPr>
          <w:rFonts w:eastAsia="Times New Roman"/>
          <w:spacing w:val="-1"/>
          <w:lang w:val="sq-AL"/>
        </w:rPr>
        <w:t xml:space="preserve"> loti 2;</w:t>
      </w:r>
    </w:p>
    <w:p w14:paraId="3954DE22" w14:textId="0FD614A6"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Projekti Hidroenergjetik i Skavicës</w:t>
      </w:r>
      <w:r w:rsidR="003874A6" w:rsidRPr="00050FA4">
        <w:rPr>
          <w:rFonts w:eastAsia="Times New Roman"/>
          <w:spacing w:val="-1"/>
          <w:lang w:val="sq-AL"/>
        </w:rPr>
        <w:t>;</w:t>
      </w:r>
    </w:p>
    <w:p w14:paraId="07DA956C" w14:textId="71943B50" w:rsidR="00877F0D" w:rsidRPr="00050FA4" w:rsidRDefault="00516ACC" w:rsidP="003F1DA7">
      <w:pPr>
        <w:pStyle w:val="AAAAAAATEXXXX"/>
        <w:rPr>
          <w:rFonts w:eastAsia="Times New Roman"/>
          <w:spacing w:val="-1"/>
          <w:lang w:val="sq-AL"/>
        </w:rPr>
      </w:pPr>
      <w:r w:rsidRPr="00050FA4">
        <w:rPr>
          <w:rFonts w:eastAsia="Times New Roman"/>
          <w:spacing w:val="-1"/>
          <w:lang w:val="sq-AL"/>
        </w:rPr>
        <w:lastRenderedPageBreak/>
        <w:t xml:space="preserve">- </w:t>
      </w:r>
      <w:r w:rsidR="00877F0D" w:rsidRPr="00050FA4">
        <w:rPr>
          <w:rFonts w:eastAsia="Times New Roman"/>
          <w:spacing w:val="-1"/>
          <w:lang w:val="sq-AL"/>
        </w:rPr>
        <w:t>Reduktimi i mëtejshëm i humbjeve në shpërndarje</w:t>
      </w:r>
      <w:r w:rsidR="003874A6" w:rsidRPr="00050FA4">
        <w:rPr>
          <w:rFonts w:eastAsia="Times New Roman"/>
          <w:spacing w:val="-1"/>
          <w:lang w:val="sq-AL"/>
        </w:rPr>
        <w:t>;</w:t>
      </w:r>
    </w:p>
    <w:p w14:paraId="0275D34F" w14:textId="48146770" w:rsidR="00877F0D" w:rsidRPr="00050FA4" w:rsidRDefault="00516ACC" w:rsidP="003F1DA7">
      <w:pPr>
        <w:pStyle w:val="AAAAAAATEXXXX"/>
        <w:rPr>
          <w:lang w:val="sq-AL"/>
        </w:rPr>
      </w:pPr>
      <w:r w:rsidRPr="00050FA4">
        <w:rPr>
          <w:rFonts w:eastAsia="Times New Roman"/>
          <w:spacing w:val="-1"/>
          <w:lang w:val="sq-AL"/>
        </w:rPr>
        <w:t xml:space="preserve">- </w:t>
      </w:r>
      <w:r w:rsidR="00877F0D" w:rsidRPr="00050FA4">
        <w:rPr>
          <w:rFonts w:eastAsia="Times New Roman"/>
          <w:spacing w:val="-1"/>
          <w:lang w:val="sq-AL"/>
        </w:rPr>
        <w:t>Rritje e mëtejshme e normave të arkëtimit të faturave.</w:t>
      </w:r>
    </w:p>
    <w:p w14:paraId="497298AE" w14:textId="515A9B41" w:rsidR="00080139" w:rsidRPr="00050FA4" w:rsidRDefault="00516ACC" w:rsidP="003F1DA7">
      <w:pPr>
        <w:pStyle w:val="AAAAAAATEXXXX"/>
        <w:rPr>
          <w:b/>
          <w:lang w:val="sq-AL"/>
        </w:rPr>
      </w:pPr>
      <w:r w:rsidRPr="00050FA4">
        <w:rPr>
          <w:b/>
          <w:lang w:val="sq-AL"/>
        </w:rPr>
        <w:t>b</w:t>
      </w:r>
      <w:r w:rsidR="00B83FA4" w:rsidRPr="00050FA4">
        <w:rPr>
          <w:b/>
          <w:lang w:val="sq-AL"/>
        </w:rPr>
        <w:t>)</w:t>
      </w:r>
      <w:r w:rsidRPr="00050FA4">
        <w:rPr>
          <w:b/>
          <w:lang w:val="sq-AL"/>
        </w:rPr>
        <w:t xml:space="preserve"> </w:t>
      </w:r>
      <w:r w:rsidR="00B2062A" w:rsidRPr="00050FA4">
        <w:rPr>
          <w:b/>
          <w:lang w:val="sq-AL"/>
        </w:rPr>
        <w:t xml:space="preserve">Aktivitete të planifikuara </w:t>
      </w:r>
      <w:r w:rsidR="003874A6" w:rsidRPr="00050FA4">
        <w:rPr>
          <w:b/>
          <w:lang w:val="sq-AL"/>
        </w:rPr>
        <w:t>m</w:t>
      </w:r>
      <w:r w:rsidR="00B2062A" w:rsidRPr="00050FA4">
        <w:rPr>
          <w:b/>
          <w:lang w:val="sq-AL"/>
        </w:rPr>
        <w:t>ë</w:t>
      </w:r>
      <w:r w:rsidR="00080139" w:rsidRPr="00050FA4">
        <w:rPr>
          <w:b/>
          <w:lang w:val="sq-AL"/>
        </w:rPr>
        <w:t xml:space="preserve"> 2023</w:t>
      </w:r>
      <w:r w:rsidR="003874A6" w:rsidRPr="00050FA4">
        <w:rPr>
          <w:b/>
          <w:lang w:val="sq-AL"/>
        </w:rPr>
        <w:t>-shin</w:t>
      </w:r>
    </w:p>
    <w:p w14:paraId="7C01404F" w14:textId="0AD4EAEC"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Liberalizimi i mëtejshëm i tregut të energjisë elektrike (konsumatorët në tregun e lirë)</w:t>
      </w:r>
    </w:p>
    <w:p w14:paraId="570D0EE2" w14:textId="32C1B4E6"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 xml:space="preserve">Zbatimi i projektit Elbasan (Shqipëri) </w:t>
      </w:r>
      <w:r w:rsidR="003874A6" w:rsidRPr="00050FA4">
        <w:rPr>
          <w:rFonts w:eastAsia="Times New Roman"/>
          <w:spacing w:val="-1"/>
          <w:lang w:val="sq-AL"/>
        </w:rPr>
        <w:t>–</w:t>
      </w:r>
      <w:r w:rsidR="00877F0D" w:rsidRPr="00050FA4">
        <w:rPr>
          <w:rFonts w:eastAsia="Times New Roman"/>
          <w:spacing w:val="-1"/>
          <w:lang w:val="sq-AL"/>
        </w:rPr>
        <w:t xml:space="preserve"> </w:t>
      </w:r>
      <w:r w:rsidR="00CA688A" w:rsidRPr="00050FA4">
        <w:rPr>
          <w:rFonts w:eastAsia="Times New Roman"/>
          <w:spacing w:val="-1"/>
          <w:lang w:val="sq-AL"/>
        </w:rPr>
        <w:t>Manastir (RNM)</w:t>
      </w:r>
      <w:r w:rsidR="003874A6" w:rsidRPr="00050FA4">
        <w:rPr>
          <w:rFonts w:eastAsia="Times New Roman"/>
          <w:spacing w:val="-1"/>
          <w:lang w:val="sq-AL"/>
        </w:rPr>
        <w:t>,</w:t>
      </w:r>
      <w:r w:rsidR="00CA688A" w:rsidRPr="00050FA4">
        <w:rPr>
          <w:rFonts w:eastAsia="Times New Roman"/>
          <w:spacing w:val="-1"/>
          <w:lang w:val="sq-AL"/>
        </w:rPr>
        <w:t xml:space="preserve"> </w:t>
      </w:r>
      <w:r w:rsidR="003874A6" w:rsidRPr="00050FA4">
        <w:rPr>
          <w:rFonts w:eastAsia="Times New Roman"/>
          <w:spacing w:val="-1"/>
          <w:lang w:val="sq-AL"/>
        </w:rPr>
        <w:t xml:space="preserve">linja </w:t>
      </w:r>
      <w:r w:rsidR="00CA688A" w:rsidRPr="00050FA4">
        <w:rPr>
          <w:rFonts w:eastAsia="Times New Roman"/>
          <w:spacing w:val="-1"/>
          <w:lang w:val="sq-AL"/>
        </w:rPr>
        <w:t>e interkon</w:t>
      </w:r>
      <w:r w:rsidR="00877F0D" w:rsidRPr="00050FA4">
        <w:rPr>
          <w:rFonts w:eastAsia="Times New Roman"/>
          <w:spacing w:val="-1"/>
          <w:lang w:val="sq-AL"/>
        </w:rPr>
        <w:t xml:space="preserve">eksionit 400 kV: </w:t>
      </w:r>
      <w:r w:rsidR="003874A6" w:rsidRPr="00050FA4">
        <w:rPr>
          <w:rFonts w:eastAsia="Times New Roman"/>
          <w:spacing w:val="-1"/>
          <w:lang w:val="sq-AL"/>
        </w:rPr>
        <w:t xml:space="preserve">loti 1 dhe loti </w:t>
      </w:r>
      <w:r w:rsidR="00877F0D" w:rsidRPr="00050FA4">
        <w:rPr>
          <w:rFonts w:eastAsia="Times New Roman"/>
          <w:spacing w:val="-1"/>
          <w:lang w:val="sq-AL"/>
        </w:rPr>
        <w:t>2</w:t>
      </w:r>
      <w:r w:rsidR="003874A6" w:rsidRPr="00050FA4">
        <w:rPr>
          <w:rFonts w:eastAsia="Times New Roman"/>
          <w:spacing w:val="-1"/>
          <w:lang w:val="sq-AL"/>
        </w:rPr>
        <w:t>;</w:t>
      </w:r>
    </w:p>
    <w:p w14:paraId="2B00DB6E" w14:textId="3BA79427"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Projekti Hidroenergjetik i Skavicës</w:t>
      </w:r>
      <w:r w:rsidR="003874A6" w:rsidRPr="00050FA4">
        <w:rPr>
          <w:rFonts w:eastAsia="Times New Roman"/>
          <w:spacing w:val="-1"/>
          <w:lang w:val="sq-AL"/>
        </w:rPr>
        <w:t>;</w:t>
      </w:r>
    </w:p>
    <w:p w14:paraId="2AA5012F" w14:textId="27E84567"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Reduktimi i mëtejshëm i humbjeve në shpërndarje</w:t>
      </w:r>
      <w:r w:rsidR="003874A6" w:rsidRPr="00050FA4">
        <w:rPr>
          <w:rFonts w:eastAsia="Times New Roman"/>
          <w:spacing w:val="-1"/>
          <w:lang w:val="sq-AL"/>
        </w:rPr>
        <w:t>;</w:t>
      </w:r>
    </w:p>
    <w:p w14:paraId="5222F319" w14:textId="27760EF5" w:rsidR="00877F0D" w:rsidRPr="00050FA4" w:rsidRDefault="00516ACC" w:rsidP="003F1DA7">
      <w:pPr>
        <w:pStyle w:val="AAAAAAATEXXXX"/>
        <w:rPr>
          <w:rFonts w:eastAsia="Times New Roman"/>
          <w:spacing w:val="-1"/>
          <w:lang w:val="sq-AL"/>
        </w:rPr>
      </w:pPr>
      <w:r w:rsidRPr="00050FA4">
        <w:rPr>
          <w:rFonts w:eastAsia="Times New Roman"/>
          <w:spacing w:val="-1"/>
          <w:lang w:val="sq-AL"/>
        </w:rPr>
        <w:t xml:space="preserve">- </w:t>
      </w:r>
      <w:r w:rsidR="00877F0D" w:rsidRPr="00050FA4">
        <w:rPr>
          <w:rFonts w:eastAsia="Times New Roman"/>
          <w:spacing w:val="-1"/>
          <w:lang w:val="sq-AL"/>
        </w:rPr>
        <w:t>Rritje e mëtejshme e normave të arkëtimit të faturave.</w:t>
      </w:r>
    </w:p>
    <w:p w14:paraId="6ABACA9A" w14:textId="5915C11E" w:rsidR="00080139" w:rsidRPr="00050FA4" w:rsidRDefault="00B83FA4" w:rsidP="003F1DA7">
      <w:pPr>
        <w:pStyle w:val="AAAAAAATEXXXX"/>
        <w:rPr>
          <w:b/>
          <w:lang w:val="sq-AL"/>
        </w:rPr>
      </w:pPr>
      <w:r w:rsidRPr="00050FA4">
        <w:rPr>
          <w:b/>
          <w:lang w:val="sq-AL"/>
        </w:rPr>
        <w:t>c)</w:t>
      </w:r>
      <w:r w:rsidR="00516ACC" w:rsidRPr="00050FA4">
        <w:rPr>
          <w:b/>
          <w:lang w:val="sq-AL"/>
        </w:rPr>
        <w:t xml:space="preserve"> </w:t>
      </w:r>
      <w:r w:rsidR="00B2062A" w:rsidRPr="00050FA4">
        <w:rPr>
          <w:b/>
          <w:lang w:val="sq-AL"/>
        </w:rPr>
        <w:t xml:space="preserve">Aktivitete të planifikuara </w:t>
      </w:r>
      <w:r w:rsidR="003874A6" w:rsidRPr="00050FA4">
        <w:rPr>
          <w:b/>
          <w:lang w:val="sq-AL"/>
        </w:rPr>
        <w:t>m</w:t>
      </w:r>
      <w:r w:rsidR="00B2062A" w:rsidRPr="00050FA4">
        <w:rPr>
          <w:b/>
          <w:lang w:val="sq-AL"/>
        </w:rPr>
        <w:t>ë</w:t>
      </w:r>
      <w:r w:rsidR="00080139" w:rsidRPr="00050FA4">
        <w:rPr>
          <w:b/>
          <w:lang w:val="sq-AL"/>
        </w:rPr>
        <w:t xml:space="preserve"> 2024</w:t>
      </w:r>
      <w:r w:rsidR="003874A6" w:rsidRPr="00050FA4">
        <w:rPr>
          <w:b/>
          <w:lang w:val="sq-AL"/>
        </w:rPr>
        <w:t>-ën</w:t>
      </w:r>
    </w:p>
    <w:p w14:paraId="0522EC28" w14:textId="14BB3FBC" w:rsidR="00877F0D" w:rsidRPr="00050FA4" w:rsidRDefault="00516ACC" w:rsidP="003F1DA7">
      <w:pPr>
        <w:pStyle w:val="AAAAAAATEXXXX"/>
        <w:rPr>
          <w:lang w:val="sq-AL"/>
        </w:rPr>
      </w:pPr>
      <w:r w:rsidRPr="00050FA4">
        <w:rPr>
          <w:lang w:val="sq-AL"/>
        </w:rPr>
        <w:t xml:space="preserve">- </w:t>
      </w:r>
      <w:r w:rsidR="00877F0D" w:rsidRPr="00050FA4">
        <w:rPr>
          <w:lang w:val="sq-AL"/>
        </w:rPr>
        <w:t>Liberalizimi i mëtejshëm i tregut të energjisë elektrike (konsumatorët në tregun e lirë)</w:t>
      </w:r>
      <w:r w:rsidR="003874A6" w:rsidRPr="00050FA4">
        <w:rPr>
          <w:lang w:val="sq-AL"/>
        </w:rPr>
        <w:t>;</w:t>
      </w:r>
    </w:p>
    <w:p w14:paraId="27CA75BA" w14:textId="2B0DA84B" w:rsidR="00877F0D" w:rsidRPr="00050FA4" w:rsidRDefault="00516ACC" w:rsidP="003F1DA7">
      <w:pPr>
        <w:pStyle w:val="AAAAAAATEXXXX"/>
        <w:rPr>
          <w:lang w:val="sq-AL"/>
        </w:rPr>
      </w:pPr>
      <w:r w:rsidRPr="00050FA4">
        <w:rPr>
          <w:lang w:val="sq-AL"/>
        </w:rPr>
        <w:t xml:space="preserve">- </w:t>
      </w:r>
      <w:r w:rsidR="00877F0D" w:rsidRPr="00050FA4">
        <w:rPr>
          <w:lang w:val="sq-AL"/>
        </w:rPr>
        <w:t xml:space="preserve">Zbatimi i projektit Elbasan (Shqipëri) </w:t>
      </w:r>
      <w:r w:rsidR="003874A6" w:rsidRPr="00050FA4">
        <w:rPr>
          <w:lang w:val="sq-AL"/>
        </w:rPr>
        <w:t>–</w:t>
      </w:r>
      <w:r w:rsidR="00877F0D" w:rsidRPr="00050FA4">
        <w:rPr>
          <w:lang w:val="sq-AL"/>
        </w:rPr>
        <w:t xml:space="preserve"> </w:t>
      </w:r>
      <w:r w:rsidR="00CA688A" w:rsidRPr="00050FA4">
        <w:rPr>
          <w:lang w:val="sq-AL"/>
        </w:rPr>
        <w:t>Manastir (RNM)</w:t>
      </w:r>
      <w:r w:rsidR="003874A6" w:rsidRPr="00050FA4">
        <w:rPr>
          <w:lang w:val="sq-AL"/>
        </w:rPr>
        <w:t>,</w:t>
      </w:r>
      <w:r w:rsidR="00CA688A" w:rsidRPr="00050FA4">
        <w:rPr>
          <w:lang w:val="sq-AL"/>
        </w:rPr>
        <w:t xml:space="preserve"> </w:t>
      </w:r>
      <w:r w:rsidR="003874A6" w:rsidRPr="00050FA4">
        <w:rPr>
          <w:lang w:val="sq-AL"/>
        </w:rPr>
        <w:t xml:space="preserve">Linja e interkoneksionit </w:t>
      </w:r>
      <w:r w:rsidR="00877F0D" w:rsidRPr="00050FA4">
        <w:rPr>
          <w:lang w:val="sq-AL"/>
        </w:rPr>
        <w:t xml:space="preserve">400 kV: </w:t>
      </w:r>
      <w:r w:rsidR="003874A6" w:rsidRPr="00050FA4">
        <w:rPr>
          <w:lang w:val="sq-AL"/>
        </w:rPr>
        <w:t>loti 1 dhe loti 2;</w:t>
      </w:r>
    </w:p>
    <w:p w14:paraId="5B2EC6E6" w14:textId="2AA336F8" w:rsidR="00877F0D" w:rsidRPr="00050FA4" w:rsidRDefault="00516ACC" w:rsidP="003F1DA7">
      <w:pPr>
        <w:pStyle w:val="AAAAAAATEXXXX"/>
        <w:rPr>
          <w:lang w:val="sq-AL"/>
        </w:rPr>
      </w:pPr>
      <w:r w:rsidRPr="00050FA4">
        <w:rPr>
          <w:lang w:val="sq-AL"/>
        </w:rPr>
        <w:t xml:space="preserve">- </w:t>
      </w:r>
      <w:r w:rsidR="00877F0D" w:rsidRPr="00050FA4">
        <w:rPr>
          <w:lang w:val="sq-AL"/>
        </w:rPr>
        <w:t>Projekti Hidroenergjetik i Skavicës</w:t>
      </w:r>
      <w:r w:rsidR="003874A6" w:rsidRPr="00050FA4">
        <w:rPr>
          <w:lang w:val="sq-AL"/>
        </w:rPr>
        <w:t>;</w:t>
      </w:r>
    </w:p>
    <w:p w14:paraId="7DB6EEA3" w14:textId="3CEACF7B" w:rsidR="00877F0D" w:rsidRPr="00050FA4" w:rsidRDefault="00516ACC" w:rsidP="003F1DA7">
      <w:pPr>
        <w:pStyle w:val="AAAAAAATEXXXX"/>
        <w:rPr>
          <w:lang w:val="sq-AL"/>
        </w:rPr>
      </w:pPr>
      <w:r w:rsidRPr="00050FA4">
        <w:rPr>
          <w:lang w:val="sq-AL"/>
        </w:rPr>
        <w:t xml:space="preserve">- </w:t>
      </w:r>
      <w:r w:rsidR="00877F0D" w:rsidRPr="00050FA4">
        <w:rPr>
          <w:lang w:val="sq-AL"/>
        </w:rPr>
        <w:t>Reduktimi i mëtejshëm i humbjeve në shpërndarje</w:t>
      </w:r>
      <w:r w:rsidR="003874A6" w:rsidRPr="00050FA4">
        <w:rPr>
          <w:lang w:val="sq-AL"/>
        </w:rPr>
        <w:t>;</w:t>
      </w:r>
    </w:p>
    <w:p w14:paraId="485ECDEC" w14:textId="16E2DB7A" w:rsidR="00877F0D" w:rsidRPr="00050FA4" w:rsidRDefault="00516ACC" w:rsidP="003F1DA7">
      <w:pPr>
        <w:pStyle w:val="AAAAAAATEXXXX"/>
        <w:rPr>
          <w:lang w:val="sq-AL"/>
        </w:rPr>
      </w:pPr>
      <w:r w:rsidRPr="00050FA4">
        <w:rPr>
          <w:lang w:val="sq-AL"/>
        </w:rPr>
        <w:t xml:space="preserve">- </w:t>
      </w:r>
      <w:r w:rsidR="00877F0D" w:rsidRPr="00050FA4">
        <w:rPr>
          <w:lang w:val="sq-AL"/>
        </w:rPr>
        <w:t>Rritje e mëtejshme e normave të arkëtimit të faturave.</w:t>
      </w:r>
    </w:p>
    <w:p w14:paraId="0C48D0CD" w14:textId="180A9451" w:rsidR="00080139" w:rsidRPr="00050FA4" w:rsidRDefault="00516ACC" w:rsidP="003F1DA7">
      <w:pPr>
        <w:pStyle w:val="AAAAAAATEXXXX"/>
        <w:rPr>
          <w:lang w:val="sq-AL"/>
        </w:rPr>
      </w:pPr>
      <w:r w:rsidRPr="00050FA4">
        <w:rPr>
          <w:lang w:val="sq-AL"/>
        </w:rPr>
        <w:t xml:space="preserve">2. </w:t>
      </w:r>
      <w:r w:rsidR="00B2062A" w:rsidRPr="00050FA4">
        <w:rPr>
          <w:lang w:val="sq-AL"/>
        </w:rPr>
        <w:t>Treguesit e rezultateve</w:t>
      </w:r>
    </w:p>
    <w:p w14:paraId="172676BB" w14:textId="77777777" w:rsidR="003874A6" w:rsidRPr="00050FA4" w:rsidRDefault="003874A6" w:rsidP="003F1DA7">
      <w:pPr>
        <w:pStyle w:val="AAAAAAATEXXXX"/>
        <w:rPr>
          <w:lang w:val="sq-AL"/>
        </w:rPr>
      </w:pPr>
    </w:p>
    <w:tbl>
      <w:tblPr>
        <w:tblStyle w:val="TableGrid"/>
        <w:tblW w:w="0" w:type="auto"/>
        <w:jc w:val="center"/>
        <w:tblLook w:val="04A0" w:firstRow="1" w:lastRow="0" w:firstColumn="1" w:lastColumn="0" w:noHBand="0" w:noVBand="1"/>
      </w:tblPr>
      <w:tblGrid>
        <w:gridCol w:w="4248"/>
        <w:gridCol w:w="1791"/>
        <w:gridCol w:w="1791"/>
        <w:gridCol w:w="1792"/>
      </w:tblGrid>
      <w:tr w:rsidR="00FA29AB" w:rsidRPr="00050FA4" w14:paraId="08FBFB98" w14:textId="77777777" w:rsidTr="00C03C79">
        <w:trPr>
          <w:trHeight w:val="260"/>
          <w:jc w:val="center"/>
        </w:trPr>
        <w:tc>
          <w:tcPr>
            <w:tcW w:w="4248" w:type="dxa"/>
            <w:vAlign w:val="center"/>
          </w:tcPr>
          <w:p w14:paraId="19ED98D0" w14:textId="6B8A5D01" w:rsidR="00E759FB" w:rsidRPr="00050FA4" w:rsidRDefault="00B2062A" w:rsidP="00C03C79">
            <w:pPr>
              <w:pStyle w:val="AAAAAAATEXXXX"/>
              <w:ind w:firstLine="0"/>
              <w:jc w:val="center"/>
              <w:rPr>
                <w:b/>
                <w:sz w:val="18"/>
                <w:szCs w:val="18"/>
                <w:lang w:val="sq-AL"/>
              </w:rPr>
            </w:pPr>
            <w:r w:rsidRPr="00050FA4">
              <w:rPr>
                <w:b/>
                <w:sz w:val="18"/>
                <w:szCs w:val="18"/>
                <w:lang w:val="sq-AL"/>
              </w:rPr>
              <w:t>Tregues</w:t>
            </w:r>
          </w:p>
        </w:tc>
        <w:tc>
          <w:tcPr>
            <w:tcW w:w="1791" w:type="dxa"/>
            <w:vAlign w:val="center"/>
          </w:tcPr>
          <w:p w14:paraId="4B0C21AD" w14:textId="375B7817" w:rsidR="00E759FB" w:rsidRPr="00050FA4" w:rsidRDefault="00B2062A" w:rsidP="00C03C79">
            <w:pPr>
              <w:pStyle w:val="AAAAAAATEXXXX"/>
              <w:ind w:firstLine="0"/>
              <w:jc w:val="center"/>
              <w:rPr>
                <w:b/>
                <w:sz w:val="18"/>
                <w:szCs w:val="18"/>
                <w:lang w:val="sq-AL"/>
              </w:rPr>
            </w:pPr>
            <w:r w:rsidRPr="00050FA4">
              <w:rPr>
                <w:b/>
                <w:sz w:val="18"/>
                <w:szCs w:val="18"/>
                <w:lang w:val="sq-AL"/>
              </w:rPr>
              <w:t>Bazë</w:t>
            </w:r>
            <w:r w:rsidR="004D1F24" w:rsidRPr="00050FA4">
              <w:rPr>
                <w:b/>
                <w:sz w:val="18"/>
                <w:szCs w:val="18"/>
                <w:lang w:val="sq-AL"/>
              </w:rPr>
              <w:t xml:space="preserve"> (</w:t>
            </w:r>
            <w:r w:rsidR="00E759FB" w:rsidRPr="00050FA4">
              <w:rPr>
                <w:b/>
                <w:sz w:val="18"/>
                <w:szCs w:val="18"/>
                <w:lang w:val="sq-AL"/>
              </w:rPr>
              <w:t>2022</w:t>
            </w:r>
            <w:r w:rsidR="004D1F24" w:rsidRPr="00050FA4">
              <w:rPr>
                <w:b/>
                <w:sz w:val="18"/>
                <w:szCs w:val="18"/>
                <w:lang w:val="sq-AL"/>
              </w:rPr>
              <w:t>)</w:t>
            </w:r>
          </w:p>
        </w:tc>
        <w:tc>
          <w:tcPr>
            <w:tcW w:w="1791" w:type="dxa"/>
            <w:vAlign w:val="center"/>
          </w:tcPr>
          <w:p w14:paraId="2B74D9F1" w14:textId="4EF8FBEB" w:rsidR="00E759FB" w:rsidRPr="00050FA4" w:rsidRDefault="00B2062A" w:rsidP="00C03C79">
            <w:pPr>
              <w:pStyle w:val="AAAAAAATEXXXX"/>
              <w:ind w:firstLine="0"/>
              <w:jc w:val="center"/>
              <w:rPr>
                <w:b/>
                <w:sz w:val="18"/>
                <w:szCs w:val="18"/>
                <w:lang w:val="sq-AL"/>
              </w:rPr>
            </w:pPr>
            <w:r w:rsidRPr="00050FA4">
              <w:rPr>
                <w:b/>
                <w:sz w:val="18"/>
                <w:szCs w:val="18"/>
                <w:lang w:val="sq-AL"/>
              </w:rPr>
              <w:t>I ndërmjetëm</w:t>
            </w:r>
            <w:r w:rsidR="004D1F24" w:rsidRPr="00050FA4">
              <w:rPr>
                <w:b/>
                <w:sz w:val="18"/>
                <w:szCs w:val="18"/>
                <w:lang w:val="sq-AL"/>
              </w:rPr>
              <w:t xml:space="preserve"> (</w:t>
            </w:r>
            <w:r w:rsidR="00E759FB" w:rsidRPr="00050FA4">
              <w:rPr>
                <w:b/>
                <w:sz w:val="18"/>
                <w:szCs w:val="18"/>
                <w:lang w:val="sq-AL"/>
              </w:rPr>
              <w:t>2023</w:t>
            </w:r>
            <w:r w:rsidR="004D1F24" w:rsidRPr="00050FA4">
              <w:rPr>
                <w:b/>
                <w:sz w:val="18"/>
                <w:szCs w:val="18"/>
                <w:lang w:val="sq-AL"/>
              </w:rPr>
              <w:t>)</w:t>
            </w:r>
          </w:p>
        </w:tc>
        <w:tc>
          <w:tcPr>
            <w:tcW w:w="1792" w:type="dxa"/>
            <w:vAlign w:val="center"/>
          </w:tcPr>
          <w:p w14:paraId="3CD9C233" w14:textId="1CB3C537" w:rsidR="00E759FB" w:rsidRPr="00050FA4" w:rsidRDefault="00B2062A" w:rsidP="00C03C79">
            <w:pPr>
              <w:pStyle w:val="AAAAAAATEXXXX"/>
              <w:ind w:firstLine="0"/>
              <w:jc w:val="center"/>
              <w:rPr>
                <w:b/>
                <w:sz w:val="18"/>
                <w:szCs w:val="18"/>
                <w:lang w:val="sq-AL"/>
              </w:rPr>
            </w:pPr>
            <w:r w:rsidRPr="00050FA4">
              <w:rPr>
                <w:b/>
                <w:sz w:val="18"/>
                <w:szCs w:val="18"/>
                <w:lang w:val="sq-AL"/>
              </w:rPr>
              <w:t>Synimi</w:t>
            </w:r>
            <w:r w:rsidR="004D1F24" w:rsidRPr="00050FA4">
              <w:rPr>
                <w:b/>
                <w:sz w:val="18"/>
                <w:szCs w:val="18"/>
                <w:lang w:val="sq-AL"/>
              </w:rPr>
              <w:t xml:space="preserve"> (</w:t>
            </w:r>
            <w:r w:rsidR="00E759FB" w:rsidRPr="00050FA4">
              <w:rPr>
                <w:b/>
                <w:sz w:val="18"/>
                <w:szCs w:val="18"/>
                <w:lang w:val="sq-AL"/>
              </w:rPr>
              <w:t>2024</w:t>
            </w:r>
            <w:r w:rsidR="004D1F24" w:rsidRPr="00050FA4">
              <w:rPr>
                <w:b/>
                <w:sz w:val="18"/>
                <w:szCs w:val="18"/>
                <w:lang w:val="sq-AL"/>
              </w:rPr>
              <w:t>)</w:t>
            </w:r>
          </w:p>
        </w:tc>
      </w:tr>
      <w:tr w:rsidR="00FA29AB" w:rsidRPr="00050FA4" w14:paraId="10172902" w14:textId="77777777" w:rsidTr="00B83FA4">
        <w:trPr>
          <w:jc w:val="center"/>
        </w:trPr>
        <w:tc>
          <w:tcPr>
            <w:tcW w:w="4248" w:type="dxa"/>
          </w:tcPr>
          <w:p w14:paraId="45EF9A42" w14:textId="5A0F8561" w:rsidR="00877F0D" w:rsidRPr="00050FA4" w:rsidRDefault="00877F0D" w:rsidP="00A95D23">
            <w:pPr>
              <w:pStyle w:val="AAAAAAATEXXXX"/>
              <w:ind w:firstLine="0"/>
              <w:rPr>
                <w:sz w:val="18"/>
                <w:szCs w:val="18"/>
                <w:lang w:val="sq-AL"/>
              </w:rPr>
            </w:pPr>
            <w:r w:rsidRPr="00050FA4">
              <w:rPr>
                <w:sz w:val="18"/>
                <w:szCs w:val="18"/>
                <w:lang w:val="sq-AL"/>
              </w:rPr>
              <w:t>Reduktimi i importeve të energjisë</w:t>
            </w:r>
          </w:p>
        </w:tc>
        <w:tc>
          <w:tcPr>
            <w:tcW w:w="1791" w:type="dxa"/>
          </w:tcPr>
          <w:p w14:paraId="13FDBDFB" w14:textId="52FAD5F1" w:rsidR="00877F0D" w:rsidRPr="00050FA4" w:rsidRDefault="00877F0D" w:rsidP="00C03C79">
            <w:pPr>
              <w:pStyle w:val="AAAAAAATEXXXX"/>
              <w:ind w:firstLine="0"/>
              <w:jc w:val="right"/>
              <w:rPr>
                <w:sz w:val="18"/>
                <w:szCs w:val="18"/>
                <w:lang w:val="sq-AL"/>
              </w:rPr>
            </w:pPr>
            <w:r w:rsidRPr="00050FA4">
              <w:rPr>
                <w:sz w:val="18"/>
                <w:szCs w:val="18"/>
                <w:lang w:val="sq-AL"/>
              </w:rPr>
              <w:t xml:space="preserve">1,143 </w:t>
            </w:r>
            <w:r w:rsidR="00C03C79" w:rsidRPr="00050FA4">
              <w:rPr>
                <w:sz w:val="18"/>
                <w:szCs w:val="18"/>
                <w:lang w:val="sq-AL"/>
              </w:rPr>
              <w:t>gwh</w:t>
            </w:r>
          </w:p>
        </w:tc>
        <w:tc>
          <w:tcPr>
            <w:tcW w:w="1791" w:type="dxa"/>
          </w:tcPr>
          <w:p w14:paraId="086DFE29" w14:textId="02D57E54" w:rsidR="00877F0D" w:rsidRPr="00050FA4" w:rsidRDefault="00877F0D" w:rsidP="00C03C79">
            <w:pPr>
              <w:pStyle w:val="AAAAAAATEXXXX"/>
              <w:ind w:firstLine="0"/>
              <w:jc w:val="right"/>
              <w:rPr>
                <w:sz w:val="18"/>
                <w:szCs w:val="18"/>
                <w:lang w:val="sq-AL"/>
              </w:rPr>
            </w:pPr>
            <w:r w:rsidRPr="00050FA4">
              <w:rPr>
                <w:sz w:val="18"/>
                <w:szCs w:val="18"/>
                <w:lang w:val="sq-AL"/>
              </w:rPr>
              <w:t xml:space="preserve">1,184 </w:t>
            </w:r>
            <w:r w:rsidR="00C03C79" w:rsidRPr="00050FA4">
              <w:rPr>
                <w:sz w:val="18"/>
                <w:szCs w:val="18"/>
                <w:lang w:val="sq-AL"/>
              </w:rPr>
              <w:t>gwh</w:t>
            </w:r>
          </w:p>
        </w:tc>
        <w:tc>
          <w:tcPr>
            <w:tcW w:w="1792" w:type="dxa"/>
          </w:tcPr>
          <w:p w14:paraId="7EBC124E" w14:textId="77777777" w:rsidR="00877F0D" w:rsidRPr="00050FA4" w:rsidRDefault="00877F0D" w:rsidP="00C03C79">
            <w:pPr>
              <w:pStyle w:val="AAAAAAATEXXXX"/>
              <w:ind w:firstLine="0"/>
              <w:jc w:val="right"/>
              <w:rPr>
                <w:sz w:val="18"/>
                <w:szCs w:val="18"/>
                <w:lang w:val="sq-AL"/>
              </w:rPr>
            </w:pPr>
          </w:p>
        </w:tc>
      </w:tr>
      <w:tr w:rsidR="00FA29AB" w:rsidRPr="00050FA4" w14:paraId="7ECE2E2C" w14:textId="77777777" w:rsidTr="00B83FA4">
        <w:trPr>
          <w:jc w:val="center"/>
        </w:trPr>
        <w:tc>
          <w:tcPr>
            <w:tcW w:w="4248" w:type="dxa"/>
          </w:tcPr>
          <w:p w14:paraId="638CF024" w14:textId="12912601" w:rsidR="00877F0D" w:rsidRPr="00050FA4" w:rsidRDefault="00877F0D" w:rsidP="00A95D23">
            <w:pPr>
              <w:pStyle w:val="AAAAAAATEXXXX"/>
              <w:ind w:firstLine="0"/>
              <w:rPr>
                <w:sz w:val="18"/>
                <w:szCs w:val="18"/>
                <w:lang w:val="sq-AL"/>
              </w:rPr>
            </w:pPr>
            <w:r w:rsidRPr="00050FA4">
              <w:rPr>
                <w:sz w:val="18"/>
                <w:szCs w:val="18"/>
                <w:lang w:val="sq-AL"/>
              </w:rPr>
              <w:t xml:space="preserve">Prodhimi </w:t>
            </w:r>
            <w:r w:rsidR="00643BAF" w:rsidRPr="00050FA4">
              <w:rPr>
                <w:sz w:val="18"/>
                <w:szCs w:val="18"/>
                <w:lang w:val="sq-AL"/>
              </w:rPr>
              <w:t>vendës</w:t>
            </w:r>
            <w:r w:rsidRPr="00050FA4">
              <w:rPr>
                <w:sz w:val="18"/>
                <w:szCs w:val="18"/>
                <w:lang w:val="sq-AL"/>
              </w:rPr>
              <w:t xml:space="preserve"> (KESH + HEC ekzistues + TC)</w:t>
            </w:r>
          </w:p>
        </w:tc>
        <w:tc>
          <w:tcPr>
            <w:tcW w:w="1791" w:type="dxa"/>
          </w:tcPr>
          <w:p w14:paraId="30E57AAF" w14:textId="1570FA80" w:rsidR="00877F0D" w:rsidRPr="00050FA4" w:rsidRDefault="00877F0D" w:rsidP="00C03C79">
            <w:pPr>
              <w:pStyle w:val="AAAAAAATEXXXX"/>
              <w:ind w:firstLine="0"/>
              <w:jc w:val="right"/>
              <w:rPr>
                <w:sz w:val="18"/>
                <w:szCs w:val="18"/>
                <w:lang w:val="sq-AL"/>
              </w:rPr>
            </w:pPr>
            <w:r w:rsidRPr="00050FA4">
              <w:rPr>
                <w:sz w:val="18"/>
                <w:szCs w:val="18"/>
                <w:lang w:val="sq-AL"/>
              </w:rPr>
              <w:t xml:space="preserve">6,730 </w:t>
            </w:r>
            <w:r w:rsidR="00C03C79" w:rsidRPr="00050FA4">
              <w:rPr>
                <w:sz w:val="18"/>
                <w:szCs w:val="18"/>
                <w:lang w:val="sq-AL"/>
              </w:rPr>
              <w:t>gwh</w:t>
            </w:r>
          </w:p>
        </w:tc>
        <w:tc>
          <w:tcPr>
            <w:tcW w:w="1791" w:type="dxa"/>
          </w:tcPr>
          <w:p w14:paraId="6EA04ABC" w14:textId="696D5A12" w:rsidR="00877F0D" w:rsidRPr="00050FA4" w:rsidRDefault="00877F0D" w:rsidP="00C03C79">
            <w:pPr>
              <w:pStyle w:val="AAAAAAATEXXXX"/>
              <w:ind w:firstLine="0"/>
              <w:jc w:val="right"/>
              <w:rPr>
                <w:sz w:val="18"/>
                <w:szCs w:val="18"/>
                <w:lang w:val="sq-AL"/>
              </w:rPr>
            </w:pPr>
            <w:r w:rsidRPr="00050FA4">
              <w:rPr>
                <w:sz w:val="18"/>
                <w:szCs w:val="18"/>
                <w:lang w:val="sq-AL"/>
              </w:rPr>
              <w:t xml:space="preserve">6,875 </w:t>
            </w:r>
            <w:r w:rsidR="00C03C79" w:rsidRPr="00050FA4">
              <w:rPr>
                <w:sz w:val="18"/>
                <w:szCs w:val="18"/>
                <w:lang w:val="sq-AL"/>
              </w:rPr>
              <w:t>gwh</w:t>
            </w:r>
          </w:p>
        </w:tc>
        <w:tc>
          <w:tcPr>
            <w:tcW w:w="1792" w:type="dxa"/>
          </w:tcPr>
          <w:p w14:paraId="16601339" w14:textId="77777777" w:rsidR="00877F0D" w:rsidRPr="00050FA4" w:rsidRDefault="00877F0D" w:rsidP="00C03C79">
            <w:pPr>
              <w:pStyle w:val="AAAAAAATEXXXX"/>
              <w:ind w:firstLine="0"/>
              <w:jc w:val="right"/>
              <w:rPr>
                <w:sz w:val="18"/>
                <w:szCs w:val="18"/>
                <w:lang w:val="sq-AL"/>
              </w:rPr>
            </w:pPr>
          </w:p>
        </w:tc>
      </w:tr>
      <w:tr w:rsidR="00FA29AB" w:rsidRPr="00050FA4" w14:paraId="40592CC1" w14:textId="77777777" w:rsidTr="00B83FA4">
        <w:trPr>
          <w:jc w:val="center"/>
        </w:trPr>
        <w:tc>
          <w:tcPr>
            <w:tcW w:w="4248" w:type="dxa"/>
          </w:tcPr>
          <w:p w14:paraId="6D1E6EE3" w14:textId="4749CB86" w:rsidR="00877F0D" w:rsidRPr="00050FA4" w:rsidRDefault="00877F0D" w:rsidP="00A95D23">
            <w:pPr>
              <w:pStyle w:val="AAAAAAATEXXXX"/>
              <w:ind w:firstLine="0"/>
              <w:rPr>
                <w:sz w:val="18"/>
                <w:szCs w:val="18"/>
                <w:lang w:val="sq-AL"/>
              </w:rPr>
            </w:pPr>
            <w:r w:rsidRPr="00050FA4">
              <w:rPr>
                <w:sz w:val="18"/>
                <w:szCs w:val="18"/>
                <w:lang w:val="sq-AL"/>
              </w:rPr>
              <w:t>Reduktim i humbjeve teknike dhe joteknike në rrjet</w:t>
            </w:r>
          </w:p>
        </w:tc>
        <w:tc>
          <w:tcPr>
            <w:tcW w:w="1791" w:type="dxa"/>
          </w:tcPr>
          <w:p w14:paraId="4390F041" w14:textId="7B0952A1" w:rsidR="00877F0D" w:rsidRPr="00050FA4" w:rsidRDefault="00877F0D" w:rsidP="00C03C79">
            <w:pPr>
              <w:pStyle w:val="AAAAAAATEXXXX"/>
              <w:ind w:firstLine="0"/>
              <w:jc w:val="right"/>
              <w:rPr>
                <w:sz w:val="18"/>
                <w:szCs w:val="18"/>
                <w:lang w:val="sq-AL"/>
              </w:rPr>
            </w:pPr>
            <w:r w:rsidRPr="00050FA4">
              <w:rPr>
                <w:sz w:val="18"/>
                <w:szCs w:val="18"/>
                <w:lang w:val="sq-AL"/>
              </w:rPr>
              <w:t>19.6%</w:t>
            </w:r>
            <w:r w:rsidRPr="00050FA4">
              <w:rPr>
                <w:rStyle w:val="FootnoteReference"/>
                <w:rFonts w:cstheme="majorBidi"/>
                <w:color w:val="0D0D0D" w:themeColor="text1" w:themeTint="F2"/>
                <w:sz w:val="18"/>
                <w:szCs w:val="18"/>
                <w:lang w:val="sq-AL"/>
              </w:rPr>
              <w:footnoteReference w:id="21"/>
            </w:r>
          </w:p>
        </w:tc>
        <w:tc>
          <w:tcPr>
            <w:tcW w:w="1791" w:type="dxa"/>
          </w:tcPr>
          <w:p w14:paraId="2A5DB5C5" w14:textId="239E614B" w:rsidR="00877F0D" w:rsidRPr="00050FA4" w:rsidRDefault="00877F0D" w:rsidP="00C03C79">
            <w:pPr>
              <w:pStyle w:val="AAAAAAATEXXXX"/>
              <w:ind w:firstLine="0"/>
              <w:jc w:val="right"/>
              <w:rPr>
                <w:sz w:val="18"/>
                <w:szCs w:val="18"/>
                <w:lang w:val="sq-AL"/>
              </w:rPr>
            </w:pPr>
            <w:r w:rsidRPr="00050FA4">
              <w:rPr>
                <w:sz w:val="18"/>
                <w:szCs w:val="18"/>
                <w:lang w:val="sq-AL"/>
              </w:rPr>
              <w:t>19.0-</w:t>
            </w:r>
          </w:p>
        </w:tc>
        <w:tc>
          <w:tcPr>
            <w:tcW w:w="1792" w:type="dxa"/>
          </w:tcPr>
          <w:p w14:paraId="68131D55" w14:textId="0E0734D8" w:rsidR="00877F0D" w:rsidRPr="00050FA4" w:rsidRDefault="00877F0D" w:rsidP="00C03C79">
            <w:pPr>
              <w:pStyle w:val="AAAAAAATEXXXX"/>
              <w:ind w:firstLine="0"/>
              <w:jc w:val="right"/>
              <w:rPr>
                <w:sz w:val="18"/>
                <w:szCs w:val="18"/>
                <w:lang w:val="sq-AL"/>
              </w:rPr>
            </w:pPr>
            <w:r w:rsidRPr="00050FA4">
              <w:rPr>
                <w:sz w:val="18"/>
                <w:szCs w:val="18"/>
                <w:lang w:val="sq-AL"/>
              </w:rPr>
              <w:t>18.5-</w:t>
            </w:r>
          </w:p>
        </w:tc>
      </w:tr>
      <w:tr w:rsidR="00FA29AB" w:rsidRPr="00050FA4" w14:paraId="5FBAEC11" w14:textId="77777777" w:rsidTr="00B83FA4">
        <w:trPr>
          <w:jc w:val="center"/>
        </w:trPr>
        <w:tc>
          <w:tcPr>
            <w:tcW w:w="4248" w:type="dxa"/>
          </w:tcPr>
          <w:p w14:paraId="3816D104" w14:textId="4582F798" w:rsidR="00877F0D" w:rsidRPr="00050FA4" w:rsidRDefault="00877F0D" w:rsidP="00A95D23">
            <w:pPr>
              <w:pStyle w:val="AAAAAAATEXXXX"/>
              <w:ind w:firstLine="0"/>
              <w:rPr>
                <w:sz w:val="18"/>
                <w:szCs w:val="18"/>
                <w:lang w:val="sq-AL"/>
              </w:rPr>
            </w:pPr>
            <w:r w:rsidRPr="00050FA4">
              <w:rPr>
                <w:sz w:val="18"/>
                <w:szCs w:val="18"/>
                <w:lang w:val="sq-AL"/>
              </w:rPr>
              <w:t>Rritja e arkëtimit të faturave</w:t>
            </w:r>
          </w:p>
        </w:tc>
        <w:tc>
          <w:tcPr>
            <w:tcW w:w="1791" w:type="dxa"/>
          </w:tcPr>
          <w:p w14:paraId="5E5D4551" w14:textId="4C6153BE" w:rsidR="00877F0D" w:rsidRPr="00050FA4" w:rsidRDefault="00877F0D" w:rsidP="00C03C79">
            <w:pPr>
              <w:pStyle w:val="AAAAAAATEXXXX"/>
              <w:ind w:firstLine="0"/>
              <w:jc w:val="right"/>
              <w:rPr>
                <w:sz w:val="18"/>
                <w:szCs w:val="18"/>
                <w:lang w:val="sq-AL"/>
              </w:rPr>
            </w:pPr>
            <w:r w:rsidRPr="00050FA4">
              <w:rPr>
                <w:sz w:val="18"/>
                <w:szCs w:val="18"/>
                <w:lang w:val="sq-AL"/>
              </w:rPr>
              <w:t>95 %</w:t>
            </w:r>
            <w:r w:rsidRPr="00050FA4">
              <w:rPr>
                <w:rStyle w:val="FootnoteReference"/>
                <w:rFonts w:cstheme="majorBidi"/>
                <w:color w:val="0D0D0D" w:themeColor="text1" w:themeTint="F2"/>
                <w:sz w:val="18"/>
                <w:szCs w:val="18"/>
                <w:lang w:val="sq-AL"/>
              </w:rPr>
              <w:footnoteReference w:id="22"/>
            </w:r>
          </w:p>
        </w:tc>
        <w:tc>
          <w:tcPr>
            <w:tcW w:w="1791" w:type="dxa"/>
          </w:tcPr>
          <w:p w14:paraId="3B391D7A" w14:textId="58E5FDC9" w:rsidR="00877F0D" w:rsidRPr="00050FA4" w:rsidRDefault="00877F0D" w:rsidP="00C03C79">
            <w:pPr>
              <w:pStyle w:val="AAAAAAATEXXXX"/>
              <w:ind w:firstLine="0"/>
              <w:jc w:val="right"/>
              <w:rPr>
                <w:sz w:val="18"/>
                <w:szCs w:val="18"/>
                <w:lang w:val="sq-AL"/>
              </w:rPr>
            </w:pPr>
            <w:r w:rsidRPr="00050FA4">
              <w:rPr>
                <w:sz w:val="18"/>
                <w:szCs w:val="18"/>
                <w:lang w:val="sq-AL"/>
              </w:rPr>
              <w:t>-</w:t>
            </w:r>
          </w:p>
        </w:tc>
        <w:tc>
          <w:tcPr>
            <w:tcW w:w="1792" w:type="dxa"/>
          </w:tcPr>
          <w:p w14:paraId="192C9E20" w14:textId="0A45F964" w:rsidR="00877F0D" w:rsidRPr="00050FA4" w:rsidRDefault="00877F0D" w:rsidP="00C03C79">
            <w:pPr>
              <w:pStyle w:val="AAAAAAATEXXXX"/>
              <w:ind w:firstLine="0"/>
              <w:jc w:val="right"/>
              <w:rPr>
                <w:sz w:val="18"/>
                <w:szCs w:val="18"/>
                <w:lang w:val="sq-AL"/>
              </w:rPr>
            </w:pPr>
            <w:r w:rsidRPr="00050FA4">
              <w:rPr>
                <w:sz w:val="18"/>
                <w:szCs w:val="18"/>
                <w:lang w:val="sq-AL"/>
              </w:rPr>
              <w:t>-</w:t>
            </w:r>
          </w:p>
        </w:tc>
      </w:tr>
    </w:tbl>
    <w:p w14:paraId="3F0BF950" w14:textId="77777777" w:rsidR="00CB4F25" w:rsidRPr="00050FA4" w:rsidRDefault="00CB4F25" w:rsidP="003F1DA7">
      <w:pPr>
        <w:pStyle w:val="AAAAAAATEXXXX"/>
        <w:rPr>
          <w:lang w:val="sq-AL"/>
        </w:rPr>
      </w:pPr>
    </w:p>
    <w:p w14:paraId="66187246" w14:textId="74673E12" w:rsidR="00080139" w:rsidRPr="00050FA4" w:rsidRDefault="00516ACC" w:rsidP="003F1DA7">
      <w:pPr>
        <w:pStyle w:val="AAAAAAATEXXXX"/>
        <w:rPr>
          <w:lang w:val="sq-AL"/>
        </w:rPr>
      </w:pPr>
      <w:r w:rsidRPr="00050FA4">
        <w:rPr>
          <w:lang w:val="sq-AL"/>
        </w:rPr>
        <w:t xml:space="preserve">3. </w:t>
      </w:r>
      <w:r w:rsidR="00B2062A" w:rsidRPr="00050FA4">
        <w:rPr>
          <w:lang w:val="sq-AL"/>
        </w:rPr>
        <w:t>Ndikimi i pritshëm në konkurrueshmëri</w:t>
      </w:r>
    </w:p>
    <w:p w14:paraId="0FF43048" w14:textId="5EE1AE4C" w:rsidR="00877F0D" w:rsidRPr="00050FA4" w:rsidRDefault="00877F0D" w:rsidP="003F1DA7">
      <w:pPr>
        <w:pStyle w:val="AAAAAAATEXXXX"/>
        <w:rPr>
          <w:lang w:val="sq-AL" w:eastAsia="x-none"/>
        </w:rPr>
      </w:pPr>
      <w:r w:rsidRPr="00050FA4">
        <w:rPr>
          <w:lang w:val="sq-AL"/>
        </w:rPr>
        <w:t>Forcon lidhjet e ndërlidhjes me rrjetin rajonal të energjisë elektrike, duke krijuar kushte për shkëmbime tregtare dhe tranzit të pakufizuar të energjisë elektrike në rajon. Liberalizimi i mëtejshëm i tregut të energjisë, i cili do të çojë në decentralizimin e sistemit energjetik, do të ketë ndikime të drejtpërdrejta pozitive në konkurrueshmëri duke mundësuar pjesëmarrjen e operatorëve privatë në tregun e energjisë elektrike dhe do të rrisë cilësinë e furnizimit. Kjo masë reformuese do të rrisë ndjeshëm investimet dhe do të kontribuojë në punësimin dhe konkurrueshmërinë e vendeve të punës, si dhe do të lejojë uljen e kostos së energjisë për konsumatorët.</w:t>
      </w:r>
    </w:p>
    <w:p w14:paraId="43524C8E" w14:textId="5DBFFDDB" w:rsidR="00080139" w:rsidRPr="00050FA4" w:rsidRDefault="00516ACC"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65FD4C4D" w14:textId="15D58093" w:rsidR="00877F0D" w:rsidRPr="00050FA4" w:rsidRDefault="00877F0D" w:rsidP="003F1DA7">
      <w:pPr>
        <w:pStyle w:val="AAAAAAATEXXXX"/>
        <w:rPr>
          <w:lang w:val="sq-AL"/>
        </w:rPr>
      </w:pPr>
      <w:r w:rsidRPr="00050FA4">
        <w:rPr>
          <w:lang w:val="sq-AL"/>
        </w:rPr>
        <w:t>Nuk ka ndikim të drejtpërdrejtë në buxhetin e shtetit, por investimet në rrjetin e shpërndarjes/transmetimit dhe prodhimin e energjisë elektrike janë të përcaktuara në programet e zhvillimit të kompanive (KESH, OST dhe OSHEE). Në mbështetje të kësaj pike, kostoja e parashikuar për përfundimin e linjës së interkoneksionit 400 kV Elbasan (Shqipëri) – Manastir (RNM), pjesa e Shqipërisë është 70 milionë euro e financuar në vlerën 50 milionë euro nga një kredi e huaj; 15 milionë euro nga granti dhe 5 milionë euro nga OST sh.a</w:t>
      </w:r>
      <w:r w:rsidR="00CA688A" w:rsidRPr="00050FA4">
        <w:rPr>
          <w:lang w:val="sq-AL"/>
        </w:rPr>
        <w:t>.</w:t>
      </w:r>
      <w:r w:rsidRPr="00050FA4">
        <w:rPr>
          <w:lang w:val="sq-AL"/>
        </w:rPr>
        <w:t xml:space="preserve"> (përfshirë TVSH).</w:t>
      </w:r>
    </w:p>
    <w:p w14:paraId="279CC075" w14:textId="23698AD8" w:rsidR="00080139" w:rsidRPr="00050FA4" w:rsidRDefault="00516ACC"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35ED4DE9" w14:textId="0B1E795D" w:rsidR="00877F0D" w:rsidRPr="00050FA4" w:rsidRDefault="00877F0D" w:rsidP="003F1DA7">
      <w:pPr>
        <w:pStyle w:val="AAAAAAATEXXXX"/>
        <w:rPr>
          <w:lang w:val="sq-AL"/>
        </w:rPr>
      </w:pPr>
      <w:r w:rsidRPr="00050FA4">
        <w:rPr>
          <w:lang w:val="sq-AL"/>
        </w:rPr>
        <w:t>Kjo masë reformuese kontribuon në punësimin e vendeve të punës dhe konkurrencën dhe do të lejojë gjithashtu uljen e kostos së energjisë për konsumatorët. Kjo masë reformuese do të kontribuojë në mënyrë indirekte në krijimin e vendeve të punës duke siguruar furnizim të besueshëm me energji me nivele të arsyeshme çmimesh dhe si rrjedhim stimulon mjedisin e përgjithshëm të biznesit dhe e bën sektorin më tërheqës për investitorët. Është një masë reforme neutrale ndaj gjinisë.</w:t>
      </w:r>
    </w:p>
    <w:p w14:paraId="5E605EEA" w14:textId="230050F2" w:rsidR="00080139" w:rsidRPr="00050FA4" w:rsidRDefault="00516ACC"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28CF001E" w14:textId="5003D4B6" w:rsidR="00877F0D" w:rsidRPr="00050FA4" w:rsidRDefault="00877F0D" w:rsidP="003F1DA7">
      <w:pPr>
        <w:pStyle w:val="AAAAAAATEXXXX"/>
        <w:rPr>
          <w:lang w:val="sq-AL"/>
        </w:rPr>
      </w:pPr>
      <w:r w:rsidRPr="00050FA4">
        <w:rPr>
          <w:lang w:val="sq-AL"/>
        </w:rPr>
        <w:t>Duke marrë parasysh llojin e reformës, ndikimi në mjedis është i papërfillshëm.</w:t>
      </w:r>
    </w:p>
    <w:p w14:paraId="1CE9DDFA" w14:textId="466E50C4" w:rsidR="00080139" w:rsidRPr="00050FA4" w:rsidRDefault="00516ACC" w:rsidP="003F1DA7">
      <w:pPr>
        <w:pStyle w:val="AAAAAAATEXXXX"/>
        <w:rPr>
          <w:lang w:val="sq-AL"/>
        </w:rPr>
      </w:pPr>
      <w:r w:rsidRPr="00050FA4">
        <w:rPr>
          <w:lang w:val="sq-AL"/>
        </w:rPr>
        <w:t>7</w:t>
      </w:r>
      <w:r w:rsidR="004B09D6" w:rsidRPr="00050FA4">
        <w:rPr>
          <w:lang w:val="sq-AL"/>
        </w:rPr>
        <w:t>.</w:t>
      </w:r>
      <w:r w:rsidRPr="00050FA4">
        <w:rPr>
          <w:lang w:val="sq-AL"/>
        </w:rPr>
        <w:t xml:space="preserve"> </w:t>
      </w:r>
      <w:r w:rsidR="00B2062A" w:rsidRPr="00050FA4">
        <w:rPr>
          <w:lang w:val="sq-AL"/>
        </w:rPr>
        <w:t>Rreziqet e mundshme</w:t>
      </w:r>
    </w:p>
    <w:p w14:paraId="3AB2369C" w14:textId="77777777" w:rsidR="004B09D6" w:rsidRPr="00050FA4" w:rsidRDefault="004B09D6" w:rsidP="003F1DA7">
      <w:pPr>
        <w:pStyle w:val="AAAAAAATEXXXX"/>
        <w:rPr>
          <w:lang w:val="sq-AL"/>
        </w:rPr>
      </w:pPr>
    </w:p>
    <w:p w14:paraId="61E5C2C8" w14:textId="77777777" w:rsidR="004B09D6" w:rsidRPr="00050FA4" w:rsidRDefault="004B09D6" w:rsidP="003F1DA7">
      <w:pPr>
        <w:pStyle w:val="AAAAAAATEXXXX"/>
        <w:rPr>
          <w:lang w:val="sq-AL"/>
        </w:rPr>
      </w:pPr>
    </w:p>
    <w:tbl>
      <w:tblPr>
        <w:tblStyle w:val="TableGrid"/>
        <w:tblW w:w="0" w:type="auto"/>
        <w:tblLook w:val="04A0" w:firstRow="1" w:lastRow="0" w:firstColumn="1" w:lastColumn="0" w:noHBand="0" w:noVBand="1"/>
      </w:tblPr>
      <w:tblGrid>
        <w:gridCol w:w="3605"/>
        <w:gridCol w:w="1402"/>
        <w:gridCol w:w="5109"/>
      </w:tblGrid>
      <w:tr w:rsidR="00FA29AB" w:rsidRPr="00050FA4" w14:paraId="109AD1C9" w14:textId="77777777" w:rsidTr="00877F0D">
        <w:tc>
          <w:tcPr>
            <w:tcW w:w="3681" w:type="dxa"/>
          </w:tcPr>
          <w:p w14:paraId="3F47C544" w14:textId="285BF05C" w:rsidR="00877F0D" w:rsidRPr="00050FA4" w:rsidRDefault="00877F0D" w:rsidP="00C03C79">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lastRenderedPageBreak/>
              <w:t>Rreziku</w:t>
            </w:r>
          </w:p>
        </w:tc>
        <w:tc>
          <w:tcPr>
            <w:tcW w:w="1417" w:type="dxa"/>
          </w:tcPr>
          <w:p w14:paraId="547233C2" w14:textId="77777777" w:rsidR="00C03C79" w:rsidRPr="00050FA4" w:rsidRDefault="00877F0D" w:rsidP="00C03C79">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 xml:space="preserve">Mundësia </w:t>
            </w:r>
          </w:p>
          <w:p w14:paraId="3F67A967" w14:textId="3C3875B7" w:rsidR="00877F0D" w:rsidRPr="00050FA4" w:rsidRDefault="00877F0D" w:rsidP="00C03C79">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(e ulët, e lartë)</w:t>
            </w:r>
          </w:p>
        </w:tc>
        <w:tc>
          <w:tcPr>
            <w:tcW w:w="5245" w:type="dxa"/>
          </w:tcPr>
          <w:p w14:paraId="304A6C7A" w14:textId="2F756C0D" w:rsidR="00877F0D" w:rsidRPr="00050FA4" w:rsidRDefault="00877F0D" w:rsidP="00C03C79">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10880566" w14:textId="77777777" w:rsidTr="00877F0D">
        <w:tc>
          <w:tcPr>
            <w:tcW w:w="3681" w:type="dxa"/>
          </w:tcPr>
          <w:p w14:paraId="1E6ED2D4" w14:textId="31ED8801" w:rsidR="00877F0D" w:rsidRPr="00050FA4" w:rsidRDefault="00877F0D" w:rsidP="00A95D23">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Pengesat mund të lindin gjatë procesit të shpronësimit, prokurimit dhe licencimit për</w:t>
            </w:r>
            <w:r w:rsidR="00942FCF" w:rsidRPr="00050FA4">
              <w:rPr>
                <w:rFonts w:ascii="Garamond" w:hAnsi="Garamond" w:cstheme="majorBidi"/>
                <w:color w:val="0D0D0D" w:themeColor="text1" w:themeTint="F2"/>
                <w:sz w:val="18"/>
                <w:szCs w:val="18"/>
              </w:rPr>
              <w:t xml:space="preserve"> projektin e linjës së interkon</w:t>
            </w:r>
            <w:r w:rsidRPr="00050FA4">
              <w:rPr>
                <w:rFonts w:ascii="Garamond" w:hAnsi="Garamond" w:cstheme="majorBidi"/>
                <w:color w:val="0D0D0D" w:themeColor="text1" w:themeTint="F2"/>
                <w:sz w:val="18"/>
                <w:szCs w:val="18"/>
              </w:rPr>
              <w:t xml:space="preserve">eksionit 400 kV ndërmjet Shqipërisë </w:t>
            </w:r>
            <w:r w:rsidR="00942FCF" w:rsidRPr="00050FA4">
              <w:rPr>
                <w:rFonts w:ascii="Garamond" w:hAnsi="Garamond" w:cstheme="majorBidi"/>
                <w:color w:val="0D0D0D" w:themeColor="text1" w:themeTint="F2"/>
                <w:sz w:val="18"/>
                <w:szCs w:val="18"/>
              </w:rPr>
              <w:t>dhe RNM, si dhe pengesa teknike</w:t>
            </w:r>
          </w:p>
        </w:tc>
        <w:tc>
          <w:tcPr>
            <w:tcW w:w="1417" w:type="dxa"/>
          </w:tcPr>
          <w:p w14:paraId="1C9ADB72" w14:textId="7FE71B96"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Mesatar</w:t>
            </w:r>
          </w:p>
        </w:tc>
        <w:tc>
          <w:tcPr>
            <w:tcW w:w="5245" w:type="dxa"/>
          </w:tcPr>
          <w:p w14:paraId="00774C2A" w14:textId="601A50E3"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Monitorim, vlerësim dhe koordinim më i mirë me të gjitha palët e interesuara në të gjitha fazat e projektit. Rritja e rëndësisë së masës së reformës.</w:t>
            </w:r>
          </w:p>
        </w:tc>
      </w:tr>
      <w:tr w:rsidR="00FA29AB" w:rsidRPr="00050FA4" w14:paraId="4902FA64" w14:textId="77777777" w:rsidTr="00877F0D">
        <w:tc>
          <w:tcPr>
            <w:tcW w:w="3681" w:type="dxa"/>
          </w:tcPr>
          <w:p w14:paraId="4D43CBBB" w14:textId="6C9DF6FE"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Mungesa e kapaciteteve dhe koordinimit ndërmjet institucioneve</w:t>
            </w:r>
          </w:p>
        </w:tc>
        <w:tc>
          <w:tcPr>
            <w:tcW w:w="1417" w:type="dxa"/>
          </w:tcPr>
          <w:p w14:paraId="3CEBAF2F" w14:textId="03196903"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I ulët</w:t>
            </w:r>
          </w:p>
        </w:tc>
        <w:tc>
          <w:tcPr>
            <w:tcW w:w="5245" w:type="dxa"/>
          </w:tcPr>
          <w:p w14:paraId="64C6CFC8" w14:textId="00DE3996"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Monitorim, vlerësim dhe koordinim më i mirë me të gjitha palët e interesuara.</w:t>
            </w:r>
          </w:p>
        </w:tc>
      </w:tr>
      <w:tr w:rsidR="00FA29AB" w:rsidRPr="00050FA4" w14:paraId="1F74CB69" w14:textId="77777777" w:rsidTr="00877F0D">
        <w:tc>
          <w:tcPr>
            <w:tcW w:w="3681" w:type="dxa"/>
          </w:tcPr>
          <w:p w14:paraId="124CA1E0" w14:textId="6348807F" w:rsidR="00877F0D" w:rsidRPr="00050FA4" w:rsidRDefault="00877F0D" w:rsidP="00CA688A">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Pengesat mund të lindin gjatë procesit të shpronësimit, prokurimit dhe licencimit për projektin e linjës së interkoneksionit 400 kV ndërmjet Shqipërisë </w:t>
            </w:r>
            <w:r w:rsidR="00942FCF" w:rsidRPr="00050FA4">
              <w:rPr>
                <w:rFonts w:ascii="Garamond" w:hAnsi="Garamond" w:cstheme="majorBidi"/>
                <w:color w:val="0D0D0D" w:themeColor="text1" w:themeTint="F2"/>
                <w:sz w:val="18"/>
                <w:szCs w:val="18"/>
              </w:rPr>
              <w:t>dhe RNM, si dhe pengesa teknike</w:t>
            </w:r>
          </w:p>
        </w:tc>
        <w:tc>
          <w:tcPr>
            <w:tcW w:w="1417" w:type="dxa"/>
          </w:tcPr>
          <w:p w14:paraId="20EAD629" w14:textId="7653BFF5"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Mesatar</w:t>
            </w:r>
          </w:p>
        </w:tc>
        <w:tc>
          <w:tcPr>
            <w:tcW w:w="5245" w:type="dxa"/>
          </w:tcPr>
          <w:p w14:paraId="30E1BB7A" w14:textId="05F80B99" w:rsidR="00877F0D" w:rsidRPr="00050FA4" w:rsidRDefault="00877F0D" w:rsidP="00A95D23">
            <w:pPr>
              <w:snapToGrid w:val="0"/>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Monitorim, vlerësim dhe koordinim më i mirë me të gjitha palët e interesuara në të gjitha fazat e projektit. Rritja e rëndësisë së masës së reformës.</w:t>
            </w:r>
          </w:p>
        </w:tc>
      </w:tr>
    </w:tbl>
    <w:p w14:paraId="1540E5C7" w14:textId="77777777" w:rsidR="00CB4F25" w:rsidRPr="00050FA4" w:rsidRDefault="00CB4F25" w:rsidP="003F1DA7">
      <w:pPr>
        <w:pStyle w:val="Heading5"/>
        <w:snapToGrid w:val="0"/>
        <w:ind w:left="0" w:firstLine="284"/>
        <w:rPr>
          <w:rFonts w:ascii="Garamond" w:hAnsi="Garamond" w:cstheme="majorBidi"/>
          <w:i w:val="0"/>
          <w:color w:val="0D0D0D" w:themeColor="text1" w:themeTint="F2"/>
          <w:sz w:val="24"/>
          <w:szCs w:val="24"/>
        </w:rPr>
      </w:pPr>
    </w:p>
    <w:p w14:paraId="0EFB7B79" w14:textId="6BC615D3" w:rsidR="00080139" w:rsidRPr="00050FA4" w:rsidRDefault="00B2062A" w:rsidP="003F1DA7">
      <w:pPr>
        <w:pStyle w:val="Heading5"/>
        <w:snapToGrid w:val="0"/>
        <w:ind w:left="0" w:firstLine="284"/>
        <w:rPr>
          <w:rFonts w:ascii="Garamond" w:hAnsi="Garamond" w:cstheme="majorBidi"/>
          <w:i w:val="0"/>
          <w:color w:val="0D0D0D" w:themeColor="text1" w:themeTint="F2"/>
          <w:sz w:val="24"/>
          <w:szCs w:val="24"/>
        </w:rPr>
      </w:pPr>
      <w:r w:rsidRPr="00050FA4">
        <w:rPr>
          <w:rFonts w:ascii="Garamond" w:hAnsi="Garamond" w:cstheme="majorBidi"/>
          <w:i w:val="0"/>
          <w:color w:val="0D0D0D" w:themeColor="text1" w:themeTint="F2"/>
          <w:sz w:val="24"/>
          <w:szCs w:val="24"/>
        </w:rPr>
        <w:t>Masa e reformës</w:t>
      </w:r>
      <w:r w:rsidR="005358F8" w:rsidRPr="00050FA4">
        <w:rPr>
          <w:rFonts w:ascii="Garamond" w:hAnsi="Garamond" w:cstheme="majorBidi"/>
          <w:i w:val="0"/>
          <w:color w:val="0D0D0D" w:themeColor="text1" w:themeTint="F2"/>
          <w:sz w:val="24"/>
          <w:szCs w:val="24"/>
        </w:rPr>
        <w:t xml:space="preserve"> 14</w:t>
      </w:r>
      <w:r w:rsidR="00080139" w:rsidRPr="00050FA4">
        <w:rPr>
          <w:rFonts w:ascii="Garamond" w:hAnsi="Garamond" w:cstheme="majorBidi"/>
          <w:i w:val="0"/>
          <w:color w:val="0D0D0D" w:themeColor="text1" w:themeTint="F2"/>
          <w:sz w:val="24"/>
          <w:szCs w:val="24"/>
        </w:rPr>
        <w:t xml:space="preserve">: </w:t>
      </w:r>
      <w:r w:rsidR="00877F0D" w:rsidRPr="00050FA4">
        <w:rPr>
          <w:rFonts w:ascii="Garamond" w:hAnsi="Garamond" w:cstheme="majorBidi"/>
          <w:i w:val="0"/>
          <w:color w:val="0D0D0D" w:themeColor="text1" w:themeTint="F2"/>
          <w:sz w:val="24"/>
          <w:szCs w:val="24"/>
        </w:rPr>
        <w:t>Diversifikimi i burimeve të energjisë përmes promovimit të burimeve të rinovueshme të energjisë dhe përmirësimeve të efi</w:t>
      </w:r>
      <w:r w:rsidR="00CA688A" w:rsidRPr="00050FA4">
        <w:rPr>
          <w:rFonts w:ascii="Garamond" w:hAnsi="Garamond" w:cstheme="majorBidi"/>
          <w:i w:val="0"/>
          <w:color w:val="0D0D0D" w:themeColor="text1" w:themeTint="F2"/>
          <w:sz w:val="24"/>
          <w:szCs w:val="24"/>
        </w:rPr>
        <w:t>ci</w:t>
      </w:r>
      <w:r w:rsidR="00877F0D" w:rsidRPr="00050FA4">
        <w:rPr>
          <w:rFonts w:ascii="Garamond" w:hAnsi="Garamond" w:cstheme="majorBidi"/>
          <w:i w:val="0"/>
          <w:color w:val="0D0D0D" w:themeColor="text1" w:themeTint="F2"/>
          <w:sz w:val="24"/>
          <w:szCs w:val="24"/>
        </w:rPr>
        <w:t>encës së energjisë</w:t>
      </w:r>
    </w:p>
    <w:p w14:paraId="60BC8FAC" w14:textId="07FA93B7" w:rsidR="00080139" w:rsidRPr="00050FA4" w:rsidRDefault="00516ACC" w:rsidP="003F1DA7">
      <w:pPr>
        <w:pStyle w:val="AAAAAAATEXXXX"/>
        <w:rPr>
          <w:lang w:val="sq-AL"/>
        </w:rPr>
      </w:pPr>
      <w:r w:rsidRPr="00050FA4">
        <w:rPr>
          <w:lang w:val="sq-AL"/>
        </w:rPr>
        <w:t xml:space="preserve">1. </w:t>
      </w:r>
      <w:r w:rsidR="00B2062A" w:rsidRPr="00050FA4">
        <w:rPr>
          <w:lang w:val="sq-AL"/>
        </w:rPr>
        <w:t>Përshkrimi i masës</w:t>
      </w:r>
    </w:p>
    <w:p w14:paraId="7EC0184C" w14:textId="7C29A20C" w:rsidR="00877F0D" w:rsidRPr="00050FA4" w:rsidRDefault="00877F0D" w:rsidP="003F1DA7">
      <w:pPr>
        <w:pStyle w:val="AAAAAAATEXXXX"/>
        <w:rPr>
          <w:lang w:val="sq-AL"/>
        </w:rPr>
      </w:pPr>
      <w:r w:rsidRPr="00050FA4">
        <w:rPr>
          <w:lang w:val="sq-AL"/>
        </w:rPr>
        <w:t>Kjo masë reformuese synon të kontribuojë në diversifikimin e burimeve nëpërmjet nxitjes së prodhimit të energjisë së rinovueshme përtej përmirësimeve të hidrocentraleve dhe efi</w:t>
      </w:r>
      <w:r w:rsidR="00CA688A" w:rsidRPr="00050FA4">
        <w:rPr>
          <w:lang w:val="sq-AL"/>
        </w:rPr>
        <w:t>ci</w:t>
      </w:r>
      <w:r w:rsidRPr="00050FA4">
        <w:rPr>
          <w:lang w:val="sq-AL"/>
        </w:rPr>
        <w:t>encës së energjisë, si një mjet i rëndësishëm i politikave energjetike të Shqipërisë, për rritjen e sigurisë në furnizimin me energji, në mënyrë të qëndrueshme. dhe miqësore me mjedisin.</w:t>
      </w:r>
    </w:p>
    <w:p w14:paraId="2A711359" w14:textId="744F61BC" w:rsidR="00877F0D" w:rsidRPr="00050FA4" w:rsidRDefault="00877F0D" w:rsidP="003F1DA7">
      <w:pPr>
        <w:pStyle w:val="AAAAAAATEXXXX"/>
        <w:rPr>
          <w:lang w:val="sq-AL"/>
        </w:rPr>
      </w:pPr>
      <w:r w:rsidRPr="00050FA4">
        <w:rPr>
          <w:lang w:val="sq-AL"/>
        </w:rPr>
        <w:t>Masa është në përputhje me Politikën Energjetike të Shqipërisë, Strategjinë Kombëtare për Zhvillim dhe Integrim (2015</w:t>
      </w:r>
      <w:r w:rsidR="00942FCF" w:rsidRPr="00050FA4">
        <w:rPr>
          <w:lang w:val="sq-AL"/>
        </w:rPr>
        <w:t>–</w:t>
      </w:r>
      <w:r w:rsidRPr="00050FA4">
        <w:rPr>
          <w:lang w:val="sq-AL"/>
        </w:rPr>
        <w:t>2020), Strategjinë Kombëtare të Energjisë (2018</w:t>
      </w:r>
      <w:r w:rsidR="00C03C79" w:rsidRPr="00050FA4">
        <w:rPr>
          <w:lang w:val="sq-AL"/>
        </w:rPr>
        <w:t>–</w:t>
      </w:r>
      <w:r w:rsidRPr="00050FA4">
        <w:rPr>
          <w:lang w:val="sq-AL"/>
        </w:rPr>
        <w:t>2030), marrëveshjet ndërkombëtare (Marrëveshja e Parisit, UNFCCC etj.), Plani aktual Kombëtar i Veprimit për burimet e rinovueshme. Burimet e Energjisë (2019</w:t>
      </w:r>
      <w:r w:rsidR="00C03C79" w:rsidRPr="00050FA4">
        <w:rPr>
          <w:lang w:val="sq-AL"/>
        </w:rPr>
        <w:t>–</w:t>
      </w:r>
      <w:r w:rsidRPr="00050FA4">
        <w:rPr>
          <w:lang w:val="sq-AL"/>
        </w:rPr>
        <w:t>2020), dhe Plani Kombëtar i Veprimit për Efi</w:t>
      </w:r>
      <w:r w:rsidR="00CA688A" w:rsidRPr="00050FA4">
        <w:rPr>
          <w:lang w:val="sq-AL"/>
        </w:rPr>
        <w:t>ci</w:t>
      </w:r>
      <w:r w:rsidRPr="00050FA4">
        <w:rPr>
          <w:lang w:val="sq-AL"/>
        </w:rPr>
        <w:t xml:space="preserve">encën e </w:t>
      </w:r>
      <w:r w:rsidR="00C03C79" w:rsidRPr="00050FA4">
        <w:rPr>
          <w:lang w:val="sq-AL"/>
        </w:rPr>
        <w:t>Energjisë së Shqipërisë (2017–</w:t>
      </w:r>
      <w:r w:rsidRPr="00050FA4">
        <w:rPr>
          <w:lang w:val="sq-AL"/>
        </w:rPr>
        <w:t>2020).</w:t>
      </w:r>
    </w:p>
    <w:p w14:paraId="4EFFFAFF" w14:textId="3564F3DC" w:rsidR="00877F0D" w:rsidRPr="00050FA4" w:rsidRDefault="00877F0D" w:rsidP="003F1DA7">
      <w:pPr>
        <w:pStyle w:val="AAAAAAATEXXXX"/>
        <w:rPr>
          <w:lang w:val="sq-AL"/>
        </w:rPr>
      </w:pPr>
      <w:r w:rsidRPr="00050FA4">
        <w:rPr>
          <w:lang w:val="sq-AL"/>
        </w:rPr>
        <w:t>Krijimi i ALPEX</w:t>
      </w:r>
      <w:r w:rsidR="00942FCF" w:rsidRPr="00050FA4">
        <w:rPr>
          <w:lang w:val="sq-AL"/>
        </w:rPr>
        <w:t>-it</w:t>
      </w:r>
      <w:r w:rsidRPr="00050FA4">
        <w:rPr>
          <w:lang w:val="sq-AL"/>
        </w:rPr>
        <w:t xml:space="preserve"> (Tregut të </w:t>
      </w:r>
      <w:r w:rsidR="00942FCF" w:rsidRPr="00050FA4">
        <w:rPr>
          <w:lang w:val="sq-AL"/>
        </w:rPr>
        <w:t>Shkëmbimit të Energjisë</w:t>
      </w:r>
      <w:r w:rsidRPr="00050FA4">
        <w:rPr>
          <w:lang w:val="sq-AL"/>
        </w:rPr>
        <w:t>) dhe funksionimi i tij do të ndryshojë marrëdhëniet ndërmjet pjesëmarrësve të tregut duke shmangur marrëdhëniet dypalëshe mes tyre. Në këtë kuadër, çdo kompani që operon në tregun e energjisë bazuar në licencën përkatëse të marrë nga ERE do të shesë ose blejë produktin e saj nëpërmjet tregut të këmbimit i cili orienton çmimet që nuk do të jenë fikse por bazuar në tregun e liberalizuar (tregu i BE-së) dhe për rrjedhojë do të kontribuojë në rritjen e konkurrencës mes tyre.</w:t>
      </w:r>
    </w:p>
    <w:p w14:paraId="4D4CF548" w14:textId="092D8489" w:rsidR="00877F0D" w:rsidRPr="00050FA4" w:rsidRDefault="00877F0D" w:rsidP="003F1DA7">
      <w:pPr>
        <w:pStyle w:val="AAAAAAATEXXXX"/>
        <w:rPr>
          <w:lang w:val="sq-AL"/>
        </w:rPr>
      </w:pPr>
      <w:r w:rsidRPr="00050FA4">
        <w:rPr>
          <w:lang w:val="sq-AL"/>
        </w:rPr>
        <w:t xml:space="preserve">Për më tepër, në kuadër të kësaj reforme janë bërë përpjekje të mëtejshme për të kaluar nga skemat ekzistuese </w:t>
      </w:r>
      <w:r w:rsidR="008A0E5B" w:rsidRPr="00050FA4">
        <w:rPr>
          <w:i/>
          <w:lang w:val="sq-AL"/>
        </w:rPr>
        <w:t>“</w:t>
      </w:r>
      <w:r w:rsidRPr="00050FA4">
        <w:rPr>
          <w:i/>
          <w:lang w:val="sq-AL"/>
        </w:rPr>
        <w:t>Feed-in-Tariff</w:t>
      </w:r>
      <w:r w:rsidR="008A0E5B" w:rsidRPr="00050FA4">
        <w:rPr>
          <w:i/>
          <w:lang w:val="sq-AL"/>
        </w:rPr>
        <w:t>”</w:t>
      </w:r>
      <w:r w:rsidRPr="00050FA4">
        <w:rPr>
          <w:lang w:val="sq-AL"/>
        </w:rPr>
        <w:t xml:space="preserve"> (FiT) në </w:t>
      </w:r>
      <w:r w:rsidR="008A0E5B" w:rsidRPr="00050FA4">
        <w:rPr>
          <w:i/>
          <w:lang w:val="sq-AL"/>
        </w:rPr>
        <w:t>“</w:t>
      </w:r>
      <w:r w:rsidRPr="00050FA4">
        <w:rPr>
          <w:i/>
          <w:lang w:val="sq-AL"/>
        </w:rPr>
        <w:t>Feed-in-Premium</w:t>
      </w:r>
      <w:r w:rsidR="008A0E5B" w:rsidRPr="00050FA4">
        <w:rPr>
          <w:i/>
          <w:lang w:val="sq-AL"/>
        </w:rPr>
        <w:t>”</w:t>
      </w:r>
      <w:r w:rsidRPr="00050FA4">
        <w:rPr>
          <w:lang w:val="sq-AL"/>
        </w:rPr>
        <w:t xml:space="preserve"> (tarifa FiP) që në thelb konsistojnë në transformimin e FiT në kontratë për </w:t>
      </w:r>
      <w:r w:rsidR="00942FCF" w:rsidRPr="00050FA4">
        <w:rPr>
          <w:lang w:val="sq-AL"/>
        </w:rPr>
        <w:t xml:space="preserve">diferenca </w:t>
      </w:r>
      <w:r w:rsidRPr="00050FA4">
        <w:rPr>
          <w:i/>
          <w:lang w:val="sq-AL"/>
        </w:rPr>
        <w:t>(Auctions),</w:t>
      </w:r>
      <w:r w:rsidRPr="00050FA4">
        <w:rPr>
          <w:lang w:val="sq-AL"/>
        </w:rPr>
        <w:t xml:space="preserve"> që është një skemë e re stimuluese e mbështetjes financiare për BRE-të e parashikuara nga Ligji 7/2017.</w:t>
      </w:r>
    </w:p>
    <w:p w14:paraId="44764338" w14:textId="77777777" w:rsidR="00877F0D" w:rsidRPr="00050FA4" w:rsidRDefault="00877F0D" w:rsidP="003F1DA7">
      <w:pPr>
        <w:pStyle w:val="AAAAAAATEXXXX"/>
        <w:rPr>
          <w:lang w:val="sq-AL"/>
        </w:rPr>
      </w:pPr>
      <w:r w:rsidRPr="00050FA4">
        <w:rPr>
          <w:lang w:val="sq-AL"/>
        </w:rPr>
        <w:t>Impianti Fotovoltaik i Karavastasë</w:t>
      </w:r>
    </w:p>
    <w:p w14:paraId="272B73EB" w14:textId="263DFB8A" w:rsidR="00877F0D" w:rsidRPr="00050FA4" w:rsidRDefault="00877F0D" w:rsidP="003F1DA7">
      <w:pPr>
        <w:pStyle w:val="AAAAAAATEXXXX"/>
        <w:rPr>
          <w:lang w:val="sq-AL"/>
        </w:rPr>
      </w:pPr>
      <w:r w:rsidRPr="00050FA4">
        <w:rPr>
          <w:lang w:val="sq-AL"/>
        </w:rPr>
        <w:t xml:space="preserve">Ministria e Infrastrukturës dhe Energjisë, në bazë të vendimit të Këshillit të Ministrave nr. ndërtimi i një impianti fotovoltaik në Remas – Karavasta (afër zonës së Lushnjës) me fuqi të instaluar 140 </w:t>
      </w:r>
      <w:r w:rsidR="00C03C79" w:rsidRPr="00050FA4">
        <w:rPr>
          <w:lang w:val="sq-AL"/>
        </w:rPr>
        <w:t>mw</w:t>
      </w:r>
      <w:r w:rsidRPr="00050FA4">
        <w:rPr>
          <w:lang w:val="sq-AL"/>
        </w:rPr>
        <w:t xml:space="preserve">, ku 70 </w:t>
      </w:r>
      <w:r w:rsidR="00C03C79" w:rsidRPr="00050FA4">
        <w:rPr>
          <w:lang w:val="sq-AL"/>
        </w:rPr>
        <w:t>mw</w:t>
      </w:r>
      <w:r w:rsidRPr="00050FA4">
        <w:rPr>
          <w:lang w:val="sq-AL"/>
        </w:rPr>
        <w:t xml:space="preserve">, si pjesë e masave mbështetëse (për këtë kapacitet do të ketë një APP për 15 vjet) dhe 70 </w:t>
      </w:r>
      <w:r w:rsidR="00C03C79" w:rsidRPr="00050FA4">
        <w:rPr>
          <w:lang w:val="sq-AL"/>
        </w:rPr>
        <w:t>mw</w:t>
      </w:r>
      <w:r w:rsidRPr="00050FA4">
        <w:rPr>
          <w:lang w:val="sq-AL"/>
        </w:rPr>
        <w:t>. të cilat nuk do të jenë pjesë e Masave Mbështetëse. Ofertuesi fitues ofroi një çmim prej 24.89 euro</w:t>
      </w:r>
      <w:r w:rsidR="006A27AC" w:rsidRPr="00050FA4">
        <w:rPr>
          <w:lang w:val="sq-AL"/>
        </w:rPr>
        <w:t>sh</w:t>
      </w:r>
      <w:r w:rsidRPr="00050FA4">
        <w:rPr>
          <w:lang w:val="sq-AL"/>
        </w:rPr>
        <w:t>/</w:t>
      </w:r>
      <w:r w:rsidR="00C03C79" w:rsidRPr="00050FA4">
        <w:rPr>
          <w:lang w:val="sq-AL"/>
        </w:rPr>
        <w:t>mwh,</w:t>
      </w:r>
      <w:r w:rsidRPr="00050FA4">
        <w:rPr>
          <w:lang w:val="sq-AL"/>
        </w:rPr>
        <w:t xml:space="preserve"> për 15 vjet. Fituesi u shpall në maj 2020. Për më tepër, në vitin 2020 u nënshkrua Marrëveshja e Projektit dhe APP e cila është në zbatim. Aktualisht, ofertuesi është në proces të mbledhjes së lejeve në përputhje me kontratat e nënshkruara.</w:t>
      </w:r>
    </w:p>
    <w:p w14:paraId="3F12ACEE" w14:textId="77777777" w:rsidR="00877F0D" w:rsidRPr="00050FA4" w:rsidRDefault="00877F0D" w:rsidP="003F1DA7">
      <w:pPr>
        <w:pStyle w:val="AAAAAAATEXXXX"/>
        <w:rPr>
          <w:lang w:val="sq-AL"/>
        </w:rPr>
      </w:pPr>
      <w:r w:rsidRPr="00050FA4">
        <w:rPr>
          <w:lang w:val="sq-AL"/>
        </w:rPr>
        <w:t>Impianti Fotovoltaik i Spitallës</w:t>
      </w:r>
    </w:p>
    <w:p w14:paraId="4FFB7268" w14:textId="04B1249A" w:rsidR="00877F0D" w:rsidRPr="00050FA4" w:rsidRDefault="00877F0D" w:rsidP="003F1DA7">
      <w:pPr>
        <w:pStyle w:val="AAAAAAATEXXXX"/>
        <w:rPr>
          <w:lang w:val="sq-AL"/>
        </w:rPr>
      </w:pPr>
      <w:r w:rsidRPr="00050FA4">
        <w:rPr>
          <w:lang w:val="sq-AL"/>
        </w:rPr>
        <w:t xml:space="preserve">Ministria e Infrastrukturës dhe Energjisë ka përfunduar edhe procedurën e tenderit për ndërtimin e Termocentralit FV në Spitallë gjatë muajit nëntor 2020, me kapacitet të instaluar 100 </w:t>
      </w:r>
      <w:r w:rsidR="00CA688A" w:rsidRPr="00050FA4">
        <w:rPr>
          <w:lang w:val="sq-AL"/>
        </w:rPr>
        <w:t>mw</w:t>
      </w:r>
      <w:r w:rsidRPr="00050FA4">
        <w:rPr>
          <w:lang w:val="sq-AL"/>
        </w:rPr>
        <w:t xml:space="preserve"> (70 </w:t>
      </w:r>
      <w:r w:rsidR="00CA688A" w:rsidRPr="00050FA4">
        <w:rPr>
          <w:lang w:val="sq-AL"/>
        </w:rPr>
        <w:t>mw</w:t>
      </w:r>
      <w:r w:rsidRPr="00050FA4">
        <w:rPr>
          <w:lang w:val="sq-AL"/>
        </w:rPr>
        <w:t xml:space="preserve">, si pjesë e Masave Mbështetëse dhe 30 </w:t>
      </w:r>
      <w:r w:rsidR="00942FCF" w:rsidRPr="00050FA4">
        <w:rPr>
          <w:lang w:val="sq-AL"/>
        </w:rPr>
        <w:t>mw</w:t>
      </w:r>
      <w:r w:rsidRPr="00050FA4">
        <w:rPr>
          <w:lang w:val="sq-AL"/>
        </w:rPr>
        <w:t xml:space="preserve"> shtesë që nuk janë pjesë e Mbështetjes. Masat) në zonën e Spitallës, rrethi i Durrësit. Fituesi ofroi çmimin prej 29.89 </w:t>
      </w:r>
      <w:r w:rsidR="006A27AC" w:rsidRPr="00050FA4">
        <w:rPr>
          <w:lang w:val="sq-AL"/>
        </w:rPr>
        <w:t>eurosh</w:t>
      </w:r>
      <w:r w:rsidRPr="00050FA4">
        <w:rPr>
          <w:lang w:val="sq-AL"/>
        </w:rPr>
        <w:t>/</w:t>
      </w:r>
      <w:r w:rsidR="00CA688A" w:rsidRPr="00050FA4">
        <w:rPr>
          <w:lang w:val="sq-AL"/>
        </w:rPr>
        <w:t>mwh</w:t>
      </w:r>
      <w:r w:rsidRPr="00050FA4">
        <w:rPr>
          <w:lang w:val="sq-AL"/>
        </w:rPr>
        <w:t>. Marrëveshja e projektit dhe APP</w:t>
      </w:r>
      <w:r w:rsidR="00942FCF" w:rsidRPr="00050FA4">
        <w:rPr>
          <w:lang w:val="sq-AL"/>
        </w:rPr>
        <w:t>-ja,</w:t>
      </w:r>
      <w:r w:rsidRPr="00050FA4">
        <w:rPr>
          <w:lang w:val="sq-AL"/>
        </w:rPr>
        <w:t xml:space="preserve"> të cilat janë në zbatim janë nënshkruar në qershor 2021. Aktualisht, ofertuesi është në proces të mbledhjes së lejeve në përputhje me kontratat e nënshkruara.</w:t>
      </w:r>
    </w:p>
    <w:p w14:paraId="29EE416B" w14:textId="77777777" w:rsidR="00877F0D" w:rsidRPr="00050FA4" w:rsidRDefault="00877F0D" w:rsidP="003F1DA7">
      <w:pPr>
        <w:pStyle w:val="AAAAAAATEXXXX"/>
        <w:rPr>
          <w:lang w:val="sq-AL"/>
        </w:rPr>
      </w:pPr>
      <w:r w:rsidRPr="00050FA4">
        <w:rPr>
          <w:lang w:val="sq-AL"/>
        </w:rPr>
        <w:t>Gjeneratorë shtesë fotovoltaikë dhe me erë</w:t>
      </w:r>
    </w:p>
    <w:p w14:paraId="3450779E" w14:textId="1AD0BE94" w:rsidR="00877F0D" w:rsidRPr="00050FA4" w:rsidRDefault="00877F0D" w:rsidP="003F1DA7">
      <w:pPr>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xml:space="preserve">Ministria e Infrastrukturës dhe Energjisë ka shpallur një proces konkurrues për gjeneruesit e energjisë elektrike me erë me kapacitet të instaluar nga 10 </w:t>
      </w:r>
      <w:r w:rsidR="00C03C79" w:rsidRPr="00050FA4">
        <w:rPr>
          <w:rFonts w:ascii="Garamond" w:hAnsi="Garamond" w:cstheme="majorBidi"/>
          <w:color w:val="0D0D0D" w:themeColor="text1" w:themeTint="F2"/>
        </w:rPr>
        <w:t>mw</w:t>
      </w:r>
      <w:r w:rsidRPr="00050FA4">
        <w:rPr>
          <w:rFonts w:ascii="Garamond" w:hAnsi="Garamond" w:cstheme="majorBidi"/>
          <w:color w:val="0D0D0D" w:themeColor="text1" w:themeTint="F2"/>
        </w:rPr>
        <w:t xml:space="preserve"> në 75 </w:t>
      </w:r>
      <w:r w:rsidR="00C03C79" w:rsidRPr="00050FA4">
        <w:rPr>
          <w:rFonts w:ascii="Garamond" w:hAnsi="Garamond" w:cstheme="majorBidi"/>
          <w:color w:val="0D0D0D" w:themeColor="text1" w:themeTint="F2"/>
        </w:rPr>
        <w:t>mw</w:t>
      </w:r>
      <w:r w:rsidRPr="00050FA4">
        <w:rPr>
          <w:rFonts w:ascii="Garamond" w:hAnsi="Garamond" w:cstheme="majorBidi"/>
          <w:color w:val="0D0D0D" w:themeColor="text1" w:themeTint="F2"/>
        </w:rPr>
        <w:t xml:space="preserve">. Nëpërmjet kësaj procedure tenderimi, Ministria do të përzgjedhë projektet me kapacitet total prej 100 </w:t>
      </w:r>
      <w:r w:rsidR="00C03C79" w:rsidRPr="00050FA4">
        <w:rPr>
          <w:rFonts w:ascii="Garamond" w:hAnsi="Garamond" w:cstheme="majorBidi"/>
          <w:color w:val="0D0D0D" w:themeColor="text1" w:themeTint="F2"/>
        </w:rPr>
        <w:t xml:space="preserve">mw </w:t>
      </w:r>
      <w:r w:rsidRPr="00050FA4">
        <w:rPr>
          <w:rFonts w:ascii="Garamond" w:hAnsi="Garamond" w:cstheme="majorBidi"/>
          <w:color w:val="0D0D0D" w:themeColor="text1" w:themeTint="F2"/>
        </w:rPr>
        <w:t xml:space="preserve">të cilat do të përfitojnë nga masat mbështetëse. Autoriteti kontraktor më vonë mund të vendosë të rrisë kapacitetin total të tenderuar deri në </w:t>
      </w:r>
      <w:r w:rsidRPr="00050FA4">
        <w:rPr>
          <w:rFonts w:ascii="Garamond" w:hAnsi="Garamond" w:cstheme="majorBidi"/>
          <w:color w:val="0D0D0D" w:themeColor="text1" w:themeTint="F2"/>
        </w:rPr>
        <w:lastRenderedPageBreak/>
        <w:t xml:space="preserve">150 </w:t>
      </w:r>
      <w:r w:rsidR="00942FCF" w:rsidRPr="00050FA4">
        <w:rPr>
          <w:rFonts w:ascii="Garamond" w:hAnsi="Garamond" w:cstheme="majorBidi"/>
          <w:color w:val="0D0D0D" w:themeColor="text1" w:themeTint="F2"/>
        </w:rPr>
        <w:t>mw</w:t>
      </w:r>
      <w:r w:rsidRPr="00050FA4">
        <w:rPr>
          <w:rFonts w:ascii="Garamond" w:hAnsi="Garamond" w:cstheme="majorBidi"/>
          <w:color w:val="0D0D0D" w:themeColor="text1" w:themeTint="F2"/>
        </w:rPr>
        <w:t>. Ofertuesit e mundshëm duhet të identifikojnë dhe propozojnë vendndodhje të përshtatshme për projektimin, financimin, ndërtimin dhe funksionimin e parqeve eolike. Aktualisht, MIE është në proces të mbledhjes së aplikimeve deri në qershor 2022. Fituesi do të zgjidhet në qershor 2023.</w:t>
      </w:r>
    </w:p>
    <w:p w14:paraId="28678495" w14:textId="5C1CF308" w:rsidR="00877F0D" w:rsidRPr="00050FA4" w:rsidRDefault="00877F0D" w:rsidP="003F1DA7">
      <w:pPr>
        <w:pStyle w:val="AAAAAAATEXXXX"/>
        <w:rPr>
          <w:lang w:val="sq-AL"/>
        </w:rPr>
      </w:pPr>
      <w:r w:rsidRPr="00050FA4">
        <w:rPr>
          <w:lang w:val="sq-AL"/>
        </w:rPr>
        <w:t>Gjithashtu, Ministria e Infrastrukturës dhe Energjisë është duke hapur një proces konkurrues për Ankandet Hybride P</w:t>
      </w:r>
      <w:r w:rsidR="00C03C79" w:rsidRPr="00050FA4">
        <w:rPr>
          <w:lang w:val="sq-AL"/>
        </w:rPr>
        <w:t>V me kapacitet të instaluar 5–</w:t>
      </w:r>
      <w:r w:rsidRPr="00050FA4">
        <w:rPr>
          <w:lang w:val="sq-AL"/>
        </w:rPr>
        <w:t xml:space="preserve">10 </w:t>
      </w:r>
      <w:r w:rsidR="00C03C79" w:rsidRPr="00050FA4">
        <w:rPr>
          <w:lang w:val="sq-AL"/>
        </w:rPr>
        <w:t>mw</w:t>
      </w:r>
      <w:r w:rsidRPr="00050FA4">
        <w:rPr>
          <w:lang w:val="sq-AL"/>
        </w:rPr>
        <w:t xml:space="preserve">, për një kapacitet total prej 50 </w:t>
      </w:r>
      <w:r w:rsidR="00C03C79" w:rsidRPr="00050FA4">
        <w:rPr>
          <w:lang w:val="sq-AL"/>
        </w:rPr>
        <w:t>mw.</w:t>
      </w:r>
    </w:p>
    <w:p w14:paraId="604497EA" w14:textId="5D657BAD" w:rsidR="00877F0D" w:rsidRPr="00050FA4" w:rsidRDefault="00877F0D" w:rsidP="003F1DA7">
      <w:pPr>
        <w:pStyle w:val="AAAAAAATEXXXX"/>
        <w:rPr>
          <w:lang w:val="sq-AL"/>
        </w:rPr>
      </w:pPr>
      <w:r w:rsidRPr="00050FA4">
        <w:rPr>
          <w:lang w:val="sq-AL"/>
        </w:rPr>
        <w:t>Nëpërmjet kësaj mase synohet zbatimi i përmirësimeve të EE në ndërtesa publike dhe private, amvisëri, industri, transport etj. Sektori i ndërtimit pritet të kontribuojë në masë të madhe në rritjen e kursimeve kombëtare të energjisë. Investimet në efi</w:t>
      </w:r>
      <w:r w:rsidR="000A3E00" w:rsidRPr="00050FA4">
        <w:rPr>
          <w:lang w:val="sq-AL"/>
        </w:rPr>
        <w:t>ci</w:t>
      </w:r>
      <w:r w:rsidRPr="00050FA4">
        <w:rPr>
          <w:lang w:val="sq-AL"/>
        </w:rPr>
        <w:t>encën e energjisë janë duke vazhduar përmes buxhetit të shtetit dhe projekteve të ndihmës financiare të huaja përmes donatorëve. Buxheti i shtetit ka rritur kontributin në këtë fushë për vitet 2022</w:t>
      </w:r>
      <w:r w:rsidR="00C03C79" w:rsidRPr="00050FA4">
        <w:rPr>
          <w:lang w:val="sq-AL"/>
        </w:rPr>
        <w:t>–</w:t>
      </w:r>
      <w:r w:rsidRPr="00050FA4">
        <w:rPr>
          <w:lang w:val="sq-AL"/>
        </w:rPr>
        <w:t xml:space="preserve">2024. Siç u përmend më lart, </w:t>
      </w:r>
      <w:r w:rsidR="00942FCF" w:rsidRPr="00050FA4">
        <w:rPr>
          <w:lang w:val="sq-AL"/>
        </w:rPr>
        <w:t>ligji i ndryshuar për eficiencën e energjisë</w:t>
      </w:r>
      <w:r w:rsidRPr="00050FA4">
        <w:rPr>
          <w:lang w:val="sq-AL"/>
        </w:rPr>
        <w:t xml:space="preserve"> do të kontribuojë në arritjen e objektivit të kursimit të energjisë, duke marrë parasysh edhe investimet e mëdha që do të bëhen për procesin e rindërtimit pas tërmetit, përmes mekanizmave të shtuar, duke përfshirë një skemë të parashikuar për detyrimin e efikasitetit të energjisë. Miratimi i akteve nënligjore që rrjedhin nga ligji nr. 116/2016</w:t>
      </w:r>
      <w:r w:rsidR="00942FCF" w:rsidRPr="00050FA4">
        <w:rPr>
          <w:lang w:val="sq-AL"/>
        </w:rPr>
        <w:t>,</w:t>
      </w:r>
      <w:r w:rsidRPr="00050FA4">
        <w:rPr>
          <w:lang w:val="sq-AL"/>
        </w:rPr>
        <w:t xml:space="preserve"> </w:t>
      </w:r>
      <w:r w:rsidR="008A0E5B" w:rsidRPr="00050FA4">
        <w:rPr>
          <w:lang w:val="sq-AL"/>
        </w:rPr>
        <w:t>“</w:t>
      </w:r>
      <w:r w:rsidRPr="00050FA4">
        <w:rPr>
          <w:lang w:val="sq-AL"/>
        </w:rPr>
        <w:t>Për performancën energjetike të ndërtesave</w:t>
      </w:r>
      <w:r w:rsidR="008A0E5B" w:rsidRPr="00050FA4">
        <w:rPr>
          <w:lang w:val="sq-AL"/>
        </w:rPr>
        <w:t>”</w:t>
      </w:r>
      <w:r w:rsidR="000A3E00" w:rsidRPr="00050FA4">
        <w:rPr>
          <w:lang w:val="sq-AL"/>
        </w:rPr>
        <w:t xml:space="preserve"> do të përmirësojë efici</w:t>
      </w:r>
      <w:r w:rsidRPr="00050FA4">
        <w:rPr>
          <w:lang w:val="sq-AL"/>
        </w:rPr>
        <w:t>encën energjetike dhe do të rrisë kursimet në ndërtesat e reja në përgjithësi nëpërmjet raporteve të auditimit në fuqi, në përputhje me rregulloret e miratuara, në z</w:t>
      </w:r>
      <w:r w:rsidR="000A3E00" w:rsidRPr="00050FA4">
        <w:rPr>
          <w:lang w:val="sq-AL"/>
        </w:rPr>
        <w:t>batim. kriteret minimale të efici</w:t>
      </w:r>
      <w:r w:rsidRPr="00050FA4">
        <w:rPr>
          <w:lang w:val="sq-AL"/>
        </w:rPr>
        <w:t>encës së energjisë në ndërtesat e reja, nëpërmjet stimujve nga pushteti vendor për investime individuale në masat e EE</w:t>
      </w:r>
      <w:r w:rsidR="00942FCF" w:rsidRPr="00050FA4">
        <w:rPr>
          <w:lang w:val="sq-AL"/>
        </w:rPr>
        <w:t>-ësë</w:t>
      </w:r>
      <w:r w:rsidRPr="00050FA4">
        <w:rPr>
          <w:lang w:val="sq-AL"/>
        </w:rPr>
        <w:t xml:space="preserve"> në sektorin e banimit dhe nëpërmjet finalizimit të disa studimeve të fizibilitetit që janë në proces nga AEE</w:t>
      </w:r>
      <w:r w:rsidR="00942FCF" w:rsidRPr="00050FA4">
        <w:rPr>
          <w:lang w:val="sq-AL"/>
        </w:rPr>
        <w:t>-ja</w:t>
      </w:r>
      <w:r w:rsidRPr="00050FA4">
        <w:rPr>
          <w:lang w:val="sq-AL"/>
        </w:rPr>
        <w:t>.</w:t>
      </w:r>
    </w:p>
    <w:p w14:paraId="4B86882F" w14:textId="14AE5991" w:rsidR="00080139" w:rsidRPr="00050FA4" w:rsidRDefault="00015C7A" w:rsidP="003F1DA7">
      <w:pPr>
        <w:pStyle w:val="AAAAAAATEXXXX"/>
        <w:rPr>
          <w:b/>
          <w:lang w:val="sq-AL"/>
        </w:rPr>
      </w:pPr>
      <w:r w:rsidRPr="00050FA4">
        <w:rPr>
          <w:b/>
          <w:lang w:val="sq-AL"/>
        </w:rPr>
        <w:t>a</w:t>
      </w:r>
      <w:r w:rsidR="00C03C79" w:rsidRPr="00050FA4">
        <w:rPr>
          <w:b/>
          <w:lang w:val="sq-AL"/>
        </w:rPr>
        <w:t>)</w:t>
      </w:r>
      <w:r w:rsidRPr="00050FA4">
        <w:rPr>
          <w:b/>
          <w:lang w:val="sq-AL"/>
        </w:rPr>
        <w:t xml:space="preserve"> </w:t>
      </w:r>
      <w:r w:rsidR="00B2062A" w:rsidRPr="00050FA4">
        <w:rPr>
          <w:b/>
          <w:lang w:val="sq-AL"/>
        </w:rPr>
        <w:t xml:space="preserve">Aktivitete të planifikuara </w:t>
      </w:r>
      <w:r w:rsidR="00942FCF" w:rsidRPr="00050FA4">
        <w:rPr>
          <w:b/>
          <w:lang w:val="sq-AL"/>
        </w:rPr>
        <w:t>m</w:t>
      </w:r>
      <w:r w:rsidR="00B2062A" w:rsidRPr="00050FA4">
        <w:rPr>
          <w:b/>
          <w:lang w:val="sq-AL"/>
        </w:rPr>
        <w:t>ë</w:t>
      </w:r>
      <w:r w:rsidR="00080139" w:rsidRPr="00050FA4">
        <w:rPr>
          <w:b/>
          <w:lang w:val="sq-AL"/>
        </w:rPr>
        <w:t xml:space="preserve"> 2022</w:t>
      </w:r>
      <w:r w:rsidR="00942FCF" w:rsidRPr="00050FA4">
        <w:rPr>
          <w:b/>
          <w:lang w:val="sq-AL"/>
        </w:rPr>
        <w:t>-shin</w:t>
      </w:r>
    </w:p>
    <w:p w14:paraId="2EB7AFF0" w14:textId="5A85BA6A" w:rsidR="00877F0D" w:rsidRPr="00050FA4" w:rsidRDefault="00015C7A" w:rsidP="003F1DA7">
      <w:pPr>
        <w:pStyle w:val="AAAAAAATEXXXX"/>
        <w:rPr>
          <w:bCs/>
          <w:lang w:val="sq-AL"/>
        </w:rPr>
      </w:pPr>
      <w:r w:rsidRPr="00050FA4">
        <w:rPr>
          <w:bCs/>
          <w:lang w:val="sq-AL"/>
        </w:rPr>
        <w:t xml:space="preserve">- </w:t>
      </w:r>
      <w:r w:rsidR="00877F0D" w:rsidRPr="00050FA4">
        <w:rPr>
          <w:bCs/>
          <w:lang w:val="sq-AL"/>
        </w:rPr>
        <w:t xml:space="preserve">Përgatitja dhe miratimi i akteve nënligjore bazuar në ligjin për nxitjen e përdorimit të energjisë nga burimet e rinovueshme (MIE/AKBN/FTL/OSSH/FSHU/OST/ERE): Faza e ndërtimit të </w:t>
      </w:r>
      <w:r w:rsidR="00942FCF" w:rsidRPr="00050FA4">
        <w:rPr>
          <w:bCs/>
          <w:lang w:val="sq-AL"/>
        </w:rPr>
        <w:t xml:space="preserve">Uzinës </w:t>
      </w:r>
      <w:r w:rsidR="00877F0D" w:rsidRPr="00050FA4">
        <w:rPr>
          <w:bCs/>
          <w:lang w:val="sq-AL"/>
        </w:rPr>
        <w:t xml:space="preserve">FV të Karavastasë 140 </w:t>
      </w:r>
      <w:r w:rsidR="00942FCF" w:rsidRPr="00050FA4">
        <w:rPr>
          <w:bCs/>
          <w:lang w:val="sq-AL"/>
        </w:rPr>
        <w:t>mw</w:t>
      </w:r>
      <w:r w:rsidR="008A0E5B" w:rsidRPr="00050FA4">
        <w:rPr>
          <w:bCs/>
          <w:lang w:val="sq-AL"/>
        </w:rPr>
        <w:t>”</w:t>
      </w:r>
      <w:r w:rsidR="00942FCF" w:rsidRPr="00050FA4">
        <w:rPr>
          <w:bCs/>
          <w:lang w:val="sq-AL"/>
        </w:rPr>
        <w:t>;</w:t>
      </w:r>
    </w:p>
    <w:p w14:paraId="57E55C75" w14:textId="4BA6BF4C" w:rsidR="00877F0D" w:rsidRPr="00050FA4" w:rsidRDefault="00015C7A" w:rsidP="003F1DA7">
      <w:pPr>
        <w:pStyle w:val="AAAAAAATEXXXX"/>
        <w:rPr>
          <w:bCs/>
          <w:lang w:val="sq-AL"/>
        </w:rPr>
      </w:pPr>
      <w:r w:rsidRPr="00050FA4">
        <w:rPr>
          <w:bCs/>
          <w:lang w:val="sq-AL"/>
        </w:rPr>
        <w:t xml:space="preserve">- </w:t>
      </w:r>
      <w:r w:rsidR="00877F0D" w:rsidRPr="00050FA4">
        <w:rPr>
          <w:bCs/>
          <w:lang w:val="sq-AL"/>
        </w:rPr>
        <w:t xml:space="preserve">Zbatimi i Projektit Spitalla për ndërtimin e centralit FV me kapacitet 100 </w:t>
      </w:r>
      <w:r w:rsidR="000A3E00" w:rsidRPr="00050FA4">
        <w:rPr>
          <w:bCs/>
          <w:lang w:val="sq-AL"/>
        </w:rPr>
        <w:t>mw</w:t>
      </w:r>
      <w:r w:rsidR="00877F0D" w:rsidRPr="00050FA4">
        <w:rPr>
          <w:bCs/>
          <w:lang w:val="sq-AL"/>
        </w:rPr>
        <w:t xml:space="preserve"> (faza e nënshkrimit të kontratës dhe lejes)</w:t>
      </w:r>
      <w:r w:rsidR="00942FCF" w:rsidRPr="00050FA4">
        <w:rPr>
          <w:bCs/>
          <w:lang w:val="sq-AL"/>
        </w:rPr>
        <w:t>;</w:t>
      </w:r>
    </w:p>
    <w:p w14:paraId="1518DF48" w14:textId="5B6D5B69" w:rsidR="00877F0D" w:rsidRPr="00050FA4" w:rsidRDefault="00015C7A" w:rsidP="003F1DA7">
      <w:pPr>
        <w:pStyle w:val="AAAAAAATEXXXX"/>
        <w:rPr>
          <w:bCs/>
          <w:lang w:val="sq-AL"/>
        </w:rPr>
      </w:pPr>
      <w:r w:rsidRPr="00050FA4">
        <w:rPr>
          <w:bCs/>
          <w:lang w:val="sq-AL"/>
        </w:rPr>
        <w:t xml:space="preserve">- </w:t>
      </w:r>
      <w:r w:rsidR="00877F0D" w:rsidRPr="00050FA4">
        <w:rPr>
          <w:bCs/>
          <w:lang w:val="sq-AL"/>
        </w:rPr>
        <w:t xml:space="preserve">Ankandi i parë hibrid në energjinë e erës për 35 deri në 75 </w:t>
      </w:r>
      <w:r w:rsidR="000A3E00" w:rsidRPr="00050FA4">
        <w:rPr>
          <w:bCs/>
          <w:lang w:val="sq-AL"/>
        </w:rPr>
        <w:t>mw</w:t>
      </w:r>
      <w:r w:rsidR="00877F0D" w:rsidRPr="00050FA4">
        <w:rPr>
          <w:bCs/>
          <w:lang w:val="sq-AL"/>
        </w:rPr>
        <w:t xml:space="preserve"> secila për një kapacitet total deri në 130 </w:t>
      </w:r>
      <w:r w:rsidR="00942FCF" w:rsidRPr="00050FA4">
        <w:rPr>
          <w:bCs/>
          <w:lang w:val="sq-AL"/>
        </w:rPr>
        <w:t>mw;</w:t>
      </w:r>
    </w:p>
    <w:p w14:paraId="763A7A69" w14:textId="1CE94748" w:rsidR="00877F0D" w:rsidRPr="00050FA4" w:rsidRDefault="00015C7A" w:rsidP="003F1DA7">
      <w:pPr>
        <w:pStyle w:val="AAAAAAATEXXXX"/>
        <w:rPr>
          <w:bCs/>
          <w:lang w:val="sq-AL"/>
        </w:rPr>
      </w:pPr>
      <w:r w:rsidRPr="00050FA4">
        <w:rPr>
          <w:bCs/>
          <w:lang w:val="sq-AL"/>
        </w:rPr>
        <w:t xml:space="preserve">- </w:t>
      </w:r>
      <w:r w:rsidR="00877F0D" w:rsidRPr="00050FA4">
        <w:rPr>
          <w:bCs/>
          <w:lang w:val="sq-AL"/>
        </w:rPr>
        <w:t>Monitorimi i zbatimit të projekteve të reja të energjisë së erës dhe diellit që pajisen me miratimin përfundimtar për ndërtimin e kapaciteteve të reja p</w:t>
      </w:r>
      <w:r w:rsidR="000A3E00" w:rsidRPr="00050FA4">
        <w:rPr>
          <w:bCs/>
          <w:lang w:val="sq-AL"/>
        </w:rPr>
        <w:t>rodhuese të energjisë elektrike</w:t>
      </w:r>
      <w:r w:rsidR="00877F0D" w:rsidRPr="00050FA4">
        <w:rPr>
          <w:bCs/>
          <w:lang w:val="sq-AL"/>
        </w:rPr>
        <w:t xml:space="preserve"> (MIE</w:t>
      </w:r>
      <w:r w:rsidR="00535FB4" w:rsidRPr="00050FA4">
        <w:rPr>
          <w:bCs/>
          <w:lang w:val="sq-AL"/>
        </w:rPr>
        <w:t>/</w:t>
      </w:r>
      <w:r w:rsidR="00877F0D" w:rsidRPr="00050FA4">
        <w:rPr>
          <w:bCs/>
          <w:lang w:val="sq-AL"/>
        </w:rPr>
        <w:t>AKBN)</w:t>
      </w:r>
      <w:r w:rsidR="00942FCF" w:rsidRPr="00050FA4">
        <w:rPr>
          <w:bCs/>
          <w:lang w:val="sq-AL"/>
        </w:rPr>
        <w:t>;</w:t>
      </w:r>
    </w:p>
    <w:p w14:paraId="3C770342" w14:textId="56FA0790" w:rsidR="00877F0D" w:rsidRPr="00050FA4" w:rsidRDefault="00015C7A" w:rsidP="003F1DA7">
      <w:pPr>
        <w:pStyle w:val="AAAAAAATEXXXX"/>
        <w:rPr>
          <w:bCs/>
          <w:lang w:val="sq-AL"/>
        </w:rPr>
      </w:pPr>
      <w:r w:rsidRPr="00050FA4">
        <w:rPr>
          <w:bCs/>
          <w:lang w:val="sq-AL"/>
        </w:rPr>
        <w:t xml:space="preserve">- </w:t>
      </w:r>
      <w:r w:rsidR="00877F0D" w:rsidRPr="00050FA4">
        <w:rPr>
          <w:bCs/>
          <w:lang w:val="sq-AL"/>
        </w:rPr>
        <w:t xml:space="preserve">Projekt pilot për ndërtimin e një pallati me </w:t>
      </w:r>
      <w:r w:rsidR="008A0E5B" w:rsidRPr="00050FA4">
        <w:rPr>
          <w:bCs/>
          <w:lang w:val="sq-AL"/>
        </w:rPr>
        <w:t>“</w:t>
      </w:r>
      <w:r w:rsidR="00877F0D" w:rsidRPr="00050FA4">
        <w:rPr>
          <w:bCs/>
          <w:lang w:val="sq-AL"/>
        </w:rPr>
        <w:t>0 Energy</w:t>
      </w:r>
      <w:r w:rsidR="008A0E5B" w:rsidRPr="00050FA4">
        <w:rPr>
          <w:bCs/>
          <w:lang w:val="sq-AL"/>
        </w:rPr>
        <w:t>”</w:t>
      </w:r>
      <w:r w:rsidR="00877F0D" w:rsidRPr="00050FA4">
        <w:rPr>
          <w:bCs/>
          <w:lang w:val="sq-AL"/>
        </w:rPr>
        <w:t xml:space="preserve"> (vazhdim)</w:t>
      </w:r>
      <w:r w:rsidR="00942FCF" w:rsidRPr="00050FA4">
        <w:rPr>
          <w:bCs/>
          <w:lang w:val="sq-AL"/>
        </w:rPr>
        <w:t>;</w:t>
      </w:r>
    </w:p>
    <w:p w14:paraId="73A2DD91" w14:textId="3CAB272C" w:rsidR="00877F0D" w:rsidRPr="00050FA4" w:rsidRDefault="00015C7A" w:rsidP="003F1DA7">
      <w:pPr>
        <w:pStyle w:val="AAAAAAATEXXXX"/>
        <w:rPr>
          <w:bCs/>
          <w:lang w:val="sq-AL"/>
        </w:rPr>
      </w:pPr>
      <w:r w:rsidRPr="00050FA4">
        <w:rPr>
          <w:bCs/>
          <w:lang w:val="sq-AL"/>
        </w:rPr>
        <w:t xml:space="preserve">- </w:t>
      </w:r>
      <w:r w:rsidR="00877F0D" w:rsidRPr="00050FA4">
        <w:rPr>
          <w:bCs/>
          <w:lang w:val="sq-AL"/>
        </w:rPr>
        <w:t>Studimi i plotë i fizibilitetit për instalimin e Kullave të Karikimit për makinat elektrike në Re</w:t>
      </w:r>
      <w:r w:rsidR="00942FCF" w:rsidRPr="00050FA4">
        <w:rPr>
          <w:bCs/>
          <w:lang w:val="sq-AL"/>
        </w:rPr>
        <w:t>publikën e Shqipërisë (vazhdim);</w:t>
      </w:r>
    </w:p>
    <w:p w14:paraId="1860C323" w14:textId="4C75AA46" w:rsidR="00877F0D" w:rsidRPr="00050FA4" w:rsidRDefault="00015C7A" w:rsidP="003F1DA7">
      <w:pPr>
        <w:pStyle w:val="AAAAAAATEXXXX"/>
        <w:rPr>
          <w:bCs/>
          <w:lang w:val="sq-AL"/>
        </w:rPr>
      </w:pPr>
      <w:r w:rsidRPr="00050FA4">
        <w:rPr>
          <w:bCs/>
          <w:lang w:val="sq-AL"/>
        </w:rPr>
        <w:t xml:space="preserve">- </w:t>
      </w:r>
      <w:r w:rsidR="00877F0D" w:rsidRPr="00050FA4">
        <w:rPr>
          <w:bCs/>
          <w:lang w:val="sq-AL"/>
        </w:rPr>
        <w:t xml:space="preserve">Projektide për </w:t>
      </w:r>
      <w:r w:rsidR="00942FCF" w:rsidRPr="00050FA4">
        <w:rPr>
          <w:bCs/>
          <w:lang w:val="sq-AL"/>
        </w:rPr>
        <w:t xml:space="preserve">elektrifikimin </w:t>
      </w:r>
      <w:r w:rsidR="00877F0D" w:rsidRPr="00050FA4">
        <w:rPr>
          <w:bCs/>
          <w:lang w:val="sq-AL"/>
        </w:rPr>
        <w:t xml:space="preserve">e linjave të transportit urban dhe ndërqytetës në </w:t>
      </w:r>
      <w:r w:rsidR="00942FCF" w:rsidRPr="00050FA4">
        <w:rPr>
          <w:bCs/>
          <w:lang w:val="sq-AL"/>
        </w:rPr>
        <w:t xml:space="preserve">bashkitë </w:t>
      </w:r>
      <w:r w:rsidR="00877F0D" w:rsidRPr="00050FA4">
        <w:rPr>
          <w:bCs/>
          <w:lang w:val="sq-AL"/>
        </w:rPr>
        <w:t>Tiranë, Vlorë dhe Durrës (vazhdim).</w:t>
      </w:r>
    </w:p>
    <w:p w14:paraId="7B8147BB" w14:textId="7F860D55" w:rsidR="00080139" w:rsidRPr="00050FA4" w:rsidRDefault="00015C7A" w:rsidP="003F1DA7">
      <w:pPr>
        <w:pStyle w:val="AAAAAAATEXXXX"/>
        <w:rPr>
          <w:b/>
          <w:lang w:val="sq-AL"/>
        </w:rPr>
      </w:pPr>
      <w:r w:rsidRPr="00050FA4">
        <w:rPr>
          <w:b/>
          <w:lang w:val="sq-AL"/>
        </w:rPr>
        <w:t>b</w:t>
      </w:r>
      <w:r w:rsidR="00C03C79" w:rsidRPr="00050FA4">
        <w:rPr>
          <w:b/>
          <w:lang w:val="sq-AL"/>
        </w:rPr>
        <w:t>)</w:t>
      </w:r>
      <w:r w:rsidRPr="00050FA4">
        <w:rPr>
          <w:b/>
          <w:lang w:val="sq-AL"/>
        </w:rPr>
        <w:t xml:space="preserve"> </w:t>
      </w:r>
      <w:r w:rsidR="00B2062A" w:rsidRPr="00050FA4">
        <w:rPr>
          <w:b/>
          <w:lang w:val="sq-AL"/>
        </w:rPr>
        <w:t xml:space="preserve">Aktivitete të planifikuara </w:t>
      </w:r>
      <w:r w:rsidR="000A3E00" w:rsidRPr="00050FA4">
        <w:rPr>
          <w:b/>
          <w:lang w:val="sq-AL"/>
        </w:rPr>
        <w:t>m</w:t>
      </w:r>
      <w:r w:rsidR="00B2062A" w:rsidRPr="00050FA4">
        <w:rPr>
          <w:b/>
          <w:lang w:val="sq-AL"/>
        </w:rPr>
        <w:t>ë</w:t>
      </w:r>
      <w:r w:rsidR="00080139" w:rsidRPr="00050FA4">
        <w:rPr>
          <w:b/>
          <w:lang w:val="sq-AL"/>
        </w:rPr>
        <w:t xml:space="preserve"> 2023</w:t>
      </w:r>
      <w:r w:rsidR="000A3E00" w:rsidRPr="00050FA4">
        <w:rPr>
          <w:b/>
          <w:lang w:val="sq-AL"/>
        </w:rPr>
        <w:t>-shin</w:t>
      </w:r>
    </w:p>
    <w:p w14:paraId="25CFAAEA" w14:textId="3E06D1A3" w:rsidR="00877F0D" w:rsidRPr="00050FA4" w:rsidRDefault="00015C7A"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Zbatimi i </w:t>
      </w:r>
      <w:r w:rsidR="00942FCF" w:rsidRPr="00050FA4">
        <w:rPr>
          <w:rFonts w:cstheme="majorBidi"/>
          <w:color w:val="0D0D0D" w:themeColor="text1" w:themeTint="F2"/>
          <w:lang w:val="sq-AL"/>
        </w:rPr>
        <w:t xml:space="preserve">projektit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Focentrali PV i Karavastasë 140 </w:t>
      </w:r>
      <w:r w:rsidR="000A3E00" w:rsidRPr="00050FA4">
        <w:rPr>
          <w:rFonts w:cstheme="majorBidi"/>
          <w:color w:val="0D0D0D" w:themeColor="text1" w:themeTint="F2"/>
          <w:lang w:val="sq-AL"/>
        </w:rPr>
        <w:t>mw</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 (</w:t>
      </w:r>
      <w:r w:rsidR="00942FCF" w:rsidRPr="00050FA4">
        <w:rPr>
          <w:rFonts w:cstheme="majorBidi"/>
          <w:color w:val="0D0D0D" w:themeColor="text1" w:themeTint="F2"/>
          <w:lang w:val="sq-AL"/>
        </w:rPr>
        <w:t xml:space="preserve">faza </w:t>
      </w:r>
      <w:r w:rsidR="00877F0D" w:rsidRPr="00050FA4">
        <w:rPr>
          <w:rFonts w:cstheme="majorBidi"/>
          <w:color w:val="0D0D0D" w:themeColor="text1" w:themeTint="F2"/>
          <w:lang w:val="sq-AL"/>
        </w:rPr>
        <w:t xml:space="preserve">e </w:t>
      </w:r>
      <w:r w:rsidR="000A3E00" w:rsidRPr="00050FA4">
        <w:rPr>
          <w:rFonts w:cstheme="majorBidi"/>
          <w:color w:val="0D0D0D" w:themeColor="text1" w:themeTint="F2"/>
          <w:lang w:val="sq-AL"/>
        </w:rPr>
        <w:t>ndërtimit</w:t>
      </w:r>
      <w:r w:rsidR="00877F0D" w:rsidRPr="00050FA4">
        <w:rPr>
          <w:rFonts w:cstheme="majorBidi"/>
          <w:color w:val="0D0D0D" w:themeColor="text1" w:themeTint="F2"/>
          <w:lang w:val="sq-AL"/>
        </w:rPr>
        <w:t>)</w:t>
      </w:r>
      <w:r w:rsidR="00942FCF" w:rsidRPr="00050FA4">
        <w:rPr>
          <w:rFonts w:cstheme="majorBidi"/>
          <w:color w:val="0D0D0D" w:themeColor="text1" w:themeTint="F2"/>
          <w:lang w:val="sq-AL"/>
        </w:rPr>
        <w:t>;</w:t>
      </w:r>
    </w:p>
    <w:p w14:paraId="2ADC8FDA" w14:textId="6DCBFD41" w:rsidR="00877F0D" w:rsidRPr="00050FA4" w:rsidRDefault="00015C7A"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Zbatimi i </w:t>
      </w:r>
      <w:r w:rsidR="00942FCF" w:rsidRPr="00050FA4">
        <w:rPr>
          <w:rFonts w:cstheme="majorBidi"/>
          <w:color w:val="0D0D0D" w:themeColor="text1" w:themeTint="F2"/>
          <w:lang w:val="sq-AL"/>
        </w:rPr>
        <w:t xml:space="preserve">projektit </w:t>
      </w:r>
      <w:r w:rsidR="00877F0D" w:rsidRPr="00050FA4">
        <w:rPr>
          <w:rFonts w:cstheme="majorBidi"/>
          <w:color w:val="0D0D0D" w:themeColor="text1" w:themeTint="F2"/>
          <w:lang w:val="sq-AL"/>
        </w:rPr>
        <w:t xml:space="preserve">të Termocentralit FV të Spitallës prej 100 </w:t>
      </w:r>
      <w:r w:rsidR="000A3E00" w:rsidRPr="00050FA4">
        <w:rPr>
          <w:rFonts w:cstheme="majorBidi"/>
          <w:color w:val="0D0D0D" w:themeColor="text1" w:themeTint="F2"/>
          <w:lang w:val="sq-AL"/>
        </w:rPr>
        <w:t>mw</w:t>
      </w:r>
      <w:r w:rsidR="00877F0D" w:rsidRPr="00050FA4">
        <w:rPr>
          <w:rFonts w:cstheme="majorBidi"/>
          <w:color w:val="0D0D0D" w:themeColor="text1" w:themeTint="F2"/>
          <w:lang w:val="sq-AL"/>
        </w:rPr>
        <w:t xml:space="preserve"> (</w:t>
      </w:r>
      <w:r w:rsidR="00942FCF" w:rsidRPr="00050FA4">
        <w:rPr>
          <w:rFonts w:cstheme="majorBidi"/>
          <w:color w:val="0D0D0D" w:themeColor="text1" w:themeTint="F2"/>
          <w:lang w:val="sq-AL"/>
        </w:rPr>
        <w:t xml:space="preserve">faza </w:t>
      </w:r>
      <w:r w:rsidR="00877F0D" w:rsidRPr="00050FA4">
        <w:rPr>
          <w:rFonts w:cstheme="majorBidi"/>
          <w:color w:val="0D0D0D" w:themeColor="text1" w:themeTint="F2"/>
          <w:lang w:val="sq-AL"/>
        </w:rPr>
        <w:t xml:space="preserve">e </w:t>
      </w:r>
      <w:r w:rsidR="000A3E00" w:rsidRPr="00050FA4">
        <w:rPr>
          <w:rFonts w:cstheme="majorBidi"/>
          <w:color w:val="0D0D0D" w:themeColor="text1" w:themeTint="F2"/>
          <w:lang w:val="sq-AL"/>
        </w:rPr>
        <w:t>ndërtimit</w:t>
      </w:r>
      <w:r w:rsidR="00877F0D" w:rsidRPr="00050FA4">
        <w:rPr>
          <w:rFonts w:cstheme="majorBidi"/>
          <w:color w:val="0D0D0D" w:themeColor="text1" w:themeTint="F2"/>
          <w:lang w:val="sq-AL"/>
        </w:rPr>
        <w:t>)</w:t>
      </w:r>
      <w:r w:rsidR="00942FCF" w:rsidRPr="00050FA4">
        <w:rPr>
          <w:rFonts w:cstheme="majorBidi"/>
          <w:color w:val="0D0D0D" w:themeColor="text1" w:themeTint="F2"/>
          <w:lang w:val="sq-AL"/>
        </w:rPr>
        <w:t>;</w:t>
      </w:r>
    </w:p>
    <w:p w14:paraId="6A87648D" w14:textId="3A867CDF" w:rsidR="00877F0D" w:rsidRPr="00050FA4" w:rsidRDefault="00015C7A"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Monitorimi i zbatimit të projekteve të reja të energjisë së erës dhe</w:t>
      </w:r>
      <w:r w:rsidR="00942FCF" w:rsidRPr="00050FA4">
        <w:rPr>
          <w:rFonts w:cstheme="majorBidi"/>
          <w:color w:val="0D0D0D" w:themeColor="text1" w:themeTint="F2"/>
          <w:lang w:val="sq-AL"/>
        </w:rPr>
        <w:t xml:space="preserve"> të </w:t>
      </w:r>
      <w:r w:rsidR="00877F0D" w:rsidRPr="00050FA4">
        <w:rPr>
          <w:rFonts w:cstheme="majorBidi"/>
          <w:color w:val="0D0D0D" w:themeColor="text1" w:themeTint="F2"/>
          <w:lang w:val="sq-AL"/>
        </w:rPr>
        <w:t>diellit që janë pajisur me miratimin përfundimtar për ndërtimin e kapaciteteve të reja prodhuese të energjisë elektrike; (MIE/AKBN)</w:t>
      </w:r>
      <w:r w:rsidR="00942FCF" w:rsidRPr="00050FA4">
        <w:rPr>
          <w:rFonts w:cstheme="majorBidi"/>
          <w:color w:val="0D0D0D" w:themeColor="text1" w:themeTint="F2"/>
          <w:lang w:val="sq-AL"/>
        </w:rPr>
        <w:t>;</w:t>
      </w:r>
    </w:p>
    <w:p w14:paraId="67296490" w14:textId="22312B77" w:rsidR="00877F0D" w:rsidRPr="00050FA4" w:rsidRDefault="00015C7A"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Projekt pilot për ndërtimin e një pallati me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0 Energy</w:t>
      </w:r>
      <w:r w:rsidR="008A0E5B" w:rsidRPr="00050FA4">
        <w:rPr>
          <w:rFonts w:cstheme="majorBidi"/>
          <w:color w:val="0D0D0D" w:themeColor="text1" w:themeTint="F2"/>
          <w:lang w:val="sq-AL"/>
        </w:rPr>
        <w:t>”</w:t>
      </w:r>
      <w:r w:rsidR="00942FCF" w:rsidRPr="00050FA4">
        <w:rPr>
          <w:rFonts w:cstheme="majorBidi"/>
          <w:color w:val="0D0D0D" w:themeColor="text1" w:themeTint="F2"/>
          <w:lang w:val="sq-AL"/>
        </w:rPr>
        <w:t>;</w:t>
      </w:r>
    </w:p>
    <w:p w14:paraId="0955ABEF" w14:textId="18EFDB9D" w:rsidR="00877F0D" w:rsidRPr="00050FA4" w:rsidRDefault="00015C7A"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Studim i plotë fizibiliteti për instalimin e Kullave të Karikimit për makinat elektrike në Republikën e Shqipërisë</w:t>
      </w:r>
      <w:r w:rsidR="00942FCF" w:rsidRPr="00050FA4">
        <w:rPr>
          <w:rFonts w:cstheme="majorBidi"/>
          <w:color w:val="0D0D0D" w:themeColor="text1" w:themeTint="F2"/>
          <w:lang w:val="sq-AL"/>
        </w:rPr>
        <w:t>;</w:t>
      </w:r>
    </w:p>
    <w:p w14:paraId="20A68AD9" w14:textId="674068BE" w:rsidR="00877F0D" w:rsidRPr="00050FA4" w:rsidRDefault="00015C7A"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942FCF" w:rsidRPr="00050FA4">
        <w:rPr>
          <w:rFonts w:cstheme="majorBidi"/>
          <w:color w:val="0D0D0D" w:themeColor="text1" w:themeTint="F2"/>
          <w:lang w:val="sq-AL"/>
        </w:rPr>
        <w:t>Projekt</w:t>
      </w:r>
      <w:r w:rsidR="00877F0D" w:rsidRPr="00050FA4">
        <w:rPr>
          <w:rFonts w:cstheme="majorBidi"/>
          <w:color w:val="0D0D0D" w:themeColor="text1" w:themeTint="F2"/>
          <w:lang w:val="sq-AL"/>
        </w:rPr>
        <w:t>ide për Elektrifikimin e linjave të transportit urban dhe ndërqytetës në Bashkitë Tiranë, Vlorë, Durrës (</w:t>
      </w:r>
      <w:r w:rsidR="000A3E00" w:rsidRPr="00050FA4">
        <w:rPr>
          <w:rFonts w:cstheme="majorBidi"/>
          <w:color w:val="0D0D0D" w:themeColor="text1" w:themeTint="F2"/>
          <w:lang w:val="sq-AL"/>
        </w:rPr>
        <w:t xml:space="preserve">në </w:t>
      </w:r>
      <w:r w:rsidR="00877F0D" w:rsidRPr="00050FA4">
        <w:rPr>
          <w:rFonts w:cstheme="majorBidi"/>
          <w:color w:val="0D0D0D" w:themeColor="text1" w:themeTint="F2"/>
          <w:lang w:val="sq-AL"/>
        </w:rPr>
        <w:t>faza).</w:t>
      </w:r>
    </w:p>
    <w:p w14:paraId="6FF4B4FA" w14:textId="014C7DC7" w:rsidR="00080139" w:rsidRPr="00050FA4" w:rsidRDefault="00015C7A" w:rsidP="003F1DA7">
      <w:pPr>
        <w:pStyle w:val="AAAAAAATEXXXX"/>
        <w:rPr>
          <w:rFonts w:cstheme="majorBidi"/>
          <w:b/>
          <w:color w:val="0D0D0D" w:themeColor="text1" w:themeTint="F2"/>
          <w:lang w:val="sq-AL"/>
        </w:rPr>
      </w:pPr>
      <w:r w:rsidRPr="00050FA4">
        <w:rPr>
          <w:rFonts w:cstheme="majorBidi"/>
          <w:b/>
          <w:color w:val="0D0D0D" w:themeColor="text1" w:themeTint="F2"/>
          <w:lang w:val="sq-AL"/>
        </w:rPr>
        <w:t>c</w:t>
      </w:r>
      <w:r w:rsidR="00C03C79" w:rsidRPr="00050FA4">
        <w:rPr>
          <w:rFonts w:cstheme="majorBidi"/>
          <w:b/>
          <w:color w:val="0D0D0D" w:themeColor="text1" w:themeTint="F2"/>
          <w:lang w:val="sq-AL"/>
        </w:rPr>
        <w:t>)</w:t>
      </w:r>
      <w:r w:rsidRPr="00050FA4">
        <w:rPr>
          <w:rFonts w:cstheme="majorBidi"/>
          <w:b/>
          <w:color w:val="0D0D0D" w:themeColor="text1" w:themeTint="F2"/>
          <w:lang w:val="sq-AL"/>
        </w:rPr>
        <w:t xml:space="preserve"> </w:t>
      </w:r>
      <w:r w:rsidR="00B2062A" w:rsidRPr="00050FA4">
        <w:rPr>
          <w:rFonts w:cstheme="majorBidi"/>
          <w:b/>
          <w:color w:val="0D0D0D" w:themeColor="text1" w:themeTint="F2"/>
          <w:lang w:val="sq-AL"/>
        </w:rPr>
        <w:t xml:space="preserve">Aktivitete të planifikuara </w:t>
      </w:r>
      <w:r w:rsidR="000A3E00" w:rsidRPr="00050FA4">
        <w:rPr>
          <w:rFonts w:cstheme="majorBidi"/>
          <w:b/>
          <w:color w:val="0D0D0D" w:themeColor="text1" w:themeTint="F2"/>
          <w:lang w:val="sq-AL"/>
        </w:rPr>
        <w:t>m</w:t>
      </w:r>
      <w:r w:rsidR="00B2062A" w:rsidRPr="00050FA4">
        <w:rPr>
          <w:rFonts w:cstheme="majorBidi"/>
          <w:b/>
          <w:color w:val="0D0D0D" w:themeColor="text1" w:themeTint="F2"/>
          <w:lang w:val="sq-AL"/>
        </w:rPr>
        <w:t>ë</w:t>
      </w:r>
      <w:r w:rsidR="00080139" w:rsidRPr="00050FA4">
        <w:rPr>
          <w:rFonts w:cstheme="majorBidi"/>
          <w:b/>
          <w:color w:val="0D0D0D" w:themeColor="text1" w:themeTint="F2"/>
          <w:lang w:val="sq-AL"/>
        </w:rPr>
        <w:t xml:space="preserve"> 2024</w:t>
      </w:r>
      <w:r w:rsidR="000A3E00" w:rsidRPr="00050FA4">
        <w:rPr>
          <w:rFonts w:cstheme="majorBidi"/>
          <w:b/>
          <w:color w:val="0D0D0D" w:themeColor="text1" w:themeTint="F2"/>
          <w:lang w:val="sq-AL"/>
        </w:rPr>
        <w:t>-ën</w:t>
      </w:r>
    </w:p>
    <w:p w14:paraId="32304D37" w14:textId="494CFD5C" w:rsidR="00877F0D" w:rsidRPr="00050FA4" w:rsidRDefault="00942FCF"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Zbatimi i Projektit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Focentrali PV i Karavastasë 140 </w:t>
      </w:r>
      <w:r w:rsidR="006A27AC" w:rsidRPr="00050FA4">
        <w:rPr>
          <w:rFonts w:cstheme="majorBidi"/>
          <w:color w:val="0D0D0D" w:themeColor="text1" w:themeTint="F2"/>
          <w:lang w:val="sq-AL"/>
        </w:rPr>
        <w:t>mw</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 xml:space="preserve"> (Faza e </w:t>
      </w:r>
      <w:r w:rsidR="006A27AC" w:rsidRPr="00050FA4">
        <w:rPr>
          <w:rFonts w:cstheme="majorBidi"/>
          <w:color w:val="0D0D0D" w:themeColor="text1" w:themeTint="F2"/>
          <w:lang w:val="sq-AL"/>
        </w:rPr>
        <w:t>ndërtimit</w:t>
      </w:r>
      <w:r w:rsidR="00877F0D" w:rsidRPr="00050FA4">
        <w:rPr>
          <w:rFonts w:cstheme="majorBidi"/>
          <w:color w:val="0D0D0D" w:themeColor="text1" w:themeTint="F2"/>
          <w:lang w:val="sq-AL"/>
        </w:rPr>
        <w:t>).</w:t>
      </w:r>
    </w:p>
    <w:p w14:paraId="020F176B" w14:textId="11C9BA24" w:rsidR="00877F0D" w:rsidRPr="00050FA4" w:rsidRDefault="00942FCF"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Zbatimi i Projektit të Termocentralit FV të Spitallës prej 100 </w:t>
      </w:r>
      <w:r w:rsidR="006A27AC" w:rsidRPr="00050FA4">
        <w:rPr>
          <w:rFonts w:cstheme="majorBidi"/>
          <w:color w:val="0D0D0D" w:themeColor="text1" w:themeTint="F2"/>
          <w:lang w:val="sq-AL"/>
        </w:rPr>
        <w:t xml:space="preserve">mw </w:t>
      </w:r>
      <w:r w:rsidR="00877F0D" w:rsidRPr="00050FA4">
        <w:rPr>
          <w:rFonts w:cstheme="majorBidi"/>
          <w:color w:val="0D0D0D" w:themeColor="text1" w:themeTint="F2"/>
          <w:lang w:val="sq-AL"/>
        </w:rPr>
        <w:t xml:space="preserve">(Faza e </w:t>
      </w:r>
      <w:r w:rsidR="006A27AC" w:rsidRPr="00050FA4">
        <w:rPr>
          <w:rFonts w:cstheme="majorBidi"/>
          <w:color w:val="0D0D0D" w:themeColor="text1" w:themeTint="F2"/>
          <w:lang w:val="sq-AL"/>
        </w:rPr>
        <w:t>ndërtimit</w:t>
      </w:r>
      <w:r w:rsidR="00877F0D" w:rsidRPr="00050FA4">
        <w:rPr>
          <w:rFonts w:cstheme="majorBidi"/>
          <w:color w:val="0D0D0D" w:themeColor="text1" w:themeTint="F2"/>
          <w:lang w:val="sq-AL"/>
        </w:rPr>
        <w:t>).</w:t>
      </w:r>
    </w:p>
    <w:p w14:paraId="18020E95" w14:textId="4CF9AFBF" w:rsidR="00877F0D" w:rsidRPr="00050FA4" w:rsidRDefault="00942FCF"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Monitorimi i zbatimit të projekteve të reja të energjisë së erës dhe diellit që janë pajisur me miratimin përfundimtar për ndërtimin e kapaciteteve të reja p</w:t>
      </w:r>
      <w:r w:rsidR="006A27AC" w:rsidRPr="00050FA4">
        <w:rPr>
          <w:rFonts w:cstheme="majorBidi"/>
          <w:color w:val="0D0D0D" w:themeColor="text1" w:themeTint="F2"/>
          <w:lang w:val="sq-AL"/>
        </w:rPr>
        <w:t>rodhuese të energjisë elektrike</w:t>
      </w:r>
      <w:r w:rsidR="00877F0D" w:rsidRPr="00050FA4">
        <w:rPr>
          <w:rFonts w:cstheme="majorBidi"/>
          <w:color w:val="0D0D0D" w:themeColor="text1" w:themeTint="F2"/>
          <w:lang w:val="sq-AL"/>
        </w:rPr>
        <w:t xml:space="preserve"> (MIE/AKBN).</w:t>
      </w:r>
    </w:p>
    <w:p w14:paraId="21F63224" w14:textId="7ACF796B" w:rsidR="00877F0D" w:rsidRPr="00050FA4" w:rsidRDefault="00942FCF"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Projekt pilot për ndërtimin e një pallati me </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0 Energy</w:t>
      </w:r>
      <w:r w:rsidR="008A0E5B" w:rsidRPr="00050FA4">
        <w:rPr>
          <w:rFonts w:cstheme="majorBidi"/>
          <w:color w:val="0D0D0D" w:themeColor="text1" w:themeTint="F2"/>
          <w:lang w:val="sq-AL"/>
        </w:rPr>
        <w:t>”</w:t>
      </w:r>
      <w:r w:rsidR="00877F0D" w:rsidRPr="00050FA4">
        <w:rPr>
          <w:rFonts w:cstheme="majorBidi"/>
          <w:color w:val="0D0D0D" w:themeColor="text1" w:themeTint="F2"/>
          <w:lang w:val="sq-AL"/>
        </w:rPr>
        <w:t>.</w:t>
      </w:r>
    </w:p>
    <w:p w14:paraId="7CEE488B" w14:textId="257A61A6" w:rsidR="00877F0D" w:rsidRPr="00050FA4" w:rsidRDefault="00942FCF"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Standardet e ndriçimit urban dhe rrugor në Republikën e Shqipërisë.</w:t>
      </w:r>
    </w:p>
    <w:p w14:paraId="7B7ABE3A" w14:textId="7760FD32" w:rsidR="00877F0D" w:rsidRPr="00050FA4" w:rsidRDefault="00942FCF" w:rsidP="003F1DA7">
      <w:pPr>
        <w:pStyle w:val="AAAAAAATEXXXX"/>
        <w:rPr>
          <w:rFonts w:cstheme="majorBidi"/>
          <w:color w:val="0D0D0D" w:themeColor="text1" w:themeTint="F2"/>
          <w:lang w:val="sq-AL"/>
        </w:rPr>
      </w:pPr>
      <w:r w:rsidRPr="00050FA4">
        <w:rPr>
          <w:rFonts w:cstheme="majorBidi"/>
          <w:color w:val="0D0D0D" w:themeColor="text1" w:themeTint="F2"/>
          <w:lang w:val="sq-AL"/>
        </w:rPr>
        <w:t xml:space="preserve">- </w:t>
      </w:r>
      <w:r w:rsidR="00877F0D" w:rsidRPr="00050FA4">
        <w:rPr>
          <w:rFonts w:cstheme="majorBidi"/>
          <w:color w:val="0D0D0D" w:themeColor="text1" w:themeTint="F2"/>
          <w:lang w:val="sq-AL"/>
        </w:rPr>
        <w:t xml:space="preserve">Studim i plotë fizibiliteti për instalimin e </w:t>
      </w:r>
      <w:r w:rsidRPr="00050FA4">
        <w:rPr>
          <w:rFonts w:cstheme="majorBidi"/>
          <w:color w:val="0D0D0D" w:themeColor="text1" w:themeTint="F2"/>
          <w:lang w:val="sq-AL"/>
        </w:rPr>
        <w:t xml:space="preserve">kullave të karikimit </w:t>
      </w:r>
      <w:r w:rsidR="00877F0D" w:rsidRPr="00050FA4">
        <w:rPr>
          <w:rFonts w:cstheme="majorBidi"/>
          <w:color w:val="0D0D0D" w:themeColor="text1" w:themeTint="F2"/>
          <w:lang w:val="sq-AL"/>
        </w:rPr>
        <w:t>për makinat elektrike në Republikën e Shqipërisë.</w:t>
      </w:r>
    </w:p>
    <w:p w14:paraId="2367653F" w14:textId="4CA321AB" w:rsidR="00877F0D" w:rsidRPr="00050FA4" w:rsidRDefault="00877F0D" w:rsidP="003F1DA7">
      <w:pPr>
        <w:pStyle w:val="AAAAAAATEXXXX"/>
        <w:rPr>
          <w:rFonts w:cstheme="majorBidi"/>
          <w:color w:val="0D0D0D" w:themeColor="text1" w:themeTint="F2"/>
          <w:lang w:val="sq-AL"/>
        </w:rPr>
      </w:pPr>
      <w:r w:rsidRPr="00050FA4">
        <w:rPr>
          <w:rFonts w:cstheme="majorBidi"/>
          <w:color w:val="0D0D0D" w:themeColor="text1" w:themeTint="F2"/>
          <w:lang w:val="sq-AL"/>
        </w:rPr>
        <w:lastRenderedPageBreak/>
        <w:t xml:space="preserve">Raport studimi/mbikëqyrje për Elektrifikimin e linjave të transportit urban dhe ndërqytetës në </w:t>
      </w:r>
      <w:r w:rsidR="00942FCF" w:rsidRPr="00050FA4">
        <w:rPr>
          <w:rFonts w:cstheme="majorBidi"/>
          <w:color w:val="0D0D0D" w:themeColor="text1" w:themeTint="F2"/>
          <w:lang w:val="sq-AL"/>
        </w:rPr>
        <w:t xml:space="preserve">bashkitë </w:t>
      </w:r>
      <w:r w:rsidRPr="00050FA4">
        <w:rPr>
          <w:rFonts w:cstheme="majorBidi"/>
          <w:color w:val="0D0D0D" w:themeColor="text1" w:themeTint="F2"/>
          <w:lang w:val="sq-AL"/>
        </w:rPr>
        <w:t>Tiranë, Vlorë, Durrës (në faza).</w:t>
      </w:r>
    </w:p>
    <w:p w14:paraId="632D4E88" w14:textId="60B824AE" w:rsidR="00080139" w:rsidRPr="00050FA4" w:rsidRDefault="00015C7A" w:rsidP="003F1DA7">
      <w:pPr>
        <w:pStyle w:val="AAAAAAATEXXXX"/>
        <w:rPr>
          <w:lang w:val="sq-AL"/>
        </w:rPr>
      </w:pPr>
      <w:r w:rsidRPr="00050FA4">
        <w:rPr>
          <w:lang w:val="sq-AL"/>
        </w:rPr>
        <w:t xml:space="preserve">2. </w:t>
      </w:r>
      <w:r w:rsidR="00B2062A" w:rsidRPr="00050FA4">
        <w:rPr>
          <w:lang w:val="sq-AL"/>
        </w:rPr>
        <w:t>Treguesit e rezultateve</w:t>
      </w:r>
    </w:p>
    <w:p w14:paraId="5EDE63EB" w14:textId="77777777" w:rsidR="00942FCF" w:rsidRPr="00050FA4" w:rsidRDefault="00942FCF" w:rsidP="003F1DA7">
      <w:pPr>
        <w:pStyle w:val="AAAAAAATEXXXX"/>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176"/>
        <w:gridCol w:w="1743"/>
        <w:gridCol w:w="1239"/>
      </w:tblGrid>
      <w:tr w:rsidR="00FA29AB" w:rsidRPr="00050FA4" w14:paraId="2EDE25B2" w14:textId="77777777" w:rsidTr="00C03C79">
        <w:trPr>
          <w:trHeight w:val="20"/>
          <w:jc w:val="center"/>
        </w:trPr>
        <w:tc>
          <w:tcPr>
            <w:tcW w:w="5958" w:type="dxa"/>
            <w:shd w:val="clear" w:color="auto" w:fill="auto"/>
            <w:vAlign w:val="center"/>
          </w:tcPr>
          <w:p w14:paraId="29DA2FAA" w14:textId="588C4571" w:rsidR="007A5807" w:rsidRPr="00050FA4" w:rsidRDefault="00B2062A" w:rsidP="00C03C79">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1176" w:type="dxa"/>
            <w:shd w:val="clear" w:color="auto" w:fill="auto"/>
            <w:vAlign w:val="center"/>
          </w:tcPr>
          <w:p w14:paraId="32634388" w14:textId="21E26C50" w:rsidR="007A5807" w:rsidRPr="00050FA4" w:rsidRDefault="00B2062A" w:rsidP="00C03C79">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Bazë</w:t>
            </w:r>
            <w:r w:rsidR="007A5807" w:rsidRPr="00050FA4">
              <w:rPr>
                <w:rFonts w:ascii="Garamond" w:hAnsi="Garamond" w:cstheme="majorBidi"/>
                <w:b/>
                <w:color w:val="0D0D0D" w:themeColor="text1" w:themeTint="F2"/>
                <w:sz w:val="18"/>
                <w:szCs w:val="18"/>
              </w:rPr>
              <w:t xml:space="preserve"> (2022)</w:t>
            </w:r>
          </w:p>
        </w:tc>
        <w:tc>
          <w:tcPr>
            <w:tcW w:w="1743" w:type="dxa"/>
            <w:shd w:val="clear" w:color="auto" w:fill="auto"/>
            <w:vAlign w:val="center"/>
          </w:tcPr>
          <w:p w14:paraId="252289C8" w14:textId="144787F5" w:rsidR="007A5807" w:rsidRPr="00050FA4" w:rsidRDefault="00B2062A" w:rsidP="00C03C79">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I ndërmjetëm</w:t>
            </w:r>
            <w:r w:rsidR="007A5807" w:rsidRPr="00050FA4">
              <w:rPr>
                <w:rFonts w:ascii="Garamond" w:hAnsi="Garamond" w:cstheme="majorBidi"/>
                <w:b/>
                <w:color w:val="0D0D0D" w:themeColor="text1" w:themeTint="F2"/>
                <w:sz w:val="18"/>
                <w:szCs w:val="18"/>
              </w:rPr>
              <w:t xml:space="preserve"> (2023)</w:t>
            </w:r>
          </w:p>
        </w:tc>
        <w:tc>
          <w:tcPr>
            <w:tcW w:w="0" w:type="auto"/>
            <w:shd w:val="clear" w:color="auto" w:fill="auto"/>
            <w:vAlign w:val="center"/>
          </w:tcPr>
          <w:p w14:paraId="390C7B2C" w14:textId="411DC700" w:rsidR="007A5807" w:rsidRPr="00050FA4" w:rsidRDefault="00B2062A" w:rsidP="00C03C79">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w:t>
            </w:r>
            <w:r w:rsidR="007A5807" w:rsidRPr="00050FA4">
              <w:rPr>
                <w:rFonts w:ascii="Garamond" w:hAnsi="Garamond" w:cstheme="majorBidi"/>
                <w:b/>
                <w:color w:val="0D0D0D" w:themeColor="text1" w:themeTint="F2"/>
                <w:sz w:val="18"/>
                <w:szCs w:val="18"/>
              </w:rPr>
              <w:t xml:space="preserve"> (2024)</w:t>
            </w:r>
          </w:p>
        </w:tc>
      </w:tr>
      <w:tr w:rsidR="00FA29AB" w:rsidRPr="00050FA4" w14:paraId="257C4944" w14:textId="77777777" w:rsidTr="00C03C79">
        <w:trPr>
          <w:trHeight w:val="20"/>
          <w:jc w:val="center"/>
        </w:trPr>
        <w:tc>
          <w:tcPr>
            <w:tcW w:w="5958" w:type="dxa"/>
            <w:shd w:val="clear" w:color="auto" w:fill="auto"/>
          </w:tcPr>
          <w:p w14:paraId="1B58E7EC" w14:textId="6C915761" w:rsidR="00877F0D" w:rsidRPr="00050FA4" w:rsidRDefault="00877F0D" w:rsidP="00A95D23">
            <w:pPr>
              <w:rPr>
                <w:rFonts w:ascii="Garamond"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 e energjisë elektrike të prodhuar nga impiantet diellore PV dhe turbinat me erë</w:t>
            </w:r>
          </w:p>
        </w:tc>
        <w:tc>
          <w:tcPr>
            <w:tcW w:w="1176" w:type="dxa"/>
            <w:shd w:val="clear" w:color="auto" w:fill="auto"/>
            <w:vAlign w:val="center"/>
          </w:tcPr>
          <w:p w14:paraId="3CC5FC6F" w14:textId="1ED20F9D"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 xml:space="preserve">1% </w:t>
            </w:r>
          </w:p>
        </w:tc>
        <w:tc>
          <w:tcPr>
            <w:tcW w:w="1743" w:type="dxa"/>
            <w:shd w:val="clear" w:color="auto" w:fill="auto"/>
            <w:vAlign w:val="center"/>
          </w:tcPr>
          <w:p w14:paraId="127214E7" w14:textId="7BADB8BF"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1.5%</w:t>
            </w:r>
          </w:p>
        </w:tc>
        <w:tc>
          <w:tcPr>
            <w:tcW w:w="0" w:type="auto"/>
            <w:shd w:val="clear" w:color="auto" w:fill="auto"/>
            <w:vAlign w:val="center"/>
          </w:tcPr>
          <w:p w14:paraId="3D98AEF2" w14:textId="529578DD"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10%</w:t>
            </w:r>
          </w:p>
        </w:tc>
      </w:tr>
      <w:tr w:rsidR="00FA29AB" w:rsidRPr="00050FA4" w14:paraId="3538BAC8" w14:textId="77777777" w:rsidTr="00C03C79">
        <w:trPr>
          <w:trHeight w:val="20"/>
          <w:jc w:val="center"/>
        </w:trPr>
        <w:tc>
          <w:tcPr>
            <w:tcW w:w="5958" w:type="dxa"/>
            <w:shd w:val="clear" w:color="auto" w:fill="auto"/>
          </w:tcPr>
          <w:p w14:paraId="2C1376E4" w14:textId="6A093C39" w:rsidR="00877F0D" w:rsidRPr="00050FA4" w:rsidRDefault="00877F0D" w:rsidP="00942FCF">
            <w:pPr>
              <w:rPr>
                <w:rFonts w:ascii="Garamond"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Kursimi i energjisë nga masat (projektet pilot) në sektorin e efi</w:t>
            </w:r>
            <w:r w:rsidR="00942FCF" w:rsidRPr="00050FA4">
              <w:rPr>
                <w:rFonts w:ascii="Garamond" w:eastAsia="Arial Narrow" w:hAnsi="Garamond" w:cstheme="majorBidi"/>
                <w:color w:val="0D0D0D" w:themeColor="text1" w:themeTint="F2"/>
                <w:sz w:val="18"/>
                <w:szCs w:val="18"/>
              </w:rPr>
              <w:t>c</w:t>
            </w:r>
            <w:r w:rsidRPr="00050FA4">
              <w:rPr>
                <w:rFonts w:ascii="Garamond" w:eastAsia="Arial Narrow" w:hAnsi="Garamond" w:cstheme="majorBidi"/>
                <w:color w:val="0D0D0D" w:themeColor="text1" w:themeTint="F2"/>
                <w:sz w:val="18"/>
                <w:szCs w:val="18"/>
              </w:rPr>
              <w:t>iencës së energjisë</w:t>
            </w:r>
          </w:p>
        </w:tc>
        <w:tc>
          <w:tcPr>
            <w:tcW w:w="1176" w:type="dxa"/>
            <w:shd w:val="clear" w:color="auto" w:fill="auto"/>
            <w:vAlign w:val="center"/>
          </w:tcPr>
          <w:p w14:paraId="01C4E3B8" w14:textId="05CFF594"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5 %</w:t>
            </w:r>
          </w:p>
        </w:tc>
        <w:tc>
          <w:tcPr>
            <w:tcW w:w="1743" w:type="dxa"/>
            <w:shd w:val="clear" w:color="auto" w:fill="auto"/>
            <w:vAlign w:val="center"/>
          </w:tcPr>
          <w:p w14:paraId="7960C9FB" w14:textId="160CDD00"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6%</w:t>
            </w:r>
          </w:p>
        </w:tc>
        <w:tc>
          <w:tcPr>
            <w:tcW w:w="0" w:type="auto"/>
            <w:shd w:val="clear" w:color="auto" w:fill="auto"/>
            <w:vAlign w:val="center"/>
          </w:tcPr>
          <w:p w14:paraId="11318E9C" w14:textId="0686FF40"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7%</w:t>
            </w:r>
          </w:p>
        </w:tc>
      </w:tr>
      <w:tr w:rsidR="00FA29AB" w:rsidRPr="00050FA4" w14:paraId="5447676A" w14:textId="77777777" w:rsidTr="00C03C79">
        <w:trPr>
          <w:trHeight w:val="20"/>
          <w:jc w:val="center"/>
        </w:trPr>
        <w:tc>
          <w:tcPr>
            <w:tcW w:w="5958" w:type="dxa"/>
            <w:shd w:val="clear" w:color="auto" w:fill="auto"/>
          </w:tcPr>
          <w:p w14:paraId="5C6268C4" w14:textId="7B2D78C3" w:rsidR="00877F0D" w:rsidRPr="00050FA4" w:rsidRDefault="00877F0D" w:rsidP="00942FCF">
            <w:pPr>
              <w:rPr>
                <w:rFonts w:ascii="Garamond"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Raportet e auditimit të efi</w:t>
            </w:r>
            <w:r w:rsidR="00942FCF" w:rsidRPr="00050FA4">
              <w:rPr>
                <w:rFonts w:ascii="Garamond" w:eastAsia="Arial Narrow" w:hAnsi="Garamond" w:cstheme="majorBidi"/>
                <w:color w:val="0D0D0D" w:themeColor="text1" w:themeTint="F2"/>
                <w:sz w:val="18"/>
                <w:szCs w:val="18"/>
              </w:rPr>
              <w:t>c</w:t>
            </w:r>
            <w:r w:rsidRPr="00050FA4">
              <w:rPr>
                <w:rFonts w:ascii="Garamond" w:eastAsia="Arial Narrow" w:hAnsi="Garamond" w:cstheme="majorBidi"/>
                <w:color w:val="0D0D0D" w:themeColor="text1" w:themeTint="F2"/>
                <w:sz w:val="18"/>
                <w:szCs w:val="18"/>
              </w:rPr>
              <w:t>encës së energjisë</w:t>
            </w:r>
            <w:r w:rsidR="00535FB4" w:rsidRPr="00050FA4">
              <w:rPr>
                <w:rFonts w:ascii="Garamond" w:eastAsia="Arial Narrow" w:hAnsi="Garamond" w:cstheme="majorBidi"/>
                <w:color w:val="0D0D0D" w:themeColor="text1" w:themeTint="F2"/>
                <w:sz w:val="18"/>
                <w:szCs w:val="18"/>
              </w:rPr>
              <w:t>/</w:t>
            </w:r>
            <w:r w:rsidRPr="00050FA4">
              <w:rPr>
                <w:rFonts w:ascii="Garamond" w:eastAsia="Arial Narrow" w:hAnsi="Garamond" w:cstheme="majorBidi"/>
                <w:color w:val="0D0D0D" w:themeColor="text1" w:themeTint="F2"/>
                <w:sz w:val="18"/>
                <w:szCs w:val="18"/>
              </w:rPr>
              <w:t>Certifikata e performancës së ndërtesës</w:t>
            </w:r>
          </w:p>
        </w:tc>
        <w:tc>
          <w:tcPr>
            <w:tcW w:w="1176" w:type="dxa"/>
            <w:shd w:val="clear" w:color="auto" w:fill="auto"/>
            <w:vAlign w:val="center"/>
          </w:tcPr>
          <w:p w14:paraId="465A0670" w14:textId="4F6A289E"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22000</w:t>
            </w:r>
          </w:p>
        </w:tc>
        <w:tc>
          <w:tcPr>
            <w:tcW w:w="1743" w:type="dxa"/>
            <w:shd w:val="clear" w:color="auto" w:fill="auto"/>
            <w:vAlign w:val="center"/>
          </w:tcPr>
          <w:p w14:paraId="06B5CB5C" w14:textId="36A5117C"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30000</w:t>
            </w:r>
          </w:p>
        </w:tc>
        <w:tc>
          <w:tcPr>
            <w:tcW w:w="0" w:type="auto"/>
            <w:shd w:val="clear" w:color="auto" w:fill="auto"/>
            <w:vAlign w:val="center"/>
          </w:tcPr>
          <w:p w14:paraId="074745A4" w14:textId="759CA4F3" w:rsidR="00877F0D" w:rsidRPr="00050FA4" w:rsidRDefault="00877F0D" w:rsidP="00C03C79">
            <w:pPr>
              <w:widowControl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35000</w:t>
            </w:r>
          </w:p>
        </w:tc>
      </w:tr>
    </w:tbl>
    <w:p w14:paraId="753C6ACD" w14:textId="77777777" w:rsidR="007A5807" w:rsidRPr="00050FA4" w:rsidRDefault="007A5807" w:rsidP="003F1DA7">
      <w:pPr>
        <w:snapToGrid w:val="0"/>
        <w:ind w:firstLine="284"/>
        <w:rPr>
          <w:rFonts w:ascii="Garamond" w:hAnsi="Garamond" w:cstheme="majorBidi"/>
          <w:color w:val="0D0D0D" w:themeColor="text1" w:themeTint="F2"/>
        </w:rPr>
      </w:pPr>
    </w:p>
    <w:p w14:paraId="5A036E7C" w14:textId="71CB6E2A" w:rsidR="00080139" w:rsidRPr="00050FA4" w:rsidRDefault="00015C7A" w:rsidP="003F1DA7">
      <w:pPr>
        <w:pStyle w:val="AAAAAAATEXXXX"/>
        <w:rPr>
          <w:lang w:val="sq-AL"/>
        </w:rPr>
      </w:pPr>
      <w:r w:rsidRPr="00050FA4">
        <w:rPr>
          <w:lang w:val="sq-AL"/>
        </w:rPr>
        <w:t xml:space="preserve">3. </w:t>
      </w:r>
      <w:r w:rsidR="00B2062A" w:rsidRPr="00050FA4">
        <w:rPr>
          <w:lang w:val="sq-AL"/>
        </w:rPr>
        <w:t>Ndikimi i pritshëm në konkurrueshmëri</w:t>
      </w:r>
    </w:p>
    <w:p w14:paraId="0BECD5AD" w14:textId="707F98D7" w:rsidR="00877F0D" w:rsidRPr="00050FA4" w:rsidRDefault="00877F0D" w:rsidP="003F1DA7">
      <w:pPr>
        <w:pStyle w:val="AAAAAAATEXXXX"/>
        <w:rPr>
          <w:lang w:val="sq-AL" w:eastAsia="sq-AL"/>
        </w:rPr>
      </w:pPr>
      <w:r w:rsidRPr="00050FA4">
        <w:rPr>
          <w:lang w:val="sq-AL" w:eastAsia="sq-AL"/>
        </w:rPr>
        <w:t xml:space="preserve">Sektori i energjisë po hyn në një epokë transformimesh të rëndësishme për shkak të rritjes së depërtimit të burimeve të rinovueshme. Diversifikimi i burimeve të energjisë (burimet e rinovueshme) do të ketë ndikim pozitiv të drejtpërdrejtë në rritjen e konkurrueshmërisë si rezultat i përdorimit të burimeve të reja të energjisë (solare dhe erë) që do të rrisin prodhimin </w:t>
      </w:r>
      <w:r w:rsidR="00643BAF" w:rsidRPr="00050FA4">
        <w:rPr>
          <w:lang w:val="sq-AL" w:eastAsia="sq-AL"/>
        </w:rPr>
        <w:t>vendës</w:t>
      </w:r>
      <w:r w:rsidRPr="00050FA4">
        <w:rPr>
          <w:lang w:val="sq-AL" w:eastAsia="sq-AL"/>
        </w:rPr>
        <w:t xml:space="preserve"> të energjisë në tregun shqiptar. Ndërsa teknologjitë e prodhimit të energjisë së rinovueshme janë maturuar dhe kostot e tyre janë ulur, ka një zhvendosje në rritje drejt ankandeve. Në tregun shqiptar me vëllime të kufizuara në ofertë, kjo ka çuar në konkurrencë intensive për projekte dhe ka rezultuar në uljen e kostove të çmimeve të energjisë (ankandi i Akernia 59.9 </w:t>
      </w:r>
      <w:r w:rsidR="00C03C79" w:rsidRPr="00050FA4">
        <w:rPr>
          <w:lang w:val="sq-AL" w:eastAsia="sq-AL"/>
        </w:rPr>
        <w:t xml:space="preserve">euro kwh </w:t>
      </w:r>
      <w:r w:rsidRPr="00050FA4">
        <w:rPr>
          <w:lang w:val="sq-AL" w:eastAsia="sq-AL"/>
        </w:rPr>
        <w:t xml:space="preserve">dhe 24.89 </w:t>
      </w:r>
      <w:r w:rsidR="00C03C79" w:rsidRPr="00050FA4">
        <w:rPr>
          <w:lang w:val="sq-AL" w:eastAsia="sq-AL"/>
        </w:rPr>
        <w:t xml:space="preserve">euro/mwh </w:t>
      </w:r>
      <w:r w:rsidRPr="00050FA4">
        <w:rPr>
          <w:lang w:val="sq-AL" w:eastAsia="sq-AL"/>
        </w:rPr>
        <w:t xml:space="preserve">për Karavasta 70 </w:t>
      </w:r>
      <w:r w:rsidR="00C03C79" w:rsidRPr="00050FA4">
        <w:rPr>
          <w:lang w:val="sq-AL" w:eastAsia="sq-AL"/>
        </w:rPr>
        <w:t>mwp</w:t>
      </w:r>
      <w:r w:rsidRPr="00050FA4">
        <w:rPr>
          <w:lang w:val="sq-AL" w:eastAsia="sq-AL"/>
        </w:rPr>
        <w:t>).</w:t>
      </w:r>
    </w:p>
    <w:p w14:paraId="17CDF50A" w14:textId="457D95CC" w:rsidR="00877F0D" w:rsidRPr="00050FA4" w:rsidRDefault="00877F0D" w:rsidP="003F1DA7">
      <w:pPr>
        <w:pStyle w:val="AAAAAAATEXXXX"/>
        <w:rPr>
          <w:lang w:val="sq-AL" w:eastAsia="sq-AL"/>
        </w:rPr>
      </w:pPr>
      <w:r w:rsidRPr="00050FA4">
        <w:rPr>
          <w:lang w:val="sq-AL" w:eastAsia="sq-AL"/>
        </w:rPr>
        <w:t>Masat promovuese dhe nxitëse për burimet e rinovueshme do të kontribuojnë në rritjen e sigurisë së furnizimit me energji në ven</w:t>
      </w:r>
      <w:r w:rsidR="00E67ECA" w:rsidRPr="00050FA4">
        <w:rPr>
          <w:lang w:val="sq-AL" w:eastAsia="sq-AL"/>
        </w:rPr>
        <w:t>d dhe do t’</w:t>
      </w:r>
      <w:r w:rsidRPr="00050FA4">
        <w:rPr>
          <w:lang w:val="sq-AL" w:eastAsia="sq-AL"/>
        </w:rPr>
        <w:t>i detyrojnë zhvilluesit të zbatojnë praktikat më të mira në drejtim të zhvillimit të projektit, të përdorin zgjidhje më të reja teknologjike inovative dhe në përgjithësi të reduktojnë marzhet.</w:t>
      </w:r>
    </w:p>
    <w:p w14:paraId="6E141D8F" w14:textId="7824CDFF" w:rsidR="00877F0D" w:rsidRPr="00050FA4" w:rsidRDefault="00877F0D" w:rsidP="003F1DA7">
      <w:pPr>
        <w:pStyle w:val="AAAAAAATEXXXX"/>
        <w:rPr>
          <w:lang w:val="sq-AL"/>
        </w:rPr>
      </w:pPr>
      <w:r w:rsidRPr="00050FA4">
        <w:rPr>
          <w:lang w:val="sq-AL" w:eastAsia="sq-AL"/>
        </w:rPr>
        <w:t>Rezultatet e kursimit dhe efi</w:t>
      </w:r>
      <w:r w:rsidR="00942FCF" w:rsidRPr="00050FA4">
        <w:rPr>
          <w:lang w:val="sq-AL" w:eastAsia="sq-AL"/>
        </w:rPr>
        <w:t>ci</w:t>
      </w:r>
      <w:r w:rsidRPr="00050FA4">
        <w:rPr>
          <w:lang w:val="sq-AL" w:eastAsia="sq-AL"/>
        </w:rPr>
        <w:t>encës së energjisë do të kenë ndikim të drejtpërdrejtë pozitiv në rritjen e konkurrencës duke bërë të mundur uljen e konsumit të energjisë dhe uljen e kostove si rezultat i kursimeve.</w:t>
      </w:r>
    </w:p>
    <w:p w14:paraId="6F140C18" w14:textId="0ADC7CA2" w:rsidR="00080139" w:rsidRPr="00050FA4" w:rsidRDefault="00015C7A"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7B255B78" w14:textId="4D1FF7A4" w:rsidR="00877F0D" w:rsidRPr="00050FA4" w:rsidRDefault="00877F0D" w:rsidP="003F1DA7">
      <w:pPr>
        <w:pStyle w:val="AAAAAAATEXXXX"/>
        <w:rPr>
          <w:lang w:val="sq-AL"/>
        </w:rPr>
      </w:pPr>
      <w:r w:rsidRPr="00050FA4">
        <w:rPr>
          <w:lang w:val="sq-AL"/>
        </w:rPr>
        <w:t xml:space="preserve">Për të siguruar arritjen e objektivit kombëtar të konsumit të BRE (38%) në vitin 2020, janë miratuar autorizimet me tarifa të rregulluara për këto burime dhe janë miratuar metodologjitë për çmimet e blerjes së BRE. Ligji ruan kontratat koncesionare për hidrocentralet e vogla të miratuara më parë deri në 15 </w:t>
      </w:r>
      <w:r w:rsidR="000A3E00" w:rsidRPr="00050FA4">
        <w:rPr>
          <w:lang w:val="sq-AL"/>
        </w:rPr>
        <w:t>mw</w:t>
      </w:r>
      <w:r w:rsidRPr="00050FA4">
        <w:rPr>
          <w:lang w:val="sq-AL"/>
        </w:rPr>
        <w:t xml:space="preserve">. Gjithashtu si nevojë për diversifikim, konsiderohen promovimi i burimeve të tjera të rinovueshme si </w:t>
      </w:r>
      <w:r w:rsidR="00942FCF" w:rsidRPr="00050FA4">
        <w:rPr>
          <w:lang w:val="sq-AL"/>
        </w:rPr>
        <w:t xml:space="preserve">eolic </w:t>
      </w:r>
      <w:r w:rsidRPr="00050FA4">
        <w:rPr>
          <w:lang w:val="sq-AL"/>
        </w:rPr>
        <w:t xml:space="preserve">apo PV, përtej hidrocentraleve. Në çdo rast, ligji parashikon mundësinë e mbështetjes financiare me prurje të rregulluara </w:t>
      </w:r>
      <w:r w:rsidRPr="00050FA4">
        <w:rPr>
          <w:i/>
          <w:lang w:val="sq-AL"/>
        </w:rPr>
        <w:t xml:space="preserve">(feed-in-tariffs) </w:t>
      </w:r>
      <w:r w:rsidRPr="00050FA4">
        <w:rPr>
          <w:lang w:val="sq-AL"/>
        </w:rPr>
        <w:t xml:space="preserve">dhe sipas kontratës </w:t>
      </w:r>
      <w:r w:rsidRPr="00050FA4">
        <w:rPr>
          <w:i/>
          <w:lang w:val="sq-AL"/>
        </w:rPr>
        <w:t>Feed-in-Premium,</w:t>
      </w:r>
      <w:r w:rsidRPr="00050FA4">
        <w:rPr>
          <w:lang w:val="sq-AL"/>
        </w:rPr>
        <w:t xml:space="preserve"> si për prodhuesit me prioritet ekzistues dhe të rinj, ashtu edhe për prodhuesit e rinj pas përfundimit të vitit 2017. kur kontratat që nuk ishin objekt koncesioni filluan të funksiononin sipas një procedure të miratuar me VKM nr. 822 datë 7.10.2015 i ndryshuar. Sipas NREAP, investimi total për sektorin e BRE dhe EE (Synimet e reja) për 2021-2030 do të jetë pjesë e Planeve të reja të Veprimit (NECP) që do të zbatohen brenda tremujorit të parë të vitit 2022.</w:t>
      </w:r>
    </w:p>
    <w:p w14:paraId="0B00C2FC" w14:textId="5F9BB337" w:rsidR="00080139" w:rsidRPr="00050FA4" w:rsidRDefault="00015C7A" w:rsidP="003F1DA7">
      <w:pPr>
        <w:pStyle w:val="AAAAAAATEXXXX"/>
        <w:rPr>
          <w:lang w:val="sq-AL"/>
        </w:rPr>
      </w:pPr>
      <w:r w:rsidRPr="00050FA4">
        <w:rPr>
          <w:lang w:val="sq-AL"/>
        </w:rPr>
        <w:t xml:space="preserve">5. </w:t>
      </w:r>
      <w:r w:rsidR="00B2062A" w:rsidRPr="00050FA4">
        <w:rPr>
          <w:lang w:val="sq-AL"/>
        </w:rPr>
        <w:t>Ndikimi i pritshëm në përfundimet sociale</w:t>
      </w:r>
      <w:r w:rsidR="00C03C79" w:rsidRPr="00050FA4">
        <w:rPr>
          <w:lang w:val="sq-AL"/>
        </w:rPr>
        <w:t>,</w:t>
      </w:r>
      <w:r w:rsidR="00B2062A" w:rsidRPr="00050FA4">
        <w:rPr>
          <w:lang w:val="sq-AL"/>
        </w:rPr>
        <w:t xml:space="preserve"> si</w:t>
      </w:r>
      <w:r w:rsidR="00C03C79" w:rsidRPr="00050FA4">
        <w:rPr>
          <w:lang w:val="sq-AL"/>
        </w:rPr>
        <w:t>:</w:t>
      </w:r>
      <w:r w:rsidR="00B2062A" w:rsidRPr="00050FA4">
        <w:rPr>
          <w:lang w:val="sq-AL"/>
        </w:rPr>
        <w:t xml:space="preserve"> punësimi, ulja e varfërisë, barazia gjinore dhe aksesi në kujdesin shëndetësor</w:t>
      </w:r>
    </w:p>
    <w:p w14:paraId="36F8B407" w14:textId="748B773B" w:rsidR="00877F0D" w:rsidRPr="00050FA4" w:rsidRDefault="00877F0D" w:rsidP="003F1DA7">
      <w:pPr>
        <w:pStyle w:val="AAAAAAATEXXXX"/>
        <w:rPr>
          <w:lang w:val="sq-AL"/>
        </w:rPr>
      </w:pPr>
      <w:r w:rsidRPr="00050FA4">
        <w:rPr>
          <w:lang w:val="sq-AL"/>
        </w:rPr>
        <w:t>Sektori i burimeve të rinovueshme do të ketë ndikim të drejtpërdrejtë social dhe ekonomik duke kontribuar në përmirësimin e mundësive të punësimit. Energjia e rinovueshme ka rritur numrin e punonjësve në një sërë kapacitetesh, duke përfshirë zhvillimin e projekteve, ndërtimin, instalimin, operimin dhe mirëmbajtjen, transportin dhe logjistikën, shërbimet financiare, ligjore dhe konsulence. Në sektorin industrial do të rekrutohet edhe staf i kualifikuar me kualifikime të duhura profesionale (auditorë dhe kompani ESCO), të cilët do të angazhohen në vazhdimësi në monitorimin e konsumit dhe propozimin e masave të reja për arritjen e kursimeve. Barazia gjinore po bën progres të qëndrueshëm në çdo fushë të ekonomisë, si dhe në industrinë e burimeve të rinovueshme. Numri i grave në role biznesi e tejkaloi atë të grave që drejtojnë burimet njerëzore, gjë që sinjalizon një ndryshim në llojet e përgjegjësive që gratë marrin tani. Në Shqipëri nuk ka kërkesa ligjore që synojnë në mënyrë specifike pjesëmarrjen e grave në bordet e kompanive. Megjithatë, për disa arsye duket një ritëm i përshpejtuar me të cilin kompanitë rrisin pjesëmarrjen e grave në fushën e burimeve të rinovueshme dhe efi</w:t>
      </w:r>
      <w:r w:rsidR="00942FCF" w:rsidRPr="00050FA4">
        <w:rPr>
          <w:lang w:val="sq-AL"/>
        </w:rPr>
        <w:t>c</w:t>
      </w:r>
      <w:r w:rsidRPr="00050FA4">
        <w:rPr>
          <w:lang w:val="sq-AL"/>
        </w:rPr>
        <w:t xml:space="preserve">iencës së energjisë. Prioritetet strategjike adresojnë nevojat për shërbime shëndetësore të të gjitha komuniteteve dhe kategorive të popullsisë. Akses më i mirë i komuniteteve vulnerabël në shërbimet e kujdesit shëndetësor do të arrihet përmes një integrimi më të mirë horizontal të profesionistëve të ndryshëm të specializuar, që </w:t>
      </w:r>
      <w:r w:rsidRPr="00050FA4">
        <w:rPr>
          <w:lang w:val="sq-AL"/>
        </w:rPr>
        <w:lastRenderedPageBreak/>
        <w:t>punojnë në nivel komunitar.</w:t>
      </w:r>
    </w:p>
    <w:p w14:paraId="379C2BC3" w14:textId="2504AD9B" w:rsidR="00080139" w:rsidRPr="00050FA4" w:rsidRDefault="00015C7A"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5A09E550" w14:textId="5B8B4AA8" w:rsidR="00877F0D" w:rsidRPr="00050FA4" w:rsidRDefault="00877F0D" w:rsidP="003F1DA7">
      <w:pPr>
        <w:pStyle w:val="AAAAAAATEXXXX"/>
        <w:rPr>
          <w:lang w:val="sq-AL" w:eastAsia="sq-AL"/>
        </w:rPr>
      </w:pPr>
      <w:r w:rsidRPr="00050FA4">
        <w:rPr>
          <w:lang w:val="sq-AL" w:eastAsia="sq-AL"/>
        </w:rPr>
        <w:t>Qeveria Shqiptare po merr masa për të vijuar me përgatitjen e Planit të Integruar të Energjisë dhe Klimës duke marrë parasysh përshtatjen ndaj ndryshimeve klimatike. Strategjia kombëtare e përshtatjes ndaj ndryshimeve klimatike miratohet brenda korrikut 2019. Shqipëria nënshkroi Marrëveshjen e Parisit më 22 prill 2016, duke hyrë në një epokë të re të procesit ndërkombëtar të politikës klimatike. Shqipëria u bashkua me Konventën Kuadër të Kombeve të Bashkuara për Ndryshimet Klimatike (UNFCCC) në 1995 dhe Protokollin e Kiotos në 2005 dhe ka filluar procesin e ndryshimit të statusit të një vendi në zhvillim në një të zhvilluar, në kuadrin e UNFCCC</w:t>
      </w:r>
      <w:r w:rsidR="00BA59CC" w:rsidRPr="00050FA4">
        <w:rPr>
          <w:lang w:val="sq-AL" w:eastAsia="sq-AL"/>
        </w:rPr>
        <w:t>-s</w:t>
      </w:r>
      <w:r w:rsidRPr="00050FA4">
        <w:rPr>
          <w:lang w:val="sq-AL" w:eastAsia="sq-AL"/>
        </w:rPr>
        <w:t>.</w:t>
      </w:r>
    </w:p>
    <w:p w14:paraId="11CE7F44" w14:textId="4B12EFED" w:rsidR="00877F0D" w:rsidRPr="00050FA4" w:rsidRDefault="00877F0D" w:rsidP="003F1DA7">
      <w:pPr>
        <w:pStyle w:val="AAAAAAATEXXXX"/>
        <w:rPr>
          <w:lang w:val="sq-AL"/>
        </w:rPr>
      </w:pPr>
      <w:r w:rsidRPr="00050FA4">
        <w:rPr>
          <w:lang w:val="sq-AL" w:eastAsia="sq-AL"/>
        </w:rPr>
        <w:t>Shumica e burimeve të rinovueshme të energjisë prodhojnë pak ose aspak emetime të ngrohjes globale. Sistemet e erës, diellore dhe hidroelektrike prodhojnë energji elektrike pa emetime të lidhura me ndotjen e ajrit. Përveç kësaj, era dhe energjia diellore në thelb nuk kërkojnë ujë për të funksionuar dhe kështu nuk ndotin burimet ujore ose furnizimet e tendosjes. Prodhimi i energjisë nga instalimet e rinovueshme nuk kontribuon në emetimet e gazit të karbonit. Masat e efi</w:t>
      </w:r>
      <w:r w:rsidR="001404DE" w:rsidRPr="00050FA4">
        <w:rPr>
          <w:lang w:val="sq-AL" w:eastAsia="sq-AL"/>
        </w:rPr>
        <w:t>ci</w:t>
      </w:r>
      <w:r w:rsidRPr="00050FA4">
        <w:rPr>
          <w:lang w:val="sq-AL" w:eastAsia="sq-AL"/>
        </w:rPr>
        <w:t>encës së energjisë janë një mjet i rëndësishëm për të reduktuar emetimet e CO</w:t>
      </w:r>
      <w:r w:rsidRPr="00050FA4">
        <w:rPr>
          <w:vertAlign w:val="superscript"/>
          <w:lang w:val="sq-AL" w:eastAsia="sq-AL"/>
        </w:rPr>
        <w:t>2</w:t>
      </w:r>
      <w:r w:rsidRPr="00050FA4">
        <w:rPr>
          <w:lang w:val="sq-AL" w:eastAsia="sq-AL"/>
        </w:rPr>
        <w:t xml:space="preserve"> përmes kursimeve në të gjithë sektorët, industri, vendbanim, transport etj. Lidhja midis reduktimit të emetimeve të CO</w:t>
      </w:r>
      <w:r w:rsidRPr="00050FA4">
        <w:rPr>
          <w:vertAlign w:val="superscript"/>
          <w:lang w:val="sq-AL" w:eastAsia="sq-AL"/>
        </w:rPr>
        <w:t>2</w:t>
      </w:r>
      <w:r w:rsidRPr="00050FA4">
        <w:rPr>
          <w:lang w:val="sq-AL" w:eastAsia="sq-AL"/>
        </w:rPr>
        <w:t xml:space="preserve"> dhe masës BRE &amp; EE do të jetë pjesë e dokumentit NECP që do të miratohet deri në fund të 2021. Qasja në energji të përballueshme dhe të besueshme në përputhje </w:t>
      </w:r>
      <w:r w:rsidRPr="00E41F4F">
        <w:rPr>
          <w:lang w:val="sq-AL" w:eastAsia="sq-AL"/>
        </w:rPr>
        <w:t>me SDG#7</w:t>
      </w:r>
      <w:r w:rsidR="00BA59CC" w:rsidRPr="00E41F4F">
        <w:rPr>
          <w:lang w:val="sq-AL" w:eastAsia="sq-AL"/>
        </w:rPr>
        <w:t>,</w:t>
      </w:r>
      <w:r w:rsidRPr="00050FA4">
        <w:rPr>
          <w:lang w:val="sq-AL" w:eastAsia="sq-AL"/>
        </w:rPr>
        <w:t xml:space="preserve"> duke rritur pjesën e energjisë së rinovueshme në përzierjen globale të energjisë. Kjo do të përfshinte përmirësimin e efikasitetit të energjisë dhe rritjen e bashkëpunimit ndërkombëtar për të lehtësuar aksesin më të hapur në teknologjinë e energjisë së pastër dhe më shumë investime në infrastrukturën e energjisë së pastër. Qasja në energji është një shtyllë shumë e rëndësishme për mirëqenien e njerëzve si dhe zhvillimin ekonomik dhe zbutjen e varfërisë përmes rritjes së përqindjes globale të energjisë së rinovueshme dhe përmirësimeve në efi</w:t>
      </w:r>
      <w:r w:rsidR="001404DE" w:rsidRPr="00050FA4">
        <w:rPr>
          <w:lang w:val="sq-AL" w:eastAsia="sq-AL"/>
        </w:rPr>
        <w:t>ci</w:t>
      </w:r>
      <w:r w:rsidRPr="00050FA4">
        <w:rPr>
          <w:lang w:val="sq-AL" w:eastAsia="sq-AL"/>
        </w:rPr>
        <w:t>encën e energjisë.</w:t>
      </w:r>
    </w:p>
    <w:p w14:paraId="00CF5F73" w14:textId="3F84CC08" w:rsidR="00080139" w:rsidRPr="00050FA4" w:rsidRDefault="00015C7A" w:rsidP="003F1DA7">
      <w:pPr>
        <w:pStyle w:val="AAAAAAATEXXXX"/>
        <w:rPr>
          <w:lang w:val="sq-AL"/>
        </w:rPr>
      </w:pPr>
      <w:r w:rsidRPr="00050FA4">
        <w:rPr>
          <w:lang w:val="sq-AL"/>
        </w:rPr>
        <w:t xml:space="preserve">7. </w:t>
      </w:r>
      <w:r w:rsidR="00B2062A" w:rsidRPr="00050FA4">
        <w:rPr>
          <w:lang w:val="sq-AL"/>
        </w:rPr>
        <w:t>Rreziqet e mundshme</w:t>
      </w:r>
    </w:p>
    <w:p w14:paraId="6F2C8250" w14:textId="790CD8B4" w:rsidR="00877F0D" w:rsidRPr="00050FA4" w:rsidRDefault="00877F0D" w:rsidP="003F1DA7">
      <w:pPr>
        <w:pStyle w:val="AAAAAAATEXXXX"/>
        <w:rPr>
          <w:lang w:val="sq-AL"/>
        </w:rPr>
      </w:pPr>
      <w:r w:rsidRPr="00050FA4">
        <w:rPr>
          <w:lang w:val="sq-AL"/>
        </w:rPr>
        <w:t xml:space="preserve">Parashikohen rreziqe në realizimin e reformës nëpërmjet zbatimit të projekteve dhe finalizimit të kuadrit legjislativ në mbështetje të burimeve diversifikuese të furnizimit me energji nëpërmjet rritjes së prodhimit të energjisë nga PV dhe era, financuar nga donacione, buxheti i shtetit të miratuar (në disa raste) dhe </w:t>
      </w:r>
      <w:r w:rsidR="008A0E5B" w:rsidRPr="00050FA4">
        <w:rPr>
          <w:lang w:val="sq-AL"/>
        </w:rPr>
        <w:t>“</w:t>
      </w:r>
      <w:r w:rsidRPr="00050FA4">
        <w:rPr>
          <w:lang w:val="sq-AL"/>
        </w:rPr>
        <w:t xml:space="preserve">Furnizimi i </w:t>
      </w:r>
      <w:r w:rsidR="00942FCF" w:rsidRPr="00050FA4">
        <w:rPr>
          <w:lang w:val="sq-AL"/>
        </w:rPr>
        <w:t>tregut të lirë</w:t>
      </w:r>
      <w:r w:rsidR="008A0E5B" w:rsidRPr="00050FA4">
        <w:rPr>
          <w:lang w:val="sq-AL"/>
        </w:rPr>
        <w:t>”</w:t>
      </w:r>
      <w:r w:rsidRPr="00050FA4">
        <w:rPr>
          <w:lang w:val="sq-AL"/>
        </w:rPr>
        <w:t xml:space="preserve"> SA etj. Mund të ketë një rrezik të përgjithshëm</w:t>
      </w:r>
      <w:r w:rsidR="00942FCF" w:rsidRPr="00050FA4">
        <w:rPr>
          <w:lang w:val="sq-AL"/>
        </w:rPr>
        <w:t>,</w:t>
      </w:r>
      <w:r w:rsidRPr="00050FA4">
        <w:rPr>
          <w:lang w:val="sq-AL"/>
        </w:rPr>
        <w:t xml:space="preserve"> për shkak të ndërveprimit të nevojshëm ndërmjet të gjithë aktorëve përkatës</w:t>
      </w:r>
      <w:r w:rsidR="00942FCF" w:rsidRPr="00050FA4">
        <w:rPr>
          <w:lang w:val="sq-AL"/>
        </w:rPr>
        <w:t>:</w:t>
      </w:r>
      <w:r w:rsidRPr="00050FA4">
        <w:rPr>
          <w:lang w:val="sq-AL"/>
        </w:rPr>
        <w:t xml:space="preserve"> </w:t>
      </w:r>
      <w:r w:rsidR="00942FCF" w:rsidRPr="00050FA4">
        <w:rPr>
          <w:lang w:val="sq-AL"/>
        </w:rPr>
        <w:t xml:space="preserve">vonesa </w:t>
      </w:r>
      <w:r w:rsidRPr="00050FA4">
        <w:rPr>
          <w:lang w:val="sq-AL"/>
        </w:rPr>
        <w:t xml:space="preserve">në miratimin e akteve nënligjore; </w:t>
      </w:r>
      <w:r w:rsidR="00942FCF" w:rsidRPr="00050FA4">
        <w:rPr>
          <w:lang w:val="sq-AL"/>
        </w:rPr>
        <w:t xml:space="preserve">mungesa </w:t>
      </w:r>
      <w:r w:rsidRPr="00050FA4">
        <w:rPr>
          <w:lang w:val="sq-AL"/>
        </w:rPr>
        <w:t xml:space="preserve">e një instrumenti financiar ndërsa projektet do të realizohen nga buxheti i shtetit dhe disa nga instrumentet e huaja financiare (fondet IPA); </w:t>
      </w:r>
      <w:r w:rsidR="00942FCF" w:rsidRPr="00050FA4">
        <w:rPr>
          <w:lang w:val="sq-AL"/>
        </w:rPr>
        <w:t xml:space="preserve">vonesat </w:t>
      </w:r>
      <w:r w:rsidRPr="00050FA4">
        <w:rPr>
          <w:lang w:val="sq-AL"/>
        </w:rPr>
        <w:t xml:space="preserve">në miratimin e VKM-së së KBP-së; EEA jo e pajisur plotësisht me staf; </w:t>
      </w:r>
      <w:r w:rsidR="00942FCF" w:rsidRPr="00050FA4">
        <w:rPr>
          <w:lang w:val="sq-AL"/>
        </w:rPr>
        <w:t xml:space="preserve">vonesa </w:t>
      </w:r>
      <w:r w:rsidRPr="00050FA4">
        <w:rPr>
          <w:lang w:val="sq-AL"/>
        </w:rPr>
        <w:t>në aktivitetet e projektit (faza e prokurimit etj.)</w:t>
      </w:r>
      <w:r w:rsidR="00942FCF" w:rsidRPr="00050FA4">
        <w:rPr>
          <w:lang w:val="sq-AL"/>
        </w:rPr>
        <w:t>;</w:t>
      </w:r>
      <w:r w:rsidRPr="00050FA4">
        <w:rPr>
          <w:lang w:val="sq-AL"/>
        </w:rPr>
        <w:t xml:space="preserve"> </w:t>
      </w:r>
      <w:r w:rsidR="00942FCF" w:rsidRPr="00050FA4">
        <w:rPr>
          <w:lang w:val="sq-AL"/>
        </w:rPr>
        <w:t xml:space="preserve">vonesat </w:t>
      </w:r>
      <w:r w:rsidRPr="00050FA4">
        <w:rPr>
          <w:lang w:val="sq-AL"/>
        </w:rPr>
        <w:t xml:space="preserve">në fazën e autorizimit dhe ndërtimit të projekteve të FV dhe </w:t>
      </w:r>
      <w:r w:rsidR="00942FCF" w:rsidRPr="00050FA4">
        <w:rPr>
          <w:lang w:val="sq-AL"/>
        </w:rPr>
        <w:t>të erës</w:t>
      </w:r>
      <w:r w:rsidR="004B3389" w:rsidRPr="00050FA4">
        <w:rPr>
          <w:lang w:val="sq-AL"/>
        </w:rPr>
        <w:t>,</w:t>
      </w:r>
      <w:r w:rsidRPr="00050FA4">
        <w:rPr>
          <w:lang w:val="sq-AL"/>
        </w:rPr>
        <w:t xml:space="preserve"> për shkak të dukurive të sipërpërmendura dhe për shkak të procedurave të shtyra për COVID-19.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1"/>
        <w:gridCol w:w="1377"/>
        <w:gridCol w:w="5418"/>
      </w:tblGrid>
      <w:tr w:rsidR="00FA29AB" w:rsidRPr="00050FA4" w14:paraId="17D9FE98" w14:textId="77777777" w:rsidTr="00BA59CC">
        <w:trPr>
          <w:jc w:val="center"/>
        </w:trPr>
        <w:tc>
          <w:tcPr>
            <w:tcW w:w="3321" w:type="dxa"/>
            <w:shd w:val="clear" w:color="auto" w:fill="auto"/>
            <w:vAlign w:val="center"/>
          </w:tcPr>
          <w:p w14:paraId="47EA8614" w14:textId="06D17479" w:rsidR="000B1809" w:rsidRPr="00050FA4" w:rsidRDefault="00B2062A" w:rsidP="00BA59CC">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377" w:type="dxa"/>
            <w:shd w:val="clear" w:color="auto" w:fill="auto"/>
            <w:vAlign w:val="center"/>
          </w:tcPr>
          <w:p w14:paraId="0C06607A" w14:textId="77777777" w:rsidR="00BA59CC" w:rsidRPr="00050FA4" w:rsidRDefault="00B2062A" w:rsidP="00BA59CC">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0B1809" w:rsidRPr="00050FA4">
              <w:rPr>
                <w:rFonts w:ascii="Garamond" w:hAnsi="Garamond" w:cstheme="majorBidi"/>
                <w:b/>
                <w:color w:val="0D0D0D" w:themeColor="text1" w:themeTint="F2"/>
                <w:sz w:val="18"/>
                <w:szCs w:val="18"/>
              </w:rPr>
              <w:t xml:space="preserve"> </w:t>
            </w:r>
          </w:p>
          <w:p w14:paraId="0B268EFA" w14:textId="6BAFD859" w:rsidR="000B1809" w:rsidRPr="00050FA4" w:rsidRDefault="000B1809" w:rsidP="00BA59CC">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5418" w:type="dxa"/>
            <w:shd w:val="clear" w:color="auto" w:fill="auto"/>
            <w:vAlign w:val="center"/>
          </w:tcPr>
          <w:p w14:paraId="6147BAE6" w14:textId="5DB2EC9F" w:rsidR="000B1809" w:rsidRPr="00050FA4" w:rsidRDefault="00B2062A" w:rsidP="00BA59CC">
            <w:pPr>
              <w:widowControl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40E5FA2D" w14:textId="77777777" w:rsidTr="00BA59CC">
        <w:trPr>
          <w:jc w:val="center"/>
        </w:trPr>
        <w:tc>
          <w:tcPr>
            <w:tcW w:w="3321" w:type="dxa"/>
            <w:shd w:val="clear" w:color="auto" w:fill="auto"/>
          </w:tcPr>
          <w:p w14:paraId="2108DC6C" w14:textId="28D7DC8A" w:rsidR="00877F0D" w:rsidRPr="00050FA4" w:rsidRDefault="00877F0D" w:rsidP="00A95D23">
            <w:pPr>
              <w:pStyle w:val="TableParagraph"/>
              <w:rPr>
                <w:rFonts w:ascii="Garamond" w:eastAsia="Arial Narrow" w:hAnsi="Garamond" w:cstheme="majorBidi"/>
                <w:color w:val="0D0D0D" w:themeColor="text1" w:themeTint="F2"/>
                <w:sz w:val="18"/>
                <w:szCs w:val="18"/>
              </w:rPr>
            </w:pPr>
            <w:r w:rsidRPr="00050FA4">
              <w:rPr>
                <w:rFonts w:ascii="Garamond" w:hAnsi="Garamond" w:cstheme="majorBidi"/>
                <w:color w:val="0D0D0D" w:themeColor="text1" w:themeTint="F2"/>
                <w:sz w:val="18"/>
                <w:szCs w:val="18"/>
              </w:rPr>
              <w:t>Aktivitetet e projekteve të zgjatjes</w:t>
            </w:r>
          </w:p>
        </w:tc>
        <w:tc>
          <w:tcPr>
            <w:tcW w:w="1377" w:type="dxa"/>
            <w:shd w:val="clear" w:color="auto" w:fill="auto"/>
          </w:tcPr>
          <w:p w14:paraId="6BFCCE7C" w14:textId="1A602F2A" w:rsidR="00877F0D" w:rsidRPr="00050FA4" w:rsidRDefault="00BA59CC" w:rsidP="00A95D23">
            <w:pPr>
              <w:pStyle w:val="TableParagraph"/>
              <w:rPr>
                <w:rFonts w:ascii="Garamond" w:hAnsi="Garamond" w:cstheme="majorBidi"/>
                <w:color w:val="0D0D0D" w:themeColor="text1" w:themeTint="F2"/>
                <w:spacing w:val="-1"/>
                <w:sz w:val="18"/>
                <w:szCs w:val="18"/>
              </w:rPr>
            </w:pPr>
            <w:r w:rsidRPr="00050FA4">
              <w:rPr>
                <w:rFonts w:ascii="Garamond" w:hAnsi="Garamond" w:cstheme="majorBidi"/>
                <w:color w:val="0D0D0D" w:themeColor="text1" w:themeTint="F2"/>
                <w:spacing w:val="-1"/>
                <w:sz w:val="18"/>
                <w:szCs w:val="18"/>
              </w:rPr>
              <w:t>Mesatar</w:t>
            </w:r>
          </w:p>
        </w:tc>
        <w:tc>
          <w:tcPr>
            <w:tcW w:w="5418" w:type="dxa"/>
            <w:shd w:val="clear" w:color="auto" w:fill="auto"/>
          </w:tcPr>
          <w:p w14:paraId="5C8A4E2D" w14:textId="1C646008" w:rsidR="00877F0D" w:rsidRPr="00050FA4" w:rsidRDefault="00877F0D" w:rsidP="00A95D23">
            <w:pPr>
              <w:pStyle w:val="TableParagraph"/>
              <w:rPr>
                <w:rFonts w:ascii="Garamond" w:hAnsi="Garamond" w:cstheme="majorBidi"/>
                <w:color w:val="0D0D0D" w:themeColor="text1" w:themeTint="F2"/>
                <w:spacing w:val="-1"/>
                <w:sz w:val="18"/>
                <w:szCs w:val="18"/>
              </w:rPr>
            </w:pPr>
            <w:r w:rsidRPr="00050FA4">
              <w:rPr>
                <w:rFonts w:ascii="Garamond" w:hAnsi="Garamond" w:cstheme="majorBidi"/>
                <w:color w:val="0D0D0D" w:themeColor="text1" w:themeTint="F2"/>
                <w:sz w:val="18"/>
                <w:szCs w:val="18"/>
              </w:rPr>
              <w:t>Monitorimi i rregullt i realizimit të aktiviteteve (</w:t>
            </w:r>
            <w:r w:rsidR="00BA59CC" w:rsidRPr="00050FA4">
              <w:rPr>
                <w:rFonts w:ascii="Garamond" w:hAnsi="Garamond" w:cstheme="majorBidi"/>
                <w:color w:val="0D0D0D" w:themeColor="text1" w:themeTint="F2"/>
                <w:sz w:val="18"/>
                <w:szCs w:val="18"/>
              </w:rPr>
              <w:t xml:space="preserve">duhet </w:t>
            </w:r>
            <w:r w:rsidRPr="00050FA4">
              <w:rPr>
                <w:rFonts w:ascii="Garamond" w:hAnsi="Garamond" w:cstheme="majorBidi"/>
                <w:color w:val="0D0D0D" w:themeColor="text1" w:themeTint="F2"/>
                <w:sz w:val="18"/>
                <w:szCs w:val="18"/>
              </w:rPr>
              <w:t>përmendur vonesa në ndërtimin e impianteve të rinovueshme në proces autorizimi apo në bazë të zgjatjes së kontratave për ankande për çështje ligjore)</w:t>
            </w:r>
          </w:p>
        </w:tc>
      </w:tr>
      <w:tr w:rsidR="00FA29AB" w:rsidRPr="00050FA4" w14:paraId="21AE887A" w14:textId="77777777" w:rsidTr="00BA59CC">
        <w:trPr>
          <w:jc w:val="center"/>
        </w:trPr>
        <w:tc>
          <w:tcPr>
            <w:tcW w:w="3321" w:type="dxa"/>
            <w:shd w:val="clear" w:color="auto" w:fill="auto"/>
          </w:tcPr>
          <w:p w14:paraId="51BB646B" w14:textId="4D79D116" w:rsidR="00877F0D" w:rsidRPr="00050FA4" w:rsidRDefault="00877F0D" w:rsidP="00A95D23">
            <w:pPr>
              <w:pStyle w:val="TableParagraph"/>
              <w:rPr>
                <w:rFonts w:ascii="Garamond" w:eastAsia="Arial Narrow" w:hAnsi="Garamond" w:cstheme="majorBidi"/>
                <w:color w:val="0D0D0D" w:themeColor="text1" w:themeTint="F2"/>
                <w:sz w:val="18"/>
                <w:szCs w:val="18"/>
              </w:rPr>
            </w:pPr>
            <w:r w:rsidRPr="00050FA4">
              <w:rPr>
                <w:rFonts w:ascii="Garamond" w:hAnsi="Garamond" w:cstheme="majorBidi"/>
                <w:color w:val="0D0D0D" w:themeColor="text1" w:themeTint="F2"/>
                <w:sz w:val="18"/>
                <w:szCs w:val="18"/>
              </w:rPr>
              <w:t>Vonesa në miratimin dhe miratimin e akteve nënligjore.</w:t>
            </w:r>
          </w:p>
        </w:tc>
        <w:tc>
          <w:tcPr>
            <w:tcW w:w="1377" w:type="dxa"/>
            <w:shd w:val="clear" w:color="auto" w:fill="auto"/>
          </w:tcPr>
          <w:p w14:paraId="1D082F12" w14:textId="0BB34E35" w:rsidR="00877F0D" w:rsidRPr="00050FA4" w:rsidRDefault="00BA59CC" w:rsidP="00A95D23">
            <w:pPr>
              <w:pStyle w:val="TableParagraph"/>
              <w:rPr>
                <w:rFonts w:ascii="Garamond" w:hAnsi="Garamond" w:cstheme="majorBidi"/>
                <w:color w:val="0D0D0D" w:themeColor="text1" w:themeTint="F2"/>
                <w:spacing w:val="-1"/>
                <w:sz w:val="18"/>
                <w:szCs w:val="18"/>
              </w:rPr>
            </w:pPr>
            <w:r w:rsidRPr="00050FA4">
              <w:rPr>
                <w:rFonts w:ascii="Garamond" w:hAnsi="Garamond" w:cstheme="majorBidi"/>
                <w:color w:val="0D0D0D" w:themeColor="text1" w:themeTint="F2"/>
                <w:sz w:val="18"/>
                <w:szCs w:val="18"/>
              </w:rPr>
              <w:t xml:space="preserve">I </w:t>
            </w:r>
            <w:r w:rsidR="00877F0D" w:rsidRPr="00050FA4">
              <w:rPr>
                <w:rFonts w:ascii="Garamond" w:hAnsi="Garamond" w:cstheme="majorBidi"/>
                <w:color w:val="0D0D0D" w:themeColor="text1" w:themeTint="F2"/>
                <w:sz w:val="18"/>
                <w:szCs w:val="18"/>
              </w:rPr>
              <w:t>ulët</w:t>
            </w:r>
          </w:p>
        </w:tc>
        <w:tc>
          <w:tcPr>
            <w:tcW w:w="5418" w:type="dxa"/>
            <w:shd w:val="clear" w:color="auto" w:fill="auto"/>
          </w:tcPr>
          <w:p w14:paraId="2167AEED" w14:textId="05A7E785" w:rsidR="00877F0D" w:rsidRPr="00050FA4" w:rsidRDefault="00877F0D" w:rsidP="00A95D23">
            <w:pPr>
              <w:pStyle w:val="TableParagraph"/>
              <w:rPr>
                <w:rFonts w:ascii="Garamond" w:hAnsi="Garamond" w:cstheme="majorBidi"/>
                <w:color w:val="0D0D0D" w:themeColor="text1" w:themeTint="F2"/>
                <w:spacing w:val="-1"/>
                <w:sz w:val="18"/>
                <w:szCs w:val="18"/>
              </w:rPr>
            </w:pPr>
            <w:r w:rsidRPr="00050FA4">
              <w:rPr>
                <w:rFonts w:ascii="Garamond" w:hAnsi="Garamond" w:cstheme="majorBidi"/>
                <w:color w:val="0D0D0D" w:themeColor="text1" w:themeTint="F2"/>
                <w:sz w:val="18"/>
                <w:szCs w:val="18"/>
              </w:rPr>
              <w:t>Përdorimi i asistencës teknike të BE-së për një përafrim më të mirë dhe efikas të legjislacionit në përputhje me zhvillimet e reja në tregu</w:t>
            </w:r>
            <w:r w:rsidR="00BA59CC" w:rsidRPr="00050FA4">
              <w:rPr>
                <w:rFonts w:ascii="Garamond" w:hAnsi="Garamond" w:cstheme="majorBidi"/>
                <w:color w:val="0D0D0D" w:themeColor="text1" w:themeTint="F2"/>
                <w:sz w:val="18"/>
                <w:szCs w:val="18"/>
              </w:rPr>
              <w:t>n e energjisë</w:t>
            </w:r>
          </w:p>
        </w:tc>
      </w:tr>
    </w:tbl>
    <w:p w14:paraId="4098701F" w14:textId="77777777" w:rsidR="00CB4F25" w:rsidRPr="00050FA4" w:rsidRDefault="00CB4F25" w:rsidP="003F1DA7">
      <w:pPr>
        <w:pStyle w:val="AAAAAAATEXXXX"/>
        <w:rPr>
          <w:b/>
          <w:lang w:val="sq-AL"/>
        </w:rPr>
      </w:pPr>
      <w:bookmarkStart w:id="65" w:name="_Toc93325775"/>
    </w:p>
    <w:p w14:paraId="308D1F23" w14:textId="642BA951" w:rsidR="00C21F03" w:rsidRPr="00050FA4" w:rsidRDefault="00D56FB0" w:rsidP="003F1DA7">
      <w:pPr>
        <w:pStyle w:val="AAAAAAATEXXXX"/>
        <w:rPr>
          <w:b/>
          <w:lang w:val="sq-AL"/>
        </w:rPr>
      </w:pPr>
      <w:r w:rsidRPr="00050FA4">
        <w:rPr>
          <w:b/>
          <w:lang w:val="sq-AL"/>
        </w:rPr>
        <w:t xml:space="preserve">5.2.7 </w:t>
      </w:r>
      <w:r w:rsidR="001E4FC2" w:rsidRPr="00050FA4">
        <w:rPr>
          <w:b/>
          <w:lang w:val="sq-AL"/>
        </w:rPr>
        <w:t>T</w:t>
      </w:r>
      <w:r w:rsidR="002C5872" w:rsidRPr="00050FA4">
        <w:rPr>
          <w:b/>
          <w:lang w:val="sq-AL"/>
        </w:rPr>
        <w:t>ransporti</w:t>
      </w:r>
      <w:bookmarkEnd w:id="65"/>
    </w:p>
    <w:p w14:paraId="0FF6F43E" w14:textId="0AAA77AF" w:rsidR="0004171D" w:rsidRPr="00050FA4" w:rsidRDefault="00015C7A" w:rsidP="003F1DA7">
      <w:pPr>
        <w:pStyle w:val="AAAAAAATEXXXX"/>
        <w:rPr>
          <w:b/>
          <w:i/>
          <w:lang w:val="sq-AL"/>
        </w:rPr>
      </w:pPr>
      <w:r w:rsidRPr="00050FA4">
        <w:rPr>
          <w:b/>
          <w:i/>
          <w:lang w:val="sq-AL"/>
        </w:rPr>
        <w:t>a</w:t>
      </w:r>
      <w:r w:rsidR="00BA59CC" w:rsidRPr="00050FA4">
        <w:rPr>
          <w:b/>
          <w:i/>
          <w:lang w:val="sq-AL"/>
        </w:rPr>
        <w:t>)</w:t>
      </w:r>
      <w:r w:rsidRPr="00050FA4">
        <w:rPr>
          <w:b/>
          <w:i/>
          <w:lang w:val="sq-AL"/>
        </w:rPr>
        <w:t xml:space="preserve"> </w:t>
      </w:r>
      <w:r w:rsidR="00B2062A" w:rsidRPr="00050FA4">
        <w:rPr>
          <w:b/>
          <w:i/>
          <w:lang w:val="sq-AL"/>
        </w:rPr>
        <w:t>Analiza e pengesave kryesore</w:t>
      </w:r>
    </w:p>
    <w:p w14:paraId="39BADF85" w14:textId="7C089FAE" w:rsidR="007905B3" w:rsidRPr="00050FA4" w:rsidRDefault="007905B3" w:rsidP="003F1DA7">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Rrjeti hekurudhor shqiptar operon nën kapacitetin e tij aktual, për shkak të mungesës së investimeve, operacioneve të mirëmbajtjes dhe rrjetit të vjetërsuar, ku nuk arrin të sigurojë se nuk ka seksion të mirëmbajtjes së dobët/shumë të dobët në rrjetin kryesor të transportit. Është arritur ndarja e operimeve të trenave nga menaxhimi i infrastrukturës, sipas legjislacionit në fuqi të ndarjes ekzistuese hekurudhore.</w:t>
      </w:r>
      <w:r w:rsidRPr="00050FA4">
        <w:rPr>
          <w:rFonts w:ascii="Garamond" w:hAnsi="Garamond"/>
          <w:color w:val="0D0D0D" w:themeColor="text1" w:themeTint="F2"/>
        </w:rPr>
        <w:t xml:space="preserve"> </w:t>
      </w:r>
      <w:r w:rsidRPr="00050FA4">
        <w:rPr>
          <w:rFonts w:ascii="Garamond" w:hAnsi="Garamond" w:cstheme="majorBidi"/>
          <w:color w:val="0D0D0D" w:themeColor="text1" w:themeTint="F2"/>
        </w:rPr>
        <w:t>Pengesat kryesore në hekurudha:</w:t>
      </w:r>
    </w:p>
    <w:p w14:paraId="18668D57" w14:textId="77777777"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Përafrimi i pamjaftueshëm i dokumenteve të shumta të politikave nga administrata, drejtimi dhe kontrolli i brendshëm i hekurudhave shqiptare, në kuadër të veprimeve prioritare tërthore dhe prioriteteve për hekurudhat;</w:t>
      </w:r>
    </w:p>
    <w:p w14:paraId="3148F8DB" w14:textId="77777777"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xml:space="preserve">- Zbatimi i paqartë i objektivave, objektivave dhe veprimeve të planifikuara dhe masave të buta; për shkak të dështimit të paraqitjes së një programi të saktë të zhvillimit ekonomik financiar, pasi nuk është në </w:t>
      </w:r>
      <w:r w:rsidRPr="00050FA4">
        <w:rPr>
          <w:rFonts w:ascii="Garamond" w:hAnsi="Garamond" w:cstheme="majorBidi"/>
          <w:color w:val="0D0D0D" w:themeColor="text1" w:themeTint="F2"/>
        </w:rPr>
        <w:lastRenderedPageBreak/>
        <w:t>përputhje me metodologjinë e OECD, zbatimi i ngadaltë i rishikimit të dytë të planit kombëtar të transportit (ANTP3);</w:t>
      </w:r>
    </w:p>
    <w:p w14:paraId="577FB084" w14:textId="77777777"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Mungesa e treguesve të matshëm, të raportueshëm dhe të verifikueshëm; për shkak të programit M&amp;R me BE-në;</w:t>
      </w:r>
    </w:p>
    <w:p w14:paraId="58A39251" w14:textId="77777777"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xml:space="preserve">- Mungesa e vlerësimit </w:t>
      </w:r>
      <w:r w:rsidRPr="00050FA4">
        <w:rPr>
          <w:rFonts w:ascii="Garamond" w:hAnsi="Garamond" w:cstheme="majorBidi"/>
          <w:i/>
          <w:color w:val="0D0D0D" w:themeColor="text1" w:themeTint="F2"/>
        </w:rPr>
        <w:t>ex-ante</w:t>
      </w:r>
      <w:r w:rsidRPr="00050FA4">
        <w:rPr>
          <w:rFonts w:ascii="Garamond" w:hAnsi="Garamond" w:cstheme="majorBidi"/>
          <w:color w:val="0D0D0D" w:themeColor="text1" w:themeTint="F2"/>
        </w:rPr>
        <w:t xml:space="preserve"> të efektit eventual mjedisor të kontesteve të identifikuara;</w:t>
      </w:r>
    </w:p>
    <w:p w14:paraId="16310984" w14:textId="731C60B3"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Teknologji të ndryshme dhe njohuri të këtyre teknologjive; moduli i pjesshëm i AFMIS</w:t>
      </w:r>
      <w:r w:rsidR="008969B1" w:rsidRPr="00050FA4">
        <w:rPr>
          <w:rFonts w:ascii="Garamond" w:hAnsi="Garamond" w:cstheme="majorBidi"/>
          <w:color w:val="0D0D0D" w:themeColor="text1" w:themeTint="F2"/>
        </w:rPr>
        <w:t>-së</w:t>
      </w:r>
      <w:r w:rsidRPr="00050FA4">
        <w:rPr>
          <w:rFonts w:ascii="Garamond" w:hAnsi="Garamond" w:cstheme="majorBidi"/>
          <w:color w:val="0D0D0D" w:themeColor="text1" w:themeTint="F2"/>
        </w:rPr>
        <w:t xml:space="preserve">, mungesa e CoreDa_RAILDATA për llogaritjen e orëve të qëndrimit </w:t>
      </w:r>
      <w:r w:rsidR="00FE6E74" w:rsidRPr="00050FA4">
        <w:rPr>
          <w:rFonts w:ascii="Garamond" w:hAnsi="Garamond" w:cstheme="majorBidi"/>
          <w:color w:val="0D0D0D" w:themeColor="text1" w:themeTint="F2"/>
        </w:rPr>
        <w:t>për trenat në BKP të Përbashkët</w:t>
      </w:r>
      <w:r w:rsidRPr="00050FA4">
        <w:rPr>
          <w:rFonts w:ascii="Garamond" w:hAnsi="Garamond" w:cstheme="majorBidi"/>
          <w:color w:val="0D0D0D" w:themeColor="text1" w:themeTint="F2"/>
        </w:rPr>
        <w:t xml:space="preserve"> etj.</w:t>
      </w:r>
    </w:p>
    <w:p w14:paraId="7246C97E" w14:textId="77777777"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 Shpronësimi i tokës, nën rishikimin e metodologjisë së Bankës dhe vendimit të ardhshëm të DoCM.</w:t>
      </w:r>
    </w:p>
    <w:p w14:paraId="29A3B628" w14:textId="77777777" w:rsidR="007905B3" w:rsidRPr="00050FA4" w:rsidRDefault="007905B3" w:rsidP="00A95D23">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Legjislacioni zbatues është akoma në faza tranzicioni sipas dispozitave ligjore për ngritjen e strukturave dhe agjencive përkatëse, në veçanti, Autoritetit Rregullator i Hekurudhave, Autoritetit i Sigurisë Hekurudhore dhe Autoritetit Kombëtar i Hetimit për Hekurudhat dhe Detin.</w:t>
      </w:r>
    </w:p>
    <w:p w14:paraId="1292D2BA" w14:textId="77777777" w:rsidR="007905B3" w:rsidRPr="00050FA4" w:rsidRDefault="007905B3" w:rsidP="003F1DA7">
      <w:pPr>
        <w:snapToGrid w:val="0"/>
        <w:ind w:firstLine="284"/>
        <w:jc w:val="both"/>
        <w:rPr>
          <w:rFonts w:ascii="Garamond" w:hAnsi="Garamond" w:cstheme="majorBidi"/>
          <w:color w:val="0D0D0D" w:themeColor="text1" w:themeTint="F2"/>
        </w:rPr>
      </w:pPr>
      <w:r w:rsidRPr="00050FA4">
        <w:rPr>
          <w:rFonts w:ascii="Garamond" w:hAnsi="Garamond" w:cstheme="majorBidi"/>
          <w:color w:val="0D0D0D" w:themeColor="text1" w:themeTint="F2"/>
        </w:rPr>
        <w:t>Infrastruktura detare është e pazhvilluar me kapacitet të pamjaftueshëm. Cilësia e ulët e infrastrukturës të transportit ka ndikuar në integrimin e vendit në zinxhirët e furnizimit rajonal dhe global dhe ka një ndikim të drejtpërdrejtë në zhvillimin e turizmit dhe shërbimeve transitore.</w:t>
      </w:r>
    </w:p>
    <w:p w14:paraId="26EEE708" w14:textId="12B9CF39" w:rsidR="007905B3" w:rsidRPr="00050FA4" w:rsidRDefault="007905B3" w:rsidP="003F1DA7">
      <w:pPr>
        <w:pStyle w:val="AAAAAAATEXXXX"/>
        <w:rPr>
          <w:lang w:val="sq-AL"/>
        </w:rPr>
      </w:pPr>
      <w:r w:rsidRPr="00050FA4">
        <w:rPr>
          <w:lang w:val="sq-AL"/>
        </w:rPr>
        <w:t xml:space="preserve">Masa e propozuar për sektorin e transportit do të ndihmojë në frenimin e këtyre çështjeve, si dhe do të ndihmojë në rritjen e rritjes ekonomike dhe konkurrencës së vendit. Urdhri i </w:t>
      </w:r>
      <w:r w:rsidR="008969B1" w:rsidRPr="00050FA4">
        <w:rPr>
          <w:lang w:val="sq-AL"/>
        </w:rPr>
        <w:t xml:space="preserve">masterplanit </w:t>
      </w:r>
      <w:r w:rsidRPr="00050FA4">
        <w:rPr>
          <w:lang w:val="sq-AL"/>
        </w:rPr>
        <w:t>për sistemin e integruar portual, është në fuqi nga Agjencia Kombëtare e Planifikimit Hapësinor (AKPT) nga data 14.10.2020. Zhvendosja e aktiviteteve tregtare është shpallur tashme në një vend tjetër, porti Romano në zonën ekonomike të Spitallës, të Bashkisë Durrës dhe shndërrimi i Portit të Durrësit në një port turistik.</w:t>
      </w:r>
    </w:p>
    <w:p w14:paraId="5018ECD5" w14:textId="0A46021B" w:rsidR="007905B3" w:rsidRPr="00050FA4" w:rsidRDefault="007905B3" w:rsidP="003F1DA7">
      <w:pPr>
        <w:pStyle w:val="AAAAAAATEXXXX"/>
        <w:rPr>
          <w:lang w:val="sq-AL"/>
        </w:rPr>
      </w:pPr>
      <w:r w:rsidRPr="00050FA4">
        <w:rPr>
          <w:lang w:val="sq-AL"/>
        </w:rPr>
        <w:t>Duke qenë se Shqipëria është mesatarisht e përgatitur me reformën e RAP-it të administratës së saj publike dhe shtetërore, e rëndësishme edhe për sektorin strategjik të hekurudhave, si në legjislacionin në fuqi, ajo përmirëson për sektorin e transportit, integrimin e sistemeve të menaxhimit të burimeve njerëzore, të cilat ende mungojnë në dislokim për hekurudhat. Tashm</w:t>
      </w:r>
      <w:r w:rsidR="008969B1" w:rsidRPr="00050FA4">
        <w:rPr>
          <w:lang w:val="sq-AL"/>
        </w:rPr>
        <w:t>ë</w:t>
      </w:r>
      <w:r w:rsidRPr="00050FA4">
        <w:rPr>
          <w:lang w:val="sq-AL"/>
        </w:rPr>
        <w:t xml:space="preserve"> </w:t>
      </w:r>
      <w:r w:rsidR="002E21FD" w:rsidRPr="00050FA4">
        <w:rPr>
          <w:lang w:val="sq-AL"/>
        </w:rPr>
        <w:t>është</w:t>
      </w:r>
      <w:r w:rsidRPr="00050FA4">
        <w:rPr>
          <w:lang w:val="sq-AL"/>
        </w:rPr>
        <w:t xml:space="preserve"> bërë njëfarë progresi në krijimin e kapaciteteve në ministritë e linjës për zbatimin e vlerësimeve të ndikimit rregullator, miratimin e udhëzimeve për konsultimet publike, ngritjen e sistemeve të TI-së për planifikimin e integruar, rritjen e shkallës së zbatimit të Planit Kombëtar të Integrimit Evropian, rritjen e numrit të e- shërbimet dhe përfundimi i fazës së testimit për të automatizuar sistemin e listës së pagave. Zbatimi i reformës së administratës publike (PAR) 2015</w:t>
      </w:r>
      <w:r w:rsidR="008969B1" w:rsidRPr="00050FA4">
        <w:rPr>
          <w:lang w:val="sq-AL"/>
        </w:rPr>
        <w:t>–</w:t>
      </w:r>
      <w:r w:rsidRPr="00050FA4">
        <w:rPr>
          <w:lang w:val="sq-AL"/>
        </w:rPr>
        <w:t>2022 dhe strategjive të reformës së menaxhimit të financave publike (MFP) 2015</w:t>
      </w:r>
      <w:r w:rsidR="008969B1" w:rsidRPr="00050FA4">
        <w:rPr>
          <w:lang w:val="sq-AL"/>
        </w:rPr>
        <w:t>–</w:t>
      </w:r>
      <w:r w:rsidRPr="00050FA4">
        <w:rPr>
          <w:lang w:val="sq-AL"/>
        </w:rPr>
        <w:t>2022 ka vazhduar pavarësisht ndikimit të pandemisë.</w:t>
      </w:r>
    </w:p>
    <w:p w14:paraId="0EF9EFC0" w14:textId="14585E6C" w:rsidR="007905B3" w:rsidRPr="00050FA4" w:rsidRDefault="007905B3" w:rsidP="003F1DA7">
      <w:pPr>
        <w:pStyle w:val="AAAAAAATEXXXX"/>
        <w:rPr>
          <w:lang w:val="sq-AL"/>
        </w:rPr>
      </w:pPr>
      <w:r w:rsidRPr="00050FA4">
        <w:rPr>
          <w:lang w:val="sq-AL"/>
        </w:rPr>
        <w:t>Kuvendi miratoi në 1 korrik 2021 paketën ligjore në lidhje me kuadrin institucional, duke krijuar Autoritetin Rregullator të pavarur të Hekurudhave, Autoritetin e Sigurisë Hekurudhore dhe Autoritetin Kombëtar të Hetimit për Hekurudhat dhe Detin, për gjithsej katër ligje. Ligjet kanë hyrë në fuqi më 20 gusht 2021.</w:t>
      </w:r>
    </w:p>
    <w:p w14:paraId="4E0F8F17" w14:textId="2DE0C3BF" w:rsidR="0004171D" w:rsidRPr="00050FA4" w:rsidRDefault="009D23D3" w:rsidP="003F1DA7">
      <w:pPr>
        <w:pStyle w:val="AAAAAAATEXXXX"/>
        <w:rPr>
          <w:lang w:val="sq-AL"/>
        </w:rPr>
      </w:pPr>
      <w:r w:rsidRPr="00050FA4">
        <w:rPr>
          <w:lang w:val="sq-AL"/>
        </w:rPr>
        <w:t>b</w:t>
      </w:r>
      <w:r w:rsidR="00E05F55" w:rsidRPr="00050FA4">
        <w:rPr>
          <w:lang w:val="sq-AL"/>
        </w:rPr>
        <w:t>)</w:t>
      </w:r>
      <w:r w:rsidRPr="00050FA4">
        <w:rPr>
          <w:lang w:val="sq-AL"/>
        </w:rPr>
        <w:t xml:space="preserve"> </w:t>
      </w:r>
      <w:r w:rsidR="00B2062A" w:rsidRPr="00050FA4">
        <w:rPr>
          <w:lang w:val="sq-AL"/>
        </w:rPr>
        <w:t>Masat e reformës</w:t>
      </w:r>
    </w:p>
    <w:p w14:paraId="45F13441" w14:textId="049AD55C" w:rsidR="0004171D" w:rsidRPr="00050FA4" w:rsidRDefault="00B2062A" w:rsidP="003F1DA7">
      <w:pPr>
        <w:pStyle w:val="Heading5"/>
        <w:snapToGrid w:val="0"/>
        <w:ind w:left="0" w:firstLine="284"/>
        <w:rPr>
          <w:rFonts w:ascii="Garamond" w:hAnsi="Garamond" w:cstheme="majorBidi"/>
          <w:color w:val="0D0D0D" w:themeColor="text1" w:themeTint="F2"/>
          <w:sz w:val="24"/>
          <w:szCs w:val="24"/>
        </w:rPr>
      </w:pPr>
      <w:r w:rsidRPr="00050FA4">
        <w:rPr>
          <w:rFonts w:ascii="Garamond" w:hAnsi="Garamond" w:cstheme="majorBidi"/>
          <w:color w:val="0D0D0D" w:themeColor="text1" w:themeTint="F2"/>
          <w:sz w:val="24"/>
          <w:szCs w:val="24"/>
        </w:rPr>
        <w:t>Masa e reformës</w:t>
      </w:r>
      <w:r w:rsidR="005358F8" w:rsidRPr="00050FA4">
        <w:rPr>
          <w:rFonts w:ascii="Garamond" w:hAnsi="Garamond" w:cstheme="majorBidi"/>
          <w:color w:val="0D0D0D" w:themeColor="text1" w:themeTint="F2"/>
          <w:sz w:val="24"/>
          <w:szCs w:val="24"/>
        </w:rPr>
        <w:t xml:space="preserve"> 15</w:t>
      </w:r>
      <w:r w:rsidR="0004171D" w:rsidRPr="00050FA4">
        <w:rPr>
          <w:rFonts w:ascii="Garamond" w:hAnsi="Garamond" w:cstheme="majorBidi"/>
          <w:color w:val="0D0D0D" w:themeColor="text1" w:themeTint="F2"/>
          <w:sz w:val="24"/>
          <w:szCs w:val="24"/>
        </w:rPr>
        <w:t xml:space="preserve">: </w:t>
      </w:r>
      <w:r w:rsidR="007905B3" w:rsidRPr="00050FA4">
        <w:rPr>
          <w:rFonts w:ascii="Garamond" w:hAnsi="Garamond" w:cstheme="majorBidi"/>
          <w:color w:val="0D0D0D" w:themeColor="text1" w:themeTint="F2"/>
          <w:sz w:val="24"/>
          <w:szCs w:val="24"/>
        </w:rPr>
        <w:t>Rehabilitimi dhe ndërtimi i segmentit hekurudhor Durrës-TIA-Tiranë</w:t>
      </w:r>
    </w:p>
    <w:p w14:paraId="516E85B7" w14:textId="6F904195" w:rsidR="0004171D" w:rsidRPr="00050FA4" w:rsidRDefault="009D23D3" w:rsidP="003F1DA7">
      <w:pPr>
        <w:pStyle w:val="AAAAAAATEXXXX"/>
        <w:rPr>
          <w:lang w:val="sq-AL"/>
        </w:rPr>
      </w:pPr>
      <w:r w:rsidRPr="00050FA4">
        <w:rPr>
          <w:lang w:val="sq-AL"/>
        </w:rPr>
        <w:t xml:space="preserve">1. </w:t>
      </w:r>
      <w:r w:rsidR="00B2062A" w:rsidRPr="00050FA4">
        <w:rPr>
          <w:lang w:val="sq-AL"/>
        </w:rPr>
        <w:t>Përshkrimi i masës</w:t>
      </w:r>
    </w:p>
    <w:p w14:paraId="2A80E788" w14:textId="3720CE4B" w:rsidR="007905B3" w:rsidRPr="00050FA4" w:rsidRDefault="007905B3" w:rsidP="003F1DA7">
      <w:pPr>
        <w:pStyle w:val="AAAAAAATEXXXX"/>
        <w:rPr>
          <w:lang w:val="sq-AL"/>
        </w:rPr>
      </w:pPr>
      <w:r w:rsidRPr="00050FA4">
        <w:rPr>
          <w:lang w:val="sq-AL"/>
        </w:rPr>
        <w:t xml:space="preserve">Objektivi kryesor i kësaj reforme strategjike është zhvillimi i mëtejshëm i sistemit kombëtar të transportit mbi bazën e një lëvizshmërie më të pastër, më të sigurt, më të zgjuar, më të gjelbër, më elastike dhe konkurruese, dhe përveç kësaj, të përmirësojë ndjeshëm qëndrueshmërinë, ndërlidhjen, ndërveprimin dhe integrimin më të gjerë me Rajoni i Ballkanit Perëndimor në zonën e vetme hekurudhore evropiane dhe sistemin ndërkombëtar të transportit. Integrimi i shërbimeve të transportit publik synon në intermodalitetin hekurudhor dhe transportin e kombinuar me zinxhirët e vlerave të transportit urban, rrugor-hekurudhor, ujor/detar, ajror dhe logjistik, nëpërmjet </w:t>
      </w:r>
      <w:r w:rsidR="00C948AF" w:rsidRPr="00050FA4">
        <w:rPr>
          <w:lang w:val="sq-AL"/>
        </w:rPr>
        <w:t>digjital</w:t>
      </w:r>
      <w:r w:rsidRPr="00050FA4">
        <w:rPr>
          <w:lang w:val="sq-AL"/>
        </w:rPr>
        <w:t xml:space="preserve">izimit, dekarbonizimit dhe automatizimit. Përmirësimi i bazës ekologjike në transformimin e sistemit të transportit të Shqipërisë drejt sistemit hekurudhor të BE-së, promovon sistemin e pastër të transportit dhe nënsistemet hekurudhore, duke vendosur në një treg të vetëm në zonën evropiane të transportit, me teknologjitë neutrale ndaj klimës, integrimin tonë në sistemet e kursimit të energjisë. dhe zinxhiri i vlerës së BE-së, paraqitja e objektivave të agjendës së gjelbër të BE-së për transportin e gjelbër të mallrave dhe zhurmën me hekurudhë. Forcimi i kapaciteteve të zhvillimit dhe kërkimit inovativ dhe reagimi i shpejtë ndaj rreziqeve jep një transformim inovativ drejt konkurrencës dhe demonstrimit të integrimit dhe fizibilitetit në BE. Teknologjitë kryesore </w:t>
      </w:r>
      <w:r w:rsidR="00C948AF" w:rsidRPr="00050FA4">
        <w:rPr>
          <w:lang w:val="sq-AL"/>
        </w:rPr>
        <w:t>digjital</w:t>
      </w:r>
      <w:r w:rsidRPr="00050FA4">
        <w:rPr>
          <w:lang w:val="sq-AL"/>
        </w:rPr>
        <w:t>e me komponentë elektronikë nxisin shërbimin e marketingut</w:t>
      </w:r>
      <w:r w:rsidR="00535FB4" w:rsidRPr="00050FA4">
        <w:rPr>
          <w:lang w:val="sq-AL"/>
        </w:rPr>
        <w:t>/</w:t>
      </w:r>
      <w:r w:rsidRPr="00050FA4">
        <w:rPr>
          <w:lang w:val="sq-AL"/>
        </w:rPr>
        <w:t>markës. Rrjetet dhe shërbimet inteligjente mbështesin zhvillimin teknologjik në lidhjen e rajonit, si në strategjinë kombëtare të sektorit të transportit dhe planin e veprimit për periudhën 2001</w:t>
      </w:r>
      <w:r w:rsidR="00E05F55" w:rsidRPr="00050FA4">
        <w:rPr>
          <w:lang w:val="sq-AL"/>
        </w:rPr>
        <w:t>–</w:t>
      </w:r>
      <w:r w:rsidRPr="00050FA4">
        <w:rPr>
          <w:lang w:val="sq-AL"/>
        </w:rPr>
        <w:t>2025 sipas miratimit</w:t>
      </w:r>
    </w:p>
    <w:p w14:paraId="41B662B1" w14:textId="20B5C5F3" w:rsidR="007905B3" w:rsidRPr="00050FA4" w:rsidRDefault="007905B3" w:rsidP="003F1DA7">
      <w:pPr>
        <w:pStyle w:val="AAAAAAATEXXXX"/>
        <w:rPr>
          <w:lang w:val="sq-AL"/>
        </w:rPr>
      </w:pPr>
      <w:r w:rsidRPr="00050FA4">
        <w:rPr>
          <w:lang w:val="sq-AL"/>
        </w:rPr>
        <w:t>Masa është një prioritet kryesor që rrjedh nga pl</w:t>
      </w:r>
      <w:r w:rsidR="00E05F55" w:rsidRPr="00050FA4">
        <w:rPr>
          <w:lang w:val="sq-AL"/>
        </w:rPr>
        <w:t>ani i veprimit të NTS 2016–2020</w:t>
      </w:r>
      <w:r w:rsidRPr="00050FA4">
        <w:rPr>
          <w:lang w:val="sq-AL"/>
        </w:rPr>
        <w:t xml:space="preserve"> (</w:t>
      </w:r>
      <w:r w:rsidR="00E05F55" w:rsidRPr="00050FA4">
        <w:rPr>
          <w:lang w:val="sq-AL"/>
        </w:rPr>
        <w:t xml:space="preserve">veprimi </w:t>
      </w:r>
      <w:r w:rsidRPr="00050FA4">
        <w:rPr>
          <w:lang w:val="sq-AL"/>
        </w:rPr>
        <w:t xml:space="preserve">prioritar </w:t>
      </w:r>
      <w:r w:rsidR="00E05F55" w:rsidRPr="00050FA4">
        <w:rPr>
          <w:lang w:val="sq-AL"/>
        </w:rPr>
        <w:lastRenderedPageBreak/>
        <w:t xml:space="preserve">hekurudhor </w:t>
      </w:r>
      <w:r w:rsidRPr="00050FA4">
        <w:rPr>
          <w:lang w:val="sq-AL"/>
        </w:rPr>
        <w:t>nr. 6), dhe me rishikimin e strategjisë së re kombëtare të sektorit të transportit dhe planit të veprimit, ekziston një nevojë e veçantë për më shumë multimodalitetet, si në financimin dhe planin e veprimit të strategjisë së sektorit të Transportit 2021</w:t>
      </w:r>
      <w:r w:rsidR="00E05F55" w:rsidRPr="00050FA4">
        <w:rPr>
          <w:lang w:val="sq-AL"/>
        </w:rPr>
        <w:t>–</w:t>
      </w:r>
      <w:r w:rsidRPr="00050FA4">
        <w:rPr>
          <w:lang w:val="sq-AL"/>
        </w:rPr>
        <w:t>2025, ku masat e buta të këtij prioriteti hekurudhor në reformën tonë strukturore theksojnë në fakt zhvillimin nga transporti i kombinuar. Dimensioni i transportit intermodal sigurohet përmes ERP 2022</w:t>
      </w:r>
      <w:r w:rsidR="00E05F55" w:rsidRPr="00050FA4">
        <w:rPr>
          <w:lang w:val="sq-AL"/>
        </w:rPr>
        <w:t>–</w:t>
      </w:r>
      <w:r w:rsidRPr="00050FA4">
        <w:rPr>
          <w:lang w:val="sq-AL"/>
        </w:rPr>
        <w:t>2024, me pasagjerët e terminalit të trageteve nga portet dhe lëvizjen me hekurudhë në brendësi të vendit drejt aeroporteve. Specifikimet e prokuruar të ndërveprueshmërisë ndërlidhen me reformën e masave të vështira dhe nënsistemet funksionale dhe operacionale të hekurudhave. Të gjitha investimet madhore të ndërlidhura si në SSPP, në faktorin kryesor të suksesit për Rehabilitimin dhe ndërtimin e segmentit hekurudhor Durrës-TIA-Tiranë janë domosdoshmëri për realizimin e saktë të kësaj reforme strategjike.</w:t>
      </w:r>
    </w:p>
    <w:p w14:paraId="323B30A5" w14:textId="0C1ACB9B" w:rsidR="0004171D" w:rsidRPr="00050FA4" w:rsidRDefault="009D23D3" w:rsidP="003F1DA7">
      <w:pPr>
        <w:pStyle w:val="AAAAAAATEXXXX"/>
        <w:rPr>
          <w:b/>
          <w:lang w:val="sq-AL"/>
        </w:rPr>
      </w:pPr>
      <w:r w:rsidRPr="00050FA4">
        <w:rPr>
          <w:b/>
          <w:lang w:val="sq-AL"/>
        </w:rPr>
        <w:t>a</w:t>
      </w:r>
      <w:r w:rsidR="00E05F55" w:rsidRPr="00050FA4">
        <w:rPr>
          <w:b/>
          <w:lang w:val="sq-AL"/>
        </w:rPr>
        <w:t>)</w:t>
      </w:r>
      <w:r w:rsidRPr="00050FA4">
        <w:rPr>
          <w:b/>
          <w:lang w:val="sq-AL"/>
        </w:rPr>
        <w:t xml:space="preserve"> </w:t>
      </w:r>
      <w:r w:rsidR="00B2062A" w:rsidRPr="00050FA4">
        <w:rPr>
          <w:b/>
          <w:lang w:val="sq-AL"/>
        </w:rPr>
        <w:t xml:space="preserve">Aktivitete të planifikuara </w:t>
      </w:r>
      <w:r w:rsidR="008969B1" w:rsidRPr="00050FA4">
        <w:rPr>
          <w:b/>
          <w:lang w:val="sq-AL"/>
        </w:rPr>
        <w:t>m</w:t>
      </w:r>
      <w:r w:rsidR="00B2062A" w:rsidRPr="00050FA4">
        <w:rPr>
          <w:b/>
          <w:lang w:val="sq-AL"/>
        </w:rPr>
        <w:t>ë</w:t>
      </w:r>
      <w:r w:rsidR="0004171D" w:rsidRPr="00050FA4">
        <w:rPr>
          <w:b/>
          <w:lang w:val="sq-AL"/>
        </w:rPr>
        <w:t xml:space="preserve"> 2022</w:t>
      </w:r>
      <w:r w:rsidR="008969B1" w:rsidRPr="00050FA4">
        <w:rPr>
          <w:b/>
          <w:lang w:val="sq-AL"/>
        </w:rPr>
        <w:t>-shin</w:t>
      </w:r>
    </w:p>
    <w:p w14:paraId="7DDD4142" w14:textId="38C0F3E5" w:rsidR="0004171D" w:rsidRPr="00050FA4" w:rsidRDefault="009D23D3" w:rsidP="003F1DA7">
      <w:pPr>
        <w:pStyle w:val="AAAAAAATEXXXX"/>
        <w:rPr>
          <w:bCs/>
          <w:lang w:val="sq-AL"/>
        </w:rPr>
      </w:pPr>
      <w:r w:rsidRPr="00050FA4">
        <w:rPr>
          <w:bCs/>
          <w:lang w:val="sq-AL"/>
        </w:rPr>
        <w:t>a</w:t>
      </w:r>
      <w:r w:rsidR="00E05F55" w:rsidRPr="00050FA4">
        <w:rPr>
          <w:bCs/>
          <w:lang w:val="sq-AL"/>
        </w:rPr>
        <w:t>)</w:t>
      </w:r>
      <w:r w:rsidRPr="00050FA4">
        <w:rPr>
          <w:bCs/>
          <w:lang w:val="sq-AL"/>
        </w:rPr>
        <w:t xml:space="preserve"> </w:t>
      </w:r>
      <w:r w:rsidR="007905B3" w:rsidRPr="00050FA4">
        <w:rPr>
          <w:bCs/>
          <w:lang w:val="sq-AL"/>
        </w:rPr>
        <w:t>Gjatë vitit 2022 do të kryhet rehabilitimi i punimeve në seksionin kryesor nga Durrësi në PTT Tiranë dhe do të nisë ndërtimi i linjës së re hekurudhore deri në Aeroportin Ndërkombëtar të Tiranës. Projekti parashikohet të përfundojë dhe të dorëzohet në fund të periudhës raportuese (NjPI HSH).</w:t>
      </w:r>
    </w:p>
    <w:p w14:paraId="7EDF3D93" w14:textId="245B9F97" w:rsidR="0004171D" w:rsidRPr="00050FA4" w:rsidRDefault="009D23D3" w:rsidP="003F1DA7">
      <w:pPr>
        <w:pStyle w:val="AAAAAAATEXXXX"/>
        <w:rPr>
          <w:rFonts w:cstheme="majorBidi"/>
          <w:b/>
          <w:color w:val="0D0D0D" w:themeColor="text1" w:themeTint="F2"/>
          <w:lang w:val="sq-AL"/>
        </w:rPr>
      </w:pPr>
      <w:r w:rsidRPr="00050FA4">
        <w:rPr>
          <w:rFonts w:cstheme="majorBidi"/>
          <w:b/>
          <w:color w:val="0D0D0D" w:themeColor="text1" w:themeTint="F2"/>
          <w:lang w:val="sq-AL"/>
        </w:rPr>
        <w:t>b</w:t>
      </w:r>
      <w:r w:rsidR="00E05F55" w:rsidRPr="00050FA4">
        <w:rPr>
          <w:rFonts w:cstheme="majorBidi"/>
          <w:b/>
          <w:color w:val="0D0D0D" w:themeColor="text1" w:themeTint="F2"/>
          <w:lang w:val="sq-AL"/>
        </w:rPr>
        <w:t>)</w:t>
      </w:r>
      <w:r w:rsidRPr="00050FA4">
        <w:rPr>
          <w:rFonts w:cstheme="majorBidi"/>
          <w:b/>
          <w:color w:val="0D0D0D" w:themeColor="text1" w:themeTint="F2"/>
          <w:lang w:val="sq-AL"/>
        </w:rPr>
        <w:t xml:space="preserve"> </w:t>
      </w:r>
      <w:r w:rsidR="00B2062A" w:rsidRPr="00050FA4">
        <w:rPr>
          <w:rFonts w:cstheme="majorBidi"/>
          <w:b/>
          <w:color w:val="0D0D0D" w:themeColor="text1" w:themeTint="F2"/>
          <w:lang w:val="sq-AL"/>
        </w:rPr>
        <w:t xml:space="preserve">Aktivitete të planifikuara </w:t>
      </w:r>
      <w:r w:rsidR="008969B1" w:rsidRPr="00050FA4">
        <w:rPr>
          <w:rFonts w:cstheme="majorBidi"/>
          <w:b/>
          <w:color w:val="0D0D0D" w:themeColor="text1" w:themeTint="F2"/>
          <w:lang w:val="sq-AL"/>
        </w:rPr>
        <w:t>m</w:t>
      </w:r>
      <w:r w:rsidR="00B2062A" w:rsidRPr="00050FA4">
        <w:rPr>
          <w:rFonts w:cstheme="majorBidi"/>
          <w:b/>
          <w:color w:val="0D0D0D" w:themeColor="text1" w:themeTint="F2"/>
          <w:lang w:val="sq-AL"/>
        </w:rPr>
        <w:t>ë</w:t>
      </w:r>
      <w:r w:rsidR="0004171D" w:rsidRPr="00050FA4">
        <w:rPr>
          <w:rFonts w:cstheme="majorBidi"/>
          <w:b/>
          <w:color w:val="0D0D0D" w:themeColor="text1" w:themeTint="F2"/>
          <w:lang w:val="sq-AL"/>
        </w:rPr>
        <w:t xml:space="preserve"> 2023</w:t>
      </w:r>
      <w:r w:rsidR="008969B1" w:rsidRPr="00050FA4">
        <w:rPr>
          <w:b/>
          <w:lang w:val="sq-AL"/>
        </w:rPr>
        <w:t>-shin</w:t>
      </w:r>
    </w:p>
    <w:p w14:paraId="554A2BBC" w14:textId="346952CF" w:rsidR="0004171D" w:rsidRPr="00050FA4" w:rsidRDefault="007905B3" w:rsidP="003F1DA7">
      <w:pPr>
        <w:pStyle w:val="AAAAAAATEXXXX"/>
        <w:rPr>
          <w:rFonts w:cstheme="majorBidi"/>
          <w:bCs/>
          <w:color w:val="0D0D0D" w:themeColor="text1" w:themeTint="F2"/>
          <w:lang w:val="sq-AL"/>
        </w:rPr>
      </w:pPr>
      <w:r w:rsidRPr="00050FA4">
        <w:rPr>
          <w:rFonts w:cstheme="majorBidi"/>
          <w:bCs/>
          <w:color w:val="0D0D0D" w:themeColor="text1" w:themeTint="F2"/>
          <w:lang w:val="sq-AL"/>
        </w:rPr>
        <w:t>Aktivitetet e ndërtimit parashikohen vetëm në Periudhën e Përgjegjësisë për Defektet, e cila do të zgjasë 12 muaj (NjPI HSH). Lidhja hekurudhore me aeroportin e Rinasit 5 km, do të plotësojë kryqëzimin trekëndor hekurudhor i cili është i prirur për shpronësime dhe një LAP tokësor</w:t>
      </w:r>
      <w:r w:rsidR="000C350C" w:rsidRPr="00050FA4">
        <w:rPr>
          <w:rFonts w:cstheme="majorBidi"/>
          <w:bCs/>
          <w:color w:val="0D0D0D" w:themeColor="text1" w:themeTint="F2"/>
          <w:lang w:val="sq-AL"/>
        </w:rPr>
        <w:t>.</w:t>
      </w:r>
    </w:p>
    <w:p w14:paraId="197CA48A" w14:textId="6A1FF6D7" w:rsidR="0004171D" w:rsidRPr="00050FA4" w:rsidRDefault="009D23D3" w:rsidP="003F1DA7">
      <w:pPr>
        <w:pStyle w:val="AAAAAAATEXXXX"/>
        <w:rPr>
          <w:rFonts w:cstheme="majorBidi"/>
          <w:b/>
          <w:color w:val="0D0D0D" w:themeColor="text1" w:themeTint="F2"/>
          <w:lang w:val="sq-AL"/>
        </w:rPr>
      </w:pPr>
      <w:r w:rsidRPr="00050FA4">
        <w:rPr>
          <w:rFonts w:cstheme="majorBidi"/>
          <w:b/>
          <w:color w:val="0D0D0D" w:themeColor="text1" w:themeTint="F2"/>
          <w:lang w:val="sq-AL"/>
        </w:rPr>
        <w:t>c</w:t>
      </w:r>
      <w:r w:rsidR="00E05F55" w:rsidRPr="00050FA4">
        <w:rPr>
          <w:rFonts w:cstheme="majorBidi"/>
          <w:b/>
          <w:color w:val="0D0D0D" w:themeColor="text1" w:themeTint="F2"/>
          <w:lang w:val="sq-AL"/>
        </w:rPr>
        <w:t xml:space="preserve">) </w:t>
      </w:r>
      <w:r w:rsidR="00B2062A" w:rsidRPr="00050FA4">
        <w:rPr>
          <w:rFonts w:cstheme="majorBidi"/>
          <w:b/>
          <w:color w:val="0D0D0D" w:themeColor="text1" w:themeTint="F2"/>
          <w:lang w:val="sq-AL"/>
        </w:rPr>
        <w:t xml:space="preserve">Aktivitete të planifikuara </w:t>
      </w:r>
      <w:r w:rsidR="008969B1" w:rsidRPr="00050FA4">
        <w:rPr>
          <w:rFonts w:cstheme="majorBidi"/>
          <w:b/>
          <w:color w:val="0D0D0D" w:themeColor="text1" w:themeTint="F2"/>
          <w:lang w:val="sq-AL"/>
        </w:rPr>
        <w:t>m</w:t>
      </w:r>
      <w:r w:rsidR="00B2062A" w:rsidRPr="00050FA4">
        <w:rPr>
          <w:rFonts w:cstheme="majorBidi"/>
          <w:b/>
          <w:color w:val="0D0D0D" w:themeColor="text1" w:themeTint="F2"/>
          <w:lang w:val="sq-AL"/>
        </w:rPr>
        <w:t>ë</w:t>
      </w:r>
      <w:r w:rsidR="0004171D" w:rsidRPr="00050FA4">
        <w:rPr>
          <w:rFonts w:cstheme="majorBidi"/>
          <w:b/>
          <w:color w:val="0D0D0D" w:themeColor="text1" w:themeTint="F2"/>
          <w:lang w:val="sq-AL"/>
        </w:rPr>
        <w:t xml:space="preserve"> 2024</w:t>
      </w:r>
      <w:r w:rsidR="008969B1" w:rsidRPr="00050FA4">
        <w:rPr>
          <w:rFonts w:cstheme="majorBidi"/>
          <w:b/>
          <w:color w:val="0D0D0D" w:themeColor="text1" w:themeTint="F2"/>
          <w:lang w:val="sq-AL"/>
        </w:rPr>
        <w:t>-ën</w:t>
      </w:r>
    </w:p>
    <w:p w14:paraId="5DC1026B" w14:textId="324F3A2A" w:rsidR="0004171D" w:rsidRPr="00050FA4" w:rsidRDefault="009D23D3" w:rsidP="003F1DA7">
      <w:pPr>
        <w:pStyle w:val="AAAAAAATEXXXX"/>
        <w:rPr>
          <w:lang w:val="sq-AL"/>
        </w:rPr>
      </w:pPr>
      <w:r w:rsidRPr="00050FA4">
        <w:rPr>
          <w:lang w:val="sq-AL"/>
        </w:rPr>
        <w:t>a</w:t>
      </w:r>
      <w:r w:rsidR="00E05F55" w:rsidRPr="00050FA4">
        <w:rPr>
          <w:lang w:val="sq-AL"/>
        </w:rPr>
        <w:t>)</w:t>
      </w:r>
      <w:r w:rsidRPr="00050FA4">
        <w:rPr>
          <w:lang w:val="sq-AL"/>
        </w:rPr>
        <w:t xml:space="preserve"> </w:t>
      </w:r>
      <w:r w:rsidR="007905B3" w:rsidRPr="00050FA4">
        <w:rPr>
          <w:lang w:val="sq-AL"/>
        </w:rPr>
        <w:t>Projekti do të përfundojë në 30 muaj dhe ndërlidhet me pikën e ndërrimit të Vorës, me projektin e sinergjisë që është projekti tjetër strategjik i financuar nga BERZH, nga Vora në Han të Hotit</w:t>
      </w:r>
      <w:r w:rsidR="0004171D" w:rsidRPr="00050FA4">
        <w:rPr>
          <w:lang w:val="sq-AL"/>
        </w:rPr>
        <w:t>.</w:t>
      </w:r>
    </w:p>
    <w:p w14:paraId="5C164BA9" w14:textId="7625A596" w:rsidR="0004171D" w:rsidRPr="00050FA4" w:rsidRDefault="009D23D3" w:rsidP="003F1DA7">
      <w:pPr>
        <w:pStyle w:val="AAAAAAATEXXXX"/>
        <w:rPr>
          <w:lang w:val="sq-AL"/>
        </w:rPr>
      </w:pPr>
      <w:r w:rsidRPr="00050FA4">
        <w:rPr>
          <w:lang w:val="sq-AL"/>
        </w:rPr>
        <w:t xml:space="preserve">2. </w:t>
      </w:r>
      <w:r w:rsidR="00B2062A" w:rsidRPr="00050FA4">
        <w:rPr>
          <w:lang w:val="sq-AL"/>
        </w:rPr>
        <w:t>Treguesit e rezultateve</w:t>
      </w:r>
    </w:p>
    <w:p w14:paraId="7B01C13D" w14:textId="77777777" w:rsidR="008969B1" w:rsidRPr="00050FA4" w:rsidRDefault="008969B1" w:rsidP="003F1DA7">
      <w:pPr>
        <w:pStyle w:val="AAAAAAATEXXXX"/>
        <w:rPr>
          <w:lang w:val="sq-AL"/>
        </w:rPr>
      </w:pPr>
    </w:p>
    <w:tbl>
      <w:tblPr>
        <w:tblStyle w:val="TableGrid"/>
        <w:tblW w:w="0" w:type="auto"/>
        <w:jc w:val="center"/>
        <w:tblLook w:val="04A0" w:firstRow="1" w:lastRow="0" w:firstColumn="1" w:lastColumn="0" w:noHBand="0" w:noVBand="1"/>
      </w:tblPr>
      <w:tblGrid>
        <w:gridCol w:w="4004"/>
        <w:gridCol w:w="1785"/>
        <w:gridCol w:w="2047"/>
        <w:gridCol w:w="1786"/>
      </w:tblGrid>
      <w:tr w:rsidR="00FA29AB" w:rsidRPr="00050FA4" w14:paraId="7CD5BB7D" w14:textId="77777777" w:rsidTr="00E05F55">
        <w:trPr>
          <w:jc w:val="center"/>
        </w:trPr>
        <w:tc>
          <w:tcPr>
            <w:tcW w:w="4004" w:type="dxa"/>
            <w:shd w:val="clear" w:color="auto" w:fill="auto"/>
          </w:tcPr>
          <w:p w14:paraId="528BEF81" w14:textId="75167FB5" w:rsidR="000C350C" w:rsidRPr="00050FA4" w:rsidRDefault="00B2062A" w:rsidP="00E05F5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Tregues</w:t>
            </w:r>
          </w:p>
        </w:tc>
        <w:tc>
          <w:tcPr>
            <w:tcW w:w="1785" w:type="dxa"/>
            <w:shd w:val="clear" w:color="auto" w:fill="auto"/>
          </w:tcPr>
          <w:p w14:paraId="5D70036D" w14:textId="793753B6" w:rsidR="000C350C" w:rsidRPr="00050FA4" w:rsidRDefault="00B2062A" w:rsidP="00E05F5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Bazë</w:t>
            </w:r>
          </w:p>
          <w:p w14:paraId="2D404517" w14:textId="77777777" w:rsidR="000C350C" w:rsidRPr="00050FA4" w:rsidRDefault="000C350C" w:rsidP="00E05F5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(2018)</w:t>
            </w:r>
          </w:p>
        </w:tc>
        <w:tc>
          <w:tcPr>
            <w:tcW w:w="2047" w:type="dxa"/>
            <w:shd w:val="clear" w:color="auto" w:fill="auto"/>
          </w:tcPr>
          <w:p w14:paraId="15A74AB1" w14:textId="469CD61B" w:rsidR="000C350C" w:rsidRPr="00050FA4" w:rsidRDefault="00B2062A" w:rsidP="00E05F5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I ndërmjetëm</w:t>
            </w:r>
            <w:r w:rsidR="000C350C" w:rsidRPr="00050FA4">
              <w:rPr>
                <w:rFonts w:ascii="Garamond" w:hAnsi="Garamond" w:cstheme="majorBidi"/>
                <w:b/>
                <w:color w:val="0D0D0D" w:themeColor="text1" w:themeTint="F2"/>
                <w:sz w:val="18"/>
                <w:szCs w:val="18"/>
              </w:rPr>
              <w:t xml:space="preserve"> (2023)</w:t>
            </w:r>
          </w:p>
        </w:tc>
        <w:tc>
          <w:tcPr>
            <w:tcW w:w="1786" w:type="dxa"/>
            <w:shd w:val="clear" w:color="auto" w:fill="auto"/>
          </w:tcPr>
          <w:p w14:paraId="4DE918C7" w14:textId="6E56E6E2" w:rsidR="000C350C" w:rsidRPr="00050FA4" w:rsidRDefault="00B2062A" w:rsidP="00E05F5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Synimi</w:t>
            </w:r>
          </w:p>
          <w:p w14:paraId="02687824" w14:textId="77777777" w:rsidR="000C350C" w:rsidRPr="00050FA4" w:rsidRDefault="000C350C" w:rsidP="00E05F55">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(2047)</w:t>
            </w:r>
          </w:p>
        </w:tc>
      </w:tr>
      <w:tr w:rsidR="00FA29AB" w:rsidRPr="00050FA4" w14:paraId="2D7F62B9" w14:textId="77777777" w:rsidTr="00E05F55">
        <w:trPr>
          <w:jc w:val="center"/>
        </w:trPr>
        <w:tc>
          <w:tcPr>
            <w:tcW w:w="4004" w:type="dxa"/>
            <w:shd w:val="clear" w:color="auto" w:fill="auto"/>
          </w:tcPr>
          <w:p w14:paraId="2E86B661" w14:textId="7CDDF9EA" w:rsidR="007905B3" w:rsidRPr="00050FA4" w:rsidRDefault="007905B3" w:rsidP="00A95D23">
            <w:pPr>
              <w:pStyle w:val="MediumGrid21"/>
              <w:snapToGrid w:val="0"/>
              <w:rPr>
                <w:rFonts w:ascii="Garamond" w:hAnsi="Garamond" w:cstheme="majorBidi"/>
                <w:bCs/>
                <w:color w:val="0D0D0D" w:themeColor="text1" w:themeTint="F2"/>
                <w:sz w:val="18"/>
                <w:szCs w:val="18"/>
                <w:lang w:val="sq-AL"/>
              </w:rPr>
            </w:pPr>
            <w:r w:rsidRPr="00050FA4">
              <w:rPr>
                <w:rFonts w:ascii="Garamond" w:hAnsi="Garamond" w:cstheme="majorBidi"/>
                <w:color w:val="0D0D0D" w:themeColor="text1" w:themeTint="F2"/>
                <w:sz w:val="18"/>
                <w:szCs w:val="18"/>
                <w:lang w:val="sq-AL"/>
              </w:rPr>
              <w:t>Treguesi i rezultatit 1 - Milion pasagjerë/vit</w:t>
            </w:r>
          </w:p>
        </w:tc>
        <w:tc>
          <w:tcPr>
            <w:tcW w:w="1785" w:type="dxa"/>
            <w:shd w:val="clear" w:color="auto" w:fill="auto"/>
            <w:vAlign w:val="center"/>
          </w:tcPr>
          <w:p w14:paraId="010F7D7C" w14:textId="6AC974AD"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0.75881</w:t>
            </w:r>
          </w:p>
        </w:tc>
        <w:tc>
          <w:tcPr>
            <w:tcW w:w="2047" w:type="dxa"/>
            <w:shd w:val="clear" w:color="auto" w:fill="auto"/>
            <w:vAlign w:val="center"/>
          </w:tcPr>
          <w:p w14:paraId="4A4DB425" w14:textId="4D8DF5A0"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1.1741</w:t>
            </w:r>
          </w:p>
        </w:tc>
        <w:tc>
          <w:tcPr>
            <w:tcW w:w="1786" w:type="dxa"/>
            <w:shd w:val="clear" w:color="auto" w:fill="auto"/>
            <w:vAlign w:val="center"/>
          </w:tcPr>
          <w:p w14:paraId="2204CED4" w14:textId="5A14E0CD"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1.25</w:t>
            </w:r>
          </w:p>
        </w:tc>
      </w:tr>
      <w:tr w:rsidR="00FA29AB" w:rsidRPr="00050FA4" w14:paraId="2D5AB865" w14:textId="77777777" w:rsidTr="00E05F55">
        <w:trPr>
          <w:jc w:val="center"/>
        </w:trPr>
        <w:tc>
          <w:tcPr>
            <w:tcW w:w="4004" w:type="dxa"/>
            <w:shd w:val="clear" w:color="auto" w:fill="auto"/>
          </w:tcPr>
          <w:p w14:paraId="0AFB2688" w14:textId="0EA3536D" w:rsidR="007905B3" w:rsidRPr="00050FA4" w:rsidRDefault="007905B3" w:rsidP="00A95D23">
            <w:pPr>
              <w:pStyle w:val="MediumGrid21"/>
              <w:snapToGrid w:val="0"/>
              <w:rPr>
                <w:rFonts w:ascii="Garamond" w:hAnsi="Garamond" w:cstheme="majorBidi"/>
                <w:bCs/>
                <w:color w:val="0D0D0D" w:themeColor="text1" w:themeTint="F2"/>
                <w:sz w:val="18"/>
                <w:szCs w:val="18"/>
                <w:lang w:val="sq-AL"/>
              </w:rPr>
            </w:pPr>
            <w:r w:rsidRPr="00050FA4">
              <w:rPr>
                <w:rFonts w:ascii="Garamond" w:hAnsi="Garamond" w:cstheme="majorBidi"/>
                <w:color w:val="0D0D0D" w:themeColor="text1" w:themeTint="F2"/>
                <w:sz w:val="18"/>
                <w:szCs w:val="18"/>
                <w:lang w:val="sq-AL"/>
              </w:rPr>
              <w:t xml:space="preserve">Treguesi i rezultatit 2 - </w:t>
            </w:r>
            <w:r w:rsidR="008969B1" w:rsidRPr="00050FA4">
              <w:rPr>
                <w:rFonts w:ascii="Garamond" w:hAnsi="Garamond" w:cstheme="majorBidi"/>
                <w:color w:val="0D0D0D" w:themeColor="text1" w:themeTint="F2"/>
                <w:sz w:val="18"/>
                <w:szCs w:val="18"/>
                <w:lang w:val="sq-AL"/>
              </w:rPr>
              <w:t>ton/vit</w:t>
            </w:r>
          </w:p>
        </w:tc>
        <w:tc>
          <w:tcPr>
            <w:tcW w:w="1785" w:type="dxa"/>
            <w:shd w:val="clear" w:color="auto" w:fill="auto"/>
            <w:vAlign w:val="center"/>
          </w:tcPr>
          <w:p w14:paraId="6001E248" w14:textId="38287888"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198,900</w:t>
            </w:r>
          </w:p>
        </w:tc>
        <w:tc>
          <w:tcPr>
            <w:tcW w:w="2047" w:type="dxa"/>
            <w:shd w:val="clear" w:color="auto" w:fill="auto"/>
            <w:vAlign w:val="center"/>
          </w:tcPr>
          <w:p w14:paraId="4352CACF" w14:textId="03A4DC8A"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51,100</w:t>
            </w:r>
          </w:p>
        </w:tc>
        <w:tc>
          <w:tcPr>
            <w:tcW w:w="1786" w:type="dxa"/>
            <w:shd w:val="clear" w:color="auto" w:fill="auto"/>
            <w:vAlign w:val="center"/>
          </w:tcPr>
          <w:p w14:paraId="5A3B3B31" w14:textId="66AD5985"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250,000</w:t>
            </w:r>
          </w:p>
        </w:tc>
      </w:tr>
      <w:tr w:rsidR="00FA29AB" w:rsidRPr="00050FA4" w14:paraId="6256D60B" w14:textId="77777777" w:rsidTr="00E05F55">
        <w:trPr>
          <w:jc w:val="center"/>
        </w:trPr>
        <w:tc>
          <w:tcPr>
            <w:tcW w:w="4004" w:type="dxa"/>
            <w:shd w:val="clear" w:color="auto" w:fill="auto"/>
          </w:tcPr>
          <w:p w14:paraId="0C60BC42" w14:textId="5FDC1910" w:rsidR="007905B3" w:rsidRPr="00050FA4" w:rsidRDefault="007905B3" w:rsidP="00A95D23">
            <w:pPr>
              <w:pStyle w:val="MediumGrid21"/>
              <w:snapToGrid w:val="0"/>
              <w:rPr>
                <w:rFonts w:ascii="Garamond" w:hAnsi="Garamond" w:cstheme="majorBidi"/>
                <w:bCs/>
                <w:color w:val="0D0D0D" w:themeColor="text1" w:themeTint="F2"/>
                <w:sz w:val="18"/>
                <w:szCs w:val="18"/>
                <w:lang w:val="sq-AL"/>
              </w:rPr>
            </w:pPr>
            <w:r w:rsidRPr="00050FA4">
              <w:rPr>
                <w:rFonts w:ascii="Garamond" w:hAnsi="Garamond" w:cstheme="majorBidi"/>
                <w:color w:val="0D0D0D" w:themeColor="text1" w:themeTint="F2"/>
                <w:sz w:val="18"/>
                <w:szCs w:val="18"/>
                <w:lang w:val="sq-AL"/>
              </w:rPr>
              <w:t xml:space="preserve">Treguesi i rezultatit 3 (ton/vit) - </w:t>
            </w:r>
            <w:r w:rsidR="008969B1" w:rsidRPr="00050FA4">
              <w:rPr>
                <w:rFonts w:ascii="Garamond" w:hAnsi="Garamond" w:cstheme="majorBidi"/>
                <w:color w:val="0D0D0D" w:themeColor="text1" w:themeTint="F2"/>
                <w:sz w:val="18"/>
                <w:szCs w:val="18"/>
                <w:lang w:val="sq-AL"/>
              </w:rPr>
              <w:t xml:space="preserve">emetimet </w:t>
            </w:r>
            <w:r w:rsidRPr="00050FA4">
              <w:rPr>
                <w:rFonts w:ascii="Garamond" w:hAnsi="Garamond" w:cstheme="majorBidi"/>
                <w:color w:val="0D0D0D" w:themeColor="text1" w:themeTint="F2"/>
                <w:sz w:val="18"/>
                <w:szCs w:val="18"/>
                <w:lang w:val="sq-AL"/>
              </w:rPr>
              <w:t>e reduktuara të CO</w:t>
            </w:r>
            <w:r w:rsidRPr="00050FA4">
              <w:rPr>
                <w:rFonts w:ascii="Garamond" w:hAnsi="Garamond" w:cstheme="majorBidi"/>
                <w:color w:val="0D0D0D" w:themeColor="text1" w:themeTint="F2"/>
                <w:sz w:val="18"/>
                <w:szCs w:val="18"/>
                <w:vertAlign w:val="subscript"/>
                <w:lang w:val="sq-AL"/>
              </w:rPr>
              <w:t>2</w:t>
            </w:r>
            <w:r w:rsidRPr="00050FA4">
              <w:rPr>
                <w:rFonts w:ascii="Garamond" w:hAnsi="Garamond" w:cstheme="majorBidi"/>
                <w:color w:val="0D0D0D" w:themeColor="text1" w:themeTint="F2"/>
                <w:sz w:val="18"/>
                <w:szCs w:val="18"/>
                <w:lang w:val="sq-AL"/>
              </w:rPr>
              <w:t xml:space="preserve"> kundrejt makinave</w:t>
            </w:r>
          </w:p>
        </w:tc>
        <w:tc>
          <w:tcPr>
            <w:tcW w:w="1785" w:type="dxa"/>
            <w:shd w:val="clear" w:color="auto" w:fill="auto"/>
            <w:vAlign w:val="center"/>
          </w:tcPr>
          <w:p w14:paraId="7622E0FA" w14:textId="57526CF9"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0</w:t>
            </w:r>
          </w:p>
        </w:tc>
        <w:tc>
          <w:tcPr>
            <w:tcW w:w="2047" w:type="dxa"/>
            <w:shd w:val="clear" w:color="auto" w:fill="auto"/>
            <w:vAlign w:val="center"/>
          </w:tcPr>
          <w:p w14:paraId="331DCF15" w14:textId="102B6FE4"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486</w:t>
            </w:r>
          </w:p>
        </w:tc>
        <w:tc>
          <w:tcPr>
            <w:tcW w:w="1786" w:type="dxa"/>
            <w:shd w:val="clear" w:color="auto" w:fill="auto"/>
            <w:vAlign w:val="center"/>
          </w:tcPr>
          <w:p w14:paraId="199E20A3" w14:textId="6D7032BA"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486</w:t>
            </w:r>
          </w:p>
        </w:tc>
      </w:tr>
      <w:tr w:rsidR="00FA29AB" w:rsidRPr="00050FA4" w14:paraId="2054D135" w14:textId="77777777" w:rsidTr="00E05F55">
        <w:trPr>
          <w:jc w:val="center"/>
        </w:trPr>
        <w:tc>
          <w:tcPr>
            <w:tcW w:w="4004" w:type="dxa"/>
            <w:shd w:val="clear" w:color="auto" w:fill="auto"/>
          </w:tcPr>
          <w:p w14:paraId="385E531E" w14:textId="3D661AF4" w:rsidR="007905B3" w:rsidRPr="00050FA4" w:rsidRDefault="007905B3" w:rsidP="00A95D23">
            <w:pPr>
              <w:pStyle w:val="MediumGrid21"/>
              <w:snapToGrid w:val="0"/>
              <w:rPr>
                <w:rFonts w:ascii="Garamond" w:hAnsi="Garamond" w:cstheme="majorBidi"/>
                <w:bCs/>
                <w:color w:val="0D0D0D" w:themeColor="text1" w:themeTint="F2"/>
                <w:sz w:val="18"/>
                <w:szCs w:val="18"/>
                <w:lang w:val="sq-AL"/>
              </w:rPr>
            </w:pPr>
            <w:r w:rsidRPr="00050FA4">
              <w:rPr>
                <w:rFonts w:ascii="Garamond" w:hAnsi="Garamond" w:cstheme="majorBidi"/>
                <w:color w:val="0D0D0D" w:themeColor="text1" w:themeTint="F2"/>
                <w:sz w:val="18"/>
                <w:szCs w:val="18"/>
                <w:lang w:val="sq-AL"/>
              </w:rPr>
              <w:t xml:space="preserve">Treguesi specifik i projektit 1 - </w:t>
            </w:r>
            <w:r w:rsidR="008969B1" w:rsidRPr="00050FA4">
              <w:rPr>
                <w:rFonts w:ascii="Garamond" w:hAnsi="Garamond" w:cstheme="majorBidi"/>
                <w:color w:val="0D0D0D" w:themeColor="text1" w:themeTint="F2"/>
                <w:sz w:val="18"/>
                <w:szCs w:val="18"/>
                <w:lang w:val="sq-AL"/>
              </w:rPr>
              <w:t xml:space="preserve">makina </w:t>
            </w:r>
            <w:r w:rsidRPr="00050FA4">
              <w:rPr>
                <w:rFonts w:ascii="Garamond" w:hAnsi="Garamond" w:cstheme="majorBidi"/>
                <w:color w:val="0D0D0D" w:themeColor="text1" w:themeTint="F2"/>
                <w:sz w:val="18"/>
                <w:szCs w:val="18"/>
                <w:lang w:val="sq-AL"/>
              </w:rPr>
              <w:t>km larguar nga rruga në vit</w:t>
            </w:r>
          </w:p>
        </w:tc>
        <w:tc>
          <w:tcPr>
            <w:tcW w:w="1785" w:type="dxa"/>
            <w:shd w:val="clear" w:color="auto" w:fill="auto"/>
            <w:vAlign w:val="center"/>
          </w:tcPr>
          <w:p w14:paraId="15A767B0" w14:textId="15BDB51E"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0</w:t>
            </w:r>
          </w:p>
        </w:tc>
        <w:tc>
          <w:tcPr>
            <w:tcW w:w="2047" w:type="dxa"/>
            <w:shd w:val="clear" w:color="auto" w:fill="auto"/>
            <w:vAlign w:val="center"/>
          </w:tcPr>
          <w:p w14:paraId="524190D8" w14:textId="29D9F5D9"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8,700,000</w:t>
            </w:r>
          </w:p>
        </w:tc>
        <w:tc>
          <w:tcPr>
            <w:tcW w:w="1786" w:type="dxa"/>
            <w:shd w:val="clear" w:color="auto" w:fill="auto"/>
            <w:vAlign w:val="center"/>
          </w:tcPr>
          <w:p w14:paraId="385E9A5E" w14:textId="29B95748"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8,700,000</w:t>
            </w:r>
          </w:p>
        </w:tc>
      </w:tr>
      <w:tr w:rsidR="00FA29AB" w:rsidRPr="00050FA4" w14:paraId="0DABB6F3" w14:textId="77777777" w:rsidTr="00E05F55">
        <w:trPr>
          <w:jc w:val="center"/>
        </w:trPr>
        <w:tc>
          <w:tcPr>
            <w:tcW w:w="4004" w:type="dxa"/>
            <w:shd w:val="clear" w:color="auto" w:fill="auto"/>
          </w:tcPr>
          <w:p w14:paraId="70EA958C" w14:textId="1EEB1046" w:rsidR="007905B3" w:rsidRPr="00050FA4" w:rsidRDefault="007905B3" w:rsidP="00A95D23">
            <w:pPr>
              <w:pStyle w:val="MediumGrid21"/>
              <w:snapToGrid w:val="0"/>
              <w:rPr>
                <w:rFonts w:ascii="Garamond" w:hAnsi="Garamond" w:cstheme="majorBidi"/>
                <w:bCs/>
                <w:color w:val="0D0D0D" w:themeColor="text1" w:themeTint="F2"/>
                <w:sz w:val="18"/>
                <w:szCs w:val="18"/>
                <w:lang w:val="sq-AL"/>
              </w:rPr>
            </w:pPr>
            <w:r w:rsidRPr="00050FA4">
              <w:rPr>
                <w:rFonts w:ascii="Garamond" w:hAnsi="Garamond" w:cstheme="majorBidi"/>
                <w:color w:val="0D0D0D" w:themeColor="text1" w:themeTint="F2"/>
                <w:sz w:val="18"/>
                <w:szCs w:val="18"/>
                <w:lang w:val="sq-AL"/>
              </w:rPr>
              <w:t xml:space="preserve">Treguesi specifik i projektit 2 - </w:t>
            </w:r>
            <w:r w:rsidR="008969B1" w:rsidRPr="00050FA4">
              <w:rPr>
                <w:rFonts w:ascii="Garamond" w:hAnsi="Garamond" w:cstheme="majorBidi"/>
                <w:color w:val="0D0D0D" w:themeColor="text1" w:themeTint="F2"/>
                <w:sz w:val="18"/>
                <w:szCs w:val="18"/>
                <w:lang w:val="sq-AL"/>
              </w:rPr>
              <w:t>kamion</w:t>
            </w:r>
            <w:r w:rsidRPr="00050FA4">
              <w:rPr>
                <w:rFonts w:ascii="Garamond" w:hAnsi="Garamond" w:cstheme="majorBidi"/>
                <w:color w:val="0D0D0D" w:themeColor="text1" w:themeTint="F2"/>
                <w:sz w:val="18"/>
                <w:szCs w:val="18"/>
                <w:lang w:val="sq-AL"/>
              </w:rPr>
              <w:t>-km i larguar nga rruga në vit</w:t>
            </w:r>
          </w:p>
        </w:tc>
        <w:tc>
          <w:tcPr>
            <w:tcW w:w="1785" w:type="dxa"/>
            <w:shd w:val="clear" w:color="auto" w:fill="auto"/>
            <w:vAlign w:val="center"/>
          </w:tcPr>
          <w:p w14:paraId="72781E02" w14:textId="7288532A"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0</w:t>
            </w:r>
          </w:p>
        </w:tc>
        <w:tc>
          <w:tcPr>
            <w:tcW w:w="2047" w:type="dxa"/>
            <w:shd w:val="clear" w:color="auto" w:fill="auto"/>
            <w:vAlign w:val="center"/>
          </w:tcPr>
          <w:p w14:paraId="05242033" w14:textId="72EB633F"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138,000</w:t>
            </w:r>
          </w:p>
        </w:tc>
        <w:tc>
          <w:tcPr>
            <w:tcW w:w="1786" w:type="dxa"/>
            <w:shd w:val="clear" w:color="auto" w:fill="auto"/>
            <w:vAlign w:val="center"/>
          </w:tcPr>
          <w:p w14:paraId="55F4068A" w14:textId="4B4B64CB" w:rsidR="007905B3" w:rsidRPr="00050FA4" w:rsidRDefault="007905B3" w:rsidP="00E05F55">
            <w:pPr>
              <w:snapToGrid w:val="0"/>
              <w:jc w:val="right"/>
              <w:rPr>
                <w:rFonts w:ascii="Garamond" w:hAnsi="Garamond" w:cstheme="majorBidi"/>
                <w:color w:val="0D0D0D" w:themeColor="text1" w:themeTint="F2"/>
                <w:sz w:val="18"/>
                <w:szCs w:val="18"/>
              </w:rPr>
            </w:pPr>
            <w:r w:rsidRPr="00050FA4">
              <w:rPr>
                <w:rFonts w:ascii="Garamond" w:hAnsi="Garamond" w:cstheme="majorBidi"/>
                <w:bCs/>
                <w:color w:val="0D0D0D" w:themeColor="text1" w:themeTint="F2"/>
                <w:sz w:val="18"/>
                <w:szCs w:val="18"/>
              </w:rPr>
              <w:t>138,000</w:t>
            </w:r>
          </w:p>
        </w:tc>
      </w:tr>
      <w:tr w:rsidR="00FA29AB" w:rsidRPr="00050FA4" w14:paraId="3465AE4F" w14:textId="77777777" w:rsidTr="00E05F55">
        <w:trPr>
          <w:jc w:val="center"/>
        </w:trPr>
        <w:tc>
          <w:tcPr>
            <w:tcW w:w="4004" w:type="dxa"/>
            <w:shd w:val="clear" w:color="auto" w:fill="auto"/>
          </w:tcPr>
          <w:p w14:paraId="0F964173" w14:textId="12E8D5CD" w:rsidR="007905B3" w:rsidRPr="00050FA4" w:rsidRDefault="007905B3" w:rsidP="00A95D23">
            <w:pPr>
              <w:pStyle w:val="MediumGrid21"/>
              <w:snapToGrid w:val="0"/>
              <w:rPr>
                <w:rFonts w:ascii="Garamond" w:hAnsi="Garamond" w:cstheme="majorBidi"/>
                <w:color w:val="0D0D0D" w:themeColor="text1" w:themeTint="F2"/>
                <w:sz w:val="18"/>
                <w:szCs w:val="18"/>
                <w:lang w:val="sq-AL" w:eastAsia="en-US"/>
              </w:rPr>
            </w:pPr>
            <w:r w:rsidRPr="00050FA4">
              <w:rPr>
                <w:rFonts w:ascii="Garamond" w:hAnsi="Garamond" w:cstheme="majorBidi"/>
                <w:color w:val="0D0D0D" w:themeColor="text1" w:themeTint="F2"/>
                <w:sz w:val="18"/>
                <w:szCs w:val="18"/>
                <w:lang w:val="sq-AL"/>
              </w:rPr>
              <w:t xml:space="preserve">Treguesi ndërsektorial (# në milionë) - </w:t>
            </w:r>
            <w:r w:rsidR="008969B1" w:rsidRPr="00050FA4">
              <w:rPr>
                <w:rFonts w:ascii="Garamond" w:hAnsi="Garamond" w:cstheme="majorBidi"/>
                <w:color w:val="0D0D0D" w:themeColor="text1" w:themeTint="F2"/>
                <w:sz w:val="18"/>
                <w:szCs w:val="18"/>
                <w:lang w:val="sq-AL"/>
              </w:rPr>
              <w:t xml:space="preserve">numri </w:t>
            </w:r>
            <w:r w:rsidRPr="00050FA4">
              <w:rPr>
                <w:rFonts w:ascii="Garamond" w:hAnsi="Garamond" w:cstheme="majorBidi"/>
                <w:color w:val="0D0D0D" w:themeColor="text1" w:themeTint="F2"/>
                <w:sz w:val="18"/>
                <w:szCs w:val="18"/>
                <w:lang w:val="sq-AL"/>
              </w:rPr>
              <w:t>total i përfituesve</w:t>
            </w:r>
          </w:p>
        </w:tc>
        <w:tc>
          <w:tcPr>
            <w:tcW w:w="1785" w:type="dxa"/>
            <w:shd w:val="clear" w:color="auto" w:fill="auto"/>
            <w:vAlign w:val="center"/>
          </w:tcPr>
          <w:p w14:paraId="1259A2F6" w14:textId="47F3EE9D" w:rsidR="007905B3" w:rsidRPr="00050FA4" w:rsidRDefault="007905B3" w:rsidP="00E05F55">
            <w:pPr>
              <w:snapToGrid w:val="0"/>
              <w:jc w:val="right"/>
              <w:rPr>
                <w:rFonts w:ascii="Garamond" w:hAnsi="Garamond" w:cstheme="majorBidi"/>
                <w:bCs/>
                <w:color w:val="0D0D0D" w:themeColor="text1" w:themeTint="F2"/>
                <w:sz w:val="18"/>
                <w:szCs w:val="18"/>
              </w:rPr>
            </w:pPr>
            <w:r w:rsidRPr="00050FA4">
              <w:rPr>
                <w:rFonts w:ascii="Garamond" w:hAnsi="Garamond" w:cstheme="majorBidi"/>
                <w:color w:val="0D0D0D" w:themeColor="text1" w:themeTint="F2"/>
                <w:sz w:val="18"/>
                <w:szCs w:val="18"/>
              </w:rPr>
              <w:t>0</w:t>
            </w:r>
          </w:p>
        </w:tc>
        <w:tc>
          <w:tcPr>
            <w:tcW w:w="2047" w:type="dxa"/>
            <w:shd w:val="clear" w:color="auto" w:fill="auto"/>
            <w:vAlign w:val="center"/>
          </w:tcPr>
          <w:p w14:paraId="13CD641A" w14:textId="7415DD04" w:rsidR="007905B3" w:rsidRPr="00050FA4" w:rsidRDefault="007905B3" w:rsidP="00E05F55">
            <w:pPr>
              <w:snapToGrid w:val="0"/>
              <w:jc w:val="right"/>
              <w:rPr>
                <w:rFonts w:ascii="Garamond" w:hAnsi="Garamond" w:cstheme="majorBidi"/>
                <w:bCs/>
                <w:color w:val="0D0D0D" w:themeColor="text1" w:themeTint="F2"/>
                <w:sz w:val="18"/>
                <w:szCs w:val="18"/>
              </w:rPr>
            </w:pPr>
            <w:r w:rsidRPr="00050FA4">
              <w:rPr>
                <w:rFonts w:ascii="Garamond" w:hAnsi="Garamond" w:cstheme="majorBidi"/>
                <w:color w:val="0D0D0D" w:themeColor="text1" w:themeTint="F2"/>
                <w:sz w:val="18"/>
                <w:szCs w:val="18"/>
              </w:rPr>
              <w:t>2,9</w:t>
            </w:r>
          </w:p>
        </w:tc>
        <w:tc>
          <w:tcPr>
            <w:tcW w:w="1786" w:type="dxa"/>
            <w:shd w:val="clear" w:color="auto" w:fill="auto"/>
            <w:vAlign w:val="center"/>
          </w:tcPr>
          <w:p w14:paraId="4985FDC8" w14:textId="05CCD672" w:rsidR="007905B3" w:rsidRPr="00050FA4" w:rsidRDefault="007905B3" w:rsidP="00E05F55">
            <w:pPr>
              <w:snapToGrid w:val="0"/>
              <w:jc w:val="right"/>
              <w:rPr>
                <w:rFonts w:ascii="Garamond" w:hAnsi="Garamond" w:cstheme="majorBidi"/>
                <w:bCs/>
                <w:color w:val="0D0D0D" w:themeColor="text1" w:themeTint="F2"/>
                <w:sz w:val="18"/>
                <w:szCs w:val="18"/>
              </w:rPr>
            </w:pPr>
            <w:r w:rsidRPr="00050FA4">
              <w:rPr>
                <w:rFonts w:ascii="Garamond" w:hAnsi="Garamond" w:cstheme="majorBidi"/>
                <w:color w:val="0D0D0D" w:themeColor="text1" w:themeTint="F2"/>
                <w:sz w:val="18"/>
                <w:szCs w:val="18"/>
              </w:rPr>
              <w:t>2,9</w:t>
            </w:r>
          </w:p>
        </w:tc>
      </w:tr>
    </w:tbl>
    <w:p w14:paraId="1C5DB8EC" w14:textId="77777777" w:rsidR="000C350C" w:rsidRPr="00050FA4" w:rsidRDefault="000C350C" w:rsidP="003F1DA7">
      <w:pPr>
        <w:snapToGrid w:val="0"/>
        <w:ind w:firstLine="284"/>
        <w:rPr>
          <w:rFonts w:ascii="Garamond" w:hAnsi="Garamond" w:cstheme="majorBidi"/>
          <w:color w:val="0D0D0D" w:themeColor="text1" w:themeTint="F2"/>
        </w:rPr>
      </w:pPr>
    </w:p>
    <w:p w14:paraId="0C2F6C22" w14:textId="145791EB" w:rsidR="0004171D" w:rsidRPr="00050FA4" w:rsidRDefault="009D23D3" w:rsidP="003F1DA7">
      <w:pPr>
        <w:pStyle w:val="AAAAAAATEXXXX"/>
        <w:rPr>
          <w:lang w:val="sq-AL"/>
        </w:rPr>
      </w:pPr>
      <w:r w:rsidRPr="00050FA4">
        <w:rPr>
          <w:lang w:val="sq-AL"/>
        </w:rPr>
        <w:t xml:space="preserve">3. </w:t>
      </w:r>
      <w:r w:rsidR="00B2062A" w:rsidRPr="00050FA4">
        <w:rPr>
          <w:lang w:val="sq-AL"/>
        </w:rPr>
        <w:t>Ndikimi i pritshëm në konkurrueshmëri</w:t>
      </w:r>
    </w:p>
    <w:p w14:paraId="1B21D7D5" w14:textId="1E9A5BFA" w:rsidR="007905B3" w:rsidRPr="00050FA4" w:rsidRDefault="007905B3" w:rsidP="003F1DA7">
      <w:pPr>
        <w:pStyle w:val="AAAAAAATEXXXX"/>
        <w:rPr>
          <w:lang w:val="sq-AL"/>
        </w:rPr>
      </w:pPr>
      <w:r w:rsidRPr="00050FA4">
        <w:rPr>
          <w:lang w:val="sq-AL"/>
        </w:rPr>
        <w:t>Masa është një projekt strategjik prioritar që do t</w:t>
      </w:r>
      <w:r w:rsidR="00E67ECA" w:rsidRPr="00050FA4">
        <w:rPr>
          <w:lang w:val="sq-AL"/>
        </w:rPr>
        <w:t>’u</w:t>
      </w:r>
      <w:r w:rsidRPr="00050FA4">
        <w:rPr>
          <w:lang w:val="sq-AL"/>
        </w:rPr>
        <w:t xml:space="preserve"> japë prosperitet dhe zhvillim mjeteve të transportit të qytetarëve në qytetet më të mëdha të Shqipërisë. Projekti i hekurudhës Tiranë – Durrës dhe lidhja me TIA plotëson dhe realizon plotësisht multimodalitetin e rrjetit të infrastrukturës mes dy metropoleve, duke krijuar një rrjet efikas midis infrastrukturës rrugore, aeroportit dhe Portit të Durrësit. Projekti do të ketë një ndikim të madh ekonomik dhe social në ndërtimin e grupimeve në rajonin në rritje Tiranë-Durrës. Sigurimi i rajonit me një linjë hekurudhore që funksionon mirë do të jetë një avantazh, i dobishëm për të dy</w:t>
      </w:r>
      <w:r w:rsidR="00821414" w:rsidRPr="00050FA4">
        <w:rPr>
          <w:lang w:val="sq-AL"/>
        </w:rPr>
        <w:t>ja</w:t>
      </w:r>
      <w:r w:rsidRPr="00050FA4">
        <w:rPr>
          <w:lang w:val="sq-AL"/>
        </w:rPr>
        <w:t xml:space="preserve"> kompanitë tashmë të vendosura, si dhe për investitorët e mundshëm </w:t>
      </w:r>
      <w:r w:rsidR="00643BAF" w:rsidRPr="00050FA4">
        <w:rPr>
          <w:lang w:val="sq-AL"/>
        </w:rPr>
        <w:t>vendës</w:t>
      </w:r>
      <w:r w:rsidRPr="00050FA4">
        <w:rPr>
          <w:lang w:val="sq-AL"/>
        </w:rPr>
        <w:t xml:space="preserve"> dhe të huaj.</w:t>
      </w:r>
    </w:p>
    <w:p w14:paraId="2CAB48E6" w14:textId="49501F0A" w:rsidR="0004171D" w:rsidRPr="00050FA4" w:rsidRDefault="009D23D3"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4936F498" w14:textId="546A076A" w:rsidR="007905B3" w:rsidRPr="00050FA4" w:rsidRDefault="007905B3" w:rsidP="003F1DA7">
      <w:pPr>
        <w:pStyle w:val="AAAAAAATEXXXX"/>
        <w:rPr>
          <w:rFonts w:cstheme="majorBidi"/>
          <w:color w:val="0D0D0D" w:themeColor="text1" w:themeTint="F2"/>
          <w:lang w:val="sq-AL"/>
        </w:rPr>
      </w:pPr>
      <w:r w:rsidRPr="00050FA4">
        <w:rPr>
          <w:rFonts w:cstheme="majorBidi"/>
          <w:color w:val="0D0D0D" w:themeColor="text1" w:themeTint="F2"/>
          <w:lang w:val="sq-AL"/>
        </w:rPr>
        <w:t>Projekti ka një kosto totale të vlerësuar prej 90.45 milionë euro</w:t>
      </w:r>
      <w:r w:rsidR="006A27AC" w:rsidRPr="00050FA4">
        <w:rPr>
          <w:rFonts w:cstheme="majorBidi"/>
          <w:color w:val="0D0D0D" w:themeColor="text1" w:themeTint="F2"/>
          <w:lang w:val="sq-AL"/>
        </w:rPr>
        <w:t>sh</w:t>
      </w:r>
      <w:r w:rsidRPr="00050FA4">
        <w:rPr>
          <w:rFonts w:cstheme="majorBidi"/>
          <w:color w:val="0D0D0D" w:themeColor="text1" w:themeTint="F2"/>
          <w:lang w:val="sq-AL"/>
        </w:rPr>
        <w:t>. Kontrata përfshin punime për rehabilitimin e linjës hekurudhore Tiranë</w:t>
      </w:r>
      <w:r w:rsidR="007A6484" w:rsidRPr="00050FA4">
        <w:rPr>
          <w:rFonts w:cstheme="majorBidi"/>
          <w:color w:val="0D0D0D" w:themeColor="text1" w:themeTint="F2"/>
          <w:lang w:val="sq-AL"/>
        </w:rPr>
        <w:t>–</w:t>
      </w:r>
      <w:r w:rsidRPr="00050FA4">
        <w:rPr>
          <w:rFonts w:cstheme="majorBidi"/>
          <w:color w:val="0D0D0D" w:themeColor="text1" w:themeTint="F2"/>
          <w:lang w:val="sq-AL"/>
        </w:rPr>
        <w:t>Durrës dhe ndërtimin e lidhjes së re hekurudhore, si dhe shërbime konsulence për mbikëqyrjen e punimeve, për të cilat proceset e tenderimit janë gjithashtu në vazhdim. Gjithashtu</w:t>
      </w:r>
      <w:r w:rsidR="0084264C" w:rsidRPr="00050FA4">
        <w:rPr>
          <w:rFonts w:cstheme="majorBidi"/>
          <w:color w:val="0D0D0D" w:themeColor="text1" w:themeTint="F2"/>
          <w:lang w:val="sq-AL"/>
        </w:rPr>
        <w:t>,</w:t>
      </w:r>
      <w:r w:rsidRPr="00050FA4">
        <w:rPr>
          <w:rFonts w:cstheme="majorBidi"/>
          <w:color w:val="0D0D0D" w:themeColor="text1" w:themeTint="F2"/>
          <w:lang w:val="sq-AL"/>
        </w:rPr>
        <w:t xml:space="preserve"> n</w:t>
      </w:r>
      <w:r w:rsidR="0084264C" w:rsidRPr="00050FA4">
        <w:rPr>
          <w:lang w:val="sq-AL"/>
        </w:rPr>
        <w:t>ë</w:t>
      </w:r>
      <w:r w:rsidRPr="00050FA4">
        <w:rPr>
          <w:rFonts w:cstheme="majorBidi"/>
          <w:color w:val="0D0D0D" w:themeColor="text1" w:themeTint="F2"/>
          <w:lang w:val="sq-AL"/>
        </w:rPr>
        <w:t xml:space="preserve"> këtë përfshihet një kredi sovrane deri në 36.87 milionë euro për punët civile (përfshirë rastet e paparashikuara) dhe shtesa për forcimin e kapaciteteve institucionale nëpërmjet një granti të BERZH-it prej 0.87 milionë euro</w:t>
      </w:r>
      <w:r w:rsidR="006A27AC" w:rsidRPr="00050FA4">
        <w:rPr>
          <w:rFonts w:cstheme="majorBidi"/>
          <w:color w:val="0D0D0D" w:themeColor="text1" w:themeTint="F2"/>
          <w:lang w:val="sq-AL"/>
        </w:rPr>
        <w:t>sh</w:t>
      </w:r>
      <w:r w:rsidRPr="00050FA4">
        <w:rPr>
          <w:rFonts w:cstheme="majorBidi"/>
          <w:color w:val="0D0D0D" w:themeColor="text1" w:themeTint="F2"/>
          <w:lang w:val="sq-AL"/>
        </w:rPr>
        <w:t>.</w:t>
      </w:r>
    </w:p>
    <w:p w14:paraId="543A4EC1" w14:textId="12E34DF2" w:rsidR="007905B3" w:rsidRPr="00050FA4" w:rsidRDefault="007905B3" w:rsidP="003F1DA7">
      <w:pPr>
        <w:pStyle w:val="AAAAAAATEXXXX"/>
        <w:rPr>
          <w:rFonts w:cstheme="majorBidi"/>
          <w:color w:val="0D0D0D" w:themeColor="text1" w:themeTint="F2"/>
          <w:lang w:val="sq-AL"/>
        </w:rPr>
      </w:pPr>
      <w:r w:rsidRPr="00050FA4">
        <w:rPr>
          <w:rFonts w:cstheme="majorBidi"/>
          <w:color w:val="0D0D0D" w:themeColor="text1" w:themeTint="F2"/>
          <w:lang w:val="sq-AL"/>
        </w:rPr>
        <w:t>Një grant nga WBIF-EU prej 35,435 milionë euro</w:t>
      </w:r>
      <w:r w:rsidR="006A27AC" w:rsidRPr="00050FA4">
        <w:rPr>
          <w:rFonts w:cstheme="majorBidi"/>
          <w:color w:val="0D0D0D" w:themeColor="text1" w:themeTint="F2"/>
          <w:lang w:val="sq-AL"/>
        </w:rPr>
        <w:t>sh</w:t>
      </w:r>
      <w:r w:rsidRPr="00050FA4">
        <w:rPr>
          <w:rFonts w:cstheme="majorBidi"/>
          <w:color w:val="0D0D0D" w:themeColor="text1" w:themeTint="F2"/>
          <w:lang w:val="sq-AL"/>
        </w:rPr>
        <w:t>, i përbërë nga 32,935 milionë euro për punët civile dhe 1,5 milionë euro për mbikëqyrjen dhe 1 milionë euro për zbatimin dhe menaxhimin e projektit të VNMS-së dhe dokumentacioni i tenderit në shumën prej 1,215 milionë euro</w:t>
      </w:r>
      <w:r w:rsidR="006A27AC" w:rsidRPr="00050FA4">
        <w:rPr>
          <w:rFonts w:cstheme="majorBidi"/>
          <w:color w:val="0D0D0D" w:themeColor="text1" w:themeTint="F2"/>
          <w:lang w:val="sq-AL"/>
        </w:rPr>
        <w:t>sh</w:t>
      </w:r>
      <w:r w:rsidRPr="00050FA4">
        <w:rPr>
          <w:rFonts w:cstheme="majorBidi"/>
          <w:color w:val="0D0D0D" w:themeColor="text1" w:themeTint="F2"/>
          <w:lang w:val="sq-AL"/>
        </w:rPr>
        <w:t xml:space="preserve"> në total 36,65 milionë euro është dhënë tashmë. për këtë projekt të rëndësishëm. Gjithashtu, shpronësimi i tokës (1 m</w:t>
      </w:r>
      <w:r w:rsidR="007A6484" w:rsidRPr="00050FA4">
        <w:rPr>
          <w:rFonts w:cstheme="majorBidi"/>
          <w:color w:val="0D0D0D" w:themeColor="text1" w:themeTint="F2"/>
          <w:lang w:val="sq-AL"/>
        </w:rPr>
        <w:t>ilionë</w:t>
      </w:r>
      <w:r w:rsidRPr="00050FA4">
        <w:rPr>
          <w:rFonts w:cstheme="majorBidi"/>
          <w:color w:val="0D0D0D" w:themeColor="text1" w:themeTint="F2"/>
          <w:lang w:val="sq-AL"/>
        </w:rPr>
        <w:t xml:space="preserve"> euro) dhe TVSH (15,06 </w:t>
      </w:r>
      <w:r w:rsidR="007A6484" w:rsidRPr="00050FA4">
        <w:rPr>
          <w:rFonts w:cstheme="majorBidi"/>
          <w:color w:val="0D0D0D" w:themeColor="text1" w:themeTint="F2"/>
          <w:lang w:val="sq-AL"/>
        </w:rPr>
        <w:t>milionë</w:t>
      </w:r>
      <w:r w:rsidRPr="00050FA4">
        <w:rPr>
          <w:rFonts w:cstheme="majorBidi"/>
          <w:color w:val="0D0D0D" w:themeColor="text1" w:themeTint="F2"/>
          <w:lang w:val="sq-AL"/>
        </w:rPr>
        <w:t xml:space="preserve"> euro) janë pjesë e buxhetit të shtetit (mbi 16,06 milion</w:t>
      </w:r>
      <w:r w:rsidR="007A6484" w:rsidRPr="00050FA4">
        <w:rPr>
          <w:rFonts w:cstheme="majorBidi"/>
          <w:color w:val="0D0D0D" w:themeColor="text1" w:themeTint="F2"/>
          <w:lang w:val="sq-AL"/>
        </w:rPr>
        <w:t>ë</w:t>
      </w:r>
      <w:r w:rsidRPr="00050FA4">
        <w:rPr>
          <w:rFonts w:cstheme="majorBidi"/>
          <w:color w:val="0D0D0D" w:themeColor="text1" w:themeTint="F2"/>
          <w:lang w:val="sq-AL"/>
        </w:rPr>
        <w:t xml:space="preserve"> euro). Numri i objekteve nga projekti është mbi 150 shtëpi dhe magazina të tjera në </w:t>
      </w:r>
      <w:r w:rsidR="007A6484" w:rsidRPr="00050FA4">
        <w:rPr>
          <w:rFonts w:cstheme="majorBidi"/>
          <w:color w:val="0D0D0D" w:themeColor="text1" w:themeTint="F2"/>
          <w:lang w:val="sq-AL"/>
        </w:rPr>
        <w:t xml:space="preserve">kryqëzimin teknik trekëndor hekurudhor të </w:t>
      </w:r>
      <w:r w:rsidR="007A6484" w:rsidRPr="00050FA4">
        <w:rPr>
          <w:rFonts w:cstheme="majorBidi"/>
          <w:color w:val="0D0D0D" w:themeColor="text1" w:themeTint="F2"/>
          <w:lang w:val="sq-AL"/>
        </w:rPr>
        <w:lastRenderedPageBreak/>
        <w:t>brendshëm</w:t>
      </w:r>
      <w:r w:rsidRPr="00050FA4">
        <w:rPr>
          <w:rFonts w:cstheme="majorBidi"/>
          <w:color w:val="0D0D0D" w:themeColor="text1" w:themeTint="F2"/>
          <w:lang w:val="sq-AL"/>
        </w:rPr>
        <w:t>, të ndryshuar në PBA 2022</w:t>
      </w:r>
      <w:r w:rsidR="007A6484" w:rsidRPr="00050FA4">
        <w:rPr>
          <w:rFonts w:cstheme="majorBidi"/>
          <w:color w:val="0D0D0D" w:themeColor="text1" w:themeTint="F2"/>
          <w:lang w:val="sq-AL"/>
        </w:rPr>
        <w:t>–</w:t>
      </w:r>
      <w:r w:rsidRPr="00050FA4">
        <w:rPr>
          <w:rFonts w:cstheme="majorBidi"/>
          <w:color w:val="0D0D0D" w:themeColor="text1" w:themeTint="F2"/>
          <w:lang w:val="sq-AL"/>
        </w:rPr>
        <w:t>2024 dhe në rritje të vlerës nga 1 milion</w:t>
      </w:r>
      <w:r w:rsidR="007A6484" w:rsidRPr="00050FA4">
        <w:rPr>
          <w:rFonts w:cstheme="majorBidi"/>
          <w:color w:val="0D0D0D" w:themeColor="text1" w:themeTint="F2"/>
          <w:lang w:val="sq-AL"/>
        </w:rPr>
        <w:t>ë</w:t>
      </w:r>
      <w:r w:rsidRPr="00050FA4">
        <w:rPr>
          <w:rFonts w:cstheme="majorBidi"/>
          <w:color w:val="0D0D0D" w:themeColor="text1" w:themeTint="F2"/>
          <w:lang w:val="sq-AL"/>
        </w:rPr>
        <w:t xml:space="preserve"> euro në 3 milion</w:t>
      </w:r>
      <w:r w:rsidR="007A6484" w:rsidRPr="00050FA4">
        <w:rPr>
          <w:rFonts w:cstheme="majorBidi"/>
          <w:color w:val="0D0D0D" w:themeColor="text1" w:themeTint="F2"/>
          <w:lang w:val="sq-AL"/>
        </w:rPr>
        <w:t>ë</w:t>
      </w:r>
      <w:r w:rsidRPr="00050FA4">
        <w:rPr>
          <w:rFonts w:cstheme="majorBidi"/>
          <w:color w:val="0D0D0D" w:themeColor="text1" w:themeTint="F2"/>
          <w:lang w:val="sq-AL"/>
        </w:rPr>
        <w:t xml:space="preserve"> euro me përditësimin e planit të marrjes së tokës (LAP, 2021). Metodologjia e vlerësimit fillestar (LAP, 2019) është rishikuar.</w:t>
      </w:r>
    </w:p>
    <w:p w14:paraId="1F4A1DEF" w14:textId="66DCE8F7" w:rsidR="0004171D" w:rsidRPr="00050FA4" w:rsidRDefault="009D23D3"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700728A4" w14:textId="77777777" w:rsidR="007905B3" w:rsidRPr="00050FA4" w:rsidRDefault="007905B3" w:rsidP="003F1DA7">
      <w:pPr>
        <w:pStyle w:val="AAAAAAATEXXXX"/>
        <w:rPr>
          <w:lang w:val="sq-AL"/>
        </w:rPr>
      </w:pPr>
      <w:r w:rsidRPr="00050FA4">
        <w:rPr>
          <w:lang w:val="sq-AL"/>
        </w:rPr>
        <w:t>Hekurudhat shqiptare në Komunitetin e Kompanive Evropiane të Hekurudhave dhe Infrastrukturës (CER), që përfaqësojnë punëdhënësit e sektorit hekurudhor, dhe Federata Evropiane e Punëtorëve të Transportit (ETF), që përfaqëson punëtorët hekurudhor, të përfshirë zyrtarisht për të nënshkruar marrëveshjen autonome Gratë në hekurudhë synon nxitjen e punësimit të grave në këtë sektor.</w:t>
      </w:r>
    </w:p>
    <w:p w14:paraId="5DAF02D4" w14:textId="69488B49" w:rsidR="007905B3" w:rsidRPr="00050FA4" w:rsidRDefault="007905B3" w:rsidP="003F1DA7">
      <w:pPr>
        <w:pStyle w:val="AAAAAAATEXXXX"/>
        <w:rPr>
          <w:lang w:val="sq-AL"/>
        </w:rPr>
      </w:pPr>
      <w:r w:rsidRPr="00050FA4">
        <w:rPr>
          <w:lang w:val="sq-AL"/>
        </w:rPr>
        <w:t>Komuniteti hekurudhor miratoi marrëveshjen, duke çuar në fazën përfundimtare procesin, me nënshkrimin zyrtar të marrëveshjes që shënon hyrjen e saj në fuqi. Kjo marrëveshje synon të tërheqë më shumë gra në sektorin hekurudhor dhe t'u japë atyre më shumë mbrojtje dhe të garantojë trajtim të barabartë në vendin e punës falë masave të shumta të dakorduara nën titujt e politikës së përgjithshme të barazisë gjinore. Këto masa mbulojnë fusha të tilla si objektivi për të tërhequr më shumë gra në sektor, harmonizimi i punës dhe jetës private, promovimi dhe zhvillimi i karrierës, paga e barabartë, shëndeti dhe siguria n</w:t>
      </w:r>
      <w:r w:rsidR="0084264C" w:rsidRPr="00050FA4">
        <w:rPr>
          <w:lang w:val="sq-AL"/>
        </w:rPr>
        <w:t>ë</w:t>
      </w:r>
      <w:r w:rsidRPr="00050FA4">
        <w:rPr>
          <w:lang w:val="sq-AL"/>
        </w:rPr>
        <w:t xml:space="preserve"> mjedisin e punës dhe parandalimi i ngacmimeve seksuale dhe seksizmit.</w:t>
      </w:r>
    </w:p>
    <w:p w14:paraId="5C7A070E" w14:textId="37014576" w:rsidR="007905B3" w:rsidRPr="00050FA4" w:rsidRDefault="007905B3" w:rsidP="003F1DA7">
      <w:pPr>
        <w:pStyle w:val="AAAAAAATEXXXX"/>
        <w:rPr>
          <w:lang w:val="sq-AL"/>
        </w:rPr>
      </w:pPr>
      <w:r w:rsidRPr="00050FA4">
        <w:rPr>
          <w:lang w:val="sq-AL"/>
        </w:rPr>
        <w:t>Për barazinë gjinore, zbatimi i strategjisë kombëtare dhe planit të veprimit 2016</w:t>
      </w:r>
      <w:r w:rsidR="007A6484" w:rsidRPr="00050FA4">
        <w:rPr>
          <w:rFonts w:cstheme="majorBidi"/>
          <w:color w:val="0D0D0D" w:themeColor="text1" w:themeTint="F2"/>
          <w:lang w:val="sq-AL"/>
        </w:rPr>
        <w:t>–</w:t>
      </w:r>
      <w:r w:rsidRPr="00050FA4">
        <w:rPr>
          <w:lang w:val="sq-AL"/>
        </w:rPr>
        <w:t>2020 për barazinë gjinore pasohet nga një strategji e re për barazinë gjinore 2021</w:t>
      </w:r>
      <w:r w:rsidR="007A6484" w:rsidRPr="00050FA4">
        <w:rPr>
          <w:rFonts w:cstheme="majorBidi"/>
          <w:color w:val="0D0D0D" w:themeColor="text1" w:themeTint="F2"/>
          <w:lang w:val="sq-AL"/>
        </w:rPr>
        <w:t>–</w:t>
      </w:r>
      <w:r w:rsidRPr="00050FA4">
        <w:rPr>
          <w:lang w:val="sq-AL"/>
        </w:rPr>
        <w:t>2030 e miratuar në qershor 2021.</w:t>
      </w:r>
    </w:p>
    <w:p w14:paraId="506D86C4" w14:textId="77777777" w:rsidR="007905B3" w:rsidRPr="00050FA4" w:rsidRDefault="007905B3" w:rsidP="003F1DA7">
      <w:pPr>
        <w:pStyle w:val="AAAAAAATEXXXX"/>
        <w:rPr>
          <w:lang w:val="sq-AL"/>
        </w:rPr>
      </w:pPr>
      <w:r w:rsidRPr="00050FA4">
        <w:rPr>
          <w:lang w:val="sq-AL"/>
        </w:rPr>
        <w:t>Zbatimi i reformës strukturore, i jep gjithnjë e më shumë akses gruas në hekurudhë, sigurohet balanca gjinore për të gjitha pozicionet dhe vendet vakante, konsultimi/vendimmarrja.</w:t>
      </w:r>
    </w:p>
    <w:p w14:paraId="14D7EF83" w14:textId="77777777" w:rsidR="007905B3" w:rsidRPr="00050FA4" w:rsidRDefault="007905B3" w:rsidP="003F1DA7">
      <w:pPr>
        <w:pStyle w:val="AAAAAAATEXXXX"/>
        <w:rPr>
          <w:lang w:val="sq-AL"/>
        </w:rPr>
      </w:pPr>
      <w:r w:rsidRPr="00050FA4">
        <w:rPr>
          <w:lang w:val="sq-AL"/>
        </w:rPr>
        <w:t>Gratë pritet të përfitojnë nga stimujt me një regjim të ri pagash, në përgatitje, me konsulencën e BERZH-it të asistencës teknike të BE-së.</w:t>
      </w:r>
    </w:p>
    <w:p w14:paraId="5E35D127" w14:textId="77777777" w:rsidR="007905B3" w:rsidRPr="00050FA4" w:rsidRDefault="007905B3" w:rsidP="003F1DA7">
      <w:pPr>
        <w:pStyle w:val="AAAAAAATEXXXX"/>
        <w:rPr>
          <w:lang w:val="sq-AL" w:eastAsia="en-GB"/>
        </w:rPr>
      </w:pPr>
      <w:r w:rsidRPr="00050FA4">
        <w:rPr>
          <w:lang w:val="sq-AL" w:eastAsia="en-GB"/>
        </w:rPr>
        <w:t>Si rezultat, gjenerohen përfitime të përgjithshme neto socio-ekonomike të konsiderueshme, siç tregohet nga treguesit e performancës socio-ekonomike të projektit të llogaritur nga CBA-ja përkatëse 2015 e kryer në përputhje me Udhëzuesin e BE-së për analizën kosto-përfitim të vitit 2014 (bazuar në kostot dhe përfitimet e shprehura në terma monetarë):</w:t>
      </w:r>
    </w:p>
    <w:p w14:paraId="51A5BDBA" w14:textId="7C4C2E21" w:rsidR="007905B3" w:rsidRPr="00050FA4" w:rsidRDefault="009D23D3" w:rsidP="003F1DA7">
      <w:pPr>
        <w:pStyle w:val="AAAAAAATEXXXX"/>
        <w:rPr>
          <w:lang w:val="sq-AL"/>
        </w:rPr>
      </w:pPr>
      <w:r w:rsidRPr="00050FA4">
        <w:rPr>
          <w:lang w:val="sq-AL"/>
        </w:rPr>
        <w:t xml:space="preserve">- </w:t>
      </w:r>
      <w:r w:rsidR="007905B3" w:rsidRPr="00050FA4">
        <w:rPr>
          <w:lang w:val="sq-AL"/>
        </w:rPr>
        <w:t>ERR = 7,43%</w:t>
      </w:r>
    </w:p>
    <w:p w14:paraId="5E6C6C60" w14:textId="11929A8F" w:rsidR="007905B3" w:rsidRPr="00050FA4" w:rsidRDefault="009D23D3" w:rsidP="003F1DA7">
      <w:pPr>
        <w:pStyle w:val="AAAAAAATEXXXX"/>
        <w:rPr>
          <w:lang w:val="sq-AL"/>
        </w:rPr>
      </w:pPr>
      <w:r w:rsidRPr="00050FA4">
        <w:rPr>
          <w:lang w:val="sq-AL"/>
        </w:rPr>
        <w:t xml:space="preserve">- </w:t>
      </w:r>
      <w:r w:rsidR="007905B3" w:rsidRPr="00050FA4">
        <w:rPr>
          <w:lang w:val="sq-AL"/>
        </w:rPr>
        <w:t>ENPV = 29.52 milionë euro</w:t>
      </w:r>
    </w:p>
    <w:p w14:paraId="0086769F" w14:textId="40400916" w:rsidR="007905B3" w:rsidRPr="00050FA4" w:rsidRDefault="009D23D3" w:rsidP="003F1DA7">
      <w:pPr>
        <w:pStyle w:val="AAAAAAATEXXXX"/>
        <w:rPr>
          <w:lang w:val="sq-AL"/>
        </w:rPr>
      </w:pPr>
      <w:r w:rsidRPr="00050FA4">
        <w:rPr>
          <w:lang w:val="sq-AL"/>
        </w:rPr>
        <w:t xml:space="preserve">- </w:t>
      </w:r>
      <w:r w:rsidR="007905B3" w:rsidRPr="00050FA4">
        <w:rPr>
          <w:lang w:val="sq-AL"/>
        </w:rPr>
        <w:t>Raporti B/C = 1,17.</w:t>
      </w:r>
    </w:p>
    <w:p w14:paraId="418159C6" w14:textId="77777777" w:rsidR="007905B3" w:rsidRPr="00050FA4" w:rsidRDefault="007905B3" w:rsidP="003F1DA7">
      <w:pPr>
        <w:pStyle w:val="AAAAAAATEXXXX"/>
        <w:rPr>
          <w:lang w:val="sq-AL"/>
        </w:rPr>
      </w:pPr>
      <w:r w:rsidRPr="00050FA4">
        <w:rPr>
          <w:lang w:val="sq-AL"/>
        </w:rPr>
        <w:t>Ndikimi i tranzicionit: Projekti përfshin reformën e sektorit dhe masat për forcimin institucional në fushat e mëposhtme. Rezultatet në vlerësimin socio-ekonomik sipas CBA-së përllogariten për rezultate:</w:t>
      </w:r>
    </w:p>
    <w:p w14:paraId="1A5DDA9F" w14:textId="73A9601D" w:rsidR="007905B3" w:rsidRPr="00050FA4" w:rsidRDefault="009D23D3" w:rsidP="003F1DA7">
      <w:pPr>
        <w:pStyle w:val="AAAAAAATEXXXX"/>
        <w:rPr>
          <w:lang w:val="sq-AL"/>
        </w:rPr>
      </w:pPr>
      <w:r w:rsidRPr="00050FA4">
        <w:rPr>
          <w:lang w:val="sq-AL"/>
        </w:rPr>
        <w:t xml:space="preserve">- </w:t>
      </w:r>
      <w:r w:rsidR="007905B3" w:rsidRPr="00050FA4">
        <w:rPr>
          <w:lang w:val="sq-AL"/>
        </w:rPr>
        <w:t>4,100 vite punësimi të krijuara gjatë ndërtimit të projektit – që korrespondojnë me 1,375 pozicione të reja ekuivalente të punësimit me kohë të plotë me kohëzgjatje 3-vjeçare.</w:t>
      </w:r>
    </w:p>
    <w:p w14:paraId="1D98D4F7" w14:textId="43D9318B" w:rsidR="007905B3" w:rsidRPr="00050FA4" w:rsidRDefault="009D23D3" w:rsidP="003F1DA7">
      <w:pPr>
        <w:pStyle w:val="AAAAAAATEXXXX"/>
        <w:rPr>
          <w:lang w:val="sq-AL"/>
        </w:rPr>
      </w:pPr>
      <w:r w:rsidRPr="00050FA4">
        <w:rPr>
          <w:lang w:val="sq-AL"/>
        </w:rPr>
        <w:t xml:space="preserve">- </w:t>
      </w:r>
      <w:r w:rsidR="007905B3" w:rsidRPr="00050FA4">
        <w:rPr>
          <w:lang w:val="sq-AL"/>
        </w:rPr>
        <w:t>2200 pozicione të reja pune ekuivalente me kohë të plotë me kohëzgjatje 27 vjeçare (përfshirë në periudhën referuese 30-vjeçare të AQB-së, pas përfundimit të ndërtimit të seksionit hekurudhor Tiranë-Durrës dhe hekurudhave-aeroportit) të krijuara në operacion dhe mirëmbajtjen e hekurudhës në Shqipëri.</w:t>
      </w:r>
    </w:p>
    <w:p w14:paraId="094EDFE8" w14:textId="1AC81251" w:rsidR="007905B3" w:rsidRPr="00050FA4" w:rsidRDefault="007905B3" w:rsidP="003F1DA7">
      <w:pPr>
        <w:pStyle w:val="AAAAAAATEXXXX"/>
        <w:rPr>
          <w:lang w:val="sq-AL"/>
        </w:rPr>
      </w:pPr>
      <w:r w:rsidRPr="00050FA4">
        <w:rPr>
          <w:lang w:val="sq-AL"/>
        </w:rPr>
        <w:t>Ndikimet në ekonominë e gjelbër: ofrimi i shërbimeve hekurudhore me cilësi të lartë, i cili është thelbësor për zhvillimin e sistemeve të transportit të qëndrueshëm që reduktojnë emetimet e CO</w:t>
      </w:r>
      <w:r w:rsidRPr="00050FA4">
        <w:rPr>
          <w:vertAlign w:val="subscript"/>
          <w:lang w:val="sq-AL"/>
        </w:rPr>
        <w:t>2</w:t>
      </w:r>
      <w:r w:rsidRPr="00050FA4">
        <w:rPr>
          <w:lang w:val="sq-AL"/>
        </w:rPr>
        <w:t xml:space="preserve"> në përputhje me objektivat e politikës së transportit kombëtar dhe të BE-së. Projekti ofron raportin fillestar të KI-së dhe Auditimin e Punës, si dhe siguron strukturën e re organizative të NJZP-së dhe IM-së sipas ligjit të ri të ndarjes.</w:t>
      </w:r>
    </w:p>
    <w:p w14:paraId="67528120" w14:textId="7E4E88D2" w:rsidR="0004171D" w:rsidRPr="00050FA4" w:rsidRDefault="009D23D3"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3551DBAB" w14:textId="18AD22F0" w:rsidR="007905B3" w:rsidRPr="00050FA4" w:rsidRDefault="007905B3" w:rsidP="003F1DA7">
      <w:pPr>
        <w:pStyle w:val="AAAAAAATEXXXX"/>
        <w:rPr>
          <w:lang w:val="sq-AL"/>
        </w:rPr>
      </w:pPr>
      <w:r w:rsidRPr="00050FA4">
        <w:rPr>
          <w:lang w:val="sq-AL"/>
        </w:rPr>
        <w:t>Objektivi është të reduktojë ndikimin negativ mjedisor të trafikut rrugor midis Durrësit, Tiranës dhe TIA-s dhe të kontribuojë në uljen e CO</w:t>
      </w:r>
      <w:r w:rsidRPr="00050FA4">
        <w:rPr>
          <w:vertAlign w:val="subscript"/>
          <w:lang w:val="sq-AL"/>
        </w:rPr>
        <w:t>2</w:t>
      </w:r>
      <w:r w:rsidRPr="00050FA4">
        <w:rPr>
          <w:lang w:val="sq-AL"/>
        </w:rPr>
        <w:t xml:space="preserve"> dhe ndotjes lokale të ajrit nga trafiku rrugor në rajonin Durrës-Tiranë. Një objektiv paralel i projektit është të prezantojë një</w:t>
      </w:r>
      <w:r w:rsidR="007A6484" w:rsidRPr="00050FA4">
        <w:rPr>
          <w:lang w:val="sq-AL"/>
        </w:rPr>
        <w:t xml:space="preserve"> mënyrë eko</w:t>
      </w:r>
      <w:r w:rsidRPr="00050FA4">
        <w:rPr>
          <w:lang w:val="sq-AL"/>
        </w:rPr>
        <w:t>miqësore të lëvizshmërisë inteligjente, pajisja me certifikatën ISO për herë të parë për Hekurudhat Shqiptare Përfituese, e cila tregon se menaxheri i Infrastrukturës është i certifikuar për standardet mjedisore në lidhje me kontributin e vazhdueshëm. për dekarbonizimin, duke ulur bllokimin e trafikut nga autostrada/autostrada e mbingarkuar midis aeroportit të Durrësit, Tiranës dhe Rinasit dhe duke kontribuar më tej në marrëveshjen e gjelbër të BE-së për përmirësimin e cilësisë së ajrit dhe ruajtjen e natyrës në zonën e projektit/rajonin e grupit.</w:t>
      </w:r>
    </w:p>
    <w:p w14:paraId="20650EE2" w14:textId="77777777" w:rsidR="007905B3" w:rsidRPr="00050FA4" w:rsidRDefault="007905B3" w:rsidP="003F1DA7">
      <w:pPr>
        <w:pStyle w:val="AAAAAAATEXXXX"/>
        <w:rPr>
          <w:lang w:val="sq-AL"/>
        </w:rPr>
      </w:pPr>
      <w:r w:rsidRPr="00050FA4">
        <w:rPr>
          <w:lang w:val="sq-AL"/>
        </w:rPr>
        <w:t>Do të merren masa për të reduktuar konsumin e energjisë dhe kostot për njësi të shërbimit të transportit;</w:t>
      </w:r>
    </w:p>
    <w:p w14:paraId="5FF8ACD2" w14:textId="45220809" w:rsidR="007905B3" w:rsidRPr="00050FA4" w:rsidRDefault="007905B3" w:rsidP="003F1DA7">
      <w:pPr>
        <w:pStyle w:val="AAAAAAATEXXXX"/>
        <w:rPr>
          <w:lang w:val="sq-AL"/>
        </w:rPr>
      </w:pPr>
      <w:r w:rsidRPr="00050FA4">
        <w:rPr>
          <w:lang w:val="sq-AL"/>
        </w:rPr>
        <w:t xml:space="preserve">Zhvillimi i zgjidhjeve multimodale të transportit duke u fokusuar në mënyrat e transportit me efikasitet </w:t>
      </w:r>
      <w:r w:rsidRPr="00050FA4">
        <w:rPr>
          <w:lang w:val="sq-AL"/>
        </w:rPr>
        <w:lastRenderedPageBreak/>
        <w:t>energjetik dhe miqësor ndaj mjedisit është në vazhdim. Për këtë arsye, hekurudha shqiptare është përfshirë në Planin Kombëtar të Efi</w:t>
      </w:r>
      <w:r w:rsidR="004B3389" w:rsidRPr="00050FA4">
        <w:rPr>
          <w:lang w:val="sq-AL"/>
        </w:rPr>
        <w:t>ci</w:t>
      </w:r>
      <w:r w:rsidRPr="00050FA4">
        <w:rPr>
          <w:lang w:val="sq-AL"/>
        </w:rPr>
        <w:t>encës së Energjisë Afatmesme dhe në Planin e Energjisë së Rinovueshme për BRE.</w:t>
      </w:r>
    </w:p>
    <w:p w14:paraId="620AE162" w14:textId="77777777" w:rsidR="007905B3" w:rsidRPr="00050FA4" w:rsidRDefault="007905B3" w:rsidP="003F1DA7">
      <w:pPr>
        <w:pStyle w:val="AAAAAAATEXXXX"/>
        <w:rPr>
          <w:lang w:val="sq-AL"/>
        </w:rPr>
      </w:pPr>
      <w:r w:rsidRPr="00050FA4">
        <w:rPr>
          <w:lang w:val="sq-AL"/>
        </w:rPr>
        <w:t>Janë marrë masa për të përmirësuar pjesën e transportit hekurudhor dhe të rrugëve ujore të brendshme pasi që të dyja mund të jenë mënyra transporti miqësore me mjedisin (nëse ushqehen nga energjia e rinovueshme) dhe të promovojnë kohezionin rajonal.</w:t>
      </w:r>
    </w:p>
    <w:p w14:paraId="5675586C" w14:textId="77777777" w:rsidR="007905B3" w:rsidRPr="00050FA4" w:rsidRDefault="007905B3" w:rsidP="003F1DA7">
      <w:pPr>
        <w:pStyle w:val="AAAAAAATEXXXX"/>
        <w:rPr>
          <w:lang w:val="sq-AL"/>
        </w:rPr>
      </w:pPr>
      <w:r w:rsidRPr="00050FA4">
        <w:rPr>
          <w:lang w:val="sq-AL"/>
        </w:rPr>
        <w:t>Ndikimet në ekonominë e gjelbër: ofrimi i shërbimeve hekurudhore me cilësi të lartë, i cili është thelbësor për zhvillimin e sistemeve të transportit të qëndrueshëm që reduktojnë emetimet e CO</w:t>
      </w:r>
      <w:r w:rsidRPr="00050FA4">
        <w:rPr>
          <w:vertAlign w:val="subscript"/>
          <w:lang w:val="sq-AL"/>
        </w:rPr>
        <w:t>2</w:t>
      </w:r>
      <w:r w:rsidRPr="00050FA4">
        <w:rPr>
          <w:lang w:val="sq-AL"/>
        </w:rPr>
        <w:t xml:space="preserve"> në përputhje me objektivat e politikës së transportit kombëtar dhe të BE-së.</w:t>
      </w:r>
    </w:p>
    <w:p w14:paraId="723C8E5A" w14:textId="40EB40F6" w:rsidR="007905B3" w:rsidRPr="00050FA4" w:rsidRDefault="007905B3" w:rsidP="003F1DA7">
      <w:pPr>
        <w:pStyle w:val="AAAAAAATEXXXX"/>
        <w:rPr>
          <w:lang w:val="sq-AL"/>
        </w:rPr>
      </w:pPr>
      <w:r w:rsidRPr="00050FA4">
        <w:rPr>
          <w:lang w:val="sq-AL"/>
        </w:rPr>
        <w:t xml:space="preserve">Janë marrë parasysh </w:t>
      </w:r>
      <w:r w:rsidR="004B3389" w:rsidRPr="00050FA4">
        <w:rPr>
          <w:lang w:val="sq-AL"/>
        </w:rPr>
        <w:t>çështjet</w:t>
      </w:r>
      <w:r w:rsidRPr="00050FA4">
        <w:rPr>
          <w:lang w:val="sq-AL"/>
        </w:rPr>
        <w:t xml:space="preserve"> mjedisore (p.sh., treni është miqësor me mjedisin dhe masat për reduktimin e zhurmës së trenit në zonat urbane dhe për minimizimin e ndërprerjes së zonave janë duke u zhvilluar). Sipas AQB-së, përfitimet shtesë të mëposhtme (të llogaritura në bazë të parametrave që mund të shprehen në terma monetarë) rrjedhin nga zbatimi i projektit – të matura në terma të ENPV-ve gjatë periudhës referuese 30-vjeçare të analizës 2017</w:t>
      </w:r>
      <w:r w:rsidR="00B475EA" w:rsidRPr="00050FA4">
        <w:rPr>
          <w:lang w:val="sq-AL"/>
        </w:rPr>
        <w:t>–</w:t>
      </w:r>
      <w:r w:rsidRPr="00050FA4">
        <w:rPr>
          <w:lang w:val="sq-AL"/>
        </w:rPr>
        <w:t>2043, e llogaritur në baza e SDR e barabartë me 5% (me çmime konstante):</w:t>
      </w:r>
    </w:p>
    <w:p w14:paraId="182E148C" w14:textId="49C3FA4B" w:rsidR="007905B3" w:rsidRPr="00050FA4" w:rsidRDefault="009D23D3" w:rsidP="003F1DA7">
      <w:pPr>
        <w:pStyle w:val="AAAAAAATEXXXX"/>
        <w:rPr>
          <w:lang w:val="sq-AL"/>
        </w:rPr>
      </w:pPr>
      <w:r w:rsidRPr="00050FA4">
        <w:rPr>
          <w:lang w:val="sq-AL"/>
        </w:rPr>
        <w:t xml:space="preserve">- </w:t>
      </w:r>
      <w:r w:rsidR="00A7354F" w:rsidRPr="00050FA4">
        <w:rPr>
          <w:lang w:val="sq-AL"/>
        </w:rPr>
        <w:t xml:space="preserve">kursime </w:t>
      </w:r>
      <w:r w:rsidR="007905B3" w:rsidRPr="00050FA4">
        <w:rPr>
          <w:lang w:val="sq-AL"/>
        </w:rPr>
        <w:t>në kostot e funksionimit të mjeteve rrugore: 69.6 milionë euro</w:t>
      </w:r>
      <w:r w:rsidR="00A7354F" w:rsidRPr="00050FA4">
        <w:rPr>
          <w:lang w:val="sq-AL"/>
        </w:rPr>
        <w:t>;</w:t>
      </w:r>
    </w:p>
    <w:p w14:paraId="3AD71075" w14:textId="25783081" w:rsidR="007905B3" w:rsidRPr="00050FA4" w:rsidRDefault="009D23D3" w:rsidP="003F1DA7">
      <w:pPr>
        <w:pStyle w:val="AAAAAAATEXXXX"/>
        <w:rPr>
          <w:lang w:val="sq-AL"/>
        </w:rPr>
      </w:pPr>
      <w:r w:rsidRPr="00050FA4">
        <w:rPr>
          <w:lang w:val="sq-AL"/>
        </w:rPr>
        <w:t xml:space="preserve">- </w:t>
      </w:r>
      <w:r w:rsidR="00A7354F" w:rsidRPr="00050FA4">
        <w:rPr>
          <w:lang w:val="sq-AL"/>
        </w:rPr>
        <w:t xml:space="preserve">kursime </w:t>
      </w:r>
      <w:r w:rsidR="007905B3" w:rsidRPr="00050FA4">
        <w:rPr>
          <w:lang w:val="sq-AL"/>
        </w:rPr>
        <w:t>në koston e kohës së udhëtimit/transportit: 55.1 milionë euro</w:t>
      </w:r>
      <w:r w:rsidR="00A7354F" w:rsidRPr="00050FA4">
        <w:rPr>
          <w:lang w:val="sq-AL"/>
        </w:rPr>
        <w:t>;</w:t>
      </w:r>
    </w:p>
    <w:p w14:paraId="679F2AEC" w14:textId="30835335" w:rsidR="007905B3" w:rsidRPr="00050FA4" w:rsidRDefault="009D23D3" w:rsidP="003F1DA7">
      <w:pPr>
        <w:pStyle w:val="AAAAAAATEXXXX"/>
        <w:rPr>
          <w:lang w:val="sq-AL"/>
        </w:rPr>
      </w:pPr>
      <w:r w:rsidRPr="00050FA4">
        <w:rPr>
          <w:lang w:val="sq-AL"/>
        </w:rPr>
        <w:t xml:space="preserve">- </w:t>
      </w:r>
      <w:r w:rsidR="00A7354F" w:rsidRPr="00050FA4">
        <w:rPr>
          <w:lang w:val="sq-AL"/>
        </w:rPr>
        <w:t xml:space="preserve">kursime </w:t>
      </w:r>
      <w:r w:rsidR="007905B3" w:rsidRPr="00050FA4">
        <w:rPr>
          <w:lang w:val="sq-AL"/>
        </w:rPr>
        <w:t>në koston e aksidenteve të trafikut: 30.2 milionë euro</w:t>
      </w:r>
      <w:r w:rsidR="00A7354F" w:rsidRPr="00050FA4">
        <w:rPr>
          <w:lang w:val="sq-AL"/>
        </w:rPr>
        <w:t>;</w:t>
      </w:r>
    </w:p>
    <w:p w14:paraId="603E9871" w14:textId="6191E1BE" w:rsidR="007905B3" w:rsidRPr="00050FA4" w:rsidRDefault="009D23D3" w:rsidP="003F1DA7">
      <w:pPr>
        <w:pStyle w:val="AAAAAAATEXXXX"/>
        <w:rPr>
          <w:lang w:val="sq-AL"/>
        </w:rPr>
      </w:pPr>
      <w:r w:rsidRPr="00050FA4">
        <w:rPr>
          <w:lang w:val="sq-AL"/>
        </w:rPr>
        <w:t xml:space="preserve">- </w:t>
      </w:r>
      <w:r w:rsidR="00A7354F" w:rsidRPr="00050FA4">
        <w:rPr>
          <w:lang w:val="sq-AL"/>
        </w:rPr>
        <w:t xml:space="preserve">kursime </w:t>
      </w:r>
      <w:r w:rsidR="007905B3" w:rsidRPr="00050FA4">
        <w:rPr>
          <w:lang w:val="sq-AL"/>
        </w:rPr>
        <w:t>në kostot mjedisore: 34.7 milionë euro.</w:t>
      </w:r>
    </w:p>
    <w:p w14:paraId="5C6B18CA" w14:textId="77777777" w:rsidR="007905B3" w:rsidRPr="00050FA4" w:rsidRDefault="007905B3" w:rsidP="003F1DA7">
      <w:pPr>
        <w:pStyle w:val="AAAAAAATEXXXX"/>
        <w:rPr>
          <w:lang w:val="sq-AL"/>
        </w:rPr>
      </w:pPr>
      <w:r w:rsidRPr="00050FA4">
        <w:rPr>
          <w:lang w:val="sq-AL"/>
        </w:rPr>
        <w:t>Masat e marra për të siguruar qëndrueshmëri (qëndrueshmëri institucionale, financiare, mjedisore):</w:t>
      </w:r>
    </w:p>
    <w:p w14:paraId="3F7AB006" w14:textId="43616B62" w:rsidR="007905B3" w:rsidRPr="00050FA4" w:rsidRDefault="007905B3" w:rsidP="003F1DA7">
      <w:pPr>
        <w:pStyle w:val="AAAAAAATEXXXX"/>
        <w:rPr>
          <w:lang w:val="sq-AL"/>
        </w:rPr>
      </w:pPr>
      <w:r w:rsidRPr="00050FA4">
        <w:rPr>
          <w:lang w:val="sq-AL"/>
        </w:rPr>
        <w:t>Këto masa ndikojnë në peizazhin (p.sh. Mbje</w:t>
      </w:r>
      <w:r w:rsidR="0006155E" w:rsidRPr="00050FA4">
        <w:rPr>
          <w:lang w:val="sq-AL"/>
        </w:rPr>
        <w:t>llja e pemëve në anët e Tiranës–</w:t>
      </w:r>
      <w:r w:rsidRPr="00050FA4">
        <w:rPr>
          <w:lang w:val="sq-AL"/>
        </w:rPr>
        <w:t>D</w:t>
      </w:r>
      <w:r w:rsidR="0006155E" w:rsidRPr="00050FA4">
        <w:rPr>
          <w:lang w:val="sq-AL"/>
        </w:rPr>
        <w:t>urrës–</w:t>
      </w:r>
      <w:r w:rsidRPr="00050FA4">
        <w:rPr>
          <w:lang w:val="sq-AL"/>
        </w:rPr>
        <w:t xml:space="preserve">Rinas;), toka (p.sh. Mirëmbajtja e linjës së funksionimit është e kufizuar sa më shumë në pika; ka rrugë aksesi duke shmangur kalimin e mjeteve në tokë bujqësore), uji (p.sh. </w:t>
      </w:r>
      <w:r w:rsidR="00F56E92" w:rsidRPr="00050FA4">
        <w:rPr>
          <w:lang w:val="sq-AL"/>
        </w:rPr>
        <w:t>zbutja</w:t>
      </w:r>
      <w:r w:rsidRPr="00050FA4">
        <w:rPr>
          <w:lang w:val="sq-AL"/>
        </w:rPr>
        <w:t xml:space="preserve">: Ndotja e ujërave sipërfaqësore/nëntokësore) ajri (p.sh. shkarkimet e gazit dhe pluhurit), zhurma (p.sh. </w:t>
      </w:r>
      <w:r w:rsidR="00F56E92" w:rsidRPr="00050FA4">
        <w:rPr>
          <w:lang w:val="sq-AL"/>
        </w:rPr>
        <w:t>zbutja: dridhjet</w:t>
      </w:r>
      <w:r w:rsidRPr="00050FA4">
        <w:rPr>
          <w:lang w:val="sq-AL"/>
        </w:rPr>
        <w:t>), Mjedisi biologjik (</w:t>
      </w:r>
      <w:r w:rsidR="00F56E92" w:rsidRPr="00050FA4">
        <w:rPr>
          <w:lang w:val="sq-AL"/>
        </w:rPr>
        <w:t xml:space="preserve">zbutja: ndikimi </w:t>
      </w:r>
      <w:r w:rsidRPr="00050FA4">
        <w:rPr>
          <w:lang w:val="sq-AL"/>
        </w:rPr>
        <w:t>i faunës së zonës) etj.</w:t>
      </w:r>
    </w:p>
    <w:p w14:paraId="06611457" w14:textId="77777777" w:rsidR="00A95D23" w:rsidRPr="00050FA4" w:rsidRDefault="00A95D23" w:rsidP="003F1DA7">
      <w:pPr>
        <w:pStyle w:val="AAAAAAATEXXXX"/>
        <w:rPr>
          <w:lang w:val="sq-AL"/>
        </w:rPr>
      </w:pPr>
    </w:p>
    <w:p w14:paraId="24C2B32E" w14:textId="0F2B4C7F" w:rsidR="0004171D" w:rsidRPr="00050FA4" w:rsidRDefault="009D23D3" w:rsidP="003F1DA7">
      <w:pPr>
        <w:pStyle w:val="AAAAAAATEXXXX"/>
        <w:rPr>
          <w:lang w:val="sq-AL"/>
        </w:rPr>
      </w:pPr>
      <w:r w:rsidRPr="00050FA4">
        <w:rPr>
          <w:lang w:val="sq-AL"/>
        </w:rPr>
        <w:t xml:space="preserve">7. </w:t>
      </w:r>
      <w:r w:rsidR="00B2062A" w:rsidRPr="00050FA4">
        <w:rPr>
          <w:lang w:val="sq-AL"/>
        </w:rPr>
        <w:t>Rreziqet e mundshme</w:t>
      </w:r>
    </w:p>
    <w:tbl>
      <w:tblPr>
        <w:tblStyle w:val="TableGrid"/>
        <w:tblW w:w="9923" w:type="dxa"/>
        <w:jc w:val="center"/>
        <w:tblLook w:val="04A0" w:firstRow="1" w:lastRow="0" w:firstColumn="1" w:lastColumn="0" w:noHBand="0" w:noVBand="1"/>
      </w:tblPr>
      <w:tblGrid>
        <w:gridCol w:w="2972"/>
        <w:gridCol w:w="1351"/>
        <w:gridCol w:w="5600"/>
      </w:tblGrid>
      <w:tr w:rsidR="00FA29AB" w:rsidRPr="00050FA4" w14:paraId="24513044" w14:textId="77777777" w:rsidTr="007A6484">
        <w:trPr>
          <w:jc w:val="center"/>
        </w:trPr>
        <w:tc>
          <w:tcPr>
            <w:tcW w:w="2972" w:type="dxa"/>
            <w:shd w:val="clear" w:color="auto" w:fill="auto"/>
            <w:vAlign w:val="center"/>
          </w:tcPr>
          <w:p w14:paraId="5C991B4F" w14:textId="14D8688A" w:rsidR="004F7D30" w:rsidRPr="00050FA4" w:rsidRDefault="00B2062A" w:rsidP="00E05F55">
            <w:pPr>
              <w:pStyle w:val="AAAAAAATEXXXX"/>
              <w:ind w:firstLine="0"/>
              <w:jc w:val="center"/>
              <w:rPr>
                <w:b/>
                <w:sz w:val="18"/>
                <w:szCs w:val="18"/>
                <w:lang w:val="sq-AL"/>
              </w:rPr>
            </w:pPr>
            <w:r w:rsidRPr="00050FA4">
              <w:rPr>
                <w:b/>
                <w:sz w:val="18"/>
                <w:szCs w:val="18"/>
                <w:lang w:val="sq-AL"/>
              </w:rPr>
              <w:t>Rreziku</w:t>
            </w:r>
          </w:p>
        </w:tc>
        <w:tc>
          <w:tcPr>
            <w:tcW w:w="1351" w:type="dxa"/>
            <w:shd w:val="clear" w:color="auto" w:fill="auto"/>
            <w:vAlign w:val="center"/>
          </w:tcPr>
          <w:p w14:paraId="78B98215" w14:textId="5C82A07B" w:rsidR="004F7D30" w:rsidRPr="00050FA4" w:rsidRDefault="00B2062A" w:rsidP="00E05F55">
            <w:pPr>
              <w:pStyle w:val="AAAAAAATEXXXX"/>
              <w:ind w:firstLine="0"/>
              <w:jc w:val="center"/>
              <w:rPr>
                <w:b/>
                <w:sz w:val="18"/>
                <w:szCs w:val="18"/>
                <w:lang w:val="sq-AL"/>
              </w:rPr>
            </w:pPr>
            <w:r w:rsidRPr="00050FA4">
              <w:rPr>
                <w:b/>
                <w:sz w:val="18"/>
                <w:szCs w:val="18"/>
                <w:lang w:val="sq-AL"/>
              </w:rPr>
              <w:t>Mundësia</w:t>
            </w:r>
          </w:p>
          <w:p w14:paraId="7FC05E67" w14:textId="6D6C11E1" w:rsidR="004F7D30" w:rsidRPr="00050FA4" w:rsidRDefault="004F7D30" w:rsidP="00E05F55">
            <w:pPr>
              <w:pStyle w:val="AAAAAAATEXXXX"/>
              <w:ind w:firstLine="0"/>
              <w:jc w:val="center"/>
              <w:rPr>
                <w:b/>
                <w:sz w:val="18"/>
                <w:szCs w:val="18"/>
                <w:lang w:val="sq-AL"/>
              </w:rPr>
            </w:pPr>
            <w:r w:rsidRPr="00050FA4">
              <w:rPr>
                <w:b/>
                <w:sz w:val="18"/>
                <w:szCs w:val="18"/>
                <w:lang w:val="sq-AL"/>
              </w:rPr>
              <w:t>(</w:t>
            </w:r>
            <w:r w:rsidR="004D1F24" w:rsidRPr="00050FA4">
              <w:rPr>
                <w:b/>
                <w:sz w:val="18"/>
                <w:szCs w:val="18"/>
                <w:lang w:val="sq-AL"/>
              </w:rPr>
              <w:t>ulët</w:t>
            </w:r>
            <w:r w:rsidR="007905B3" w:rsidRPr="00050FA4">
              <w:rPr>
                <w:b/>
                <w:sz w:val="18"/>
                <w:szCs w:val="18"/>
                <w:lang w:val="sq-AL"/>
              </w:rPr>
              <w:t>,</w:t>
            </w:r>
            <w:r w:rsidR="004D1F24" w:rsidRPr="00050FA4">
              <w:rPr>
                <w:b/>
                <w:sz w:val="18"/>
                <w:szCs w:val="18"/>
                <w:lang w:val="sq-AL"/>
              </w:rPr>
              <w:t xml:space="preserve"> lartë</w:t>
            </w:r>
            <w:r w:rsidRPr="00050FA4">
              <w:rPr>
                <w:b/>
                <w:sz w:val="18"/>
                <w:szCs w:val="18"/>
                <w:lang w:val="sq-AL"/>
              </w:rPr>
              <w:t>)</w:t>
            </w:r>
          </w:p>
        </w:tc>
        <w:tc>
          <w:tcPr>
            <w:tcW w:w="5600" w:type="dxa"/>
            <w:shd w:val="clear" w:color="auto" w:fill="auto"/>
            <w:vAlign w:val="center"/>
          </w:tcPr>
          <w:p w14:paraId="11F2A283" w14:textId="280CBCE9" w:rsidR="004F7D30" w:rsidRPr="00050FA4" w:rsidRDefault="00B2062A" w:rsidP="00E05F55">
            <w:pPr>
              <w:pStyle w:val="AAAAAAATEXXXX"/>
              <w:ind w:firstLine="0"/>
              <w:jc w:val="center"/>
              <w:rPr>
                <w:b/>
                <w:sz w:val="18"/>
                <w:szCs w:val="18"/>
                <w:lang w:val="sq-AL"/>
              </w:rPr>
            </w:pPr>
            <w:r w:rsidRPr="00050FA4">
              <w:rPr>
                <w:b/>
                <w:sz w:val="18"/>
                <w:szCs w:val="18"/>
                <w:lang w:val="sq-AL"/>
              </w:rPr>
              <w:t>Veprimi zbutës i parashikuar</w:t>
            </w:r>
          </w:p>
        </w:tc>
      </w:tr>
      <w:tr w:rsidR="00FA29AB" w:rsidRPr="00050FA4" w14:paraId="5D39087B" w14:textId="77777777" w:rsidTr="007A6484">
        <w:trPr>
          <w:jc w:val="center"/>
        </w:trPr>
        <w:tc>
          <w:tcPr>
            <w:tcW w:w="2972" w:type="dxa"/>
            <w:shd w:val="clear" w:color="auto" w:fill="auto"/>
          </w:tcPr>
          <w:p w14:paraId="59B56EC7" w14:textId="3DD9387D" w:rsidR="007905B3" w:rsidRPr="00050FA4" w:rsidRDefault="007905B3" w:rsidP="00A95D23">
            <w:pPr>
              <w:pStyle w:val="AAAAAAATEXXXX"/>
              <w:ind w:firstLine="0"/>
              <w:rPr>
                <w:sz w:val="18"/>
                <w:szCs w:val="18"/>
                <w:lang w:val="sq-AL"/>
              </w:rPr>
            </w:pPr>
            <w:r w:rsidRPr="00050FA4">
              <w:rPr>
                <w:sz w:val="18"/>
                <w:szCs w:val="18"/>
                <w:lang w:val="sq-AL"/>
              </w:rPr>
              <w:t>Territori urban dhe planifikimi hapësinor dhe pengesat ndaj lejeve</w:t>
            </w:r>
          </w:p>
        </w:tc>
        <w:tc>
          <w:tcPr>
            <w:tcW w:w="1351" w:type="dxa"/>
            <w:shd w:val="clear" w:color="auto" w:fill="auto"/>
          </w:tcPr>
          <w:p w14:paraId="2067AC79" w14:textId="0BDA33A5" w:rsidR="007905B3" w:rsidRPr="00050FA4" w:rsidRDefault="007905B3" w:rsidP="00E05F55">
            <w:pPr>
              <w:pStyle w:val="AAAAAAATEXXXX"/>
              <w:ind w:firstLine="0"/>
              <w:rPr>
                <w:sz w:val="18"/>
                <w:szCs w:val="18"/>
                <w:lang w:val="sq-AL"/>
              </w:rPr>
            </w:pPr>
            <w:r w:rsidRPr="00050FA4">
              <w:rPr>
                <w:sz w:val="18"/>
                <w:szCs w:val="18"/>
                <w:lang w:val="sq-AL"/>
              </w:rPr>
              <w:t>I ul</w:t>
            </w:r>
            <w:r w:rsidR="00E05F55" w:rsidRPr="00050FA4">
              <w:rPr>
                <w:sz w:val="18"/>
                <w:szCs w:val="18"/>
                <w:lang w:val="sq-AL"/>
              </w:rPr>
              <w:t>ë</w:t>
            </w:r>
            <w:r w:rsidRPr="00050FA4">
              <w:rPr>
                <w:sz w:val="18"/>
                <w:szCs w:val="18"/>
                <w:lang w:val="sq-AL"/>
              </w:rPr>
              <w:t>t</w:t>
            </w:r>
          </w:p>
        </w:tc>
        <w:tc>
          <w:tcPr>
            <w:tcW w:w="5600" w:type="dxa"/>
            <w:shd w:val="clear" w:color="auto" w:fill="auto"/>
          </w:tcPr>
          <w:p w14:paraId="4450722D" w14:textId="59A9D7E8" w:rsidR="007905B3" w:rsidRPr="00050FA4" w:rsidRDefault="007905B3" w:rsidP="00A95D23">
            <w:pPr>
              <w:pStyle w:val="AAAAAAATEXXXX"/>
              <w:ind w:firstLine="0"/>
              <w:rPr>
                <w:sz w:val="18"/>
                <w:szCs w:val="18"/>
                <w:lang w:val="sq-AL"/>
              </w:rPr>
            </w:pPr>
            <w:r w:rsidRPr="00050FA4">
              <w:rPr>
                <w:sz w:val="18"/>
                <w:szCs w:val="18"/>
                <w:lang w:val="sq-AL"/>
              </w:rPr>
              <w:t>Projekti i propozuar i kushtoi vëmendje të veçantë aksesit të përdorimeve dhe pronave fqinje të tokës, si dhe lidhjes së këmbësorëve dhe rrugëve.</w:t>
            </w:r>
          </w:p>
        </w:tc>
      </w:tr>
      <w:tr w:rsidR="00FA29AB" w:rsidRPr="00050FA4" w14:paraId="3689F2C1" w14:textId="77777777" w:rsidTr="007A6484">
        <w:trPr>
          <w:jc w:val="center"/>
        </w:trPr>
        <w:tc>
          <w:tcPr>
            <w:tcW w:w="2972" w:type="dxa"/>
            <w:shd w:val="clear" w:color="auto" w:fill="auto"/>
          </w:tcPr>
          <w:p w14:paraId="7007323E" w14:textId="63CCC2B6" w:rsidR="007905B3" w:rsidRPr="00050FA4" w:rsidRDefault="007905B3" w:rsidP="00A95D23">
            <w:pPr>
              <w:pStyle w:val="AAAAAAATEXXXX"/>
              <w:ind w:firstLine="0"/>
              <w:rPr>
                <w:sz w:val="18"/>
                <w:szCs w:val="18"/>
                <w:lang w:val="sq-AL"/>
              </w:rPr>
            </w:pPr>
            <w:r w:rsidRPr="00050FA4">
              <w:rPr>
                <w:sz w:val="18"/>
                <w:szCs w:val="18"/>
                <w:lang w:val="sq-AL"/>
              </w:rPr>
              <w:t>Pamundësia për të negociuar zgjidhjet.</w:t>
            </w:r>
          </w:p>
        </w:tc>
        <w:tc>
          <w:tcPr>
            <w:tcW w:w="1351" w:type="dxa"/>
            <w:shd w:val="clear" w:color="auto" w:fill="auto"/>
          </w:tcPr>
          <w:p w14:paraId="5F1F7360" w14:textId="7BF8BAB7" w:rsidR="007905B3" w:rsidRPr="00050FA4" w:rsidRDefault="007905B3" w:rsidP="00E05F55">
            <w:pPr>
              <w:pStyle w:val="AAAAAAATEXXXX"/>
              <w:ind w:firstLine="0"/>
              <w:rPr>
                <w:sz w:val="18"/>
                <w:szCs w:val="18"/>
                <w:lang w:val="sq-AL"/>
              </w:rPr>
            </w:pPr>
            <w:r w:rsidRPr="00050FA4">
              <w:rPr>
                <w:sz w:val="18"/>
                <w:szCs w:val="18"/>
                <w:lang w:val="sq-AL"/>
              </w:rPr>
              <w:t>I ul</w:t>
            </w:r>
            <w:r w:rsidR="00E05F55" w:rsidRPr="00050FA4">
              <w:rPr>
                <w:sz w:val="18"/>
                <w:szCs w:val="18"/>
                <w:lang w:val="sq-AL"/>
              </w:rPr>
              <w:t>ë</w:t>
            </w:r>
            <w:r w:rsidRPr="00050FA4">
              <w:rPr>
                <w:sz w:val="18"/>
                <w:szCs w:val="18"/>
                <w:lang w:val="sq-AL"/>
              </w:rPr>
              <w:t>t</w:t>
            </w:r>
          </w:p>
        </w:tc>
        <w:tc>
          <w:tcPr>
            <w:tcW w:w="5600" w:type="dxa"/>
            <w:shd w:val="clear" w:color="auto" w:fill="auto"/>
          </w:tcPr>
          <w:p w14:paraId="549A17A5" w14:textId="3293BB38" w:rsidR="007905B3" w:rsidRPr="00050FA4" w:rsidRDefault="007905B3" w:rsidP="00A95D23">
            <w:pPr>
              <w:pStyle w:val="AAAAAAATEXXXX"/>
              <w:ind w:firstLine="0"/>
              <w:rPr>
                <w:sz w:val="18"/>
                <w:szCs w:val="18"/>
                <w:lang w:val="sq-AL"/>
              </w:rPr>
            </w:pPr>
            <w:r w:rsidRPr="00050FA4">
              <w:rPr>
                <w:sz w:val="18"/>
                <w:szCs w:val="18"/>
                <w:lang w:val="sq-AL"/>
              </w:rPr>
              <w:t>Zgjidhjet e negociuara inkurajohen për të ndihmuar në shmangien e shpronësimit dhe eliminimin e nevojës për të përdorur autoritetin qeveritar për të larguar njerëzit me forcë.</w:t>
            </w:r>
          </w:p>
        </w:tc>
      </w:tr>
      <w:tr w:rsidR="00FA29AB" w:rsidRPr="00050FA4" w14:paraId="024F4E8A" w14:textId="77777777" w:rsidTr="007A6484">
        <w:trPr>
          <w:jc w:val="center"/>
        </w:trPr>
        <w:tc>
          <w:tcPr>
            <w:tcW w:w="2972" w:type="dxa"/>
            <w:shd w:val="clear" w:color="auto" w:fill="auto"/>
          </w:tcPr>
          <w:p w14:paraId="65329979" w14:textId="68822B28" w:rsidR="007905B3" w:rsidRPr="00050FA4" w:rsidRDefault="007905B3" w:rsidP="00A95D23">
            <w:pPr>
              <w:pStyle w:val="AAAAAAATEXXXX"/>
              <w:ind w:firstLine="0"/>
              <w:rPr>
                <w:sz w:val="18"/>
                <w:szCs w:val="18"/>
                <w:lang w:val="sq-AL"/>
              </w:rPr>
            </w:pPr>
            <w:r w:rsidRPr="00050FA4">
              <w:rPr>
                <w:sz w:val="18"/>
                <w:szCs w:val="18"/>
                <w:lang w:val="sq-AL"/>
              </w:rPr>
              <w:t>Defektet e shërbimit (p.sh. prishjet e hekurudhës) për milje në vit.</w:t>
            </w:r>
          </w:p>
        </w:tc>
        <w:tc>
          <w:tcPr>
            <w:tcW w:w="1351" w:type="dxa"/>
            <w:shd w:val="clear" w:color="auto" w:fill="auto"/>
          </w:tcPr>
          <w:p w14:paraId="61369C1C" w14:textId="64BE993C" w:rsidR="007905B3" w:rsidRPr="00050FA4" w:rsidRDefault="007905B3" w:rsidP="00A95D23">
            <w:pPr>
              <w:pStyle w:val="AAAAAAATEXXXX"/>
              <w:ind w:firstLine="0"/>
              <w:rPr>
                <w:sz w:val="18"/>
                <w:szCs w:val="18"/>
                <w:lang w:val="sq-AL"/>
              </w:rPr>
            </w:pPr>
            <w:r w:rsidRPr="00050FA4">
              <w:rPr>
                <w:sz w:val="18"/>
                <w:szCs w:val="18"/>
                <w:lang w:val="sq-AL"/>
              </w:rPr>
              <w:t>E mesme</w:t>
            </w:r>
          </w:p>
        </w:tc>
        <w:tc>
          <w:tcPr>
            <w:tcW w:w="5600" w:type="dxa"/>
            <w:shd w:val="clear" w:color="auto" w:fill="auto"/>
          </w:tcPr>
          <w:p w14:paraId="070FC042" w14:textId="7F098EBA" w:rsidR="007905B3" w:rsidRPr="00050FA4" w:rsidRDefault="007905B3" w:rsidP="00A95D23">
            <w:pPr>
              <w:pStyle w:val="AAAAAAATEXXXX"/>
              <w:ind w:firstLine="0"/>
              <w:rPr>
                <w:sz w:val="18"/>
                <w:szCs w:val="18"/>
                <w:lang w:val="sq-AL"/>
              </w:rPr>
            </w:pPr>
            <w:r w:rsidRPr="00050FA4">
              <w:rPr>
                <w:sz w:val="18"/>
                <w:szCs w:val="18"/>
                <w:lang w:val="sq-AL"/>
              </w:rPr>
              <w:t>Monitorim i vazhdueshëm, rritje e testimit (testimi me ultratinguj - UT) dhe përmirësimi i efikasitetit të inspektimit.</w:t>
            </w:r>
          </w:p>
        </w:tc>
      </w:tr>
    </w:tbl>
    <w:p w14:paraId="235C1F27" w14:textId="77777777" w:rsidR="0004171D" w:rsidRPr="00050FA4" w:rsidRDefault="0004171D" w:rsidP="003F1DA7">
      <w:pPr>
        <w:ind w:firstLine="284"/>
        <w:rPr>
          <w:rFonts w:ascii="Garamond" w:hAnsi="Garamond" w:cstheme="majorBidi"/>
          <w:color w:val="0D0D0D" w:themeColor="text1" w:themeTint="F2"/>
        </w:rPr>
      </w:pPr>
    </w:p>
    <w:p w14:paraId="5004233E" w14:textId="716DCA95" w:rsidR="00C21F03" w:rsidRPr="00050FA4" w:rsidRDefault="00D56FB0" w:rsidP="003F1DA7">
      <w:pPr>
        <w:pStyle w:val="AAAAAAATEXXXX"/>
        <w:rPr>
          <w:b/>
          <w:lang w:val="sq-AL"/>
        </w:rPr>
      </w:pPr>
      <w:bookmarkStart w:id="66" w:name="_Toc93325776"/>
      <w:r w:rsidRPr="00050FA4">
        <w:rPr>
          <w:b/>
          <w:lang w:val="sq-AL"/>
        </w:rPr>
        <w:t xml:space="preserve">5.2.8 </w:t>
      </w:r>
      <w:r w:rsidR="002C5872" w:rsidRPr="00050FA4">
        <w:rPr>
          <w:b/>
          <w:lang w:val="sq-AL"/>
        </w:rPr>
        <w:t>Bujqësi, industri dhe shërbime</w:t>
      </w:r>
      <w:bookmarkEnd w:id="66"/>
    </w:p>
    <w:p w14:paraId="38194FD3" w14:textId="140C5268" w:rsidR="00614E20" w:rsidRPr="00050FA4" w:rsidRDefault="004B3389" w:rsidP="003F1DA7">
      <w:pPr>
        <w:pStyle w:val="AAAAAAATEXXXX"/>
        <w:rPr>
          <w:lang w:val="sq-AL"/>
        </w:rPr>
      </w:pPr>
      <w:r w:rsidRPr="00050FA4">
        <w:rPr>
          <w:lang w:val="sq-AL"/>
        </w:rPr>
        <w:t>a)</w:t>
      </w:r>
      <w:r w:rsidR="009D23D3" w:rsidRPr="00050FA4">
        <w:rPr>
          <w:lang w:val="sq-AL"/>
        </w:rPr>
        <w:t xml:space="preserve"> </w:t>
      </w:r>
      <w:r w:rsidR="00B2062A" w:rsidRPr="00050FA4">
        <w:rPr>
          <w:lang w:val="sq-AL"/>
        </w:rPr>
        <w:t>Analiza e pengesave kryesore</w:t>
      </w:r>
    </w:p>
    <w:p w14:paraId="3E7014B2" w14:textId="61973AE5" w:rsidR="006A7C45" w:rsidRPr="00050FA4" w:rsidRDefault="006A7C45" w:rsidP="003F1DA7">
      <w:pPr>
        <w:pStyle w:val="AAAAAAATEXXXX"/>
        <w:rPr>
          <w:lang w:val="sq-AL"/>
        </w:rPr>
      </w:pPr>
      <w:r w:rsidRPr="00050FA4">
        <w:rPr>
          <w:lang w:val="sq-AL"/>
        </w:rPr>
        <w:t xml:space="preserve">Pandemia e </w:t>
      </w:r>
      <w:r w:rsidR="004B3389" w:rsidRPr="00050FA4">
        <w:rPr>
          <w:lang w:val="sq-AL"/>
        </w:rPr>
        <w:t>COVID</w:t>
      </w:r>
      <w:r w:rsidRPr="00050FA4">
        <w:rPr>
          <w:lang w:val="sq-AL"/>
        </w:rPr>
        <w:t>-19 ka impaktuar shumë turizmin në Shqipëri. Të dhënat e fundit zyrtare për vitin 2020 tregojnë se vendin tonë e kanë vizituar 2.657.818 turistë të huaj, krahasuar me 6.406.028 turistë të huaj në vitin 2019, me një rënie prej 58,5%.</w:t>
      </w:r>
    </w:p>
    <w:p w14:paraId="6CD6BF43" w14:textId="77A4DBDD" w:rsidR="006A7C45" w:rsidRPr="00050FA4" w:rsidRDefault="006A7C45" w:rsidP="003F1DA7">
      <w:pPr>
        <w:pStyle w:val="AAAAAAATEXXXX"/>
        <w:rPr>
          <w:lang w:val="sq-AL"/>
        </w:rPr>
      </w:pPr>
      <w:r w:rsidRPr="00050FA4">
        <w:rPr>
          <w:lang w:val="sq-AL"/>
        </w:rPr>
        <w:t>Sipas publikimit të Këshillit Botëror të Udhëtimit dhe Turizmit (WTTC) 2021, gjatë vitit 2020 sektori i turizmit regjistroi një kontribut total prej 1,561.3 milion</w:t>
      </w:r>
      <w:r w:rsidR="006A27AC" w:rsidRPr="00050FA4">
        <w:rPr>
          <w:lang w:val="sq-AL"/>
        </w:rPr>
        <w:t>ë</w:t>
      </w:r>
      <w:r w:rsidRPr="00050FA4">
        <w:rPr>
          <w:lang w:val="sq-AL"/>
        </w:rPr>
        <w:t xml:space="preserve"> dollarë</w:t>
      </w:r>
      <w:r w:rsidR="006A27AC" w:rsidRPr="00050FA4">
        <w:rPr>
          <w:lang w:val="sq-AL"/>
        </w:rPr>
        <w:t>sh</w:t>
      </w:r>
      <w:r w:rsidRPr="00050FA4">
        <w:rPr>
          <w:lang w:val="sq-AL"/>
        </w:rPr>
        <w:t>, që përbën rreth 10.6% të PBB-së. Krahasuar me të dhënat e vitit 2019 ka një rënie prej 51.6% që është edhe më e lartë se rënia e të dhënave globale (-49.1%). Gjithashtu, për sa i përket punësimit, kontributi total i udhëtimeve dhe turizmit për vitin 2020 ishte 194,600 vende pune ose 17.5% e punësimit total në Shqipëri. Të ardhurat nga sektori i turizmit për vitin 2020 janë regjistruar në 989 milionë euro. Krahasuar me vitin e kaluar (2019) të ardhurat nga turizmi hyrës u ulën me 53% për shkak të pasojave të COVID 19 si dhe tërmetit të vitit 2019.</w:t>
      </w:r>
    </w:p>
    <w:p w14:paraId="05745BF0" w14:textId="21C06C00" w:rsidR="006A7C45" w:rsidRPr="00050FA4" w:rsidRDefault="006A7C45" w:rsidP="003F1DA7">
      <w:pPr>
        <w:pStyle w:val="AAAAAAATEXXXX"/>
        <w:rPr>
          <w:lang w:val="sq-AL"/>
        </w:rPr>
      </w:pPr>
      <w:r w:rsidRPr="00050FA4">
        <w:rPr>
          <w:lang w:val="sq-AL"/>
        </w:rPr>
        <w:t xml:space="preserve">Përballë krizës së shkaktuar nga pandemia, përveç paketave të mbështetjes financiare dhe vendim-marrjes në lidhje me politikën monetare dhe të huazimit të prezantuar nga Qeveria Shqiptare, ku midis përfituesve kryesorë ishin individë dhe biznese nga sektori i turizmit, Ministria e Turizmit dhe Mjedisit ndërmori një sërë masash të menjëhershme, afatshkurtra në mbështetje të përballimit të situatës së shkaktuar nga pandemia, siç janë: aplikimi </w:t>
      </w:r>
      <w:r w:rsidRPr="00050FA4">
        <w:rPr>
          <w:i/>
          <w:lang w:val="sq-AL"/>
        </w:rPr>
        <w:t>online</w:t>
      </w:r>
      <w:r w:rsidRPr="00050FA4">
        <w:rPr>
          <w:lang w:val="sq-AL"/>
        </w:rPr>
        <w:t xml:space="preserve"> për procesin e kategorizimit nga subjektet dhe lehtësimi i procedurës; aplikimi </w:t>
      </w:r>
      <w:r w:rsidRPr="00050FA4">
        <w:rPr>
          <w:i/>
          <w:lang w:val="sq-AL"/>
        </w:rPr>
        <w:t>online</w:t>
      </w:r>
      <w:r w:rsidRPr="00050FA4">
        <w:rPr>
          <w:lang w:val="sq-AL"/>
        </w:rPr>
        <w:t xml:space="preserve"> për ushtrimin e veprimtarisë si stacion plazhi, hartimi i protokolleve të sigurisë në bashkëpunim me Ministrinë e Shëndetësisë për t`u zbatuar nga strukturat akomoduese dhe subjektet e </w:t>
      </w:r>
      <w:r w:rsidRPr="00050FA4">
        <w:rPr>
          <w:lang w:val="sq-AL"/>
        </w:rPr>
        <w:lastRenderedPageBreak/>
        <w:t>tjera që veprojnë në sektorin e turizmit etj.</w:t>
      </w:r>
    </w:p>
    <w:p w14:paraId="5BF7BD8F" w14:textId="75A0472B" w:rsidR="006A7C45" w:rsidRPr="00050FA4" w:rsidRDefault="006A7C45" w:rsidP="003F1DA7">
      <w:pPr>
        <w:pStyle w:val="AAAAAAATEXXXX"/>
        <w:rPr>
          <w:lang w:val="sq-AL"/>
        </w:rPr>
      </w:pPr>
      <w:r w:rsidRPr="00050FA4">
        <w:rPr>
          <w:lang w:val="sq-AL"/>
        </w:rPr>
        <w:t>Në këto kushte, diversifikimi i ofertës turistike me qëllim konsolidimin më tej të saj, përmes përdorimit dhe optimizimit të potencialeve të pashfrytëzuara të turizmit siç është turizmi detar, shihet si një nga masat afatgjata për të mbështetur zhvillimin e sektorit të turizmit. Turizmi detar, siç është provuar në vendet e tjera të rajonit si Kroacia, Mali i Zi, Greqia dhe Italia, është një industri kryesore dhe Shqipëria nuk po përfiton nga korridori i vlefshëm Mesdhetar për shkak të ekonomisë së saj të pakët të marinës. Pozicioni i favorshëm gjeografik i Shqipërisë, që lidh detet Adriatik dhe Jon dhe Detin Mesdhe Qendror, e bën atë një vend të rëndësishëm për zhvillimin e aktiviteteve detare.</w:t>
      </w:r>
    </w:p>
    <w:p w14:paraId="4A2FF9B4" w14:textId="0E645E0F" w:rsidR="006A7C45" w:rsidRPr="00050FA4" w:rsidRDefault="006A7C45" w:rsidP="003F1DA7">
      <w:pPr>
        <w:pStyle w:val="AAAAAAATEXXXX"/>
        <w:rPr>
          <w:lang w:val="sq-AL"/>
        </w:rPr>
      </w:pPr>
      <w:r w:rsidRPr="00050FA4">
        <w:rPr>
          <w:lang w:val="sq-AL"/>
        </w:rPr>
        <w:t xml:space="preserve">Gjithashtu, </w:t>
      </w:r>
      <w:r w:rsidR="008A0E5B" w:rsidRPr="00050FA4">
        <w:rPr>
          <w:lang w:val="sq-AL"/>
        </w:rPr>
        <w:t>“</w:t>
      </w:r>
      <w:r w:rsidRPr="00050FA4">
        <w:rPr>
          <w:lang w:val="sq-AL"/>
        </w:rPr>
        <w:t xml:space="preserve">hartimi i kuadrit rregullator dhe institucional për zhvillimin e shërbimeve dhe mënyrën e funksionimit të </w:t>
      </w:r>
      <w:r w:rsidR="00771D72" w:rsidRPr="00050FA4">
        <w:rPr>
          <w:lang w:val="sq-AL"/>
        </w:rPr>
        <w:t xml:space="preserve">porteve turistike </w:t>
      </w:r>
      <w:r w:rsidRPr="00050FA4">
        <w:rPr>
          <w:lang w:val="sq-AL"/>
        </w:rPr>
        <w:t>dhe aktivitetet në funksion të tyre</w:t>
      </w:r>
      <w:r w:rsidR="008A0E5B" w:rsidRPr="00050FA4">
        <w:rPr>
          <w:lang w:val="sq-AL"/>
        </w:rPr>
        <w:t>”</w:t>
      </w:r>
      <w:r w:rsidRPr="00050FA4">
        <w:rPr>
          <w:lang w:val="sq-AL"/>
        </w:rPr>
        <w:t xml:space="preserve">, si dhe </w:t>
      </w:r>
      <w:r w:rsidR="008A0E5B" w:rsidRPr="00050FA4">
        <w:rPr>
          <w:lang w:val="sq-AL"/>
        </w:rPr>
        <w:t>“</w:t>
      </w:r>
      <w:r w:rsidRPr="00050FA4">
        <w:rPr>
          <w:lang w:val="sq-AL"/>
        </w:rPr>
        <w:t>Zhvillimi i Programit të Turizmit Bregdetar dhe Detar dhe krijimi i produkteve të reja</w:t>
      </w:r>
      <w:r w:rsidR="008A0E5B" w:rsidRPr="00050FA4">
        <w:rPr>
          <w:lang w:val="sq-AL"/>
        </w:rPr>
        <w:t>”</w:t>
      </w:r>
      <w:r w:rsidRPr="00050FA4">
        <w:rPr>
          <w:lang w:val="sq-AL"/>
        </w:rPr>
        <w:t xml:space="preserve"> janë ndër objektivat specifikë të Strategjisë Kombëtare për Zhvillimin e Qëndrueshëm të Turizmit 2019</w:t>
      </w:r>
      <w:r w:rsidR="00771D72" w:rsidRPr="00050FA4">
        <w:rPr>
          <w:lang w:val="sq-AL"/>
        </w:rPr>
        <w:t>–</w:t>
      </w:r>
      <w:r w:rsidRPr="00050FA4">
        <w:rPr>
          <w:lang w:val="sq-AL"/>
        </w:rPr>
        <w:t>2023.</w:t>
      </w:r>
    </w:p>
    <w:p w14:paraId="55FE8D91" w14:textId="55AEF677" w:rsidR="006A7C45" w:rsidRPr="00050FA4" w:rsidRDefault="006A7C45" w:rsidP="003F1DA7">
      <w:pPr>
        <w:pStyle w:val="AAAAAAATEXXXX"/>
        <w:rPr>
          <w:rFonts w:cstheme="majorBidi"/>
          <w:lang w:val="sq-AL"/>
        </w:rPr>
      </w:pPr>
      <w:r w:rsidRPr="00050FA4">
        <w:rPr>
          <w:lang w:val="sq-AL"/>
        </w:rPr>
        <w:t>Aktivitetet detare në Shqipëri janë mjaft të kufizuara, të përqendruara kryesisht në peshkim. Shqipërisë i mungon infrastruktura bazike, burimet njerëzore dhe pajisjet për të shërbyer qoftë edhe një numër modest varkash kënaqësie, shumë më pak se një industri e qëndrueshme e marinës; rregullat dhe procedurat e vendit, të pandryshuara nga epoka komuniste, shquhen për kompleksitetin dhe ngurtësinë e tyre, duke e bërë vendin destinacionin më pak mikpritës në Detin Mesdhe Verior.</w:t>
      </w:r>
    </w:p>
    <w:p w14:paraId="75C555F4" w14:textId="08579F9D" w:rsidR="00EC2A3F" w:rsidRPr="00050FA4" w:rsidRDefault="009D23D3" w:rsidP="003F1DA7">
      <w:pPr>
        <w:pStyle w:val="AAAAAAATEXXXX"/>
        <w:rPr>
          <w:lang w:val="sq-AL"/>
        </w:rPr>
      </w:pPr>
      <w:r w:rsidRPr="00050FA4">
        <w:rPr>
          <w:lang w:val="sq-AL"/>
        </w:rPr>
        <w:t>b</w:t>
      </w:r>
      <w:r w:rsidR="004B3389" w:rsidRPr="00050FA4">
        <w:rPr>
          <w:lang w:val="sq-AL"/>
        </w:rPr>
        <w:t>)</w:t>
      </w:r>
      <w:r w:rsidRPr="00050FA4">
        <w:rPr>
          <w:lang w:val="sq-AL"/>
        </w:rPr>
        <w:t xml:space="preserve"> </w:t>
      </w:r>
      <w:r w:rsidR="00B2062A" w:rsidRPr="00050FA4">
        <w:rPr>
          <w:lang w:val="sq-AL"/>
        </w:rPr>
        <w:t>Masat e reformës</w:t>
      </w:r>
    </w:p>
    <w:p w14:paraId="2E7F7105" w14:textId="6C3D7673" w:rsidR="00EC2A3F" w:rsidRPr="00050FA4" w:rsidRDefault="00B2062A" w:rsidP="003F1DA7">
      <w:pPr>
        <w:pStyle w:val="AAAAAAATEXXXX"/>
        <w:rPr>
          <w:lang w:val="sq-AL"/>
        </w:rPr>
      </w:pPr>
      <w:r w:rsidRPr="00050FA4">
        <w:rPr>
          <w:lang w:val="sq-AL"/>
        </w:rPr>
        <w:t>Masa e reformës</w:t>
      </w:r>
      <w:r w:rsidR="005358F8" w:rsidRPr="00050FA4">
        <w:rPr>
          <w:lang w:val="sq-AL"/>
        </w:rPr>
        <w:t xml:space="preserve"> 16</w:t>
      </w:r>
      <w:r w:rsidR="00EC2A3F" w:rsidRPr="00050FA4">
        <w:rPr>
          <w:lang w:val="sq-AL"/>
        </w:rPr>
        <w:t xml:space="preserve">: </w:t>
      </w:r>
      <w:r w:rsidR="001E4FC2" w:rsidRPr="00050FA4">
        <w:rPr>
          <w:lang w:val="sq-AL"/>
        </w:rPr>
        <w:t>Marina më të mira dhe qeverisje dhe shërbime detare</w:t>
      </w:r>
    </w:p>
    <w:p w14:paraId="6A1F9E90" w14:textId="50D69E0D" w:rsidR="00EC2A3F" w:rsidRPr="00050FA4" w:rsidRDefault="009D23D3" w:rsidP="003F1DA7">
      <w:pPr>
        <w:pStyle w:val="AAAAAAATEXXXX"/>
        <w:rPr>
          <w:lang w:val="sq-AL"/>
        </w:rPr>
      </w:pPr>
      <w:r w:rsidRPr="00050FA4">
        <w:rPr>
          <w:lang w:val="sq-AL"/>
        </w:rPr>
        <w:t xml:space="preserve">1. </w:t>
      </w:r>
      <w:r w:rsidR="00B2062A" w:rsidRPr="00050FA4">
        <w:rPr>
          <w:lang w:val="sq-AL"/>
        </w:rPr>
        <w:t>Përshkrimi i masës</w:t>
      </w:r>
    </w:p>
    <w:p w14:paraId="5A09D791" w14:textId="7023EE13" w:rsidR="006A7C45" w:rsidRPr="00050FA4" w:rsidRDefault="006A7C45" w:rsidP="003F1DA7">
      <w:pPr>
        <w:pStyle w:val="AAAAAAATEXXXX"/>
        <w:rPr>
          <w:lang w:val="sq-AL"/>
        </w:rPr>
      </w:pPr>
      <w:r w:rsidRPr="00050FA4">
        <w:rPr>
          <w:lang w:val="sq-AL"/>
        </w:rPr>
        <w:t>Për sa i përket përputhshmërisë së reformës me planet dhe politikat e përgjithshme për zhvillimin e sektorit, kjo reformë është në përputhje me Strategjinë Kombëtare për Zhvillimin e Qëndrueshëm të Turizmit 2019-2023, konkretisht me objektivat e saj specifik</w:t>
      </w:r>
      <w:r w:rsidR="00655F22" w:rsidRPr="00050FA4">
        <w:rPr>
          <w:lang w:val="sq-AL"/>
        </w:rPr>
        <w:t>ë</w:t>
      </w:r>
      <w:r w:rsidRPr="00050FA4">
        <w:rPr>
          <w:lang w:val="sq-AL"/>
        </w:rPr>
        <w:t xml:space="preserve"> 2.3 dhe 3.1, si dhe me Programin e Qeverisë 2017-2021 për konsolidimin e porteve dhe marinave. Gjithashtu, Plani i Përgjithshëm Kombëtar i Territorit vendos si prioritet strategjik rritjen e numrit të marinave turistike në përputhje me kapacitetin fizik të bregdetit shqiptar për të zhvilluar një sektor elitar të turizmit bregdetar që respekton mjedisin dhe karakteristikat fizike të zonës. peizazhin natyror dhe urban të bregdetit shqiptar. Ashtu si Plani i Përgjithshëm Kombëtar i Territorit, edhe Plani i Integruar Ndërsektorial i Zonës Bregdetare (PINS Bregdeti) përcakton si objektiv zhvillimin e porteve turistike (marinave) në mbështetje të zhvillimit të sektorit të turizmit.</w:t>
      </w:r>
    </w:p>
    <w:p w14:paraId="469FABC5" w14:textId="75CE3573" w:rsidR="006A7C45" w:rsidRPr="00050FA4" w:rsidRDefault="006A7C45" w:rsidP="003F1DA7">
      <w:pPr>
        <w:pStyle w:val="AAAAAAATEXXXX"/>
        <w:rPr>
          <w:lang w:val="sq-AL"/>
        </w:rPr>
      </w:pPr>
      <w:r w:rsidRPr="00050FA4">
        <w:rPr>
          <w:lang w:val="sq-AL"/>
        </w:rPr>
        <w:t xml:space="preserve">Kjo masë reformuese synon të ndryshojë, harmonizojë dhe plotësojë legjislacionin dhe procedurat aktuale, për të krijuar një kuadër rregullator modern, në përputhje me rregulloret e BE-së dhe të përshtatur me nevojat dhe karakteristikat e veçanta të Ekonomisë Blu. Certifikimi i operatorëve të turizmit detar do të mundësojë ofrimin e aktiviteteve të turizmit detar si: lundrimi për qëllime turistike dhe argëtuese, </w:t>
      </w:r>
      <w:r w:rsidRPr="00050FA4">
        <w:rPr>
          <w:i/>
          <w:lang w:val="sq-AL"/>
        </w:rPr>
        <w:t>surfing,</w:t>
      </w:r>
      <w:r w:rsidRPr="00050FA4">
        <w:rPr>
          <w:lang w:val="sq-AL"/>
        </w:rPr>
        <w:t xml:space="preserve"> zhytja rekreative, </w:t>
      </w:r>
      <w:r w:rsidRPr="00050FA4">
        <w:rPr>
          <w:i/>
          <w:lang w:val="sq-AL"/>
        </w:rPr>
        <w:t>windsurfing, water skiing, wakeboarding,</w:t>
      </w:r>
      <w:r w:rsidRPr="00050FA4">
        <w:rPr>
          <w:lang w:val="sq-AL"/>
        </w:rPr>
        <w:t xml:space="preserve"> motor uji, peshkim turistik etj., vetëm nga operatorë të licencuar të turizmit detar, duke pasur kështu një ndikim pozitiv në standardet dhe sigurinë e shërbimit të turizmit detar. Kjo reformë do të ketë një efekt pozitiv edhe në nxitjen e konkurrueshmërisë duke vendosur standarde dhe rregulla të qarta për të gjitha subjektet që operojnë në këtë sektor.</w:t>
      </w:r>
    </w:p>
    <w:p w14:paraId="768D7317" w14:textId="3B4C3CC3" w:rsidR="006A7C45" w:rsidRPr="00050FA4" w:rsidRDefault="006A7C45" w:rsidP="003F1DA7">
      <w:pPr>
        <w:pStyle w:val="AAAAAAATEXXXX"/>
        <w:rPr>
          <w:lang w:val="sq-AL"/>
        </w:rPr>
      </w:pPr>
      <w:r w:rsidRPr="00050FA4">
        <w:rPr>
          <w:lang w:val="sq-AL"/>
        </w:rPr>
        <w:t>Qeveria shqiptare po aplikon një qasje të integruar për të shfrytëzuar potencialin e zhvillimit të turizmit detar. Një nismë tjetër e ndërmarrë në këtë drejtim është miratimi në datën 14 maj 2020 nga Kuvendi i ndryshimit të ligjit nr.</w:t>
      </w:r>
      <w:r w:rsidR="00771D72" w:rsidRPr="00050FA4">
        <w:rPr>
          <w:lang w:val="sq-AL"/>
        </w:rPr>
        <w:t xml:space="preserve"> 92/2014, datë 24.0</w:t>
      </w:r>
      <w:r w:rsidRPr="00050FA4">
        <w:rPr>
          <w:lang w:val="sq-AL"/>
        </w:rPr>
        <w:t>.2014</w:t>
      </w:r>
      <w:r w:rsidR="00771D72" w:rsidRPr="00050FA4">
        <w:rPr>
          <w:lang w:val="sq-AL"/>
        </w:rPr>
        <w:t>,</w:t>
      </w:r>
      <w:r w:rsidRPr="00050FA4">
        <w:rPr>
          <w:lang w:val="sq-AL"/>
        </w:rPr>
        <w:t xml:space="preserve"> </w:t>
      </w:r>
      <w:r w:rsidR="008A0E5B" w:rsidRPr="00050FA4">
        <w:rPr>
          <w:lang w:val="sq-AL"/>
        </w:rPr>
        <w:t>“</w:t>
      </w:r>
      <w:r w:rsidRPr="00050FA4">
        <w:rPr>
          <w:lang w:val="sq-AL"/>
        </w:rPr>
        <w:t>Për tatimin mbi vlerën e shtuar në Republikën e Shqipërisë</w:t>
      </w:r>
      <w:r w:rsidR="008A0E5B" w:rsidRPr="00050FA4">
        <w:rPr>
          <w:lang w:val="sq-AL"/>
        </w:rPr>
        <w:t>”</w:t>
      </w:r>
      <w:r w:rsidRPr="00050FA4">
        <w:rPr>
          <w:lang w:val="sq-AL"/>
        </w:rPr>
        <w:t>, i ndryshuar, i cili bën përjashtimin nga detyrimi për të paguar TVSH 20% për anijet turistike të importuara, me vjetërsi jo më shumë se 20 vjet. Ky ndryshim i ligjit synon:</w:t>
      </w:r>
    </w:p>
    <w:p w14:paraId="2B8520FC" w14:textId="547A369C" w:rsidR="006A7C45" w:rsidRPr="00050FA4" w:rsidRDefault="009D23D3" w:rsidP="003F1DA7">
      <w:pPr>
        <w:pStyle w:val="AAAAAAATEXXXX"/>
        <w:rPr>
          <w:rFonts w:eastAsia="Calibri"/>
          <w:color w:val="0D0D0D" w:themeColor="text1" w:themeTint="F2"/>
          <w:lang w:val="sq-AL"/>
        </w:rPr>
      </w:pPr>
      <w:r w:rsidRPr="00050FA4">
        <w:rPr>
          <w:rFonts w:eastAsia="Calibri"/>
          <w:color w:val="0D0D0D" w:themeColor="text1" w:themeTint="F2"/>
          <w:lang w:val="sq-AL"/>
        </w:rPr>
        <w:t xml:space="preserve">- </w:t>
      </w:r>
      <w:r w:rsidR="006A7C45" w:rsidRPr="00050FA4">
        <w:rPr>
          <w:rFonts w:eastAsia="Calibri"/>
          <w:color w:val="0D0D0D" w:themeColor="text1" w:themeTint="F2"/>
          <w:lang w:val="sq-AL"/>
        </w:rPr>
        <w:t>rindërtimin e një flote shqiptare me anije turistike miqësore me mjedisin;</w:t>
      </w:r>
    </w:p>
    <w:p w14:paraId="2A7C415D" w14:textId="6F8DD476" w:rsidR="006A7C45" w:rsidRPr="00050FA4" w:rsidRDefault="009D23D3" w:rsidP="003F1DA7">
      <w:pPr>
        <w:pStyle w:val="AAAAAAATEXXXX"/>
        <w:rPr>
          <w:rFonts w:eastAsia="Calibri"/>
          <w:color w:val="0D0D0D" w:themeColor="text1" w:themeTint="F2"/>
          <w:lang w:val="sq-AL"/>
        </w:rPr>
      </w:pPr>
      <w:r w:rsidRPr="00050FA4">
        <w:rPr>
          <w:rFonts w:eastAsia="Calibri"/>
          <w:color w:val="0D0D0D" w:themeColor="text1" w:themeTint="F2"/>
          <w:lang w:val="sq-AL"/>
        </w:rPr>
        <w:t xml:space="preserve">- </w:t>
      </w:r>
      <w:r w:rsidR="006A7C45" w:rsidRPr="00050FA4">
        <w:rPr>
          <w:rFonts w:eastAsia="Calibri"/>
          <w:color w:val="0D0D0D" w:themeColor="text1" w:themeTint="F2"/>
          <w:lang w:val="sq-AL"/>
        </w:rPr>
        <w:t>të zgjeroj</w:t>
      </w:r>
      <w:r w:rsidR="006A7C45" w:rsidRPr="00050FA4">
        <w:rPr>
          <w:color w:val="0D0D0D" w:themeColor="text1" w:themeTint="F2"/>
          <w:lang w:val="sq-AL"/>
        </w:rPr>
        <w:t>ë</w:t>
      </w:r>
      <w:r w:rsidR="006A7C45" w:rsidRPr="00050FA4">
        <w:rPr>
          <w:rFonts w:eastAsia="Calibri"/>
          <w:color w:val="0D0D0D" w:themeColor="text1" w:themeTint="F2"/>
          <w:lang w:val="sq-AL"/>
        </w:rPr>
        <w:t xml:space="preserve"> flot</w:t>
      </w:r>
      <w:r w:rsidR="006A7C45" w:rsidRPr="00050FA4">
        <w:rPr>
          <w:color w:val="0D0D0D" w:themeColor="text1" w:themeTint="F2"/>
          <w:lang w:val="sq-AL"/>
        </w:rPr>
        <w:t>ë</w:t>
      </w:r>
      <w:r w:rsidR="006A7C45" w:rsidRPr="00050FA4">
        <w:rPr>
          <w:rFonts w:eastAsia="Calibri"/>
          <w:color w:val="0D0D0D" w:themeColor="text1" w:themeTint="F2"/>
          <w:lang w:val="sq-AL"/>
        </w:rPr>
        <w:t>n me flamurin shqiptar;</w:t>
      </w:r>
    </w:p>
    <w:p w14:paraId="4BDA7F28" w14:textId="2F1CB23F" w:rsidR="006A7C45" w:rsidRPr="00050FA4" w:rsidRDefault="009D23D3" w:rsidP="003F1DA7">
      <w:pPr>
        <w:pStyle w:val="AAAAAAATEXXXX"/>
        <w:rPr>
          <w:rFonts w:eastAsia="Calibri"/>
          <w:color w:val="0D0D0D" w:themeColor="text1" w:themeTint="F2"/>
          <w:lang w:val="sq-AL"/>
        </w:rPr>
      </w:pPr>
      <w:r w:rsidRPr="00050FA4">
        <w:rPr>
          <w:rFonts w:eastAsia="Calibri"/>
          <w:color w:val="0D0D0D" w:themeColor="text1" w:themeTint="F2"/>
          <w:lang w:val="sq-AL"/>
        </w:rPr>
        <w:t xml:space="preserve">- </w:t>
      </w:r>
      <w:r w:rsidR="006A7C45" w:rsidRPr="00050FA4">
        <w:rPr>
          <w:rFonts w:eastAsia="Calibri"/>
          <w:color w:val="0D0D0D" w:themeColor="text1" w:themeTint="F2"/>
          <w:lang w:val="sq-AL"/>
        </w:rPr>
        <w:t>stimulimin e zhvillimit të infrastrukturës së marinës.</w:t>
      </w:r>
    </w:p>
    <w:p w14:paraId="7B44E6FB" w14:textId="3303544D" w:rsidR="00EC2A3F" w:rsidRPr="00050FA4" w:rsidRDefault="009D23D3" w:rsidP="003F1DA7">
      <w:pPr>
        <w:pStyle w:val="AAAAAAATEXXXX"/>
        <w:rPr>
          <w:b/>
          <w:lang w:val="sq-AL"/>
        </w:rPr>
      </w:pPr>
      <w:r w:rsidRPr="00050FA4">
        <w:rPr>
          <w:b/>
          <w:lang w:val="sq-AL"/>
        </w:rPr>
        <w:t>a</w:t>
      </w:r>
      <w:r w:rsidR="00E05F55" w:rsidRPr="00050FA4">
        <w:rPr>
          <w:b/>
          <w:lang w:val="sq-AL"/>
        </w:rPr>
        <w:t>)</w:t>
      </w:r>
      <w:r w:rsidRPr="00050FA4">
        <w:rPr>
          <w:b/>
          <w:lang w:val="sq-AL"/>
        </w:rPr>
        <w:t xml:space="preserve"> </w:t>
      </w:r>
      <w:r w:rsidR="00B2062A" w:rsidRPr="00050FA4">
        <w:rPr>
          <w:b/>
          <w:lang w:val="sq-AL"/>
        </w:rPr>
        <w:t xml:space="preserve">Aktivitete të planifikuara </w:t>
      </w:r>
      <w:r w:rsidR="00771D72" w:rsidRPr="00050FA4">
        <w:rPr>
          <w:b/>
          <w:lang w:val="sq-AL"/>
        </w:rPr>
        <w:t>m</w:t>
      </w:r>
      <w:r w:rsidR="00B2062A" w:rsidRPr="00050FA4">
        <w:rPr>
          <w:b/>
          <w:lang w:val="sq-AL"/>
        </w:rPr>
        <w:t>ë</w:t>
      </w:r>
      <w:r w:rsidR="00EC2A3F" w:rsidRPr="00050FA4">
        <w:rPr>
          <w:b/>
          <w:lang w:val="sq-AL"/>
        </w:rPr>
        <w:t xml:space="preserve"> 2022</w:t>
      </w:r>
      <w:r w:rsidR="00771D72" w:rsidRPr="00050FA4">
        <w:rPr>
          <w:b/>
          <w:lang w:val="sq-AL"/>
        </w:rPr>
        <w:t>-shin</w:t>
      </w:r>
    </w:p>
    <w:p w14:paraId="40ABDD17" w14:textId="290908EE" w:rsidR="006A7C45" w:rsidRPr="00050FA4" w:rsidRDefault="009D23D3" w:rsidP="003F1DA7">
      <w:pPr>
        <w:pStyle w:val="AAAAAAATEXXXX"/>
        <w:rPr>
          <w:rFonts w:cstheme="majorBidi"/>
          <w:b/>
          <w:lang w:val="sq-AL"/>
        </w:rPr>
      </w:pPr>
      <w:r w:rsidRPr="00050FA4">
        <w:rPr>
          <w:lang w:val="sq-AL"/>
        </w:rPr>
        <w:t>a</w:t>
      </w:r>
      <w:r w:rsidR="00E05F55" w:rsidRPr="00050FA4">
        <w:rPr>
          <w:lang w:val="sq-AL"/>
        </w:rPr>
        <w:t>)</w:t>
      </w:r>
      <w:r w:rsidRPr="00050FA4">
        <w:rPr>
          <w:lang w:val="sq-AL"/>
        </w:rPr>
        <w:t xml:space="preserve"> </w:t>
      </w:r>
      <w:r w:rsidR="006A7C45" w:rsidRPr="00050FA4">
        <w:rPr>
          <w:lang w:val="sq-AL"/>
        </w:rPr>
        <w:t xml:space="preserve">Përfundimi i kornizës ligjore për aktivitetet e turizmit detar </w:t>
      </w:r>
    </w:p>
    <w:p w14:paraId="1C4D878F" w14:textId="3B4A6C10" w:rsidR="006A7C45" w:rsidRPr="00050FA4" w:rsidRDefault="006A7C45" w:rsidP="003F1DA7">
      <w:pPr>
        <w:pStyle w:val="AAAAAAATEXXXX"/>
        <w:rPr>
          <w:lang w:val="sq-AL"/>
        </w:rPr>
      </w:pPr>
      <w:r w:rsidRPr="00050FA4">
        <w:rPr>
          <w:lang w:val="sq-AL"/>
        </w:rPr>
        <w:t>Në prill 2020, Kuvendi i Shqipërisë mirat</w:t>
      </w:r>
      <w:r w:rsidR="00E4728F" w:rsidRPr="00050FA4">
        <w:rPr>
          <w:lang w:val="sq-AL"/>
        </w:rPr>
        <w:t>oi ligjin nr. 43/2020, datë 23.</w:t>
      </w:r>
      <w:r w:rsidRPr="00050FA4">
        <w:rPr>
          <w:lang w:val="sq-AL"/>
        </w:rPr>
        <w:t>4.2020</w:t>
      </w:r>
      <w:r w:rsidR="00E4728F" w:rsidRPr="00050FA4">
        <w:rPr>
          <w:lang w:val="sq-AL"/>
        </w:rPr>
        <w:t>,</w:t>
      </w:r>
      <w:r w:rsidRPr="00050FA4">
        <w:rPr>
          <w:lang w:val="sq-AL"/>
        </w:rPr>
        <w:t xml:space="preserve"> </w:t>
      </w:r>
      <w:r w:rsidR="008A0E5B" w:rsidRPr="00050FA4">
        <w:rPr>
          <w:lang w:val="sq-AL"/>
        </w:rPr>
        <w:t>“</w:t>
      </w:r>
      <w:r w:rsidRPr="00050FA4">
        <w:rPr>
          <w:lang w:val="sq-AL"/>
        </w:rPr>
        <w:t>Për veprimtaritë e turizmit detar</w:t>
      </w:r>
      <w:r w:rsidR="008A0E5B" w:rsidRPr="00050FA4">
        <w:rPr>
          <w:lang w:val="sq-AL"/>
        </w:rPr>
        <w:t>”</w:t>
      </w:r>
      <w:r w:rsidRPr="00050FA4">
        <w:rPr>
          <w:lang w:val="sq-AL"/>
        </w:rPr>
        <w:t>. Ky ligj përcakton rregullat, kushtet dhe kriteret për aktivitetet në turizmin detar, anijet turistike dhe qëllimet e argëtimit, infrastrukturën e nevojshme për ushtrimin e tyre, si dhe përgjegjësitë institucionale në këtë fushë. Krahas akteve ligjore të hartuara dhe miratuara në vitin 2021 do të hartohet një kuadër tjetër ligjor plotë</w:t>
      </w:r>
      <w:r w:rsidR="004B3389" w:rsidRPr="00050FA4">
        <w:rPr>
          <w:lang w:val="sq-AL"/>
        </w:rPr>
        <w:t xml:space="preserve">sues që rrjedh nga ky ligj, si </w:t>
      </w:r>
      <w:r w:rsidRPr="00050FA4">
        <w:rPr>
          <w:lang w:val="sq-AL"/>
        </w:rPr>
        <w:t>VKM</w:t>
      </w:r>
      <w:r w:rsidR="004B3389" w:rsidRPr="00050FA4">
        <w:rPr>
          <w:lang w:val="sq-AL"/>
        </w:rPr>
        <w:t>-ja</w:t>
      </w:r>
      <w:r w:rsidRPr="00050FA4">
        <w:rPr>
          <w:lang w:val="sq-AL"/>
        </w:rPr>
        <w:t xml:space="preserve"> </w:t>
      </w:r>
      <w:r w:rsidR="008A0E5B" w:rsidRPr="00050FA4">
        <w:rPr>
          <w:lang w:val="sq-AL"/>
        </w:rPr>
        <w:t>“</w:t>
      </w:r>
      <w:r w:rsidRPr="00050FA4">
        <w:rPr>
          <w:lang w:val="sq-AL"/>
        </w:rPr>
        <w:t>Për vendosjen e kritereve dhe mënyrën e funksionimit të stacioneve të ankorimit sezonal</w:t>
      </w:r>
      <w:r w:rsidR="008A0E5B" w:rsidRPr="00050FA4">
        <w:rPr>
          <w:lang w:val="sq-AL"/>
        </w:rPr>
        <w:t>”</w:t>
      </w:r>
      <w:r w:rsidRPr="00050FA4">
        <w:rPr>
          <w:lang w:val="sq-AL"/>
        </w:rPr>
        <w:t>. Gjithashtu</w:t>
      </w:r>
      <w:r w:rsidR="00771D72" w:rsidRPr="00050FA4">
        <w:rPr>
          <w:lang w:val="sq-AL"/>
        </w:rPr>
        <w:t>,</w:t>
      </w:r>
      <w:r w:rsidRPr="00050FA4">
        <w:rPr>
          <w:lang w:val="sq-AL"/>
        </w:rPr>
        <w:t xml:space="preserve"> është planifikuar hartimi i ligjit </w:t>
      </w:r>
      <w:r w:rsidR="008A0E5B" w:rsidRPr="00050FA4">
        <w:rPr>
          <w:lang w:val="sq-AL"/>
        </w:rPr>
        <w:t>“</w:t>
      </w:r>
      <w:r w:rsidRPr="00050FA4">
        <w:rPr>
          <w:lang w:val="sq-AL"/>
        </w:rPr>
        <w:t xml:space="preserve">Për </w:t>
      </w:r>
      <w:r w:rsidRPr="00050FA4">
        <w:rPr>
          <w:lang w:val="sq-AL"/>
        </w:rPr>
        <w:lastRenderedPageBreak/>
        <w:t>menaxhimin e integruar të vijës bregdetare</w:t>
      </w:r>
      <w:r w:rsidR="008A0E5B" w:rsidRPr="00050FA4">
        <w:rPr>
          <w:lang w:val="sq-AL"/>
        </w:rPr>
        <w:t>”</w:t>
      </w:r>
      <w:r w:rsidRPr="00050FA4">
        <w:rPr>
          <w:lang w:val="sq-AL"/>
        </w:rPr>
        <w:t>. Hartimi i kuadrit ligjor do të vazhdojë edhe gjatë t</w:t>
      </w:r>
      <w:r w:rsidR="00771D72" w:rsidRPr="00050FA4">
        <w:rPr>
          <w:lang w:val="sq-AL"/>
        </w:rPr>
        <w:t>remujorit të parë të vitit 2022</w:t>
      </w:r>
      <w:r w:rsidRPr="00050FA4">
        <w:rPr>
          <w:lang w:val="sq-AL"/>
        </w:rPr>
        <w:t xml:space="preserve"> (MTM, MIE)</w:t>
      </w:r>
      <w:r w:rsidR="00E4728F" w:rsidRPr="00050FA4">
        <w:rPr>
          <w:lang w:val="sq-AL"/>
        </w:rPr>
        <w:t>;</w:t>
      </w:r>
    </w:p>
    <w:p w14:paraId="3A235308" w14:textId="31207B94" w:rsidR="006A7C45" w:rsidRPr="00050FA4" w:rsidRDefault="009D23D3" w:rsidP="003F1DA7">
      <w:pPr>
        <w:pStyle w:val="AAAAAAATEXXXX"/>
        <w:rPr>
          <w:lang w:val="sq-AL"/>
        </w:rPr>
      </w:pPr>
      <w:r w:rsidRPr="00050FA4">
        <w:rPr>
          <w:lang w:val="sq-AL"/>
        </w:rPr>
        <w:t>b</w:t>
      </w:r>
      <w:r w:rsidR="00E05F55" w:rsidRPr="00050FA4">
        <w:rPr>
          <w:lang w:val="sq-AL"/>
        </w:rPr>
        <w:t>)</w:t>
      </w:r>
      <w:r w:rsidRPr="00050FA4">
        <w:rPr>
          <w:lang w:val="sq-AL"/>
        </w:rPr>
        <w:t xml:space="preserve"> </w:t>
      </w:r>
      <w:r w:rsidR="004B3389" w:rsidRPr="00050FA4">
        <w:rPr>
          <w:lang w:val="sq-AL"/>
        </w:rPr>
        <w:t>Certifikimi</w:t>
      </w:r>
      <w:r w:rsidR="006A7C45" w:rsidRPr="00050FA4">
        <w:rPr>
          <w:lang w:val="sq-AL"/>
        </w:rPr>
        <w:t xml:space="preserve"> i operatorëve të turizmit detar</w:t>
      </w:r>
      <w:r w:rsidR="00E4728F" w:rsidRPr="00050FA4">
        <w:rPr>
          <w:lang w:val="sq-AL"/>
        </w:rPr>
        <w:t>;</w:t>
      </w:r>
      <w:r w:rsidR="006A7C45" w:rsidRPr="00050FA4">
        <w:rPr>
          <w:lang w:val="sq-AL"/>
        </w:rPr>
        <w:t xml:space="preserve"> </w:t>
      </w:r>
    </w:p>
    <w:p w14:paraId="2B991D5D" w14:textId="79F2841A" w:rsidR="006A7C45" w:rsidRPr="00050FA4" w:rsidRDefault="006A7C45" w:rsidP="003F1DA7">
      <w:pPr>
        <w:pStyle w:val="AAAAAAATEXXXX"/>
        <w:rPr>
          <w:lang w:val="sq-AL"/>
        </w:rPr>
      </w:pPr>
      <w:r w:rsidRPr="00050FA4">
        <w:rPr>
          <w:lang w:val="sq-AL"/>
        </w:rPr>
        <w:t>Ky do të jetë një proces i rregulluar mirë dhe shumë transparent që do të krijojë kushtet për zhvillimin e mëtejshëm të sektorit, përmirësimin e cilësisë dhe krijimin e standardeve të larta të sigurisë. Operatorët duhet të demonstrojnë pajtueshmërinë e kapaciteteve dhe pajisjeve të tyre me dispozitat e legjislacion</w:t>
      </w:r>
      <w:r w:rsidR="00655282" w:rsidRPr="00050FA4">
        <w:rPr>
          <w:lang w:val="sq-AL"/>
        </w:rPr>
        <w:t xml:space="preserve">it, </w:t>
      </w:r>
      <w:r w:rsidRPr="00050FA4">
        <w:rPr>
          <w:lang w:val="sq-AL"/>
        </w:rPr>
        <w:t>si dhe arsimin e duhur profesional. Ky do të jetë një proces i vazhdueshëm që do të pasqyrojë dhe adresojë nevoja</w:t>
      </w:r>
      <w:r w:rsidR="004B3389" w:rsidRPr="00050FA4">
        <w:rPr>
          <w:lang w:val="sq-AL"/>
        </w:rPr>
        <w:t>t e tregut për shërbimet detare</w:t>
      </w:r>
      <w:r w:rsidRPr="00050FA4">
        <w:rPr>
          <w:lang w:val="sq-AL"/>
        </w:rPr>
        <w:t xml:space="preserve"> (MTE, MI, MIE)</w:t>
      </w:r>
      <w:r w:rsidR="00E4728F" w:rsidRPr="00050FA4">
        <w:rPr>
          <w:lang w:val="sq-AL"/>
        </w:rPr>
        <w:t>;</w:t>
      </w:r>
    </w:p>
    <w:p w14:paraId="2C083B66" w14:textId="67C2CDA8" w:rsidR="006A7C45" w:rsidRPr="00050FA4" w:rsidRDefault="009D23D3" w:rsidP="003F1DA7">
      <w:pPr>
        <w:pStyle w:val="AAAAAAATEXXXX"/>
        <w:rPr>
          <w:lang w:val="sq-AL"/>
        </w:rPr>
      </w:pPr>
      <w:r w:rsidRPr="00050FA4">
        <w:rPr>
          <w:bCs/>
          <w:lang w:val="sq-AL"/>
        </w:rPr>
        <w:t>c</w:t>
      </w:r>
      <w:r w:rsidR="00E05F55" w:rsidRPr="00050FA4">
        <w:rPr>
          <w:bCs/>
          <w:lang w:val="sq-AL"/>
        </w:rPr>
        <w:t>)</w:t>
      </w:r>
      <w:r w:rsidRPr="00050FA4">
        <w:rPr>
          <w:bCs/>
          <w:lang w:val="sq-AL"/>
        </w:rPr>
        <w:t xml:space="preserve"> </w:t>
      </w:r>
      <w:r w:rsidR="006A7C45" w:rsidRPr="00050FA4">
        <w:rPr>
          <w:bCs/>
          <w:lang w:val="sq-AL"/>
        </w:rPr>
        <w:t>Promovimi i sektorit të turizmit detar</w:t>
      </w:r>
      <w:r w:rsidR="00E4728F" w:rsidRPr="00050FA4">
        <w:rPr>
          <w:bCs/>
          <w:lang w:val="sq-AL"/>
        </w:rPr>
        <w:t>.</w:t>
      </w:r>
    </w:p>
    <w:p w14:paraId="062347AB" w14:textId="7352F009" w:rsidR="006A7C45" w:rsidRPr="00050FA4" w:rsidRDefault="006A7C45" w:rsidP="003F1DA7">
      <w:pPr>
        <w:pStyle w:val="AAAAAAATEXXXX"/>
        <w:rPr>
          <w:rFonts w:cstheme="majorBidi"/>
          <w:b/>
          <w:lang w:val="sq-AL"/>
        </w:rPr>
      </w:pPr>
      <w:r w:rsidRPr="00050FA4">
        <w:rPr>
          <w:lang w:val="sq-AL"/>
        </w:rPr>
        <w:t>Ky aktivitet përfshin mbështetjen për aktivitete të ndryshme promocionale në bashki të ndryshme, organizimin e aktiviteteve ndërkombëtare etj. (MTE, National Tourism Agency, LGAs)</w:t>
      </w:r>
      <w:r w:rsidR="004B3389" w:rsidRPr="00050FA4">
        <w:rPr>
          <w:lang w:val="sq-AL"/>
        </w:rPr>
        <w:t>.</w:t>
      </w:r>
    </w:p>
    <w:p w14:paraId="3E1864B7" w14:textId="0D8F40A7" w:rsidR="00EC2A3F" w:rsidRPr="00050FA4" w:rsidRDefault="009D23D3" w:rsidP="003F1DA7">
      <w:pPr>
        <w:pStyle w:val="AAAAAAATEXXXX"/>
        <w:rPr>
          <w:b/>
          <w:lang w:val="sq-AL"/>
        </w:rPr>
      </w:pPr>
      <w:r w:rsidRPr="00050FA4">
        <w:rPr>
          <w:b/>
          <w:lang w:val="sq-AL"/>
        </w:rPr>
        <w:t>b</w:t>
      </w:r>
      <w:r w:rsidR="00E05F55" w:rsidRPr="00050FA4">
        <w:rPr>
          <w:b/>
          <w:lang w:val="sq-AL"/>
        </w:rPr>
        <w:t>)</w:t>
      </w:r>
      <w:r w:rsidRPr="00050FA4">
        <w:rPr>
          <w:b/>
          <w:lang w:val="sq-AL"/>
        </w:rPr>
        <w:t xml:space="preserve"> </w:t>
      </w:r>
      <w:r w:rsidR="00B2062A" w:rsidRPr="00050FA4">
        <w:rPr>
          <w:b/>
          <w:lang w:val="sq-AL"/>
        </w:rPr>
        <w:t xml:space="preserve">Aktivitete të planifikuara </w:t>
      </w:r>
      <w:r w:rsidR="00771D72" w:rsidRPr="00050FA4">
        <w:rPr>
          <w:b/>
          <w:lang w:val="sq-AL"/>
        </w:rPr>
        <w:t>m</w:t>
      </w:r>
      <w:r w:rsidR="00B2062A" w:rsidRPr="00050FA4">
        <w:rPr>
          <w:b/>
          <w:lang w:val="sq-AL"/>
        </w:rPr>
        <w:t>ë</w:t>
      </w:r>
      <w:r w:rsidR="00EC2A3F" w:rsidRPr="00050FA4">
        <w:rPr>
          <w:b/>
          <w:lang w:val="sq-AL"/>
        </w:rPr>
        <w:t xml:space="preserve"> 2023</w:t>
      </w:r>
      <w:r w:rsidR="00771D72" w:rsidRPr="00050FA4">
        <w:rPr>
          <w:b/>
          <w:lang w:val="sq-AL"/>
        </w:rPr>
        <w:t>-shin</w:t>
      </w:r>
    </w:p>
    <w:p w14:paraId="004F87E4" w14:textId="37B34460" w:rsidR="006A7C45" w:rsidRPr="00050FA4" w:rsidRDefault="009D23D3" w:rsidP="003F1DA7">
      <w:pPr>
        <w:pStyle w:val="AAAAAAATEXXXX"/>
        <w:rPr>
          <w:bCs/>
          <w:lang w:val="sq-AL"/>
        </w:rPr>
      </w:pPr>
      <w:r w:rsidRPr="00050FA4">
        <w:rPr>
          <w:bCs/>
          <w:lang w:val="sq-AL"/>
        </w:rPr>
        <w:t>a</w:t>
      </w:r>
      <w:r w:rsidR="00E05F55" w:rsidRPr="00050FA4">
        <w:rPr>
          <w:bCs/>
          <w:lang w:val="sq-AL"/>
        </w:rPr>
        <w:t>)</w:t>
      </w:r>
      <w:r w:rsidRPr="00050FA4">
        <w:rPr>
          <w:bCs/>
          <w:lang w:val="sq-AL"/>
        </w:rPr>
        <w:t xml:space="preserve"> </w:t>
      </w:r>
      <w:r w:rsidR="004B3389" w:rsidRPr="00050FA4">
        <w:rPr>
          <w:bCs/>
          <w:lang w:val="sq-AL"/>
        </w:rPr>
        <w:t>Certifikimi</w:t>
      </w:r>
      <w:r w:rsidR="006A7C45" w:rsidRPr="00050FA4">
        <w:rPr>
          <w:bCs/>
          <w:lang w:val="sq-AL"/>
        </w:rPr>
        <w:t xml:space="preserve"> i operatorëve turistikë detarë;</w:t>
      </w:r>
    </w:p>
    <w:p w14:paraId="061CDBD2" w14:textId="005FE832" w:rsidR="006A7C45" w:rsidRPr="00050FA4" w:rsidRDefault="009D23D3" w:rsidP="003F1DA7">
      <w:pPr>
        <w:pStyle w:val="AAAAAAATEXXXX"/>
        <w:rPr>
          <w:lang w:val="sq-AL"/>
        </w:rPr>
      </w:pPr>
      <w:r w:rsidRPr="00050FA4">
        <w:rPr>
          <w:bCs/>
          <w:lang w:val="sq-AL"/>
        </w:rPr>
        <w:t>b</w:t>
      </w:r>
      <w:r w:rsidR="00E05F55" w:rsidRPr="00050FA4">
        <w:rPr>
          <w:bCs/>
          <w:lang w:val="sq-AL"/>
        </w:rPr>
        <w:t>)</w:t>
      </w:r>
      <w:r w:rsidRPr="00050FA4">
        <w:rPr>
          <w:bCs/>
          <w:lang w:val="sq-AL"/>
        </w:rPr>
        <w:t xml:space="preserve"> </w:t>
      </w:r>
      <w:r w:rsidR="006A7C45" w:rsidRPr="00050FA4">
        <w:rPr>
          <w:bCs/>
          <w:lang w:val="sq-AL"/>
        </w:rPr>
        <w:t>Promovimi i sektorit të turizmit detar;</w:t>
      </w:r>
    </w:p>
    <w:p w14:paraId="1C29BE4A" w14:textId="22537A62" w:rsidR="006A7C45" w:rsidRPr="00050FA4" w:rsidRDefault="009D23D3" w:rsidP="003F1DA7">
      <w:pPr>
        <w:pStyle w:val="AAAAAAATEXXXX"/>
        <w:rPr>
          <w:lang w:val="sq-AL"/>
        </w:rPr>
      </w:pPr>
      <w:r w:rsidRPr="00050FA4">
        <w:rPr>
          <w:bCs/>
          <w:lang w:val="sq-AL"/>
        </w:rPr>
        <w:t>c</w:t>
      </w:r>
      <w:r w:rsidR="00E05F55" w:rsidRPr="00050FA4">
        <w:rPr>
          <w:bCs/>
          <w:lang w:val="sq-AL"/>
        </w:rPr>
        <w:t>)</w:t>
      </w:r>
      <w:r w:rsidRPr="00050FA4">
        <w:rPr>
          <w:bCs/>
          <w:lang w:val="sq-AL"/>
        </w:rPr>
        <w:t xml:space="preserve"> </w:t>
      </w:r>
      <w:r w:rsidR="006A7C45" w:rsidRPr="00050FA4">
        <w:rPr>
          <w:bCs/>
          <w:lang w:val="sq-AL"/>
        </w:rPr>
        <w:t>Rritja e kapaciteteve të burimeve njerëzore.</w:t>
      </w:r>
    </w:p>
    <w:p w14:paraId="7DA59637" w14:textId="0875EB2C" w:rsidR="006A7C45" w:rsidRPr="00050FA4" w:rsidRDefault="006A7C45" w:rsidP="003F1DA7">
      <w:pPr>
        <w:pStyle w:val="AAAAAAATEXXXX"/>
        <w:rPr>
          <w:bCs/>
          <w:lang w:val="sq-AL"/>
        </w:rPr>
      </w:pPr>
      <w:r w:rsidRPr="00050FA4">
        <w:rPr>
          <w:bCs/>
          <w:lang w:val="sq-AL"/>
        </w:rPr>
        <w:t>Ky aktivitet synon të inkurajojë bashkëpunimin dhe të promovojë formimin profesional në lidhje me profesionet e turizmit detar. (MTE, MFE, LGA)</w:t>
      </w:r>
    </w:p>
    <w:p w14:paraId="52A02762" w14:textId="6742292E" w:rsidR="00EC2A3F" w:rsidRPr="00050FA4" w:rsidRDefault="009D23D3" w:rsidP="003F1DA7">
      <w:pPr>
        <w:pStyle w:val="AAAAAAATEXXXX"/>
        <w:rPr>
          <w:b/>
          <w:lang w:val="sq-AL"/>
        </w:rPr>
      </w:pPr>
      <w:r w:rsidRPr="00050FA4">
        <w:rPr>
          <w:b/>
          <w:lang w:val="sq-AL"/>
        </w:rPr>
        <w:t>c</w:t>
      </w:r>
      <w:r w:rsidR="00E05F55" w:rsidRPr="00050FA4">
        <w:rPr>
          <w:b/>
          <w:lang w:val="sq-AL"/>
        </w:rPr>
        <w:t>)</w:t>
      </w:r>
      <w:r w:rsidRPr="00050FA4">
        <w:rPr>
          <w:b/>
          <w:lang w:val="sq-AL"/>
        </w:rPr>
        <w:t xml:space="preserve"> </w:t>
      </w:r>
      <w:r w:rsidR="00B2062A" w:rsidRPr="00050FA4">
        <w:rPr>
          <w:b/>
          <w:lang w:val="sq-AL"/>
        </w:rPr>
        <w:t xml:space="preserve">Aktivitete të planifikuara </w:t>
      </w:r>
      <w:r w:rsidR="00771D72" w:rsidRPr="00050FA4">
        <w:rPr>
          <w:b/>
          <w:lang w:val="sq-AL"/>
        </w:rPr>
        <w:t>m</w:t>
      </w:r>
      <w:r w:rsidR="00B2062A" w:rsidRPr="00050FA4">
        <w:rPr>
          <w:b/>
          <w:lang w:val="sq-AL"/>
        </w:rPr>
        <w:t>ë</w:t>
      </w:r>
      <w:r w:rsidR="00EC2A3F" w:rsidRPr="00050FA4">
        <w:rPr>
          <w:b/>
          <w:lang w:val="sq-AL"/>
        </w:rPr>
        <w:t xml:space="preserve"> 2024</w:t>
      </w:r>
      <w:r w:rsidR="00771D72" w:rsidRPr="00050FA4">
        <w:rPr>
          <w:b/>
          <w:lang w:val="sq-AL"/>
        </w:rPr>
        <w:t>-ën</w:t>
      </w:r>
    </w:p>
    <w:p w14:paraId="7C17E223" w14:textId="68B9EE9D" w:rsidR="006A7C45" w:rsidRPr="00050FA4" w:rsidRDefault="009D23D3" w:rsidP="003F1DA7">
      <w:pPr>
        <w:pStyle w:val="AAAAAAATEXXXX"/>
        <w:rPr>
          <w:rFonts w:cstheme="majorBidi"/>
          <w:bCs/>
          <w:color w:val="0D0D0D" w:themeColor="text1" w:themeTint="F2"/>
          <w:lang w:val="sq-AL"/>
        </w:rPr>
      </w:pPr>
      <w:r w:rsidRPr="00050FA4">
        <w:rPr>
          <w:bCs/>
          <w:color w:val="0D0D0D" w:themeColor="text1" w:themeTint="F2"/>
          <w:lang w:val="sq-AL"/>
        </w:rPr>
        <w:t>a</w:t>
      </w:r>
      <w:r w:rsidR="00030CD7" w:rsidRPr="00050FA4">
        <w:rPr>
          <w:bCs/>
          <w:color w:val="0D0D0D" w:themeColor="text1" w:themeTint="F2"/>
          <w:lang w:val="sq-AL"/>
        </w:rPr>
        <w:t>)</w:t>
      </w:r>
      <w:r w:rsidRPr="00050FA4">
        <w:rPr>
          <w:bCs/>
          <w:color w:val="0D0D0D" w:themeColor="text1" w:themeTint="F2"/>
          <w:lang w:val="sq-AL"/>
        </w:rPr>
        <w:t xml:space="preserve"> </w:t>
      </w:r>
      <w:r w:rsidR="004B3389" w:rsidRPr="00050FA4">
        <w:rPr>
          <w:bCs/>
          <w:color w:val="0D0D0D" w:themeColor="text1" w:themeTint="F2"/>
          <w:lang w:val="sq-AL"/>
        </w:rPr>
        <w:t>Certifikimi</w:t>
      </w:r>
      <w:r w:rsidR="006A7C45" w:rsidRPr="00050FA4">
        <w:rPr>
          <w:bCs/>
          <w:color w:val="0D0D0D" w:themeColor="text1" w:themeTint="F2"/>
          <w:lang w:val="sq-AL"/>
        </w:rPr>
        <w:t xml:space="preserve"> i operatorëve turistikë detarë;</w:t>
      </w:r>
    </w:p>
    <w:p w14:paraId="6B267BBD" w14:textId="1174D752" w:rsidR="006A7C45" w:rsidRPr="00050FA4" w:rsidRDefault="009D23D3" w:rsidP="003F1DA7">
      <w:pPr>
        <w:pStyle w:val="AAAAAAATEXXXX"/>
        <w:rPr>
          <w:color w:val="0D0D0D" w:themeColor="text1" w:themeTint="F2"/>
          <w:lang w:val="sq-AL"/>
        </w:rPr>
      </w:pPr>
      <w:r w:rsidRPr="00050FA4">
        <w:rPr>
          <w:bCs/>
          <w:color w:val="0D0D0D" w:themeColor="text1" w:themeTint="F2"/>
          <w:lang w:val="sq-AL"/>
        </w:rPr>
        <w:t>b</w:t>
      </w:r>
      <w:r w:rsidR="000076C0" w:rsidRPr="00050FA4">
        <w:rPr>
          <w:bCs/>
          <w:color w:val="0D0D0D" w:themeColor="text1" w:themeTint="F2"/>
          <w:lang w:val="sq-AL"/>
        </w:rPr>
        <w:t>)</w:t>
      </w:r>
      <w:r w:rsidRPr="00050FA4">
        <w:rPr>
          <w:bCs/>
          <w:color w:val="0D0D0D" w:themeColor="text1" w:themeTint="F2"/>
          <w:lang w:val="sq-AL"/>
        </w:rPr>
        <w:t xml:space="preserve"> </w:t>
      </w:r>
      <w:r w:rsidR="006A7C45" w:rsidRPr="00050FA4">
        <w:rPr>
          <w:bCs/>
          <w:color w:val="0D0D0D" w:themeColor="text1" w:themeTint="F2"/>
          <w:lang w:val="sq-AL"/>
        </w:rPr>
        <w:t>Promovimi i sektorit të turizmit detar;</w:t>
      </w:r>
    </w:p>
    <w:p w14:paraId="45D9E679" w14:textId="09DA5E40" w:rsidR="006A7C45" w:rsidRPr="00050FA4" w:rsidRDefault="009D23D3" w:rsidP="003F1DA7">
      <w:pPr>
        <w:pStyle w:val="AAAAAAATEXXXX"/>
        <w:rPr>
          <w:bCs/>
          <w:color w:val="0D0D0D" w:themeColor="text1" w:themeTint="F2"/>
          <w:lang w:val="sq-AL"/>
        </w:rPr>
      </w:pPr>
      <w:r w:rsidRPr="00050FA4">
        <w:rPr>
          <w:bCs/>
          <w:color w:val="0D0D0D" w:themeColor="text1" w:themeTint="F2"/>
          <w:lang w:val="sq-AL"/>
        </w:rPr>
        <w:t>c</w:t>
      </w:r>
      <w:r w:rsidR="000076C0" w:rsidRPr="00050FA4">
        <w:rPr>
          <w:bCs/>
          <w:color w:val="0D0D0D" w:themeColor="text1" w:themeTint="F2"/>
          <w:lang w:val="sq-AL"/>
        </w:rPr>
        <w:t>)</w:t>
      </w:r>
      <w:r w:rsidRPr="00050FA4">
        <w:rPr>
          <w:bCs/>
          <w:color w:val="0D0D0D" w:themeColor="text1" w:themeTint="F2"/>
          <w:lang w:val="sq-AL"/>
        </w:rPr>
        <w:t xml:space="preserve"> </w:t>
      </w:r>
      <w:r w:rsidR="006A7C45" w:rsidRPr="00050FA4">
        <w:rPr>
          <w:bCs/>
          <w:color w:val="0D0D0D" w:themeColor="text1" w:themeTint="F2"/>
          <w:lang w:val="sq-AL"/>
        </w:rPr>
        <w:t>Rritja e kapaciteteve të burimeve njerëzore.</w:t>
      </w:r>
    </w:p>
    <w:p w14:paraId="394CD3FD" w14:textId="0B2D1282" w:rsidR="00EC2A3F" w:rsidRPr="00050FA4" w:rsidRDefault="009D23D3" w:rsidP="003F1DA7">
      <w:pPr>
        <w:pStyle w:val="AAAAAAATEXXXX"/>
        <w:rPr>
          <w:lang w:val="sq-AL"/>
        </w:rPr>
      </w:pPr>
      <w:r w:rsidRPr="00050FA4">
        <w:rPr>
          <w:lang w:val="sq-AL"/>
        </w:rPr>
        <w:t xml:space="preserve">2. </w:t>
      </w:r>
      <w:r w:rsidR="00B2062A" w:rsidRPr="00050FA4">
        <w:rPr>
          <w:lang w:val="sq-AL"/>
        </w:rPr>
        <w:t>Treguesit e rezultateve</w:t>
      </w:r>
    </w:p>
    <w:p w14:paraId="37589BBF" w14:textId="77777777" w:rsidR="00E4728F" w:rsidRPr="00050FA4" w:rsidRDefault="00E4728F" w:rsidP="003F1DA7">
      <w:pPr>
        <w:pStyle w:val="AAAAAAATEXXXX"/>
        <w:rPr>
          <w:lang w:val="sq-AL"/>
        </w:rPr>
      </w:pPr>
    </w:p>
    <w:tbl>
      <w:tblPr>
        <w:tblStyle w:val="TableGrid"/>
        <w:tblW w:w="0" w:type="auto"/>
        <w:jc w:val="center"/>
        <w:tblLook w:val="04A0" w:firstRow="1" w:lastRow="0" w:firstColumn="1" w:lastColumn="0" w:noHBand="0" w:noVBand="1"/>
      </w:tblPr>
      <w:tblGrid>
        <w:gridCol w:w="4248"/>
        <w:gridCol w:w="1791"/>
        <w:gridCol w:w="1791"/>
        <w:gridCol w:w="1792"/>
      </w:tblGrid>
      <w:tr w:rsidR="00FA29AB" w:rsidRPr="00050FA4" w14:paraId="3A83990D" w14:textId="77777777" w:rsidTr="000076C0">
        <w:trPr>
          <w:jc w:val="center"/>
        </w:trPr>
        <w:tc>
          <w:tcPr>
            <w:tcW w:w="4248" w:type="dxa"/>
            <w:vAlign w:val="center"/>
          </w:tcPr>
          <w:p w14:paraId="622A1872" w14:textId="36AC3B45" w:rsidR="002B2B60" w:rsidRPr="00050FA4" w:rsidRDefault="00B2062A" w:rsidP="000076C0">
            <w:pPr>
              <w:pStyle w:val="AAAAAAATEXXXX"/>
              <w:ind w:firstLine="0"/>
              <w:jc w:val="center"/>
              <w:rPr>
                <w:b/>
                <w:sz w:val="18"/>
                <w:szCs w:val="18"/>
                <w:lang w:val="sq-AL"/>
              </w:rPr>
            </w:pPr>
            <w:r w:rsidRPr="00050FA4">
              <w:rPr>
                <w:b/>
                <w:sz w:val="18"/>
                <w:szCs w:val="18"/>
                <w:lang w:val="sq-AL"/>
              </w:rPr>
              <w:t>Tregues</w:t>
            </w:r>
          </w:p>
        </w:tc>
        <w:tc>
          <w:tcPr>
            <w:tcW w:w="1791" w:type="dxa"/>
            <w:vAlign w:val="center"/>
          </w:tcPr>
          <w:p w14:paraId="03F8C53A" w14:textId="6309C93A" w:rsidR="002B2B60" w:rsidRPr="00050FA4" w:rsidRDefault="00B2062A" w:rsidP="000076C0">
            <w:pPr>
              <w:pStyle w:val="AAAAAAATEXXXX"/>
              <w:ind w:firstLine="0"/>
              <w:jc w:val="center"/>
              <w:rPr>
                <w:b/>
                <w:sz w:val="18"/>
                <w:szCs w:val="18"/>
                <w:lang w:val="sq-AL"/>
              </w:rPr>
            </w:pPr>
            <w:r w:rsidRPr="00050FA4">
              <w:rPr>
                <w:b/>
                <w:sz w:val="18"/>
                <w:szCs w:val="18"/>
                <w:lang w:val="sq-AL"/>
              </w:rPr>
              <w:t>Bazë</w:t>
            </w:r>
            <w:r w:rsidR="002B2B60" w:rsidRPr="00050FA4">
              <w:rPr>
                <w:b/>
                <w:sz w:val="18"/>
                <w:szCs w:val="18"/>
                <w:lang w:val="sq-AL"/>
              </w:rPr>
              <w:t xml:space="preserve"> (2020)</w:t>
            </w:r>
          </w:p>
        </w:tc>
        <w:tc>
          <w:tcPr>
            <w:tcW w:w="1791" w:type="dxa"/>
            <w:vAlign w:val="center"/>
          </w:tcPr>
          <w:p w14:paraId="6838FE3A" w14:textId="77777777" w:rsidR="000076C0" w:rsidRPr="00050FA4" w:rsidRDefault="00B2062A" w:rsidP="000076C0">
            <w:pPr>
              <w:pStyle w:val="AAAAAAATEXXXX"/>
              <w:ind w:firstLine="0"/>
              <w:jc w:val="center"/>
              <w:rPr>
                <w:b/>
                <w:sz w:val="18"/>
                <w:szCs w:val="18"/>
                <w:lang w:val="sq-AL"/>
              </w:rPr>
            </w:pPr>
            <w:r w:rsidRPr="00050FA4">
              <w:rPr>
                <w:b/>
                <w:sz w:val="18"/>
                <w:szCs w:val="18"/>
                <w:lang w:val="sq-AL"/>
              </w:rPr>
              <w:t>I ndërmjetëm</w:t>
            </w:r>
            <w:r w:rsidR="002B2B60" w:rsidRPr="00050FA4">
              <w:rPr>
                <w:b/>
                <w:sz w:val="18"/>
                <w:szCs w:val="18"/>
                <w:lang w:val="sq-AL"/>
              </w:rPr>
              <w:t xml:space="preserve"> </w:t>
            </w:r>
          </w:p>
          <w:p w14:paraId="79B3068D" w14:textId="6D7DF2A0" w:rsidR="002B2B60" w:rsidRPr="00050FA4" w:rsidRDefault="002B2B60" w:rsidP="000076C0">
            <w:pPr>
              <w:pStyle w:val="AAAAAAATEXXXX"/>
              <w:ind w:firstLine="0"/>
              <w:jc w:val="center"/>
              <w:rPr>
                <w:b/>
                <w:sz w:val="18"/>
                <w:szCs w:val="18"/>
                <w:lang w:val="sq-AL"/>
              </w:rPr>
            </w:pPr>
            <w:r w:rsidRPr="00050FA4">
              <w:rPr>
                <w:b/>
                <w:sz w:val="18"/>
                <w:szCs w:val="18"/>
                <w:lang w:val="sq-AL"/>
              </w:rPr>
              <w:t>(2022 or 23)</w:t>
            </w:r>
          </w:p>
        </w:tc>
        <w:tc>
          <w:tcPr>
            <w:tcW w:w="1792" w:type="dxa"/>
            <w:vAlign w:val="center"/>
          </w:tcPr>
          <w:p w14:paraId="640F502C" w14:textId="53F65FD7" w:rsidR="002B2B60" w:rsidRPr="00050FA4" w:rsidRDefault="00B2062A" w:rsidP="000076C0">
            <w:pPr>
              <w:pStyle w:val="AAAAAAATEXXXX"/>
              <w:ind w:firstLine="0"/>
              <w:jc w:val="center"/>
              <w:rPr>
                <w:b/>
                <w:sz w:val="18"/>
                <w:szCs w:val="18"/>
                <w:lang w:val="sq-AL"/>
              </w:rPr>
            </w:pPr>
            <w:r w:rsidRPr="00050FA4">
              <w:rPr>
                <w:b/>
                <w:sz w:val="18"/>
                <w:szCs w:val="18"/>
                <w:lang w:val="sq-AL"/>
              </w:rPr>
              <w:t>Synimi</w:t>
            </w:r>
            <w:r w:rsidR="002B2B60" w:rsidRPr="00050FA4">
              <w:rPr>
                <w:b/>
                <w:sz w:val="18"/>
                <w:szCs w:val="18"/>
                <w:lang w:val="sq-AL"/>
              </w:rPr>
              <w:t xml:space="preserve"> (2025)</w:t>
            </w:r>
          </w:p>
        </w:tc>
      </w:tr>
      <w:tr w:rsidR="00FA29AB" w:rsidRPr="00050FA4" w14:paraId="18B11E58" w14:textId="77777777" w:rsidTr="000076C0">
        <w:trPr>
          <w:jc w:val="center"/>
        </w:trPr>
        <w:tc>
          <w:tcPr>
            <w:tcW w:w="4248" w:type="dxa"/>
          </w:tcPr>
          <w:p w14:paraId="6593653B" w14:textId="72E34CAB" w:rsidR="006A7C45" w:rsidRPr="00050FA4" w:rsidRDefault="006A7C45" w:rsidP="00A95D23">
            <w:pPr>
              <w:pStyle w:val="AAAAAAATEXXXX"/>
              <w:ind w:firstLine="0"/>
              <w:rPr>
                <w:sz w:val="18"/>
                <w:szCs w:val="18"/>
                <w:lang w:val="sq-AL"/>
              </w:rPr>
            </w:pPr>
            <w:r w:rsidRPr="00050FA4">
              <w:rPr>
                <w:sz w:val="18"/>
                <w:szCs w:val="18"/>
                <w:lang w:val="sq-AL"/>
              </w:rPr>
              <w:t xml:space="preserve">Numri i operatorëve turistikë detarë të </w:t>
            </w:r>
            <w:r w:rsidR="004B3389" w:rsidRPr="00050FA4">
              <w:rPr>
                <w:sz w:val="18"/>
                <w:szCs w:val="18"/>
                <w:lang w:val="sq-AL"/>
              </w:rPr>
              <w:t>certifikuar</w:t>
            </w:r>
            <w:r w:rsidRPr="00050FA4">
              <w:rPr>
                <w:sz w:val="18"/>
                <w:szCs w:val="18"/>
                <w:lang w:val="sq-AL"/>
              </w:rPr>
              <w:t xml:space="preserve"> </w:t>
            </w:r>
          </w:p>
        </w:tc>
        <w:tc>
          <w:tcPr>
            <w:tcW w:w="1791" w:type="dxa"/>
          </w:tcPr>
          <w:p w14:paraId="629F7CA5" w14:textId="6F961D66" w:rsidR="006A7C45" w:rsidRPr="00050FA4" w:rsidRDefault="006A7C45" w:rsidP="000076C0">
            <w:pPr>
              <w:pStyle w:val="AAAAAAATEXXXX"/>
              <w:ind w:firstLine="0"/>
              <w:jc w:val="right"/>
              <w:rPr>
                <w:sz w:val="18"/>
                <w:szCs w:val="18"/>
                <w:lang w:val="sq-AL"/>
              </w:rPr>
            </w:pPr>
            <w:r w:rsidRPr="00050FA4">
              <w:rPr>
                <w:sz w:val="18"/>
                <w:szCs w:val="18"/>
                <w:lang w:val="sq-AL"/>
              </w:rPr>
              <w:t>0</w:t>
            </w:r>
          </w:p>
        </w:tc>
        <w:tc>
          <w:tcPr>
            <w:tcW w:w="1791" w:type="dxa"/>
          </w:tcPr>
          <w:p w14:paraId="1B7DBB95" w14:textId="6CF2C272" w:rsidR="006A7C45" w:rsidRPr="00050FA4" w:rsidRDefault="006A7C45" w:rsidP="000076C0">
            <w:pPr>
              <w:pStyle w:val="AAAAAAATEXXXX"/>
              <w:ind w:firstLine="0"/>
              <w:jc w:val="right"/>
              <w:rPr>
                <w:sz w:val="18"/>
                <w:szCs w:val="18"/>
                <w:lang w:val="sq-AL"/>
              </w:rPr>
            </w:pPr>
            <w:r w:rsidRPr="00050FA4">
              <w:rPr>
                <w:sz w:val="18"/>
                <w:szCs w:val="18"/>
                <w:lang w:val="sq-AL"/>
              </w:rPr>
              <w:t>*5</w:t>
            </w:r>
          </w:p>
        </w:tc>
        <w:tc>
          <w:tcPr>
            <w:tcW w:w="1792" w:type="dxa"/>
          </w:tcPr>
          <w:p w14:paraId="4191FD59" w14:textId="381A7AF0" w:rsidR="006A7C45" w:rsidRPr="00050FA4" w:rsidRDefault="006A7C45" w:rsidP="000076C0">
            <w:pPr>
              <w:pStyle w:val="AAAAAAATEXXXX"/>
              <w:ind w:firstLine="0"/>
              <w:jc w:val="right"/>
              <w:rPr>
                <w:sz w:val="18"/>
                <w:szCs w:val="18"/>
                <w:lang w:val="sq-AL"/>
              </w:rPr>
            </w:pPr>
            <w:r w:rsidRPr="00050FA4">
              <w:rPr>
                <w:sz w:val="18"/>
                <w:szCs w:val="18"/>
                <w:lang w:val="sq-AL"/>
              </w:rPr>
              <w:t>20</w:t>
            </w:r>
          </w:p>
        </w:tc>
      </w:tr>
      <w:tr w:rsidR="00FA29AB" w:rsidRPr="00050FA4" w14:paraId="07FEA926" w14:textId="77777777" w:rsidTr="000076C0">
        <w:trPr>
          <w:jc w:val="center"/>
        </w:trPr>
        <w:tc>
          <w:tcPr>
            <w:tcW w:w="4248" w:type="dxa"/>
          </w:tcPr>
          <w:p w14:paraId="5DE5D5BB" w14:textId="6AEB15D6" w:rsidR="006A7C45" w:rsidRPr="00050FA4" w:rsidRDefault="006A7C45" w:rsidP="00A95D23">
            <w:pPr>
              <w:pStyle w:val="AAAAAAATEXXXX"/>
              <w:ind w:firstLine="0"/>
              <w:rPr>
                <w:sz w:val="18"/>
                <w:szCs w:val="18"/>
                <w:lang w:val="sq-AL"/>
              </w:rPr>
            </w:pPr>
            <w:r w:rsidRPr="00050FA4">
              <w:rPr>
                <w:sz w:val="18"/>
                <w:szCs w:val="18"/>
                <w:lang w:val="sq-AL"/>
              </w:rPr>
              <w:t xml:space="preserve">Numri i të punësuarve në sektorin e turizmit detar </w:t>
            </w:r>
          </w:p>
        </w:tc>
        <w:tc>
          <w:tcPr>
            <w:tcW w:w="1791" w:type="dxa"/>
          </w:tcPr>
          <w:p w14:paraId="2EE49C15" w14:textId="57B1ABFA" w:rsidR="006A7C45" w:rsidRPr="00050FA4" w:rsidRDefault="006A7C45" w:rsidP="000076C0">
            <w:pPr>
              <w:pStyle w:val="AAAAAAATEXXXX"/>
              <w:ind w:firstLine="0"/>
              <w:jc w:val="right"/>
              <w:rPr>
                <w:sz w:val="18"/>
                <w:szCs w:val="18"/>
                <w:lang w:val="sq-AL"/>
              </w:rPr>
            </w:pPr>
            <w:r w:rsidRPr="00050FA4">
              <w:rPr>
                <w:sz w:val="18"/>
                <w:szCs w:val="18"/>
                <w:lang w:val="sq-AL"/>
              </w:rPr>
              <w:t>N/A</w:t>
            </w:r>
          </w:p>
        </w:tc>
        <w:tc>
          <w:tcPr>
            <w:tcW w:w="1791" w:type="dxa"/>
          </w:tcPr>
          <w:p w14:paraId="4A060833" w14:textId="561F6BC3" w:rsidR="006A7C45" w:rsidRPr="00050FA4" w:rsidRDefault="006A7C45" w:rsidP="000076C0">
            <w:pPr>
              <w:pStyle w:val="AAAAAAATEXXXX"/>
              <w:ind w:firstLine="0"/>
              <w:jc w:val="right"/>
              <w:rPr>
                <w:sz w:val="18"/>
                <w:szCs w:val="18"/>
                <w:lang w:val="sq-AL"/>
              </w:rPr>
            </w:pPr>
            <w:r w:rsidRPr="00050FA4">
              <w:rPr>
                <w:sz w:val="18"/>
                <w:szCs w:val="18"/>
                <w:lang w:val="sq-AL"/>
              </w:rPr>
              <w:t>+ 400</w:t>
            </w:r>
          </w:p>
        </w:tc>
        <w:tc>
          <w:tcPr>
            <w:tcW w:w="1792" w:type="dxa"/>
          </w:tcPr>
          <w:p w14:paraId="64756DB5" w14:textId="0E75FECB" w:rsidR="006A7C45" w:rsidRPr="00050FA4" w:rsidRDefault="006A7C45" w:rsidP="000076C0">
            <w:pPr>
              <w:pStyle w:val="AAAAAAATEXXXX"/>
              <w:ind w:firstLine="0"/>
              <w:jc w:val="right"/>
              <w:rPr>
                <w:sz w:val="18"/>
                <w:szCs w:val="18"/>
                <w:lang w:val="sq-AL"/>
              </w:rPr>
            </w:pPr>
            <w:r w:rsidRPr="00050FA4">
              <w:rPr>
                <w:sz w:val="18"/>
                <w:szCs w:val="18"/>
                <w:lang w:val="sq-AL"/>
              </w:rPr>
              <w:t>1000</w:t>
            </w:r>
          </w:p>
        </w:tc>
      </w:tr>
      <w:tr w:rsidR="00FA29AB" w:rsidRPr="00050FA4" w14:paraId="133DF691" w14:textId="77777777" w:rsidTr="000076C0">
        <w:trPr>
          <w:jc w:val="center"/>
        </w:trPr>
        <w:tc>
          <w:tcPr>
            <w:tcW w:w="4248" w:type="dxa"/>
          </w:tcPr>
          <w:p w14:paraId="4FABDBF6" w14:textId="5FBC7B40" w:rsidR="006A7C45" w:rsidRPr="00050FA4" w:rsidRDefault="006A7C45" w:rsidP="00A95D23">
            <w:pPr>
              <w:pStyle w:val="AAAAAAATEXXXX"/>
              <w:ind w:firstLine="0"/>
              <w:rPr>
                <w:sz w:val="18"/>
                <w:szCs w:val="18"/>
                <w:lang w:val="sq-AL"/>
              </w:rPr>
            </w:pPr>
            <w:r w:rsidRPr="00050FA4">
              <w:rPr>
                <w:sz w:val="18"/>
                <w:szCs w:val="18"/>
                <w:lang w:val="sq-AL"/>
              </w:rPr>
              <w:t xml:space="preserve">Numri i jahteve që vizitojnë portet dhe numri i prekjes së porteve </w:t>
            </w:r>
          </w:p>
        </w:tc>
        <w:tc>
          <w:tcPr>
            <w:tcW w:w="1791" w:type="dxa"/>
          </w:tcPr>
          <w:p w14:paraId="0F225F4F" w14:textId="1B3F027A" w:rsidR="006A7C45" w:rsidRPr="00050FA4" w:rsidRDefault="006A7C45" w:rsidP="000076C0">
            <w:pPr>
              <w:pStyle w:val="AAAAAAATEXXXX"/>
              <w:ind w:firstLine="0"/>
              <w:jc w:val="right"/>
              <w:rPr>
                <w:sz w:val="18"/>
                <w:szCs w:val="18"/>
                <w:lang w:val="sq-AL"/>
              </w:rPr>
            </w:pPr>
            <w:r w:rsidRPr="00050FA4">
              <w:rPr>
                <w:sz w:val="18"/>
                <w:szCs w:val="18"/>
                <w:lang w:val="sq-AL"/>
              </w:rPr>
              <w:t>441-hyrje &amp; 423-dalje (jahte/anije turistike)</w:t>
            </w:r>
          </w:p>
        </w:tc>
        <w:tc>
          <w:tcPr>
            <w:tcW w:w="1791" w:type="dxa"/>
          </w:tcPr>
          <w:p w14:paraId="34AF259A" w14:textId="4643CA49" w:rsidR="006A7C45" w:rsidRPr="00050FA4" w:rsidRDefault="006A7C45" w:rsidP="000076C0">
            <w:pPr>
              <w:pStyle w:val="AAAAAAATEXXXX"/>
              <w:ind w:firstLine="0"/>
              <w:jc w:val="right"/>
              <w:rPr>
                <w:sz w:val="18"/>
                <w:szCs w:val="18"/>
                <w:lang w:val="sq-AL"/>
              </w:rPr>
            </w:pPr>
            <w:r w:rsidRPr="00050FA4">
              <w:rPr>
                <w:sz w:val="18"/>
                <w:szCs w:val="18"/>
                <w:lang w:val="sq-AL"/>
              </w:rPr>
              <w:t>*1136-hyrje &amp; 1091-dalje (jahte/anije turistike)</w:t>
            </w:r>
          </w:p>
        </w:tc>
        <w:tc>
          <w:tcPr>
            <w:tcW w:w="1792" w:type="dxa"/>
          </w:tcPr>
          <w:p w14:paraId="3E425EDC" w14:textId="478ED954" w:rsidR="006A7C45" w:rsidRPr="00050FA4" w:rsidRDefault="006A7C45" w:rsidP="000076C0">
            <w:pPr>
              <w:pStyle w:val="AAAAAAATEXXXX"/>
              <w:ind w:firstLine="0"/>
              <w:jc w:val="right"/>
              <w:rPr>
                <w:sz w:val="18"/>
                <w:szCs w:val="18"/>
                <w:lang w:val="sq-AL"/>
              </w:rPr>
            </w:pPr>
            <w:r w:rsidRPr="00050FA4">
              <w:rPr>
                <w:sz w:val="18"/>
                <w:szCs w:val="18"/>
                <w:lang w:val="sq-AL"/>
              </w:rPr>
              <w:t>3000</w:t>
            </w:r>
          </w:p>
        </w:tc>
      </w:tr>
      <w:tr w:rsidR="00FA29AB" w:rsidRPr="00050FA4" w14:paraId="2E130154" w14:textId="77777777" w:rsidTr="000076C0">
        <w:trPr>
          <w:trHeight w:val="401"/>
          <w:jc w:val="center"/>
        </w:trPr>
        <w:tc>
          <w:tcPr>
            <w:tcW w:w="4248" w:type="dxa"/>
          </w:tcPr>
          <w:p w14:paraId="5131A7F7" w14:textId="4E3437B8" w:rsidR="006A7C45" w:rsidRPr="00050FA4" w:rsidRDefault="006A7C45" w:rsidP="00A95D23">
            <w:pPr>
              <w:pStyle w:val="AAAAAAATEXXXX"/>
              <w:ind w:firstLine="0"/>
              <w:rPr>
                <w:sz w:val="18"/>
                <w:szCs w:val="18"/>
                <w:lang w:val="sq-AL"/>
              </w:rPr>
            </w:pPr>
            <w:r w:rsidRPr="00050FA4">
              <w:rPr>
                <w:sz w:val="18"/>
                <w:szCs w:val="18"/>
                <w:lang w:val="sq-AL"/>
              </w:rPr>
              <w:t>Numri (inventari) i mjeteve lundruese etj.</w:t>
            </w:r>
          </w:p>
        </w:tc>
        <w:tc>
          <w:tcPr>
            <w:tcW w:w="1791" w:type="dxa"/>
          </w:tcPr>
          <w:p w14:paraId="79059E5F" w14:textId="444A5D45" w:rsidR="006A7C45" w:rsidRPr="00050FA4" w:rsidRDefault="006A7C45" w:rsidP="000076C0">
            <w:pPr>
              <w:pStyle w:val="AAAAAAATEXXXX"/>
              <w:ind w:firstLine="0"/>
              <w:jc w:val="right"/>
              <w:rPr>
                <w:sz w:val="18"/>
                <w:szCs w:val="18"/>
                <w:lang w:val="sq-AL"/>
              </w:rPr>
            </w:pPr>
            <w:r w:rsidRPr="00050FA4">
              <w:rPr>
                <w:sz w:val="18"/>
                <w:szCs w:val="18"/>
                <w:lang w:val="sq-AL"/>
              </w:rPr>
              <w:t>N/A</w:t>
            </w:r>
          </w:p>
        </w:tc>
        <w:tc>
          <w:tcPr>
            <w:tcW w:w="1791" w:type="dxa"/>
          </w:tcPr>
          <w:p w14:paraId="67999513" w14:textId="73E8E838" w:rsidR="006A7C45" w:rsidRPr="00050FA4" w:rsidRDefault="006A7C45" w:rsidP="000076C0">
            <w:pPr>
              <w:pStyle w:val="AAAAAAATEXXXX"/>
              <w:ind w:firstLine="0"/>
              <w:jc w:val="right"/>
              <w:rPr>
                <w:sz w:val="18"/>
                <w:szCs w:val="18"/>
                <w:lang w:val="sq-AL"/>
              </w:rPr>
            </w:pPr>
            <w:r w:rsidRPr="00050FA4">
              <w:rPr>
                <w:sz w:val="18"/>
                <w:szCs w:val="18"/>
                <w:lang w:val="sq-AL"/>
              </w:rPr>
              <w:t>+ 2000</w:t>
            </w:r>
          </w:p>
        </w:tc>
        <w:tc>
          <w:tcPr>
            <w:tcW w:w="1792" w:type="dxa"/>
          </w:tcPr>
          <w:p w14:paraId="09F8EFC5" w14:textId="4921A979" w:rsidR="006A7C45" w:rsidRPr="00050FA4" w:rsidRDefault="006A7C45" w:rsidP="000076C0">
            <w:pPr>
              <w:pStyle w:val="AAAAAAATEXXXX"/>
              <w:ind w:firstLine="0"/>
              <w:jc w:val="right"/>
              <w:rPr>
                <w:sz w:val="18"/>
                <w:szCs w:val="18"/>
                <w:lang w:val="sq-AL"/>
              </w:rPr>
            </w:pPr>
            <w:r w:rsidRPr="00050FA4">
              <w:rPr>
                <w:sz w:val="18"/>
                <w:szCs w:val="18"/>
                <w:lang w:val="sq-AL"/>
              </w:rPr>
              <w:t>2000</w:t>
            </w:r>
          </w:p>
        </w:tc>
      </w:tr>
    </w:tbl>
    <w:p w14:paraId="7FA7C47E" w14:textId="121A5AAC" w:rsidR="002B2B60" w:rsidRPr="00050FA4" w:rsidRDefault="006A7C45" w:rsidP="003F1DA7">
      <w:pPr>
        <w:snapToGrid w:val="0"/>
        <w:ind w:firstLine="284"/>
        <w:rPr>
          <w:rFonts w:ascii="Garamond" w:hAnsi="Garamond"/>
          <w:i/>
          <w:color w:val="0D0D0D" w:themeColor="text1" w:themeTint="F2"/>
          <w:sz w:val="22"/>
          <w:szCs w:val="22"/>
        </w:rPr>
      </w:pPr>
      <w:r w:rsidRPr="00050FA4">
        <w:rPr>
          <w:rFonts w:ascii="Garamond" w:hAnsi="Garamond"/>
          <w:color w:val="0D0D0D" w:themeColor="text1" w:themeTint="F2"/>
        </w:rPr>
        <w:t>*</w:t>
      </w:r>
      <w:r w:rsidR="000076C0" w:rsidRPr="00050FA4">
        <w:rPr>
          <w:rFonts w:ascii="Garamond" w:hAnsi="Garamond"/>
          <w:i/>
          <w:color w:val="0D0D0D" w:themeColor="text1" w:themeTint="F2"/>
          <w:sz w:val="22"/>
          <w:szCs w:val="22"/>
        </w:rPr>
        <w:t xml:space="preserve">Vlerat </w:t>
      </w:r>
      <w:r w:rsidRPr="00050FA4">
        <w:rPr>
          <w:rFonts w:ascii="Garamond" w:hAnsi="Garamond"/>
          <w:i/>
          <w:color w:val="0D0D0D" w:themeColor="text1" w:themeTint="F2"/>
          <w:sz w:val="22"/>
          <w:szCs w:val="22"/>
        </w:rPr>
        <w:t xml:space="preserve">e raportuara i referohen </w:t>
      </w:r>
      <w:r w:rsidR="000076C0" w:rsidRPr="00050FA4">
        <w:rPr>
          <w:rFonts w:ascii="Garamond" w:hAnsi="Garamond"/>
          <w:i/>
          <w:color w:val="0D0D0D" w:themeColor="text1" w:themeTint="F2"/>
          <w:sz w:val="22"/>
          <w:szCs w:val="22"/>
        </w:rPr>
        <w:t xml:space="preserve">periudhës janar–gusht </w:t>
      </w:r>
      <w:r w:rsidRPr="00050FA4">
        <w:rPr>
          <w:rFonts w:ascii="Garamond" w:hAnsi="Garamond"/>
          <w:i/>
          <w:color w:val="0D0D0D" w:themeColor="text1" w:themeTint="F2"/>
          <w:sz w:val="22"/>
          <w:szCs w:val="22"/>
        </w:rPr>
        <w:t>2021</w:t>
      </w:r>
    </w:p>
    <w:p w14:paraId="33D699E5" w14:textId="77777777" w:rsidR="006A7C45" w:rsidRPr="00050FA4" w:rsidRDefault="006A7C45" w:rsidP="003F1DA7">
      <w:pPr>
        <w:pStyle w:val="AAAAAAATEXXXX"/>
        <w:rPr>
          <w:lang w:val="sq-AL"/>
        </w:rPr>
      </w:pPr>
    </w:p>
    <w:p w14:paraId="22D8C8E8" w14:textId="546F49E8" w:rsidR="00836016" w:rsidRPr="00050FA4" w:rsidRDefault="009D23D3" w:rsidP="003F1DA7">
      <w:pPr>
        <w:pStyle w:val="AAAAAAATEXXXX"/>
        <w:rPr>
          <w:lang w:val="sq-AL"/>
        </w:rPr>
      </w:pPr>
      <w:r w:rsidRPr="00050FA4">
        <w:rPr>
          <w:lang w:val="sq-AL"/>
        </w:rPr>
        <w:t xml:space="preserve">3. </w:t>
      </w:r>
      <w:r w:rsidR="004D1F24" w:rsidRPr="00050FA4">
        <w:rPr>
          <w:lang w:val="sq-AL"/>
        </w:rPr>
        <w:t>Ndikimi i pritshëm në konkurrueshmëri</w:t>
      </w:r>
    </w:p>
    <w:p w14:paraId="4B72C9E1" w14:textId="550D6070" w:rsidR="006A7C45" w:rsidRPr="00050FA4" w:rsidRDefault="006A7C45" w:rsidP="003F1DA7">
      <w:pPr>
        <w:pStyle w:val="AAAAAAATEXXXX"/>
        <w:rPr>
          <w:lang w:val="sq-AL" w:eastAsia="x-none"/>
        </w:rPr>
      </w:pPr>
      <w:r w:rsidRPr="00050FA4">
        <w:rPr>
          <w:lang w:val="sq-AL"/>
        </w:rPr>
        <w:t>Kjo reformë do të kontribuojë në uljen e informalitetit dhe në mundësimin e shërbimeve me cilësi më të mirë në sektorin e turizmit detar. Vendosja dhe zbatimi i rregullave dhe rregulloreve të qarta do të inkurajojë dhe promovojë më tej konkurrencën midis bizneseve që operojnë në sektor brenda vendit, si dhe në nivel rajonal. Ai do të forcojë kapacitetet njerëzore si një parakusht thelbësor drejt rritjes.</w:t>
      </w:r>
    </w:p>
    <w:p w14:paraId="0821CF44" w14:textId="66F50F89" w:rsidR="00EC2A3F" w:rsidRPr="00050FA4" w:rsidRDefault="009D23D3"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6F8E9B77" w14:textId="7E7164B9" w:rsidR="006A7C45" w:rsidRPr="00050FA4" w:rsidRDefault="006A7C45" w:rsidP="003F1DA7">
      <w:pPr>
        <w:pStyle w:val="AAAAAAATEXXXX"/>
        <w:rPr>
          <w:lang w:val="sq-AL"/>
        </w:rPr>
      </w:pPr>
      <w:r w:rsidRPr="00050FA4">
        <w:rPr>
          <w:lang w:val="sq-AL"/>
        </w:rPr>
        <w:t>Burimi i financi</w:t>
      </w:r>
      <w:r w:rsidR="00655282" w:rsidRPr="00050FA4">
        <w:rPr>
          <w:lang w:val="sq-AL"/>
        </w:rPr>
        <w:t>mit është buxheti i shtetit (s’</w:t>
      </w:r>
      <w:r w:rsidRPr="00050FA4">
        <w:rPr>
          <w:lang w:val="sq-AL"/>
        </w:rPr>
        <w:t>ka kosto shtesë).</w:t>
      </w:r>
    </w:p>
    <w:p w14:paraId="69041609" w14:textId="79DD597F" w:rsidR="00EC2A3F" w:rsidRPr="00050FA4" w:rsidRDefault="009D23D3"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1DC796CD" w14:textId="10B667AD" w:rsidR="006A7C45" w:rsidRPr="00050FA4" w:rsidRDefault="006A7C45" w:rsidP="003F1DA7">
      <w:pPr>
        <w:pStyle w:val="AAAAAAATEXXXX"/>
        <w:rPr>
          <w:lang w:val="sq-AL"/>
        </w:rPr>
      </w:pPr>
      <w:r w:rsidRPr="00050FA4">
        <w:rPr>
          <w:lang w:val="sq-AL"/>
        </w:rPr>
        <w:t>Turizmi detar në Shqipëri është ndër sektorët me përfitime të përhapura ekonomike, por me potencial të pashfrytëzuar. Përveç të ardhurave që pritet të gjenerohen nga shërbimet e drejtpërdrejta, turizmi detar gjeneron përfitime të panumërta indirekte në punësim dhe të ardhura siç tregojnë praktikat e suksesit të vendeve fqinje. Si pasojë, një efekt pozitiv pritet sa i përket rritjes së investimeve, e si rrjedhojë punësimit dhe e të ardhurave buxhetore. Gjithashtu sektorë të tjerë të lidhur me lundrimin turistik do të njohin rritje, kryesisht furnizuesit e karburanteve, importuesit e pjesëve të këmbimit, kurset profesionale për një sërë pozicionesh pune. Impaktet ekonomike priten të afektojnë veçanërisht autoritetet publike dhe bizneset e vogla dhe të mesme.</w:t>
      </w:r>
    </w:p>
    <w:p w14:paraId="63F9732A" w14:textId="3BBF5DF0" w:rsidR="00EC2A3F" w:rsidRPr="00050FA4" w:rsidRDefault="009D23D3"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67363B56" w14:textId="77777777" w:rsidR="006A7C45" w:rsidRPr="00050FA4" w:rsidRDefault="006A7C45" w:rsidP="003F1DA7">
      <w:pPr>
        <w:pStyle w:val="AAAAAAATEXXXX"/>
        <w:rPr>
          <w:lang w:val="sq-AL"/>
        </w:rPr>
      </w:pPr>
      <w:r w:rsidRPr="00050FA4">
        <w:rPr>
          <w:lang w:val="sq-AL"/>
        </w:rPr>
        <w:t xml:space="preserve">Ndër të tjera, në hartimin e kuadrit ligjor për aktivitetet e turizmit detar, janë rishikuar dhe marrë parasysh konventat ndërkombëtare detare, të tilla si: Konventa e UNESCO-s për Mbrojtjen e Trashëgimisë Kulturore Nënujore, Konventa për Mbrojtjen e Jetës Detare dhe Bregut Mesdhetar, Konventa Ndërkombëtare për Kërkimin dhe Shpëtimin Detar, Konventa Ndërkombëtare për </w:t>
      </w:r>
      <w:r w:rsidRPr="00050FA4">
        <w:rPr>
          <w:lang w:val="sq-AL"/>
        </w:rPr>
        <w:lastRenderedPageBreak/>
        <w:t>Parandalimin e Ndotjes së Anijeve.</w:t>
      </w:r>
    </w:p>
    <w:p w14:paraId="459767D6" w14:textId="268F40C3" w:rsidR="006A7C45" w:rsidRPr="00050FA4" w:rsidRDefault="006A7C45" w:rsidP="003F1DA7">
      <w:pPr>
        <w:pStyle w:val="AAAAAAATEXXXX"/>
        <w:rPr>
          <w:lang w:val="sq-AL"/>
        </w:rPr>
      </w:pPr>
      <w:r w:rsidRPr="00050FA4">
        <w:rPr>
          <w:lang w:val="sq-AL"/>
        </w:rPr>
        <w:t>Ndërhyrjet e reja ligjore synojnë mbajtjen në kontroll të ndotjes së shkaktuar nga aktivitetet e lundrimit detar për shkak të shkallës së kontrollit në rritje që sjell ndërhyrja rregullatore.</w:t>
      </w:r>
    </w:p>
    <w:p w14:paraId="6532AFBE" w14:textId="77777777" w:rsidR="00A95D23" w:rsidRPr="00050FA4" w:rsidRDefault="00A95D23" w:rsidP="003F1DA7">
      <w:pPr>
        <w:pStyle w:val="AAAAAAATEXXXX"/>
        <w:rPr>
          <w:lang w:val="sq-AL"/>
        </w:rPr>
      </w:pPr>
    </w:p>
    <w:p w14:paraId="777A5A7A" w14:textId="3783A352" w:rsidR="00EC2A3F" w:rsidRPr="00050FA4" w:rsidRDefault="009D23D3" w:rsidP="003F1DA7">
      <w:pPr>
        <w:pStyle w:val="AAAAAAATEXXXX"/>
        <w:rPr>
          <w:lang w:val="sq-AL"/>
        </w:rPr>
      </w:pPr>
      <w:r w:rsidRPr="00050FA4">
        <w:rPr>
          <w:lang w:val="sq-AL"/>
        </w:rPr>
        <w:t xml:space="preserve">7. </w:t>
      </w:r>
      <w:r w:rsidR="00B2062A" w:rsidRPr="00050FA4">
        <w:rPr>
          <w:lang w:val="sq-AL"/>
        </w:rPr>
        <w:t>Rreziqet e mundshme</w:t>
      </w:r>
    </w:p>
    <w:tbl>
      <w:tblPr>
        <w:tblStyle w:val="TableGrid"/>
        <w:tblW w:w="0" w:type="auto"/>
        <w:jc w:val="center"/>
        <w:tblLook w:val="04A0" w:firstRow="1" w:lastRow="0" w:firstColumn="1" w:lastColumn="0" w:noHBand="0" w:noVBand="1"/>
      </w:tblPr>
      <w:tblGrid>
        <w:gridCol w:w="3823"/>
        <w:gridCol w:w="1559"/>
        <w:gridCol w:w="4240"/>
      </w:tblGrid>
      <w:tr w:rsidR="00FA29AB" w:rsidRPr="00050FA4" w14:paraId="0E173ABA" w14:textId="77777777" w:rsidTr="00773BF3">
        <w:trPr>
          <w:jc w:val="center"/>
        </w:trPr>
        <w:tc>
          <w:tcPr>
            <w:tcW w:w="3823" w:type="dxa"/>
            <w:vAlign w:val="center"/>
          </w:tcPr>
          <w:p w14:paraId="7E494935" w14:textId="258175AA" w:rsidR="00836016" w:rsidRPr="00050FA4" w:rsidRDefault="00B2062A" w:rsidP="00773BF3">
            <w:pPr>
              <w:snapToGrid w:val="0"/>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Rreziku</w:t>
            </w:r>
          </w:p>
        </w:tc>
        <w:tc>
          <w:tcPr>
            <w:tcW w:w="1559" w:type="dxa"/>
            <w:vAlign w:val="center"/>
          </w:tcPr>
          <w:p w14:paraId="07B5C23F" w14:textId="77777777" w:rsidR="00773BF3" w:rsidRPr="00050FA4" w:rsidRDefault="00B2062A" w:rsidP="00773BF3">
            <w:pPr>
              <w:snapToGrid w:val="0"/>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Mundësia</w:t>
            </w:r>
            <w:r w:rsidR="00836016" w:rsidRPr="00050FA4">
              <w:rPr>
                <w:rFonts w:ascii="Garamond" w:hAnsi="Garamond" w:cstheme="majorBidi"/>
                <w:color w:val="0D0D0D" w:themeColor="text1" w:themeTint="F2"/>
                <w:sz w:val="18"/>
                <w:szCs w:val="18"/>
              </w:rPr>
              <w:t xml:space="preserve"> </w:t>
            </w:r>
          </w:p>
          <w:p w14:paraId="5C8A63DF" w14:textId="62E9A3FB" w:rsidR="00836016" w:rsidRPr="00050FA4" w:rsidRDefault="00836016" w:rsidP="00773BF3">
            <w:pPr>
              <w:snapToGrid w:val="0"/>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w:t>
            </w:r>
            <w:r w:rsidR="00B2062A" w:rsidRPr="00050FA4">
              <w:rPr>
                <w:rFonts w:ascii="Garamond" w:hAnsi="Garamond" w:cstheme="majorBidi"/>
                <w:color w:val="0D0D0D" w:themeColor="text1" w:themeTint="F2"/>
                <w:sz w:val="18"/>
                <w:szCs w:val="18"/>
              </w:rPr>
              <w:t>e ulët, e lartë</w:t>
            </w:r>
            <w:r w:rsidRPr="00050FA4">
              <w:rPr>
                <w:rFonts w:ascii="Garamond" w:hAnsi="Garamond" w:cstheme="majorBidi"/>
                <w:color w:val="0D0D0D" w:themeColor="text1" w:themeTint="F2"/>
                <w:sz w:val="18"/>
                <w:szCs w:val="18"/>
              </w:rPr>
              <w:t>)</w:t>
            </w:r>
          </w:p>
        </w:tc>
        <w:tc>
          <w:tcPr>
            <w:tcW w:w="4240" w:type="dxa"/>
            <w:vAlign w:val="center"/>
          </w:tcPr>
          <w:p w14:paraId="44265853" w14:textId="2D12D11A" w:rsidR="00836016" w:rsidRPr="00050FA4" w:rsidRDefault="00B2062A" w:rsidP="00773BF3">
            <w:pPr>
              <w:snapToGrid w:val="0"/>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Veprimi zbutës i parashikuar</w:t>
            </w:r>
          </w:p>
        </w:tc>
      </w:tr>
      <w:tr w:rsidR="00FA29AB" w:rsidRPr="00050FA4" w14:paraId="08ACC65A" w14:textId="77777777" w:rsidTr="00773BF3">
        <w:trPr>
          <w:jc w:val="center"/>
        </w:trPr>
        <w:tc>
          <w:tcPr>
            <w:tcW w:w="3823" w:type="dxa"/>
          </w:tcPr>
          <w:p w14:paraId="2C34AB7E" w14:textId="4B8307FE" w:rsidR="006A7C45" w:rsidRPr="00050FA4" w:rsidRDefault="006A7C4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Mos-përgatitja dhe mos-miratimi i akteve nënligjore në përputhje me dispozitat e ligjit, të cilat lidhen kryesisht me mungesën e përvojës.</w:t>
            </w:r>
          </w:p>
        </w:tc>
        <w:tc>
          <w:tcPr>
            <w:tcW w:w="1559" w:type="dxa"/>
          </w:tcPr>
          <w:p w14:paraId="7BA3C3E8" w14:textId="7CD6733C" w:rsidR="006A7C45" w:rsidRPr="00050FA4" w:rsidRDefault="006A7C4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pacing w:val="-1"/>
                <w:sz w:val="18"/>
                <w:szCs w:val="18"/>
              </w:rPr>
              <w:t>I mesëm</w:t>
            </w:r>
          </w:p>
        </w:tc>
        <w:tc>
          <w:tcPr>
            <w:tcW w:w="4240" w:type="dxa"/>
          </w:tcPr>
          <w:p w14:paraId="549F91E4" w14:textId="00F918BC" w:rsidR="006A7C45" w:rsidRPr="00050FA4" w:rsidRDefault="006A7C4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Identifikimi i burimeve që sigurojnë asistencë teknike në përgatitjen dhe hartimin e të gjitha akteve nënligjore. Për këtë do të jetë e nevojshme ekspertiza e ekspertëve të huaj dhe </w:t>
            </w:r>
            <w:r w:rsidR="00643BAF" w:rsidRPr="00050FA4">
              <w:rPr>
                <w:rFonts w:ascii="Garamond" w:hAnsi="Garamond"/>
                <w:color w:val="0D0D0D" w:themeColor="text1" w:themeTint="F2"/>
                <w:sz w:val="18"/>
                <w:szCs w:val="18"/>
              </w:rPr>
              <w:t>vendës</w:t>
            </w:r>
            <w:r w:rsidRPr="00050FA4">
              <w:rPr>
                <w:rFonts w:ascii="Garamond" w:hAnsi="Garamond"/>
                <w:color w:val="0D0D0D" w:themeColor="text1" w:themeTint="F2"/>
                <w:sz w:val="18"/>
                <w:szCs w:val="18"/>
              </w:rPr>
              <w:t xml:space="preserve">. </w:t>
            </w:r>
          </w:p>
        </w:tc>
      </w:tr>
      <w:tr w:rsidR="00FA29AB" w:rsidRPr="00050FA4" w14:paraId="69155A25" w14:textId="77777777" w:rsidTr="00773BF3">
        <w:trPr>
          <w:jc w:val="center"/>
        </w:trPr>
        <w:tc>
          <w:tcPr>
            <w:tcW w:w="3823" w:type="dxa"/>
          </w:tcPr>
          <w:p w14:paraId="67421B19" w14:textId="687A503E" w:rsidR="006A7C45" w:rsidRPr="00050FA4" w:rsidRDefault="006A7C4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Pandemia </w:t>
            </w:r>
            <w:r w:rsidR="004B3389" w:rsidRPr="00050FA4">
              <w:rPr>
                <w:rFonts w:ascii="Garamond" w:hAnsi="Garamond"/>
                <w:color w:val="0D0D0D" w:themeColor="text1" w:themeTint="F2"/>
                <w:sz w:val="18"/>
                <w:szCs w:val="18"/>
              </w:rPr>
              <w:t>COVID</w:t>
            </w:r>
            <w:r w:rsidRPr="00050FA4">
              <w:rPr>
                <w:rFonts w:ascii="Garamond" w:hAnsi="Garamond"/>
                <w:color w:val="0D0D0D" w:themeColor="text1" w:themeTint="F2"/>
                <w:sz w:val="18"/>
                <w:szCs w:val="18"/>
              </w:rPr>
              <w:t>-19</w:t>
            </w:r>
          </w:p>
        </w:tc>
        <w:tc>
          <w:tcPr>
            <w:tcW w:w="1559" w:type="dxa"/>
          </w:tcPr>
          <w:p w14:paraId="6E1674F5" w14:textId="625237F7" w:rsidR="006A7C45" w:rsidRPr="00050FA4" w:rsidRDefault="006A7C4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I mesëm</w:t>
            </w:r>
          </w:p>
        </w:tc>
        <w:tc>
          <w:tcPr>
            <w:tcW w:w="4240" w:type="dxa"/>
          </w:tcPr>
          <w:p w14:paraId="6E91C3E7" w14:textId="796FADE4" w:rsidR="006A7C45" w:rsidRPr="00050FA4" w:rsidRDefault="006A7C4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Planifikim i kujdesshëm i kalendarit të aktiviteteve duke mbajtur në konsideratë faktin e alternimit të punës mes prezencës fizike dhe asaj </w:t>
            </w:r>
            <w:r w:rsidRPr="00050FA4">
              <w:rPr>
                <w:rFonts w:ascii="Garamond" w:hAnsi="Garamond"/>
                <w:i/>
                <w:color w:val="0D0D0D" w:themeColor="text1" w:themeTint="F2"/>
                <w:sz w:val="18"/>
                <w:szCs w:val="18"/>
              </w:rPr>
              <w:t>online</w:t>
            </w:r>
            <w:r w:rsidRPr="00050FA4">
              <w:rPr>
                <w:rFonts w:ascii="Garamond" w:hAnsi="Garamond"/>
                <w:color w:val="0D0D0D" w:themeColor="text1" w:themeTint="F2"/>
                <w:sz w:val="18"/>
                <w:szCs w:val="18"/>
              </w:rPr>
              <w:t xml:space="preserve">, si dhe vendosja e </w:t>
            </w:r>
            <w:r w:rsidR="00A72F9A" w:rsidRPr="00050FA4">
              <w:rPr>
                <w:rFonts w:ascii="Garamond" w:hAnsi="Garamond"/>
                <w:color w:val="0D0D0D" w:themeColor="text1" w:themeTint="F2"/>
                <w:sz w:val="18"/>
                <w:szCs w:val="18"/>
              </w:rPr>
              <w:t>një</w:t>
            </w:r>
            <w:r w:rsidRPr="00050FA4">
              <w:rPr>
                <w:rFonts w:ascii="Garamond" w:hAnsi="Garamond"/>
                <w:color w:val="0D0D0D" w:themeColor="text1" w:themeTint="F2"/>
                <w:sz w:val="18"/>
                <w:szCs w:val="18"/>
              </w:rPr>
              <w:t xml:space="preserve"> bashkëpunimi të ngushtë me </w:t>
            </w:r>
            <w:r w:rsidR="00A72F9A" w:rsidRPr="00050FA4">
              <w:rPr>
                <w:rFonts w:ascii="Garamond" w:hAnsi="Garamond"/>
                <w:color w:val="0D0D0D" w:themeColor="text1" w:themeTint="F2"/>
                <w:sz w:val="18"/>
                <w:szCs w:val="18"/>
              </w:rPr>
              <w:t>institucionet</w:t>
            </w:r>
            <w:r w:rsidRPr="00050FA4">
              <w:rPr>
                <w:rFonts w:ascii="Garamond" w:hAnsi="Garamond"/>
                <w:color w:val="0D0D0D" w:themeColor="text1" w:themeTint="F2"/>
                <w:sz w:val="18"/>
                <w:szCs w:val="18"/>
              </w:rPr>
              <w:t xml:space="preserve"> partnere. </w:t>
            </w:r>
          </w:p>
        </w:tc>
      </w:tr>
    </w:tbl>
    <w:p w14:paraId="7660E54A" w14:textId="77777777" w:rsidR="00836016" w:rsidRPr="00050FA4" w:rsidRDefault="00836016" w:rsidP="003F1DA7">
      <w:pPr>
        <w:snapToGrid w:val="0"/>
        <w:ind w:firstLine="284"/>
        <w:rPr>
          <w:rFonts w:ascii="Garamond" w:hAnsi="Garamond" w:cstheme="majorBidi"/>
          <w:color w:val="0D0D0D" w:themeColor="text1" w:themeTint="F2"/>
        </w:rPr>
      </w:pPr>
    </w:p>
    <w:p w14:paraId="70206EB1" w14:textId="621C546F" w:rsidR="00C21F03" w:rsidRPr="00050FA4" w:rsidRDefault="004127C4" w:rsidP="003F1DA7">
      <w:pPr>
        <w:pStyle w:val="AAAAAAATEXXXX"/>
        <w:rPr>
          <w:b/>
          <w:lang w:val="sq-AL"/>
        </w:rPr>
      </w:pPr>
      <w:bookmarkStart w:id="67" w:name="_Toc93325777"/>
      <w:r w:rsidRPr="00050FA4">
        <w:rPr>
          <w:b/>
          <w:lang w:val="sq-AL"/>
        </w:rPr>
        <w:t xml:space="preserve">5.2.9 </w:t>
      </w:r>
      <w:r w:rsidR="00A72F9A" w:rsidRPr="00050FA4">
        <w:rPr>
          <w:b/>
          <w:lang w:val="sq-AL"/>
        </w:rPr>
        <w:t>Arsimimi dhe aftësitë</w:t>
      </w:r>
      <w:bookmarkEnd w:id="67"/>
    </w:p>
    <w:p w14:paraId="65F3DF26" w14:textId="403092B2" w:rsidR="0030742B" w:rsidRPr="00050FA4" w:rsidRDefault="00892664" w:rsidP="003F1DA7">
      <w:pPr>
        <w:pStyle w:val="AAAAAAATEXXXX"/>
        <w:rPr>
          <w:b/>
          <w:i/>
          <w:lang w:val="sq-AL"/>
        </w:rPr>
      </w:pPr>
      <w:r w:rsidRPr="00050FA4">
        <w:rPr>
          <w:b/>
          <w:i/>
          <w:lang w:val="sq-AL"/>
        </w:rPr>
        <w:t>a</w:t>
      </w:r>
      <w:r w:rsidR="00773BF3" w:rsidRPr="00050FA4">
        <w:rPr>
          <w:b/>
          <w:i/>
          <w:lang w:val="sq-AL"/>
        </w:rPr>
        <w:t>)</w:t>
      </w:r>
      <w:r w:rsidRPr="00050FA4">
        <w:rPr>
          <w:b/>
          <w:i/>
          <w:lang w:val="sq-AL"/>
        </w:rPr>
        <w:t xml:space="preserve"> </w:t>
      </w:r>
      <w:r w:rsidR="00B2062A" w:rsidRPr="00050FA4">
        <w:rPr>
          <w:b/>
          <w:i/>
          <w:lang w:val="sq-AL"/>
        </w:rPr>
        <w:t>Analiza e pengesave kryesore</w:t>
      </w:r>
    </w:p>
    <w:p w14:paraId="21017D7D" w14:textId="4FAF5342" w:rsidR="00A72F9A" w:rsidRPr="00050FA4" w:rsidRDefault="00A72F9A" w:rsidP="003F1DA7">
      <w:pPr>
        <w:pStyle w:val="AAAAAAATEXXXX"/>
        <w:rPr>
          <w:lang w:val="sq-AL"/>
        </w:rPr>
      </w:pPr>
      <w:r w:rsidRPr="00050FA4">
        <w:rPr>
          <w:lang w:val="sq-AL"/>
        </w:rPr>
        <w:t>Përfshirja ka qenë fokusi i politikave arsimore në Shqipëri gjatë dekadës së fundit, duke synuar rritjen e pjesëmarrjes në arsim në fëmijërinë e hershme, si dhe pjesëmarrjen në edukimin e fëmijëve nga grupet vulnerabël. Pjesëmarrja në arsimin para universitar të fëmijëve me aftësi të kufizuara është rritur nga viti në vit. Kjo vlen veçanërisht për shkollat e zakonshme, ku numri i fëmijëve me aftësi të kufizuara është rritur nga 2,849 gjatë vitit akademik 2013/14 në 4672 gjatë vitit akademik 2020/21, me rreth 79% të këtyre fëmijëve që ndjekin arsimin bazë, 10% e tyre shkojnë në arsimin parashkollor dhe pjesa tjetër marrin pjesë në arsimin e mesëm të lartë. Ndërkohë në shkolla speciale ndjekin mësimin 541 fëmijë me aftësi të kufizuara. Progres është bërë me përmirësimin e mësimit të gjuhës shqipe të shenjave për rritjen e cilësisë arsimore të nxënësve që nuk dëgjojnë deri në arsimin e mesëm.</w:t>
      </w:r>
    </w:p>
    <w:p w14:paraId="5137F99B" w14:textId="5D5BAF93" w:rsidR="00A72F9A" w:rsidRPr="00050FA4" w:rsidRDefault="00A72F9A" w:rsidP="003F1DA7">
      <w:pPr>
        <w:pStyle w:val="AAAAAAATEXXXX"/>
        <w:rPr>
          <w:lang w:val="sq-AL"/>
        </w:rPr>
      </w:pPr>
      <w:r w:rsidRPr="00050FA4">
        <w:rPr>
          <w:lang w:val="sq-AL"/>
        </w:rPr>
        <w:t>Pavarësisht angazhimit të MAS</w:t>
      </w:r>
      <w:r w:rsidR="00E4728F" w:rsidRPr="00050FA4">
        <w:rPr>
          <w:lang w:val="sq-AL"/>
        </w:rPr>
        <w:t>-it</w:t>
      </w:r>
      <w:r w:rsidRPr="00050FA4">
        <w:rPr>
          <w:lang w:val="sq-AL"/>
        </w:rPr>
        <w:t xml:space="preserve"> për ofrimin e arsimit gjithëpërfshirës për të gjithë fëmijët, ende nuk janë hedhur baza të rëndësishme për pjesëmarrjen e të gjithë fëmijëve me aftësi të kufizuara dhe sigurimin që të gjitha shkollat të kenë plotësuar të gjitha standardet e gjithë përfshirjes, numrin e nevojshëm të mësuesve mbështetës, shërbimet psikosociale, dhe pajisjet/infrastruktura e aftësisë së kufizuar dhe vlerësimi i aftësisë së kufizuar.</w:t>
      </w:r>
    </w:p>
    <w:p w14:paraId="6B6F84B9" w14:textId="7352E98C" w:rsidR="00A72F9A" w:rsidRPr="00050FA4" w:rsidRDefault="00A72F9A" w:rsidP="003F1DA7">
      <w:pPr>
        <w:pStyle w:val="AAAAAAATEXXXX"/>
        <w:rPr>
          <w:lang w:val="sq-AL"/>
        </w:rPr>
      </w:pPr>
      <w:r w:rsidRPr="00050FA4">
        <w:rPr>
          <w:lang w:val="sq-AL"/>
        </w:rPr>
        <w:t>Republika e Shqipërisë ka një rrjet prej 3582 institucionesh arsimore para universitare, nga të cilat 3113 janë publike dhe 469 private (viti shkollor 2020</w:t>
      </w:r>
      <w:r w:rsidR="006A27AC" w:rsidRPr="00050FA4">
        <w:rPr>
          <w:lang w:val="sq-AL"/>
        </w:rPr>
        <w:t>–</w:t>
      </w:r>
      <w:r w:rsidRPr="00050FA4">
        <w:rPr>
          <w:lang w:val="sq-AL"/>
        </w:rPr>
        <w:t>2021). Vitet e fundit vihet re një tendencë e qartë - reduktimi i numrit të fëmijëve/nxënësve në të gjitha nivelet e arsimit para universitar, si rezultat i uljes së popullsisë rezidente, uljes së fertilitetit dhe migrimit etj. Shqipëria ka një numër të konsiderueshëm të shkollave të vogla me klasa të përbashkëta ku mësojnë së bashku edhe nxënës të klasave të ndryshme (klasat kolektive). Në këtë drejtim, racionalizimi i shkollave duhet të trajtohet më tej.</w:t>
      </w:r>
    </w:p>
    <w:p w14:paraId="3043B01C" w14:textId="785EEE7A" w:rsidR="00A72F9A" w:rsidRPr="00050FA4" w:rsidRDefault="00A72F9A" w:rsidP="003F1DA7">
      <w:pPr>
        <w:pStyle w:val="AAAAAAATEXXXX"/>
        <w:rPr>
          <w:lang w:val="sq-AL"/>
        </w:rPr>
      </w:pPr>
      <w:r w:rsidRPr="00050FA4">
        <w:rPr>
          <w:lang w:val="sq-AL"/>
        </w:rPr>
        <w:t>Për koordinimin e aktiviteteve në këtë fushë nevojitet zhvillimi i mëtejshëm i politikave multisektoriale të edukimit të fëmijërisë së hershme. Në fushën e shërbimeve publike dhe infrastrukturës, njësitë e qeverisjes vendore janë përgjegjëse për menaxhimin dhe rregullimin e sistemit arsimor parashkollor në kopshte dhe çerdhe. Referuar pikës 12, t</w:t>
      </w:r>
      <w:r w:rsidR="000C71F9" w:rsidRPr="00050FA4">
        <w:rPr>
          <w:lang w:val="sq-AL"/>
        </w:rPr>
        <w:t>ë</w:t>
      </w:r>
      <w:r w:rsidRPr="00050FA4">
        <w:rPr>
          <w:lang w:val="sq-AL"/>
        </w:rPr>
        <w:t xml:space="preserve"> nenit 23, t</w:t>
      </w:r>
      <w:r w:rsidR="000C71F9" w:rsidRPr="00050FA4">
        <w:rPr>
          <w:lang w:val="sq-AL"/>
        </w:rPr>
        <w:t>ë</w:t>
      </w:r>
      <w:r w:rsidRPr="00050FA4">
        <w:rPr>
          <w:lang w:val="sq-AL"/>
        </w:rPr>
        <w:t xml:space="preserve"> ligjit nr.</w:t>
      </w:r>
      <w:r w:rsidR="004B3389" w:rsidRPr="00050FA4">
        <w:rPr>
          <w:lang w:val="sq-AL"/>
        </w:rPr>
        <w:t xml:space="preserve"> </w:t>
      </w:r>
      <w:r w:rsidRPr="00050FA4">
        <w:rPr>
          <w:lang w:val="sq-AL"/>
        </w:rPr>
        <w:t xml:space="preserve">139/2015, </w:t>
      </w:r>
      <w:r w:rsidR="00E4728F" w:rsidRPr="00050FA4">
        <w:rPr>
          <w:lang w:val="sq-AL"/>
        </w:rPr>
        <w:t>të</w:t>
      </w:r>
      <w:r w:rsidRPr="00050FA4">
        <w:rPr>
          <w:lang w:val="sq-AL"/>
        </w:rPr>
        <w:t xml:space="preserve"> ndryshuar, njësitë e qeverisjes vendore janë përgjegjëse për menaxhimin dhe rregullimin e sistemit arsimor parashkollor në kopshte dhe çerdhe. Ndërkohë, orët përgatitore janë nën përgjegjësinë e Ministrisë së Arsimit dhe Sportit.</w:t>
      </w:r>
    </w:p>
    <w:p w14:paraId="2FC7E23D" w14:textId="24390401"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Përmirësimi i infrastrukturës shkollore ka një rëndësi të veçantë në politikat e shtetit shqiptar. Gjatë viteve 2018 dhe 2019, shpenzimet kapitale të ish</w:t>
      </w:r>
      <w:r w:rsidR="006E008D" w:rsidRPr="00050FA4">
        <w:rPr>
          <w:rStyle w:val="y2iqfc"/>
          <w:color w:val="0D0D0D" w:themeColor="text1" w:themeTint="F2"/>
          <w:lang w:val="sq-AL"/>
        </w:rPr>
        <w:t>-</w:t>
      </w:r>
      <w:r w:rsidRPr="00050FA4">
        <w:rPr>
          <w:rStyle w:val="y2iqfc"/>
          <w:color w:val="0D0D0D" w:themeColor="text1" w:themeTint="F2"/>
          <w:lang w:val="sq-AL"/>
        </w:rPr>
        <w:t>MASR-së arritën në 6.52 miliardë lekë (~ 53 milionë euro). Tërmeti i 26 nëntorit 2019 ka shkaktuar dëme të konsiderueshme në infrastrukturën e shkollës. Sipas të dhënave të disponueshme, nga tërmeti janë prekur 321 institucione të ndryshme arsimore në 11 bashki, prej të cilave 76 janë prishur, 75 janë riparuar dhe 170 kanë pësuar dëme të vogla. Krahas infrastrukturës janë dëmtuar edhe asete fizike si mobil</w:t>
      </w:r>
      <w:r w:rsidR="004B3389" w:rsidRPr="00050FA4">
        <w:rPr>
          <w:rStyle w:val="y2iqfc"/>
          <w:color w:val="0D0D0D" w:themeColor="text1" w:themeTint="F2"/>
          <w:lang w:val="sq-AL"/>
        </w:rPr>
        <w:t>i</w:t>
      </w:r>
      <w:r w:rsidRPr="00050FA4">
        <w:rPr>
          <w:rStyle w:val="y2iqfc"/>
          <w:color w:val="0D0D0D" w:themeColor="text1" w:themeTint="F2"/>
          <w:lang w:val="sq-AL"/>
        </w:rPr>
        <w:t>e, laboratorë, biblioteka etj. Dëmet më të mëdha kanë ndodhur në bashkitë e Tiranës dhe Durrësit, ku janë prekur përkatësisht 55% dhe 21% e objekteve shkollore. Mendohet se buxheti i nevojshëm për rindërtimin dhe riparimin e infrastrukturës shkollore të dëmtuar nga tërmeti duhet të jetë 94.83 milionë euro, nga të cilat 54 milionë euro duhet të investohen në vitin 2020, ndërsa 39 milionë euro në vitin 2021 dhe 2022. Asokohe, MASR</w:t>
      </w:r>
      <w:r w:rsidR="004B3389" w:rsidRPr="00050FA4">
        <w:rPr>
          <w:rStyle w:val="y2iqfc"/>
          <w:color w:val="0D0D0D" w:themeColor="text1" w:themeTint="F2"/>
          <w:lang w:val="sq-AL"/>
        </w:rPr>
        <w:t>-ja</w:t>
      </w:r>
      <w:r w:rsidRPr="00050FA4">
        <w:rPr>
          <w:rStyle w:val="y2iqfc"/>
          <w:color w:val="0D0D0D" w:themeColor="text1" w:themeTint="F2"/>
          <w:lang w:val="sq-AL"/>
        </w:rPr>
        <w:t xml:space="preserve"> ka miratuar standarde për projektimin e shkollave dhe kopshteve, të cilat do të shërbejnë si referencë për personat e përfshirë në planifikimin, programimin, projektimin dhe procesin e ndërtimit të objekteve/ambienteve të reja shkollore </w:t>
      </w:r>
      <w:r w:rsidRPr="00050FA4">
        <w:rPr>
          <w:rStyle w:val="y2iqfc"/>
          <w:color w:val="0D0D0D" w:themeColor="text1" w:themeTint="F2"/>
          <w:lang w:val="sq-AL"/>
        </w:rPr>
        <w:lastRenderedPageBreak/>
        <w:t>apo rehabilitimin e ndërtesave ekzistuese. Megjithatë, një sfidë për investimet në infrastrukturë mund të jenë mungesat buxhetore për sistemin arsimor të imponuara nga reduktimi i pritshëm ekonomik, si pasojë e pandemisë COVID-19 dhe dëmeve të shkaktuara nga tërmeti i vitit 2019.</w:t>
      </w:r>
    </w:p>
    <w:p w14:paraId="223EFD40" w14:textId="77777777"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Për sa i përket cilësisë së arsimit, Shqipëria ka parë përmirësime të qëndrueshme dhe thelbësore në shkencë, lexim dhe matematikë.</w:t>
      </w:r>
    </w:p>
    <w:p w14:paraId="658657D7" w14:textId="77777777" w:rsidR="00A72F9A" w:rsidRPr="00050FA4" w:rsidRDefault="00A72F9A" w:rsidP="003F1DA7">
      <w:pPr>
        <w:pStyle w:val="AAAAAAATEXXXX"/>
        <w:rPr>
          <w:lang w:val="sq-AL"/>
        </w:rPr>
      </w:pPr>
      <w:r w:rsidRPr="00050FA4">
        <w:rPr>
          <w:rStyle w:val="y2iqfc"/>
          <w:color w:val="0D0D0D" w:themeColor="text1" w:themeTint="F2"/>
          <w:lang w:val="sq-AL"/>
        </w:rPr>
        <w:t>Sipas raportit të PISA 2015, rritja e rezultateve të PISA-s (ndërmjet viteve 2009 dhe 2015) në matematikë dhe shkencë është e barabartë me njohuritë që nxënësit marrin në një vit shkollimi, dhe në lexim, me një gjysmë viti shkollimi.</w:t>
      </w:r>
    </w:p>
    <w:p w14:paraId="6DE4B9E8" w14:textId="77777777"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Rezultatet e PISA 2018 tregojnë gjithashtu përmirësim në matematikë krahasuar me rezultatet e vitit 2015, pa përmirësim në lexim, dhe rënie në shkencë me 10 pikë. Arritjet e pamjaftueshme në arsim, e matur nga përqindja e nxënësve 15-vjeçarë që performojnë nën nivelin 2 në testin e aftësisë së matematikës PISA, është përmirësuar nga 67.7% në 2009 në 42.4% në 2018. Edhe pse përmirësimi ka qenë i qëndrueshëm në rezultatet e PISA që nga viti 2000, rezultatet janë të ulëta në krahasim me ekonomitë e OECD.</w:t>
      </w:r>
    </w:p>
    <w:p w14:paraId="7ABCDB36" w14:textId="451C4476"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Gjatë vitit shkollor 2019</w:t>
      </w:r>
      <w:r w:rsidR="00E4728F" w:rsidRPr="00050FA4">
        <w:rPr>
          <w:rFonts w:cstheme="majorBidi"/>
          <w:color w:val="0D0D0D" w:themeColor="text1" w:themeTint="F2"/>
          <w:lang w:val="sq-AL"/>
        </w:rPr>
        <w:t>–</w:t>
      </w:r>
      <w:r w:rsidRPr="00050FA4">
        <w:rPr>
          <w:rStyle w:val="y2iqfc"/>
          <w:color w:val="0D0D0D" w:themeColor="text1" w:themeTint="F2"/>
          <w:lang w:val="sq-AL"/>
        </w:rPr>
        <w:t>2020, zbatimi i kurrikulës së bazuar në kompetenca përfshiu të gjitha klasat e arsimit bazë dhe të mesëm të lartë. Zbatimi i kurrikulës shoqërohet me sfida që adresojnë mbështetjen e vazhdueshme të zhvillimit të mëtejshëm profesional të mësuesve në fusha si: vlerësimi i nxënësve, plotësimi i nevojave të nxënësve me nevoja të veçanta, përdorimi i TIK-ut etj. Përmirësimi i komunikimit ndërmjet palëve të interesuara dhe roli i drejtuesve të shkollave në zbatimin e kurrikulave të bazuara në kompetenca janë aspekte që duhen përmirësuar dhe mbështetur më tej.</w:t>
      </w:r>
    </w:p>
    <w:p w14:paraId="3A32900B" w14:textId="5D58A075"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Zhvillimi i mëtejshëm i kompetencës digjitale është një nga objektivat e planifikuar për të qenë pjesë e Strategjisë Kombëtare të Arsimit 2021</w:t>
      </w:r>
      <w:r w:rsidR="00E4728F" w:rsidRPr="00050FA4">
        <w:rPr>
          <w:rFonts w:cstheme="majorBidi"/>
          <w:color w:val="0D0D0D" w:themeColor="text1" w:themeTint="F2"/>
          <w:lang w:val="sq-AL"/>
        </w:rPr>
        <w:t>–</w:t>
      </w:r>
      <w:r w:rsidRPr="00050FA4">
        <w:rPr>
          <w:rStyle w:val="y2iqfc"/>
          <w:color w:val="0D0D0D" w:themeColor="text1" w:themeTint="F2"/>
          <w:lang w:val="sq-AL"/>
        </w:rPr>
        <w:t>2026. Teknologjia e informacionit dhe komunikimit (TIK), e cila përfshin kompjuterë, tablet, smartfonë, tavolina ndërvepruese dhe aksesorë të tjerë, mund të ketë një efekt pozitiv dhe ndikim në përmirësimin e cilësisë së mësimdhënies, rritjen e motivimit dhe përmirësimin e performancës së studentëve, duke siguruar që të gjithë studentët të jenë në gjendje të marrin nivele të caktuara të kompetencës digjitale për të përmbushur kërkesat e njohurive të shoqërive të shekullit të 21-të. Në rast situatash të paparashikuara, si pandemitë apo fatkeqësitë natyrore, TIK ofron mundësi për të organizuar mësimin në distancë, ndërsa në situata normale teknologjia mund të përdoret për të avancuar procesin e mësimdhënies në shkolla.</w:t>
      </w:r>
    </w:p>
    <w:p w14:paraId="4D2ADA29" w14:textId="60E0176C" w:rsidR="00A72F9A" w:rsidRPr="00050FA4" w:rsidRDefault="00A72F9A" w:rsidP="003F1DA7">
      <w:pPr>
        <w:pStyle w:val="AAAAAAATEXXXX"/>
        <w:rPr>
          <w:rFonts w:cstheme="majorBidi"/>
          <w:lang w:val="sq-AL"/>
        </w:rPr>
      </w:pPr>
      <w:r w:rsidRPr="00050FA4">
        <w:rPr>
          <w:rStyle w:val="y2iqfc"/>
          <w:color w:val="0D0D0D" w:themeColor="text1" w:themeTint="F2"/>
          <w:lang w:val="sq-AL"/>
        </w:rPr>
        <w:t>Disa nga sfidat kryesore për arritjen e këtij qëllimi janë numri i pamjaftueshëm i pajisjeve TIK në shkolla dhe aksesi i kufizuar në pajisjet TIK dhe interneti në laboratorë të specializuar në shkolla. Mundësitë për të shfrytëzuar pajisjet në klasa janë shumë të kufizuara, për shkak të mungesës së projektorëve, të rrjetit WI-FI dhe aksesorëve të tjerë të dedikuar. Përdorimi i internetit nga fëmijët mund të ketë gjithashtu rezultate pozitive në rezultatet e tyre mësimore dhe përfshirjen</w:t>
      </w:r>
      <w:r w:rsidR="00E67ECA" w:rsidRPr="00050FA4">
        <w:rPr>
          <w:rStyle w:val="y2iqfc"/>
          <w:color w:val="0D0D0D" w:themeColor="text1" w:themeTint="F2"/>
          <w:lang w:val="sq-AL"/>
        </w:rPr>
        <w:t xml:space="preserve"> sociale, por gjithashtu mund t’</w:t>
      </w:r>
      <w:r w:rsidRPr="00050FA4">
        <w:rPr>
          <w:rStyle w:val="y2iqfc"/>
          <w:color w:val="0D0D0D" w:themeColor="text1" w:themeTint="F2"/>
          <w:lang w:val="sq-AL"/>
        </w:rPr>
        <w:t>i ekspozojë ata ndaj rreziqeve të botës virtuale. Masat që synojnë mbrojtjen e fëmijëve dhe të rinjve nga dhuna, abuzimi dhe shfrytëzimi në internet janë gjithashtu të rëndësishme.</w:t>
      </w:r>
    </w:p>
    <w:p w14:paraId="2AE61E83" w14:textId="03051C4D" w:rsidR="0030742B" w:rsidRPr="00050FA4" w:rsidRDefault="00892664" w:rsidP="003F1DA7">
      <w:pPr>
        <w:pStyle w:val="AAAAAAATEXXXX"/>
        <w:rPr>
          <w:lang w:val="sq-AL"/>
        </w:rPr>
      </w:pPr>
      <w:r w:rsidRPr="00050FA4">
        <w:rPr>
          <w:lang w:val="sq-AL"/>
        </w:rPr>
        <w:t>b</w:t>
      </w:r>
      <w:r w:rsidR="00773BF3" w:rsidRPr="00050FA4">
        <w:rPr>
          <w:lang w:val="sq-AL"/>
        </w:rPr>
        <w:t>)</w:t>
      </w:r>
      <w:r w:rsidRPr="00050FA4">
        <w:rPr>
          <w:lang w:val="sq-AL"/>
        </w:rPr>
        <w:t xml:space="preserve"> </w:t>
      </w:r>
      <w:r w:rsidR="00B2062A" w:rsidRPr="00050FA4">
        <w:rPr>
          <w:lang w:val="sq-AL"/>
        </w:rPr>
        <w:t>Masat e reformës</w:t>
      </w:r>
    </w:p>
    <w:p w14:paraId="592D4ACD" w14:textId="00E89582" w:rsidR="0030742B" w:rsidRPr="00050FA4" w:rsidRDefault="00B2062A" w:rsidP="003F1DA7">
      <w:pPr>
        <w:pStyle w:val="AAAAAAATEXXXX"/>
        <w:rPr>
          <w:b/>
          <w:i/>
          <w:lang w:val="sq-AL"/>
        </w:rPr>
      </w:pPr>
      <w:r w:rsidRPr="00050FA4">
        <w:rPr>
          <w:b/>
          <w:i/>
          <w:lang w:val="sq-AL"/>
        </w:rPr>
        <w:t>Masa e reformës</w:t>
      </w:r>
      <w:r w:rsidR="005358F8" w:rsidRPr="00050FA4">
        <w:rPr>
          <w:b/>
          <w:i/>
          <w:lang w:val="sq-AL"/>
        </w:rPr>
        <w:t xml:space="preserve"> 17</w:t>
      </w:r>
      <w:r w:rsidR="0030742B" w:rsidRPr="00050FA4">
        <w:rPr>
          <w:b/>
          <w:i/>
          <w:lang w:val="sq-AL"/>
        </w:rPr>
        <w:t xml:space="preserve">: </w:t>
      </w:r>
      <w:r w:rsidR="00A72F9A" w:rsidRPr="00050FA4">
        <w:rPr>
          <w:b/>
          <w:i/>
          <w:lang w:val="sq-AL"/>
        </w:rPr>
        <w:t>Mbështetja e zbatimit të reformës kurrikulare para universitare dhe trajnimit të mësuesve</w:t>
      </w:r>
    </w:p>
    <w:p w14:paraId="399B71B1" w14:textId="6930F540" w:rsidR="0030742B" w:rsidRPr="00050FA4" w:rsidRDefault="00892664" w:rsidP="003F1DA7">
      <w:pPr>
        <w:pStyle w:val="AAAAAAATEXXXX"/>
        <w:rPr>
          <w:lang w:val="sq-AL"/>
        </w:rPr>
      </w:pPr>
      <w:r w:rsidRPr="00050FA4">
        <w:rPr>
          <w:lang w:val="sq-AL"/>
        </w:rPr>
        <w:t xml:space="preserve">1. </w:t>
      </w:r>
      <w:r w:rsidR="00B2062A" w:rsidRPr="00050FA4">
        <w:rPr>
          <w:lang w:val="sq-AL"/>
        </w:rPr>
        <w:t>Përshkrimi i masës</w:t>
      </w:r>
    </w:p>
    <w:p w14:paraId="3B0D747C" w14:textId="51D2ACA1"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Kurrikula e bazuar në kompetenca zbatohet në të gjitha klasat 1 deri në 12 të sistemit arsimor para universitar. Me ndryshimet që ndodhin në shoqëri, shfaqen nevoja të reja, marrëdhënie të reja në shoqëri dhe në tregun e punës, investime më të mëdha në kapitalin njerëzor, inovacione teknologjike, aspirata të reja njerëzore, strategji të reja për zhvillim</w:t>
      </w:r>
      <w:r w:rsidR="00577E94" w:rsidRPr="00050FA4">
        <w:rPr>
          <w:rStyle w:val="y2iqfc"/>
          <w:color w:val="0D0D0D" w:themeColor="text1" w:themeTint="F2"/>
          <w:lang w:val="sq-AL"/>
        </w:rPr>
        <w:t xml:space="preserve"> etj</w:t>
      </w:r>
      <w:r w:rsidRPr="00050FA4">
        <w:rPr>
          <w:rStyle w:val="y2iqfc"/>
          <w:color w:val="0D0D0D" w:themeColor="text1" w:themeTint="F2"/>
          <w:lang w:val="sq-AL"/>
        </w:rPr>
        <w:t>. Kurrikula i përgjigjet këtyre ndryshimeve me ritme të shpejta, me zhvillime të brendshme sasiore dhe cilësore, për të mundësuar njohuri, aftësi, vlera dhe qëndrime të reja të përshtatshme, sistematike, koherente dhe vazhdimisht në zhvillim, të cilat u transmetohen nxënësve nëpërmjet mësuesve të tyre. Procesi i zbatimit të kurrikulës është shoqëruar me forcimin e kapaciteteve të mësuesve dhe drejtorëve në zbatimin efektiv të kurrikulës së reformuar. Për arritjen e këtij qëllimi, theks i veçantë iu kushtua trajnimit të mësuesve, rrjetit profesional të fuqizimit dhe inkurajimit të mësuesve, si një mekanizëm që mbështet zhvillimin profesional të mësuesve dhe përmirëson cilësinë e kurrikulës së zbatuar në shkollë. Vlerësimi i brendshëm dhe i jashtëm i kurrikulës dhe faktorëve që ndikojnë në të, konsiderohen si një proces shumë i rëndësishëm për monitorimin dhe vlerësimin e vazhdueshëm të cilësisë së hartimit dhe zbatimit të kurrikulës.</w:t>
      </w:r>
    </w:p>
    <w:p w14:paraId="0E3A845A" w14:textId="383A2420" w:rsidR="00A72F9A" w:rsidRPr="00050FA4" w:rsidRDefault="00A72F9A" w:rsidP="003F1DA7">
      <w:pPr>
        <w:pStyle w:val="AAAAAAATEXXXX"/>
        <w:rPr>
          <w:lang w:val="sq-AL"/>
        </w:rPr>
      </w:pPr>
      <w:r w:rsidRPr="00050FA4">
        <w:rPr>
          <w:rStyle w:val="y2iqfc"/>
          <w:color w:val="0D0D0D" w:themeColor="text1" w:themeTint="F2"/>
          <w:lang w:val="sq-AL"/>
        </w:rPr>
        <w:t xml:space="preserve">Për sa i përket zhvillimit profesional të mësuesve, funksionimi i rrjeteve profesionale të mësuesve ka </w:t>
      </w:r>
      <w:r w:rsidRPr="00050FA4">
        <w:rPr>
          <w:rStyle w:val="y2iqfc"/>
          <w:color w:val="0D0D0D" w:themeColor="text1" w:themeTint="F2"/>
          <w:lang w:val="sq-AL"/>
        </w:rPr>
        <w:lastRenderedPageBreak/>
        <w:t>vijuar sipas profileve përkatëse ose sipas roleve të mësuesve në shkollë. Mësuesit dhe drejtuesit e shkollave duhet të ndjekin të paktën 3 ditë trajnime në vit nga ofruesit e autorizuar, ndër të cilët ASCAP</w:t>
      </w:r>
      <w:r w:rsidR="00E4728F" w:rsidRPr="00050FA4">
        <w:rPr>
          <w:rStyle w:val="y2iqfc"/>
          <w:color w:val="0D0D0D" w:themeColor="text1" w:themeTint="F2"/>
          <w:lang w:val="sq-AL"/>
        </w:rPr>
        <w:t>-ja</w:t>
      </w:r>
      <w:r w:rsidRPr="00050FA4">
        <w:rPr>
          <w:rStyle w:val="y2iqfc"/>
          <w:color w:val="0D0D0D" w:themeColor="text1" w:themeTint="F2"/>
          <w:lang w:val="sq-AL"/>
        </w:rPr>
        <w:t xml:space="preserve"> është qendror.</w:t>
      </w:r>
    </w:p>
    <w:p w14:paraId="75F43939" w14:textId="212A2522"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 xml:space="preserve">Mësuesit kanë mundësinë të ndajnë përvojat dhe të reflektojnë përmes </w:t>
      </w:r>
      <w:r w:rsidR="008A0E5B" w:rsidRPr="00050FA4">
        <w:rPr>
          <w:rStyle w:val="y2iqfc"/>
          <w:color w:val="0D0D0D" w:themeColor="text1" w:themeTint="F2"/>
          <w:lang w:val="sq-AL"/>
        </w:rPr>
        <w:t>“</w:t>
      </w:r>
      <w:r w:rsidRPr="00050FA4">
        <w:rPr>
          <w:rStyle w:val="y2iqfc"/>
          <w:color w:val="0D0D0D" w:themeColor="text1" w:themeTint="F2"/>
          <w:lang w:val="sq-AL"/>
        </w:rPr>
        <w:t>rrjeteve të zhvillimit profesional</w:t>
      </w:r>
      <w:r w:rsidR="008A0E5B" w:rsidRPr="00050FA4">
        <w:rPr>
          <w:rStyle w:val="y2iqfc"/>
          <w:color w:val="0D0D0D" w:themeColor="text1" w:themeTint="F2"/>
          <w:lang w:val="sq-AL"/>
        </w:rPr>
        <w:t>”</w:t>
      </w:r>
      <w:r w:rsidRPr="00050FA4">
        <w:rPr>
          <w:rStyle w:val="y2iqfc"/>
          <w:color w:val="0D0D0D" w:themeColor="text1" w:themeTint="F2"/>
          <w:lang w:val="sq-AL"/>
        </w:rPr>
        <w:t>, të cilat organizohen rregullisht dhe ku stafi i shkollës mund të ndajë sfidat dhe arritjet e tyre. Arsyeja pse rrjetet funksionojnë është sepse mësuesit i shohin ato si një vend ku ata mund të ndajnë shqetësimet dhe arritjet e tyre.</w:t>
      </w:r>
    </w:p>
    <w:p w14:paraId="35443951" w14:textId="5524C782"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Harmonizimi i kurrikulës së trajnimit fillestar për programet e arsimit të lartë bazuar në kërkesat e Ligjit për Arsimin e Lartë si dhe me kurrikulën e parashikuar në arsimin para universitar është një masë e rëndësishme. Ky proces duhet të përdoret për të përshtatur kurrikulat, në përputhje me praktikat më të mira ndërkombëtare, veçanërisht me rekomandimet e BE-së që vendosin një ekuilibër të drejtë midis përmbajtjes së lëndës, komponentit pedagogjik dhe punës praktike të integruar në programin e studimit. Në përputhje me këto rekomandime, programet për trajnimin fillestar të mësuesve duhet t</w:t>
      </w:r>
      <w:r w:rsidR="00E67ECA" w:rsidRPr="00050FA4">
        <w:rPr>
          <w:rStyle w:val="y2iqfc"/>
          <w:color w:val="0D0D0D" w:themeColor="text1" w:themeTint="F2"/>
          <w:lang w:val="sq-AL"/>
        </w:rPr>
        <w:t>’</w:t>
      </w:r>
      <w:r w:rsidRPr="00050FA4">
        <w:rPr>
          <w:rStyle w:val="y2iqfc"/>
          <w:color w:val="0D0D0D" w:themeColor="text1" w:themeTint="F2"/>
          <w:lang w:val="sq-AL"/>
        </w:rPr>
        <w:t>u ofrojnë mësuesve të ardhshëm kompetencat kyçe të nevojshme për m</w:t>
      </w:r>
      <w:r w:rsidR="00E67ECA" w:rsidRPr="00050FA4">
        <w:rPr>
          <w:rStyle w:val="y2iqfc"/>
          <w:color w:val="0D0D0D" w:themeColor="text1" w:themeTint="F2"/>
          <w:lang w:val="sq-AL"/>
        </w:rPr>
        <w:t>ësimdhënie cilësore, por edhe t’</w:t>
      </w:r>
      <w:r w:rsidRPr="00050FA4">
        <w:rPr>
          <w:rStyle w:val="y2iqfc"/>
          <w:color w:val="0D0D0D" w:themeColor="text1" w:themeTint="F2"/>
          <w:lang w:val="sq-AL"/>
        </w:rPr>
        <w:t>i motivojnë ata që t</w:t>
      </w:r>
      <w:r w:rsidR="00E67ECA" w:rsidRPr="00050FA4">
        <w:rPr>
          <w:rStyle w:val="y2iqfc"/>
          <w:color w:val="0D0D0D" w:themeColor="text1" w:themeTint="F2"/>
          <w:lang w:val="sq-AL"/>
        </w:rPr>
        <w:t>’</w:t>
      </w:r>
      <w:r w:rsidRPr="00050FA4">
        <w:rPr>
          <w:rStyle w:val="y2iqfc"/>
          <w:color w:val="0D0D0D" w:themeColor="text1" w:themeTint="F2"/>
          <w:lang w:val="sq-AL"/>
        </w:rPr>
        <w:t>i zhvillojnë më tej këto kompetenca gjatë karrierës së tyre. Në veçanti, këto programe duhet t</w:t>
      </w:r>
      <w:r w:rsidR="00E67ECA" w:rsidRPr="00050FA4">
        <w:rPr>
          <w:rStyle w:val="y2iqfc"/>
          <w:color w:val="0D0D0D" w:themeColor="text1" w:themeTint="F2"/>
          <w:lang w:val="sq-AL"/>
        </w:rPr>
        <w:t>’</w:t>
      </w:r>
      <w:r w:rsidRPr="00050FA4">
        <w:rPr>
          <w:rStyle w:val="y2iqfc"/>
          <w:color w:val="0D0D0D" w:themeColor="text1" w:themeTint="F2"/>
          <w:lang w:val="sq-AL"/>
        </w:rPr>
        <w:t>i kushtojnë vëmendje trajnimit të mësuesve të ardhshëm për të zhvilluar kompetenca kyçe ndërkurrikulare te nxënësit, si: kompetenca digjitale, kompetenca për të mësuar, për të nxënë, kompetenca sipërmarrëse dhe shkrim-leximi. Mësuesit gjithashtu duhet të trajnohen për të punuar me grupe të ndryshme nxënësish, duke përfshirë nxënësit me aftësi të kufizuara dhe fëmijët që janë pjesë e grupeve vulnerabël.</w:t>
      </w:r>
    </w:p>
    <w:p w14:paraId="1557AAC6" w14:textId="77777777" w:rsidR="00A72F9A" w:rsidRPr="00050FA4" w:rsidRDefault="00A72F9A" w:rsidP="003F1DA7">
      <w:pPr>
        <w:pStyle w:val="AAAAAAATEXXXX"/>
        <w:rPr>
          <w:rStyle w:val="y2iqfc"/>
          <w:color w:val="0D0D0D" w:themeColor="text1" w:themeTint="F2"/>
          <w:lang w:val="sq-AL"/>
        </w:rPr>
      </w:pPr>
      <w:r w:rsidRPr="00050FA4">
        <w:rPr>
          <w:rStyle w:val="y2iqfc"/>
          <w:color w:val="0D0D0D" w:themeColor="text1" w:themeTint="F2"/>
          <w:lang w:val="sq-AL"/>
        </w:rPr>
        <w:t>Në bazë të programit të qeverisë për përfshirjen e gjuhës angleze në klasën e parë, është rishikuar dhe miratuar plani i arsimit bazë. Gjuha angleze përfshihet në kurrikulën e detyrueshme për klasën e parë dhe gjuha e huaj e dytë përfshihet në kurrikulën bërthamë në klasën e gjashtë. Është hartuar dhe miratuar programi i gjuhës angleze për klasën e parë. Trajnimi i mësuesve të anglishtes do të ofrohet në bazë të moduleve të trajnimit.</w:t>
      </w:r>
    </w:p>
    <w:p w14:paraId="5F3F394E" w14:textId="0D232A88" w:rsidR="00A72F9A" w:rsidRPr="00050FA4" w:rsidRDefault="00A72F9A" w:rsidP="003F1DA7">
      <w:pPr>
        <w:pStyle w:val="AAAAAAATEXXXX"/>
        <w:rPr>
          <w:lang w:val="sq-AL"/>
        </w:rPr>
      </w:pPr>
      <w:r w:rsidRPr="00050FA4">
        <w:rPr>
          <w:lang w:val="sq-AL"/>
        </w:rPr>
        <w:t>Programi i Arteve dhe Zejeve është një program që synon të përfshijë artet dhe zejet në arsim duke nxitur mësimin e artit dhe zejeve në arsimin para universitar nëpërmjet aktiviteteve praktike. Ky program është krijuar për t</w:t>
      </w:r>
      <w:r w:rsidR="00E67ECA" w:rsidRPr="00050FA4">
        <w:rPr>
          <w:lang w:val="sq-AL"/>
        </w:rPr>
        <w:t>’</w:t>
      </w:r>
      <w:r w:rsidRPr="00050FA4">
        <w:rPr>
          <w:lang w:val="sq-AL"/>
        </w:rPr>
        <w:t xml:space="preserve">i shërbyer dhe mbështetur zhvillimin e fëmijëve dhe të rinjve në arsimin bazë dhe të mesëm të lartë. </w:t>
      </w:r>
      <w:r w:rsidR="008A0E5B" w:rsidRPr="00050FA4">
        <w:rPr>
          <w:lang w:val="sq-AL"/>
        </w:rPr>
        <w:t>“</w:t>
      </w:r>
      <w:r w:rsidRPr="00050FA4">
        <w:rPr>
          <w:lang w:val="sq-AL"/>
        </w:rPr>
        <w:t xml:space="preserve">Artet dhe </w:t>
      </w:r>
      <w:r w:rsidR="004B25F5" w:rsidRPr="00050FA4">
        <w:rPr>
          <w:lang w:val="sq-AL"/>
        </w:rPr>
        <w:t>Zejet</w:t>
      </w:r>
      <w:r w:rsidR="008A0E5B" w:rsidRPr="00050FA4">
        <w:rPr>
          <w:lang w:val="sq-AL"/>
        </w:rPr>
        <w:t>”</w:t>
      </w:r>
      <w:r w:rsidRPr="00050FA4">
        <w:rPr>
          <w:lang w:val="sq-AL"/>
        </w:rPr>
        <w:t xml:space="preserve"> përfshin kreativitetin, inovacionin dhe marrjen përsipër të iniciativave, aktiviteteve dhe projekteve që zhvillohen në shkolla në bashkëpunim dhe partneritet me prindërit, komunitetin dhe bizneset lokale. Ai synon të nxisë aftësitë sipërmarrëse të studentëve në këndvështrimin e ruajtjes dhe promovimit të vlerave të komunitetit ku ata jetojnë, si dhe të trashëgimisë sonë kulturore. Në planin vjetor të shkollës mund të planifikohen aktivitete për realizimin e programit </w:t>
      </w:r>
      <w:r w:rsidR="008A0E5B" w:rsidRPr="00050FA4">
        <w:rPr>
          <w:lang w:val="sq-AL"/>
        </w:rPr>
        <w:t>“</w:t>
      </w:r>
      <w:r w:rsidRPr="00050FA4">
        <w:rPr>
          <w:lang w:val="sq-AL"/>
        </w:rPr>
        <w:t>Edukimi për arte dhe zeje</w:t>
      </w:r>
      <w:r w:rsidR="008A0E5B" w:rsidRPr="00050FA4">
        <w:rPr>
          <w:lang w:val="sq-AL"/>
        </w:rPr>
        <w:t>”</w:t>
      </w:r>
      <w:r w:rsidRPr="00050FA4">
        <w:rPr>
          <w:lang w:val="sq-AL"/>
        </w:rPr>
        <w:t>, të cilat mund të zhvillohen nga procesi mësimor dhe realizimi i tyre përmbush qëllimin e shkollës për zhvillimin e aftësive praktike të nxënësve. Në këtë rast studentët zgjedhin të marrin pjesë vullnetarisht.</w:t>
      </w:r>
    </w:p>
    <w:p w14:paraId="17865B33" w14:textId="47B1C9D4" w:rsidR="00A72F9A" w:rsidRPr="00050FA4" w:rsidRDefault="00A72F9A" w:rsidP="003F1DA7">
      <w:pPr>
        <w:pStyle w:val="AAAAAAATEXXXX"/>
        <w:rPr>
          <w:rStyle w:val="y2iqfc"/>
          <w:color w:val="0D0D0D" w:themeColor="text1" w:themeTint="F2"/>
          <w:lang w:val="sq-AL"/>
        </w:rPr>
      </w:pPr>
      <w:r w:rsidRPr="00050FA4">
        <w:rPr>
          <w:lang w:val="sq-AL"/>
        </w:rPr>
        <w:t xml:space="preserve">Gjithashtu aktivitetet për zbatimin e programit </w:t>
      </w:r>
      <w:r w:rsidR="008A0E5B" w:rsidRPr="00050FA4">
        <w:rPr>
          <w:lang w:val="sq-AL"/>
        </w:rPr>
        <w:t>“</w:t>
      </w:r>
      <w:r w:rsidRPr="00050FA4">
        <w:rPr>
          <w:lang w:val="sq-AL"/>
        </w:rPr>
        <w:t>Edukimi për arte dhe zeje</w:t>
      </w:r>
      <w:r w:rsidR="008A0E5B" w:rsidRPr="00050FA4">
        <w:rPr>
          <w:lang w:val="sq-AL"/>
        </w:rPr>
        <w:t>”</w:t>
      </w:r>
      <w:r w:rsidRPr="00050FA4">
        <w:rPr>
          <w:lang w:val="sq-AL"/>
        </w:rPr>
        <w:t xml:space="preserve"> mund të planifikohen dhe zhvillohen në formën e moduleve në kurrikulën e bazuar në shkollë.</w:t>
      </w:r>
    </w:p>
    <w:p w14:paraId="6016BBB8" w14:textId="1258A8F2" w:rsidR="00A72F9A" w:rsidRPr="00050FA4" w:rsidRDefault="00A72F9A" w:rsidP="003F1DA7">
      <w:pPr>
        <w:pStyle w:val="AAAAAAATEXXXX"/>
        <w:rPr>
          <w:rFonts w:cstheme="majorBidi"/>
          <w:lang w:val="sq-AL"/>
        </w:rPr>
      </w:pPr>
      <w:r w:rsidRPr="00050FA4">
        <w:rPr>
          <w:rStyle w:val="y2iqfc"/>
          <w:color w:val="0D0D0D" w:themeColor="text1" w:themeTint="F2"/>
          <w:lang w:val="sq-AL"/>
        </w:rPr>
        <w:t xml:space="preserve">Kjo masë lidhet me </w:t>
      </w:r>
      <w:r w:rsidR="004B25F5" w:rsidRPr="00050FA4">
        <w:rPr>
          <w:rStyle w:val="y2iqfc"/>
          <w:color w:val="0D0D0D" w:themeColor="text1" w:themeTint="F2"/>
          <w:lang w:val="sq-AL"/>
        </w:rPr>
        <w:t>kriteret ekonomike</w:t>
      </w:r>
      <w:r w:rsidRPr="00050FA4">
        <w:rPr>
          <w:rStyle w:val="y2iqfc"/>
          <w:color w:val="0D0D0D" w:themeColor="text1" w:themeTint="F2"/>
          <w:lang w:val="sq-AL"/>
        </w:rPr>
        <w:t>, për të qenë konkurrues në BE, gjë që kërkon një sasi të mjaftueshme kapitali njerëzor, arsim, kërkim, inovacion dhe zhvillime të ardhshme në këtë fushë.</w:t>
      </w:r>
    </w:p>
    <w:p w14:paraId="19D17584" w14:textId="2B871500" w:rsidR="0030742B" w:rsidRPr="00050FA4" w:rsidRDefault="00892664" w:rsidP="003F1DA7">
      <w:pPr>
        <w:pStyle w:val="AAAAAAATEXXXX"/>
        <w:rPr>
          <w:b/>
          <w:lang w:val="sq-AL"/>
        </w:rPr>
      </w:pPr>
      <w:r w:rsidRPr="00050FA4">
        <w:rPr>
          <w:b/>
          <w:lang w:val="sq-AL"/>
        </w:rPr>
        <w:t>a</w:t>
      </w:r>
      <w:r w:rsidR="00773BF3" w:rsidRPr="00050FA4">
        <w:rPr>
          <w:b/>
          <w:lang w:val="sq-AL"/>
        </w:rPr>
        <w:t>)</w:t>
      </w:r>
      <w:r w:rsidRPr="00050FA4">
        <w:rPr>
          <w:b/>
          <w:lang w:val="sq-AL"/>
        </w:rPr>
        <w:t xml:space="preserve"> </w:t>
      </w:r>
      <w:r w:rsidR="00B2062A" w:rsidRPr="00050FA4">
        <w:rPr>
          <w:b/>
          <w:lang w:val="sq-AL"/>
        </w:rPr>
        <w:t xml:space="preserve">Aktivitete të planifikuara </w:t>
      </w:r>
      <w:r w:rsidR="004B25F5" w:rsidRPr="00050FA4">
        <w:rPr>
          <w:b/>
          <w:lang w:val="sq-AL"/>
        </w:rPr>
        <w:t>m</w:t>
      </w:r>
      <w:r w:rsidR="00B2062A" w:rsidRPr="00050FA4">
        <w:rPr>
          <w:b/>
          <w:lang w:val="sq-AL"/>
        </w:rPr>
        <w:t>ë</w:t>
      </w:r>
      <w:r w:rsidR="0030742B" w:rsidRPr="00050FA4">
        <w:rPr>
          <w:b/>
          <w:lang w:val="sq-AL"/>
        </w:rPr>
        <w:t xml:space="preserve"> 2022</w:t>
      </w:r>
      <w:r w:rsidR="004B25F5" w:rsidRPr="00050FA4">
        <w:rPr>
          <w:b/>
          <w:lang w:val="sq-AL"/>
        </w:rPr>
        <w:t>-shin</w:t>
      </w:r>
    </w:p>
    <w:p w14:paraId="6C4D3167" w14:textId="783D6DA6"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a</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Përfshirja e gjuhës angleze në klasën e parë</w:t>
      </w:r>
      <w:r w:rsidR="004B25F5" w:rsidRPr="00050FA4">
        <w:rPr>
          <w:rStyle w:val="y2iqfc"/>
          <w:color w:val="0D0D0D" w:themeColor="text1" w:themeTint="F2"/>
          <w:lang w:val="sq-AL"/>
        </w:rPr>
        <w:t>;</w:t>
      </w:r>
    </w:p>
    <w:p w14:paraId="686D2876" w14:textId="67A47289"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b</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 xml:space="preserve">Hartimi i moduleve të trajnimit për </w:t>
      </w:r>
      <w:r w:rsidR="008A0E5B" w:rsidRPr="00050FA4">
        <w:rPr>
          <w:rStyle w:val="y2iqfc"/>
          <w:color w:val="0D0D0D" w:themeColor="text1" w:themeTint="F2"/>
          <w:lang w:val="sq-AL"/>
        </w:rPr>
        <w:t>“</w:t>
      </w:r>
      <w:r w:rsidR="00A72F9A" w:rsidRPr="00050FA4">
        <w:rPr>
          <w:rStyle w:val="y2iqfc"/>
          <w:color w:val="0D0D0D" w:themeColor="text1" w:themeTint="F2"/>
          <w:lang w:val="sq-AL"/>
        </w:rPr>
        <w:t>Mësimi i gjuhës angleze që në klasën e parë të arsimit bazë</w:t>
      </w:r>
      <w:r w:rsidR="008A0E5B" w:rsidRPr="00050FA4">
        <w:rPr>
          <w:rStyle w:val="y2iqfc"/>
          <w:color w:val="0D0D0D" w:themeColor="text1" w:themeTint="F2"/>
          <w:lang w:val="sq-AL"/>
        </w:rPr>
        <w:t>”</w:t>
      </w:r>
      <w:r w:rsidR="004B25F5" w:rsidRPr="00050FA4">
        <w:rPr>
          <w:rStyle w:val="y2iqfc"/>
          <w:color w:val="0D0D0D" w:themeColor="text1" w:themeTint="F2"/>
          <w:lang w:val="sq-AL"/>
        </w:rPr>
        <w:t>;</w:t>
      </w:r>
    </w:p>
    <w:p w14:paraId="3EB6345F" w14:textId="461C35DB"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c</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Trajnimi i 1000 mësuesve të klasës së parë dhe monitorimi i vijueshmërisë së punës për zbatimin e programit të gjuhës angleze</w:t>
      </w:r>
      <w:r w:rsidR="004B25F5" w:rsidRPr="00050FA4">
        <w:rPr>
          <w:rStyle w:val="y2iqfc"/>
          <w:color w:val="0D0D0D" w:themeColor="text1" w:themeTint="F2"/>
          <w:lang w:val="sq-AL"/>
        </w:rPr>
        <w:t>;</w:t>
      </w:r>
    </w:p>
    <w:p w14:paraId="6F0403DD" w14:textId="040AEA65"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d</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 xml:space="preserve">Harmonizimi i kurrikulave të IAL-ve të trajnimit fillestar për programet arsimore bazuar në kërkesat e </w:t>
      </w:r>
      <w:r w:rsidR="004B25F5" w:rsidRPr="00050FA4">
        <w:rPr>
          <w:rStyle w:val="y2iqfc"/>
          <w:color w:val="0D0D0D" w:themeColor="text1" w:themeTint="F2"/>
          <w:lang w:val="sq-AL"/>
        </w:rPr>
        <w:t xml:space="preserve">ligjit për arsimin e lartë, </w:t>
      </w:r>
      <w:r w:rsidR="00A72F9A" w:rsidRPr="00050FA4">
        <w:rPr>
          <w:rStyle w:val="y2iqfc"/>
          <w:color w:val="0D0D0D" w:themeColor="text1" w:themeTint="F2"/>
          <w:lang w:val="sq-AL"/>
        </w:rPr>
        <w:t>si dhe me kurrikulën e ofruar në arsimin parauniversitar</w:t>
      </w:r>
      <w:r w:rsidR="004B25F5" w:rsidRPr="00050FA4">
        <w:rPr>
          <w:rStyle w:val="y2iqfc"/>
          <w:color w:val="0D0D0D" w:themeColor="text1" w:themeTint="F2"/>
          <w:lang w:val="sq-AL"/>
        </w:rPr>
        <w:t>;</w:t>
      </w:r>
    </w:p>
    <w:p w14:paraId="08152FF2" w14:textId="68644E7D"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e</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 xml:space="preserve">Zhvillimi i moduleve të trajnimit bazuar në standardet profesionale të mësuesit dhe </w:t>
      </w:r>
      <w:r w:rsidR="004B25F5" w:rsidRPr="00050FA4">
        <w:rPr>
          <w:rStyle w:val="y2iqfc"/>
          <w:color w:val="0D0D0D" w:themeColor="text1" w:themeTint="F2"/>
          <w:lang w:val="sq-AL"/>
        </w:rPr>
        <w:t>në koherencë me kurrikulën e re;</w:t>
      </w:r>
    </w:p>
    <w:p w14:paraId="2FDD17BA" w14:textId="5E0D1083"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f</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Hartimi i një sistemi të karrierës së mësuesit bazuar në vlerësimin e performancës së mësuesve në shkollë</w:t>
      </w:r>
      <w:r w:rsidR="004B25F5" w:rsidRPr="00050FA4">
        <w:rPr>
          <w:rStyle w:val="y2iqfc"/>
          <w:color w:val="0D0D0D" w:themeColor="text1" w:themeTint="F2"/>
          <w:lang w:val="sq-AL"/>
        </w:rPr>
        <w:t>;</w:t>
      </w:r>
    </w:p>
    <w:p w14:paraId="192417BD" w14:textId="3862686C"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g</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Hartimi i një udhëzuesi për zhvillimin e arsimit artizanal në arsimin parauniversitar</w:t>
      </w:r>
      <w:r w:rsidR="004B25F5" w:rsidRPr="00050FA4">
        <w:rPr>
          <w:rStyle w:val="y2iqfc"/>
          <w:color w:val="0D0D0D" w:themeColor="text1" w:themeTint="F2"/>
          <w:lang w:val="sq-AL"/>
        </w:rPr>
        <w:t>;</w:t>
      </w:r>
    </w:p>
    <w:p w14:paraId="6AC51AC3" w14:textId="5E0E5954" w:rsidR="00A72F9A" w:rsidRPr="00050FA4" w:rsidRDefault="00892664" w:rsidP="003F1DA7">
      <w:pPr>
        <w:pStyle w:val="AAAAAAATEXXXX"/>
        <w:rPr>
          <w:lang w:val="sq-AL"/>
        </w:rPr>
      </w:pPr>
      <w:r w:rsidRPr="00050FA4">
        <w:rPr>
          <w:rStyle w:val="y2iqfc"/>
          <w:color w:val="0D0D0D" w:themeColor="text1" w:themeTint="F2"/>
          <w:lang w:val="sq-AL"/>
        </w:rPr>
        <w:t>h</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Hartimi dhe miratimi i standardeve të drejtorit të kopshteve</w:t>
      </w:r>
      <w:r w:rsidR="004B25F5" w:rsidRPr="00050FA4">
        <w:rPr>
          <w:rStyle w:val="y2iqfc"/>
          <w:color w:val="0D0D0D" w:themeColor="text1" w:themeTint="F2"/>
          <w:lang w:val="sq-AL"/>
        </w:rPr>
        <w:t>.</w:t>
      </w:r>
    </w:p>
    <w:p w14:paraId="7E0D0218" w14:textId="438D71F9" w:rsidR="0030742B" w:rsidRPr="00050FA4" w:rsidRDefault="00892664" w:rsidP="003F1DA7">
      <w:pPr>
        <w:pStyle w:val="AAAAAAATEXXXX"/>
        <w:rPr>
          <w:b/>
          <w:lang w:val="sq-AL"/>
        </w:rPr>
      </w:pPr>
      <w:r w:rsidRPr="00050FA4">
        <w:rPr>
          <w:b/>
          <w:lang w:val="sq-AL"/>
        </w:rPr>
        <w:t>b</w:t>
      </w:r>
      <w:r w:rsidR="00773BF3" w:rsidRPr="00050FA4">
        <w:rPr>
          <w:b/>
          <w:lang w:val="sq-AL"/>
        </w:rPr>
        <w:t>)</w:t>
      </w:r>
      <w:r w:rsidRPr="00050FA4">
        <w:rPr>
          <w:b/>
          <w:lang w:val="sq-AL"/>
        </w:rPr>
        <w:t xml:space="preserve"> </w:t>
      </w:r>
      <w:r w:rsidR="00B2062A" w:rsidRPr="00050FA4">
        <w:rPr>
          <w:b/>
          <w:lang w:val="sq-AL"/>
        </w:rPr>
        <w:t xml:space="preserve">Aktivitete të planifikuara </w:t>
      </w:r>
      <w:r w:rsidR="004B25F5" w:rsidRPr="00050FA4">
        <w:rPr>
          <w:b/>
          <w:lang w:val="sq-AL"/>
        </w:rPr>
        <w:t>m</w:t>
      </w:r>
      <w:r w:rsidR="00B2062A" w:rsidRPr="00050FA4">
        <w:rPr>
          <w:b/>
          <w:lang w:val="sq-AL"/>
        </w:rPr>
        <w:t>ë</w:t>
      </w:r>
      <w:r w:rsidR="0030742B" w:rsidRPr="00050FA4">
        <w:rPr>
          <w:b/>
          <w:lang w:val="sq-AL"/>
        </w:rPr>
        <w:t xml:space="preserve"> 2023</w:t>
      </w:r>
      <w:r w:rsidR="004B25F5" w:rsidRPr="00050FA4">
        <w:rPr>
          <w:b/>
          <w:lang w:val="sq-AL"/>
        </w:rPr>
        <w:t>-shin;</w:t>
      </w:r>
    </w:p>
    <w:p w14:paraId="54D7F5C0" w14:textId="7FF84EDF"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a</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Trajnimi i 1000 mësuesve të klasës së dytë dhe monitorimi i vazhdimësisë së punës për zbatimi</w:t>
      </w:r>
      <w:r w:rsidR="004B25F5" w:rsidRPr="00050FA4">
        <w:rPr>
          <w:rStyle w:val="y2iqfc"/>
          <w:color w:val="0D0D0D" w:themeColor="text1" w:themeTint="F2"/>
          <w:lang w:val="sq-AL"/>
        </w:rPr>
        <w:t>n e programit të gjuhës angleze;</w:t>
      </w:r>
    </w:p>
    <w:p w14:paraId="7BFB9C2A" w14:textId="70F2C2C3"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lastRenderedPageBreak/>
        <w:t>b</w:t>
      </w:r>
      <w:r w:rsidR="00773BF3" w:rsidRPr="00050FA4">
        <w:rPr>
          <w:rStyle w:val="y2iqfc"/>
          <w:color w:val="0D0D0D" w:themeColor="text1" w:themeTint="F2"/>
          <w:lang w:val="sq-AL"/>
        </w:rPr>
        <w:t xml:space="preserve">) </w:t>
      </w:r>
      <w:r w:rsidR="00A72F9A" w:rsidRPr="00050FA4">
        <w:rPr>
          <w:rStyle w:val="y2iqfc"/>
          <w:color w:val="0D0D0D" w:themeColor="text1" w:themeTint="F2"/>
          <w:lang w:val="sq-AL"/>
        </w:rPr>
        <w:t xml:space="preserve">Përfundimi i procesit të harmonizimit të kurrikulave të trajnimit fillestar të mësuesve të IAL-ve bazuar në kërkesat e Ligjit </w:t>
      </w:r>
      <w:r w:rsidR="004B25F5" w:rsidRPr="00050FA4">
        <w:rPr>
          <w:rStyle w:val="y2iqfc"/>
          <w:color w:val="0D0D0D" w:themeColor="text1" w:themeTint="F2"/>
          <w:lang w:val="sq-AL"/>
        </w:rPr>
        <w:t xml:space="preserve">për arsimin e lartë, </w:t>
      </w:r>
      <w:r w:rsidR="00A72F9A" w:rsidRPr="00050FA4">
        <w:rPr>
          <w:rStyle w:val="y2iqfc"/>
          <w:color w:val="0D0D0D" w:themeColor="text1" w:themeTint="F2"/>
          <w:lang w:val="sq-AL"/>
        </w:rPr>
        <w:t>si dhe me kurrikulën e ofruar në arsimin parauniversitar</w:t>
      </w:r>
      <w:r w:rsidR="004B25F5" w:rsidRPr="00050FA4">
        <w:rPr>
          <w:rStyle w:val="y2iqfc"/>
          <w:color w:val="0D0D0D" w:themeColor="text1" w:themeTint="F2"/>
          <w:lang w:val="sq-AL"/>
        </w:rPr>
        <w:t>;</w:t>
      </w:r>
    </w:p>
    <w:p w14:paraId="7EA2FA27" w14:textId="643698BD"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c</w:t>
      </w:r>
      <w:r w:rsidR="00773BF3" w:rsidRPr="00050FA4">
        <w:rPr>
          <w:rStyle w:val="y2iqfc"/>
          <w:color w:val="0D0D0D" w:themeColor="text1" w:themeTint="F2"/>
          <w:lang w:val="sq-AL"/>
        </w:rPr>
        <w:t>)</w:t>
      </w:r>
      <w:r w:rsidRPr="00050FA4">
        <w:rPr>
          <w:rStyle w:val="y2iqfc"/>
          <w:color w:val="0D0D0D" w:themeColor="text1" w:themeTint="F2"/>
          <w:lang w:val="sq-AL"/>
        </w:rPr>
        <w:t xml:space="preserve"> </w:t>
      </w:r>
      <w:r w:rsidR="00A72F9A" w:rsidRPr="00050FA4">
        <w:rPr>
          <w:rStyle w:val="y2iqfc"/>
          <w:color w:val="0D0D0D" w:themeColor="text1" w:themeTint="F2"/>
          <w:lang w:val="sq-AL"/>
        </w:rPr>
        <w:t>Diskutimi dhe finalizimi i draftit të sistemit të karrierës së mësuesit bazuar në vlerësimin e performancës së mësuesit në shkollë</w:t>
      </w:r>
      <w:r w:rsidR="004B25F5" w:rsidRPr="00050FA4">
        <w:rPr>
          <w:rStyle w:val="y2iqfc"/>
          <w:color w:val="0D0D0D" w:themeColor="text1" w:themeTint="F2"/>
          <w:lang w:val="sq-AL"/>
        </w:rPr>
        <w:t>;</w:t>
      </w:r>
    </w:p>
    <w:p w14:paraId="4D63B6F5" w14:textId="70EA61F2"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d</w:t>
      </w:r>
      <w:r w:rsidR="00773BF3" w:rsidRPr="00050FA4">
        <w:rPr>
          <w:rStyle w:val="y2iqfc"/>
          <w:color w:val="0D0D0D" w:themeColor="text1" w:themeTint="F2"/>
          <w:lang w:val="sq-AL"/>
        </w:rPr>
        <w:t xml:space="preserve">) </w:t>
      </w:r>
      <w:r w:rsidR="00A72F9A" w:rsidRPr="00050FA4">
        <w:rPr>
          <w:rStyle w:val="y2iqfc"/>
          <w:color w:val="0D0D0D" w:themeColor="text1" w:themeTint="F2"/>
          <w:lang w:val="sq-AL"/>
        </w:rPr>
        <w:t xml:space="preserve">Forcimi i kapaciteteve njerëzore në sektorët e kurrikulës në nivel të </w:t>
      </w:r>
      <w:r w:rsidR="004B25F5" w:rsidRPr="00050FA4">
        <w:rPr>
          <w:rStyle w:val="y2iqfc"/>
          <w:color w:val="0D0D0D" w:themeColor="text1" w:themeTint="F2"/>
          <w:lang w:val="sq-AL"/>
        </w:rPr>
        <w:t>zyrave arsimore vendore;</w:t>
      </w:r>
    </w:p>
    <w:p w14:paraId="1278F834" w14:textId="5EC9F1D7" w:rsidR="00A72F9A" w:rsidRPr="00050FA4" w:rsidRDefault="00892664" w:rsidP="003F1DA7">
      <w:pPr>
        <w:pStyle w:val="AAAAAAATEXXXX"/>
        <w:rPr>
          <w:rStyle w:val="y2iqfc"/>
          <w:color w:val="0D0D0D" w:themeColor="text1" w:themeTint="F2"/>
          <w:lang w:val="sq-AL"/>
        </w:rPr>
      </w:pPr>
      <w:r w:rsidRPr="00050FA4">
        <w:rPr>
          <w:rStyle w:val="y2iqfc"/>
          <w:color w:val="0D0D0D" w:themeColor="text1" w:themeTint="F2"/>
          <w:lang w:val="sq-AL"/>
        </w:rPr>
        <w:t>e</w:t>
      </w:r>
      <w:r w:rsidR="00773BF3" w:rsidRPr="00050FA4">
        <w:rPr>
          <w:rStyle w:val="y2iqfc"/>
          <w:color w:val="0D0D0D" w:themeColor="text1" w:themeTint="F2"/>
          <w:lang w:val="sq-AL"/>
        </w:rPr>
        <w:t xml:space="preserve">) </w:t>
      </w:r>
      <w:r w:rsidR="00A72F9A" w:rsidRPr="00050FA4">
        <w:rPr>
          <w:rStyle w:val="y2iqfc"/>
          <w:color w:val="0D0D0D" w:themeColor="text1" w:themeTint="F2"/>
          <w:lang w:val="sq-AL"/>
        </w:rPr>
        <w:t xml:space="preserve">Trajnimi i 700 drejtuesve të rrjeteve profesionale të arsimit të mesëm të ulët mbi udhëzuesin e zhvillimit të arsimit për </w:t>
      </w:r>
      <w:r w:rsidR="004B25F5" w:rsidRPr="00050FA4">
        <w:rPr>
          <w:rStyle w:val="y2iqfc"/>
          <w:color w:val="0D0D0D" w:themeColor="text1" w:themeTint="F2"/>
          <w:lang w:val="sq-AL"/>
        </w:rPr>
        <w:t>arte dhe zeje;</w:t>
      </w:r>
    </w:p>
    <w:p w14:paraId="1F13C083" w14:textId="01F56906" w:rsidR="00A72F9A" w:rsidRPr="00050FA4" w:rsidRDefault="00892664" w:rsidP="003F1DA7">
      <w:pPr>
        <w:pStyle w:val="AAAAAAATEXXXX"/>
        <w:rPr>
          <w:lang w:val="sq-AL"/>
        </w:rPr>
      </w:pPr>
      <w:r w:rsidRPr="00050FA4">
        <w:rPr>
          <w:rStyle w:val="y2iqfc"/>
          <w:color w:val="0D0D0D" w:themeColor="text1" w:themeTint="F2"/>
          <w:lang w:val="sq-AL"/>
        </w:rPr>
        <w:t>f</w:t>
      </w:r>
      <w:r w:rsidR="00773BF3" w:rsidRPr="00050FA4">
        <w:rPr>
          <w:rStyle w:val="y2iqfc"/>
          <w:color w:val="0D0D0D" w:themeColor="text1" w:themeTint="F2"/>
          <w:lang w:val="sq-AL"/>
        </w:rPr>
        <w:t xml:space="preserve">) </w:t>
      </w:r>
      <w:r w:rsidR="00A72F9A" w:rsidRPr="00050FA4">
        <w:rPr>
          <w:rStyle w:val="y2iqfc"/>
          <w:color w:val="0D0D0D" w:themeColor="text1" w:themeTint="F2"/>
          <w:lang w:val="sq-AL"/>
        </w:rPr>
        <w:t>Hartimi dhe miratimi i kornizës për vlerësimin e cilësisë së shërbimeve në arsimin parashkollor</w:t>
      </w:r>
      <w:r w:rsidR="004B25F5" w:rsidRPr="00050FA4">
        <w:rPr>
          <w:rStyle w:val="y2iqfc"/>
          <w:color w:val="0D0D0D" w:themeColor="text1" w:themeTint="F2"/>
          <w:lang w:val="sq-AL"/>
        </w:rPr>
        <w:t>;</w:t>
      </w:r>
    </w:p>
    <w:p w14:paraId="743C1EB9" w14:textId="1E6CA8BD" w:rsidR="0030742B" w:rsidRPr="00050FA4" w:rsidRDefault="00892664" w:rsidP="003F1DA7">
      <w:pPr>
        <w:pStyle w:val="AAAAAAATEXXXX"/>
        <w:rPr>
          <w:b/>
          <w:lang w:val="sq-AL"/>
        </w:rPr>
      </w:pPr>
      <w:r w:rsidRPr="00050FA4">
        <w:rPr>
          <w:b/>
          <w:lang w:val="sq-AL"/>
        </w:rPr>
        <w:t>c</w:t>
      </w:r>
      <w:r w:rsidR="00773BF3" w:rsidRPr="00050FA4">
        <w:rPr>
          <w:b/>
          <w:lang w:val="sq-AL"/>
        </w:rPr>
        <w:t>)</w:t>
      </w:r>
      <w:r w:rsidRPr="00050FA4">
        <w:rPr>
          <w:b/>
          <w:lang w:val="sq-AL"/>
        </w:rPr>
        <w:t xml:space="preserve"> </w:t>
      </w:r>
      <w:r w:rsidR="004B25F5" w:rsidRPr="00050FA4">
        <w:rPr>
          <w:b/>
          <w:lang w:val="sq-AL"/>
        </w:rPr>
        <w:t>Aktivitete të planifikuara m</w:t>
      </w:r>
      <w:r w:rsidR="00B2062A" w:rsidRPr="00050FA4">
        <w:rPr>
          <w:b/>
          <w:lang w:val="sq-AL"/>
        </w:rPr>
        <w:t>ë</w:t>
      </w:r>
      <w:r w:rsidR="0030742B" w:rsidRPr="00050FA4">
        <w:rPr>
          <w:b/>
          <w:lang w:val="sq-AL"/>
        </w:rPr>
        <w:t xml:space="preserve"> 2024</w:t>
      </w:r>
      <w:r w:rsidR="004B25F5" w:rsidRPr="00050FA4">
        <w:rPr>
          <w:b/>
          <w:lang w:val="sq-AL"/>
        </w:rPr>
        <w:t>-ën</w:t>
      </w:r>
    </w:p>
    <w:p w14:paraId="1CFC6835" w14:textId="09224575" w:rsidR="00A72F9A" w:rsidRPr="00050FA4" w:rsidRDefault="004B25F5" w:rsidP="003F1DA7">
      <w:pPr>
        <w:pStyle w:val="AAAAAAATEXXXX"/>
        <w:rPr>
          <w:rStyle w:val="y2iqfc"/>
          <w:color w:val="0D0D0D" w:themeColor="text1" w:themeTint="F2"/>
          <w:lang w:val="sq-AL"/>
        </w:rPr>
      </w:pPr>
      <w:r w:rsidRPr="00050FA4">
        <w:rPr>
          <w:rStyle w:val="y2iqfc"/>
          <w:color w:val="0D0D0D" w:themeColor="text1" w:themeTint="F2"/>
          <w:lang w:val="sq-AL"/>
        </w:rPr>
        <w:t xml:space="preserve">a) </w:t>
      </w:r>
      <w:r w:rsidR="00A72F9A" w:rsidRPr="00050FA4">
        <w:rPr>
          <w:rStyle w:val="y2iqfc"/>
          <w:color w:val="0D0D0D" w:themeColor="text1" w:themeTint="F2"/>
          <w:lang w:val="sq-AL"/>
        </w:rPr>
        <w:t>Përmirësimi i aftësive të studentëve në gjuhë dhe komunikim, matematikë dhe shkencë</w:t>
      </w:r>
      <w:r w:rsidRPr="00050FA4">
        <w:rPr>
          <w:rStyle w:val="y2iqfc"/>
          <w:color w:val="0D0D0D" w:themeColor="text1" w:themeTint="F2"/>
          <w:lang w:val="sq-AL"/>
        </w:rPr>
        <w:t>;</w:t>
      </w:r>
    </w:p>
    <w:p w14:paraId="1A3687DB" w14:textId="73D0840E" w:rsidR="00A72F9A" w:rsidRPr="00050FA4" w:rsidRDefault="004B25F5" w:rsidP="003F1DA7">
      <w:pPr>
        <w:pStyle w:val="AAAAAAATEXXXX"/>
        <w:rPr>
          <w:rStyle w:val="y2iqfc"/>
          <w:color w:val="0D0D0D" w:themeColor="text1" w:themeTint="F2"/>
          <w:lang w:val="sq-AL"/>
        </w:rPr>
      </w:pPr>
      <w:r w:rsidRPr="00050FA4">
        <w:rPr>
          <w:rStyle w:val="y2iqfc"/>
          <w:color w:val="0D0D0D" w:themeColor="text1" w:themeTint="F2"/>
          <w:lang w:val="sq-AL"/>
        </w:rPr>
        <w:t xml:space="preserve">b) </w:t>
      </w:r>
      <w:r w:rsidR="00A72F9A" w:rsidRPr="00050FA4">
        <w:rPr>
          <w:rStyle w:val="y2iqfc"/>
          <w:color w:val="0D0D0D" w:themeColor="text1" w:themeTint="F2"/>
          <w:lang w:val="sq-AL"/>
        </w:rPr>
        <w:t>Miratimi i sistemit të karrierës së mësuesit bazuar në vlerësimin e performancës së mësuesit në shkollë</w:t>
      </w:r>
      <w:r w:rsidRPr="00050FA4">
        <w:rPr>
          <w:rStyle w:val="y2iqfc"/>
          <w:color w:val="0D0D0D" w:themeColor="text1" w:themeTint="F2"/>
          <w:lang w:val="sq-AL"/>
        </w:rPr>
        <w:t>;</w:t>
      </w:r>
    </w:p>
    <w:p w14:paraId="608CD8A2" w14:textId="25E1D3D0" w:rsidR="00A72F9A" w:rsidRPr="00050FA4" w:rsidRDefault="004B25F5" w:rsidP="003F1DA7">
      <w:pPr>
        <w:pStyle w:val="AAAAAAATEXXXX"/>
        <w:rPr>
          <w:rStyle w:val="y2iqfc"/>
          <w:color w:val="0D0D0D" w:themeColor="text1" w:themeTint="F2"/>
          <w:lang w:val="sq-AL"/>
        </w:rPr>
      </w:pPr>
      <w:r w:rsidRPr="00050FA4">
        <w:rPr>
          <w:rStyle w:val="y2iqfc"/>
          <w:color w:val="0D0D0D" w:themeColor="text1" w:themeTint="F2"/>
          <w:lang w:val="sq-AL"/>
        </w:rPr>
        <w:t xml:space="preserve">c) </w:t>
      </w:r>
      <w:r w:rsidR="00A72F9A" w:rsidRPr="00050FA4">
        <w:rPr>
          <w:rStyle w:val="y2iqfc"/>
          <w:color w:val="0D0D0D" w:themeColor="text1" w:themeTint="F2"/>
          <w:lang w:val="sq-AL"/>
        </w:rPr>
        <w:t>Forcimi i kapaciteteve njerëzore në sektorët e kurrikulës në nivel të zyrave arsimore vendore</w:t>
      </w:r>
      <w:r w:rsidRPr="00050FA4">
        <w:rPr>
          <w:rStyle w:val="y2iqfc"/>
          <w:color w:val="0D0D0D" w:themeColor="text1" w:themeTint="F2"/>
          <w:lang w:val="sq-AL"/>
        </w:rPr>
        <w:t>;</w:t>
      </w:r>
    </w:p>
    <w:p w14:paraId="69494059" w14:textId="18BCC969" w:rsidR="00A72F9A" w:rsidRPr="00050FA4" w:rsidRDefault="004B25F5" w:rsidP="003F1DA7">
      <w:pPr>
        <w:pStyle w:val="AAAAAAATEXXXX"/>
        <w:rPr>
          <w:lang w:val="sq-AL"/>
        </w:rPr>
      </w:pPr>
      <w:r w:rsidRPr="00050FA4">
        <w:rPr>
          <w:rStyle w:val="y2iqfc"/>
          <w:color w:val="0D0D0D" w:themeColor="text1" w:themeTint="F2"/>
          <w:lang w:val="sq-AL"/>
        </w:rPr>
        <w:t xml:space="preserve">d) </w:t>
      </w:r>
      <w:r w:rsidR="00A72F9A" w:rsidRPr="00050FA4">
        <w:rPr>
          <w:rStyle w:val="y2iqfc"/>
          <w:color w:val="0D0D0D" w:themeColor="text1" w:themeTint="F2"/>
          <w:lang w:val="sq-AL"/>
        </w:rPr>
        <w:t xml:space="preserve">Trajnimi i 500 drejtuesve të rrjetit mbi udhëzimin dhe zhvillimin e arsimit për </w:t>
      </w:r>
      <w:r w:rsidRPr="00050FA4">
        <w:rPr>
          <w:rStyle w:val="y2iqfc"/>
          <w:color w:val="0D0D0D" w:themeColor="text1" w:themeTint="F2"/>
          <w:lang w:val="sq-AL"/>
        </w:rPr>
        <w:t>arte dhe zeje</w:t>
      </w:r>
      <w:r w:rsidR="00A72F9A" w:rsidRPr="00050FA4">
        <w:rPr>
          <w:rStyle w:val="y2iqfc"/>
          <w:color w:val="0D0D0D" w:themeColor="text1" w:themeTint="F2"/>
          <w:lang w:val="sq-AL"/>
        </w:rPr>
        <w:t>.</w:t>
      </w:r>
    </w:p>
    <w:p w14:paraId="43CABB0B" w14:textId="7BCFE0D1" w:rsidR="0030742B" w:rsidRPr="00050FA4" w:rsidRDefault="00892664" w:rsidP="003F1DA7">
      <w:pPr>
        <w:pStyle w:val="AAAAAAATEXXXX"/>
        <w:rPr>
          <w:lang w:val="sq-AL"/>
        </w:rPr>
      </w:pPr>
      <w:r w:rsidRPr="00050FA4">
        <w:rPr>
          <w:lang w:val="sq-AL"/>
        </w:rPr>
        <w:t xml:space="preserve">2. </w:t>
      </w:r>
      <w:r w:rsidR="00B2062A" w:rsidRPr="00050FA4">
        <w:rPr>
          <w:lang w:val="sq-AL"/>
        </w:rPr>
        <w:t>Treguesit e rezultateve</w:t>
      </w:r>
    </w:p>
    <w:p w14:paraId="02CF5EE4" w14:textId="77777777" w:rsidR="004B25F5" w:rsidRPr="00050FA4" w:rsidRDefault="004B25F5" w:rsidP="003F1DA7">
      <w:pPr>
        <w:pStyle w:val="AAAAAAATEXXXX"/>
        <w:rPr>
          <w:lang w:val="sq-AL"/>
        </w:rPr>
      </w:pPr>
    </w:p>
    <w:tbl>
      <w:tblPr>
        <w:tblStyle w:val="TableGrid"/>
        <w:tblW w:w="0" w:type="auto"/>
        <w:jc w:val="center"/>
        <w:tblLook w:val="04A0" w:firstRow="1" w:lastRow="0" w:firstColumn="1" w:lastColumn="0" w:noHBand="0" w:noVBand="1"/>
      </w:tblPr>
      <w:tblGrid>
        <w:gridCol w:w="4248"/>
        <w:gridCol w:w="1791"/>
        <w:gridCol w:w="1791"/>
        <w:gridCol w:w="1792"/>
      </w:tblGrid>
      <w:tr w:rsidR="00FA29AB" w:rsidRPr="00050FA4" w14:paraId="5D63DABA" w14:textId="77777777" w:rsidTr="004B3389">
        <w:trPr>
          <w:jc w:val="center"/>
        </w:trPr>
        <w:tc>
          <w:tcPr>
            <w:tcW w:w="4248" w:type="dxa"/>
            <w:vAlign w:val="center"/>
          </w:tcPr>
          <w:p w14:paraId="77A89431" w14:textId="7B8B6FB6" w:rsidR="00D95692" w:rsidRPr="00050FA4" w:rsidRDefault="00B2062A" w:rsidP="00773BF3">
            <w:pPr>
              <w:pStyle w:val="AAAAAAATEXXXX"/>
              <w:ind w:firstLine="0"/>
              <w:jc w:val="center"/>
              <w:rPr>
                <w:b/>
                <w:sz w:val="18"/>
                <w:szCs w:val="18"/>
                <w:lang w:val="sq-AL"/>
              </w:rPr>
            </w:pPr>
            <w:r w:rsidRPr="00050FA4">
              <w:rPr>
                <w:b/>
                <w:sz w:val="18"/>
                <w:szCs w:val="18"/>
                <w:lang w:val="sq-AL"/>
              </w:rPr>
              <w:t>Tregues</w:t>
            </w:r>
          </w:p>
        </w:tc>
        <w:tc>
          <w:tcPr>
            <w:tcW w:w="1791" w:type="dxa"/>
            <w:vAlign w:val="center"/>
          </w:tcPr>
          <w:p w14:paraId="194A1C75" w14:textId="19A0B7A7" w:rsidR="00D95692" w:rsidRPr="00050FA4" w:rsidRDefault="00B2062A" w:rsidP="00773BF3">
            <w:pPr>
              <w:pStyle w:val="AAAAAAATEXXXX"/>
              <w:ind w:firstLine="0"/>
              <w:jc w:val="center"/>
              <w:rPr>
                <w:b/>
                <w:sz w:val="18"/>
                <w:szCs w:val="18"/>
                <w:lang w:val="sq-AL"/>
              </w:rPr>
            </w:pPr>
            <w:r w:rsidRPr="00050FA4">
              <w:rPr>
                <w:b/>
                <w:sz w:val="18"/>
                <w:szCs w:val="18"/>
                <w:lang w:val="sq-AL"/>
              </w:rPr>
              <w:t>Bazë</w:t>
            </w:r>
            <w:r w:rsidR="00D95692" w:rsidRPr="00050FA4">
              <w:rPr>
                <w:b/>
                <w:sz w:val="18"/>
                <w:szCs w:val="18"/>
                <w:lang w:val="sq-AL"/>
              </w:rPr>
              <w:t xml:space="preserve"> (2022)</w:t>
            </w:r>
          </w:p>
        </w:tc>
        <w:tc>
          <w:tcPr>
            <w:tcW w:w="1791" w:type="dxa"/>
            <w:vAlign w:val="center"/>
          </w:tcPr>
          <w:p w14:paraId="4B326355" w14:textId="13FA78F1" w:rsidR="00D95692" w:rsidRPr="00050FA4" w:rsidRDefault="00B2062A" w:rsidP="00773BF3">
            <w:pPr>
              <w:pStyle w:val="AAAAAAATEXXXX"/>
              <w:ind w:firstLine="0"/>
              <w:jc w:val="center"/>
              <w:rPr>
                <w:b/>
                <w:sz w:val="18"/>
                <w:szCs w:val="18"/>
                <w:lang w:val="sq-AL"/>
              </w:rPr>
            </w:pPr>
            <w:r w:rsidRPr="00050FA4">
              <w:rPr>
                <w:b/>
                <w:sz w:val="18"/>
                <w:szCs w:val="18"/>
                <w:lang w:val="sq-AL"/>
              </w:rPr>
              <w:t>I ndërmjetëm</w:t>
            </w:r>
            <w:r w:rsidR="00D95692" w:rsidRPr="00050FA4">
              <w:rPr>
                <w:b/>
                <w:sz w:val="18"/>
                <w:szCs w:val="18"/>
                <w:lang w:val="sq-AL"/>
              </w:rPr>
              <w:t xml:space="preserve"> (</w:t>
            </w:r>
            <w:r w:rsidR="00B754FD" w:rsidRPr="00050FA4">
              <w:rPr>
                <w:b/>
                <w:sz w:val="18"/>
                <w:szCs w:val="18"/>
                <w:lang w:val="sq-AL"/>
              </w:rPr>
              <w:t>viti</w:t>
            </w:r>
            <w:r w:rsidR="00D95692" w:rsidRPr="00050FA4">
              <w:rPr>
                <w:b/>
                <w:sz w:val="18"/>
                <w:szCs w:val="18"/>
                <w:lang w:val="sq-AL"/>
              </w:rPr>
              <w:t>) 2023</w:t>
            </w:r>
          </w:p>
        </w:tc>
        <w:tc>
          <w:tcPr>
            <w:tcW w:w="1792" w:type="dxa"/>
            <w:vAlign w:val="center"/>
          </w:tcPr>
          <w:p w14:paraId="6719A1DF" w14:textId="7CB27733" w:rsidR="00D95692" w:rsidRPr="00050FA4" w:rsidRDefault="00B2062A" w:rsidP="00773BF3">
            <w:pPr>
              <w:pStyle w:val="AAAAAAATEXXXX"/>
              <w:ind w:firstLine="0"/>
              <w:jc w:val="center"/>
              <w:rPr>
                <w:b/>
                <w:sz w:val="18"/>
                <w:szCs w:val="18"/>
                <w:lang w:val="sq-AL"/>
              </w:rPr>
            </w:pPr>
            <w:r w:rsidRPr="00050FA4">
              <w:rPr>
                <w:b/>
                <w:sz w:val="18"/>
                <w:szCs w:val="18"/>
                <w:lang w:val="sq-AL"/>
              </w:rPr>
              <w:t>Synimi</w:t>
            </w:r>
            <w:r w:rsidR="00D95692" w:rsidRPr="00050FA4">
              <w:rPr>
                <w:b/>
                <w:sz w:val="18"/>
                <w:szCs w:val="18"/>
                <w:lang w:val="sq-AL"/>
              </w:rPr>
              <w:t xml:space="preserve"> (</w:t>
            </w:r>
            <w:r w:rsidR="00B754FD" w:rsidRPr="00050FA4">
              <w:rPr>
                <w:b/>
                <w:sz w:val="18"/>
                <w:szCs w:val="18"/>
                <w:lang w:val="sq-AL"/>
              </w:rPr>
              <w:t xml:space="preserve">viti) </w:t>
            </w:r>
            <w:r w:rsidR="00D95692" w:rsidRPr="00050FA4">
              <w:rPr>
                <w:b/>
                <w:sz w:val="18"/>
                <w:szCs w:val="18"/>
                <w:lang w:val="sq-AL"/>
              </w:rPr>
              <w:t>2024</w:t>
            </w:r>
          </w:p>
        </w:tc>
      </w:tr>
      <w:tr w:rsidR="00FA29AB" w:rsidRPr="00050FA4" w14:paraId="15DD48C4" w14:textId="77777777" w:rsidTr="004B3389">
        <w:trPr>
          <w:jc w:val="center"/>
        </w:trPr>
        <w:tc>
          <w:tcPr>
            <w:tcW w:w="4248" w:type="dxa"/>
            <w:vAlign w:val="center"/>
          </w:tcPr>
          <w:p w14:paraId="5ACAEEEE" w14:textId="259ACA24" w:rsidR="00DB2D75" w:rsidRPr="00050FA4" w:rsidRDefault="00DB2D75" w:rsidP="00A95D23">
            <w:pPr>
              <w:pStyle w:val="AAAAAAATEXXXX"/>
              <w:ind w:firstLine="0"/>
              <w:rPr>
                <w:sz w:val="18"/>
                <w:szCs w:val="18"/>
                <w:lang w:val="sq-AL"/>
              </w:rPr>
            </w:pPr>
            <w:r w:rsidRPr="00050FA4">
              <w:rPr>
                <w:sz w:val="18"/>
                <w:szCs w:val="18"/>
                <w:lang w:val="sq-AL"/>
              </w:rPr>
              <w:t xml:space="preserve">Numri i mësuesve të gjuhës angleze të trajnuar </w:t>
            </w:r>
          </w:p>
        </w:tc>
        <w:tc>
          <w:tcPr>
            <w:tcW w:w="1791" w:type="dxa"/>
            <w:vAlign w:val="center"/>
          </w:tcPr>
          <w:p w14:paraId="363D06BD" w14:textId="6DDD0715" w:rsidR="00DB2D75" w:rsidRPr="00050FA4" w:rsidRDefault="00DB2D75" w:rsidP="00773BF3">
            <w:pPr>
              <w:pStyle w:val="AAAAAAATEXXXX"/>
              <w:ind w:firstLine="0"/>
              <w:jc w:val="right"/>
              <w:rPr>
                <w:sz w:val="18"/>
                <w:szCs w:val="18"/>
                <w:lang w:val="sq-AL"/>
              </w:rPr>
            </w:pPr>
            <w:r w:rsidRPr="00050FA4">
              <w:rPr>
                <w:bCs/>
                <w:sz w:val="18"/>
                <w:szCs w:val="18"/>
                <w:lang w:val="sq-AL"/>
              </w:rPr>
              <w:t>0</w:t>
            </w:r>
          </w:p>
        </w:tc>
        <w:tc>
          <w:tcPr>
            <w:tcW w:w="1791" w:type="dxa"/>
            <w:vAlign w:val="center"/>
          </w:tcPr>
          <w:p w14:paraId="5E38582D" w14:textId="5365A73D" w:rsidR="00DB2D75" w:rsidRPr="00050FA4" w:rsidRDefault="00DB2D75" w:rsidP="00773BF3">
            <w:pPr>
              <w:pStyle w:val="AAAAAAATEXXXX"/>
              <w:ind w:firstLine="0"/>
              <w:jc w:val="right"/>
              <w:rPr>
                <w:sz w:val="18"/>
                <w:szCs w:val="18"/>
                <w:lang w:val="sq-AL"/>
              </w:rPr>
            </w:pPr>
            <w:r w:rsidRPr="00050FA4">
              <w:rPr>
                <w:sz w:val="18"/>
                <w:szCs w:val="18"/>
                <w:lang w:val="sq-AL"/>
              </w:rPr>
              <w:t>1000</w:t>
            </w:r>
          </w:p>
        </w:tc>
        <w:tc>
          <w:tcPr>
            <w:tcW w:w="1792" w:type="dxa"/>
            <w:vAlign w:val="center"/>
          </w:tcPr>
          <w:p w14:paraId="329B962F" w14:textId="7DCDBDAD" w:rsidR="00DB2D75" w:rsidRPr="00050FA4" w:rsidRDefault="00DB2D75" w:rsidP="00773BF3">
            <w:pPr>
              <w:pStyle w:val="AAAAAAATEXXXX"/>
              <w:ind w:firstLine="0"/>
              <w:jc w:val="right"/>
              <w:rPr>
                <w:sz w:val="18"/>
                <w:szCs w:val="18"/>
                <w:lang w:val="sq-AL"/>
              </w:rPr>
            </w:pPr>
            <w:r w:rsidRPr="00050FA4">
              <w:rPr>
                <w:bCs/>
                <w:sz w:val="18"/>
                <w:szCs w:val="18"/>
                <w:lang w:val="sq-AL"/>
              </w:rPr>
              <w:t>1000</w:t>
            </w:r>
          </w:p>
        </w:tc>
      </w:tr>
      <w:tr w:rsidR="00FA29AB" w:rsidRPr="00050FA4" w14:paraId="219A092A" w14:textId="77777777" w:rsidTr="004B3389">
        <w:trPr>
          <w:jc w:val="center"/>
        </w:trPr>
        <w:tc>
          <w:tcPr>
            <w:tcW w:w="4248" w:type="dxa"/>
            <w:vAlign w:val="center"/>
          </w:tcPr>
          <w:p w14:paraId="653D49D0" w14:textId="58F292FA" w:rsidR="00DB2D75" w:rsidRPr="00050FA4" w:rsidRDefault="00DB2D75" w:rsidP="00A95D23">
            <w:pPr>
              <w:pStyle w:val="AAAAAAATEXXXX"/>
              <w:ind w:firstLine="0"/>
              <w:rPr>
                <w:sz w:val="18"/>
                <w:szCs w:val="18"/>
                <w:lang w:val="sq-AL"/>
              </w:rPr>
            </w:pPr>
            <w:r w:rsidRPr="00050FA4">
              <w:rPr>
                <w:sz w:val="18"/>
                <w:szCs w:val="18"/>
                <w:lang w:val="sq-AL"/>
              </w:rPr>
              <w:t>Harmonizimi i kurrikulës së trajnimit fillestar</w:t>
            </w:r>
          </w:p>
        </w:tc>
        <w:tc>
          <w:tcPr>
            <w:tcW w:w="1791" w:type="dxa"/>
            <w:vAlign w:val="center"/>
          </w:tcPr>
          <w:p w14:paraId="7B459CC1" w14:textId="6CFD67D8" w:rsidR="00DB2D75" w:rsidRPr="00050FA4" w:rsidRDefault="00DB2D75" w:rsidP="00773BF3">
            <w:pPr>
              <w:pStyle w:val="AAAAAAATEXXXX"/>
              <w:ind w:firstLine="0"/>
              <w:jc w:val="right"/>
              <w:rPr>
                <w:sz w:val="18"/>
                <w:szCs w:val="18"/>
                <w:lang w:val="sq-AL"/>
              </w:rPr>
            </w:pPr>
            <w:r w:rsidRPr="00050FA4">
              <w:rPr>
                <w:sz w:val="18"/>
                <w:szCs w:val="18"/>
                <w:lang w:val="sq-AL"/>
              </w:rPr>
              <w:t>0</w:t>
            </w:r>
          </w:p>
        </w:tc>
        <w:tc>
          <w:tcPr>
            <w:tcW w:w="1791" w:type="dxa"/>
            <w:vAlign w:val="center"/>
          </w:tcPr>
          <w:p w14:paraId="389BA368" w14:textId="54167058" w:rsidR="00DB2D75" w:rsidRPr="00050FA4" w:rsidRDefault="0084264C" w:rsidP="00773BF3">
            <w:pPr>
              <w:pStyle w:val="AAAAAAATEXXXX"/>
              <w:ind w:firstLine="0"/>
              <w:jc w:val="right"/>
              <w:rPr>
                <w:sz w:val="18"/>
                <w:szCs w:val="18"/>
                <w:lang w:val="sq-AL"/>
              </w:rPr>
            </w:pPr>
            <w:r w:rsidRPr="00050FA4">
              <w:rPr>
                <w:sz w:val="18"/>
                <w:szCs w:val="18"/>
                <w:lang w:val="sq-AL"/>
              </w:rPr>
              <w:t>70% programe arsimore në</w:t>
            </w:r>
            <w:r w:rsidR="00DB2D75" w:rsidRPr="00050FA4">
              <w:rPr>
                <w:sz w:val="18"/>
                <w:szCs w:val="18"/>
                <w:lang w:val="sq-AL"/>
              </w:rPr>
              <w:t xml:space="preserve"> IAL</w:t>
            </w:r>
          </w:p>
        </w:tc>
        <w:tc>
          <w:tcPr>
            <w:tcW w:w="1792" w:type="dxa"/>
            <w:vAlign w:val="center"/>
          </w:tcPr>
          <w:p w14:paraId="45D89A08" w14:textId="7983F201" w:rsidR="00DB2D75" w:rsidRPr="00050FA4" w:rsidRDefault="00DB2D75" w:rsidP="0084264C">
            <w:pPr>
              <w:pStyle w:val="AAAAAAATEXXXX"/>
              <w:ind w:firstLine="0"/>
              <w:jc w:val="right"/>
              <w:rPr>
                <w:sz w:val="18"/>
                <w:szCs w:val="18"/>
                <w:lang w:val="sq-AL"/>
              </w:rPr>
            </w:pPr>
            <w:r w:rsidRPr="00050FA4">
              <w:rPr>
                <w:sz w:val="18"/>
                <w:szCs w:val="18"/>
                <w:lang w:val="sq-AL"/>
              </w:rPr>
              <w:t>100 % programe arsimore n</w:t>
            </w:r>
            <w:r w:rsidR="0084264C" w:rsidRPr="00050FA4">
              <w:rPr>
                <w:sz w:val="18"/>
                <w:szCs w:val="18"/>
                <w:lang w:val="sq-AL"/>
              </w:rPr>
              <w:t>ë</w:t>
            </w:r>
            <w:r w:rsidRPr="00050FA4">
              <w:rPr>
                <w:sz w:val="18"/>
                <w:szCs w:val="18"/>
                <w:lang w:val="sq-AL"/>
              </w:rPr>
              <w:t xml:space="preserve"> IAL</w:t>
            </w:r>
          </w:p>
        </w:tc>
      </w:tr>
      <w:tr w:rsidR="00FA29AB" w:rsidRPr="00050FA4" w14:paraId="045963D5" w14:textId="77777777" w:rsidTr="004B3389">
        <w:trPr>
          <w:jc w:val="center"/>
        </w:trPr>
        <w:tc>
          <w:tcPr>
            <w:tcW w:w="4248" w:type="dxa"/>
            <w:vAlign w:val="center"/>
          </w:tcPr>
          <w:p w14:paraId="2D5E4515" w14:textId="4FBBEC54" w:rsidR="00DB2D75" w:rsidRPr="00050FA4" w:rsidRDefault="00DB2D75" w:rsidP="00A95D23">
            <w:pPr>
              <w:pStyle w:val="AAAAAAATEXXXX"/>
              <w:ind w:firstLine="0"/>
              <w:rPr>
                <w:sz w:val="18"/>
                <w:szCs w:val="18"/>
                <w:lang w:val="sq-AL"/>
              </w:rPr>
            </w:pPr>
            <w:r w:rsidRPr="00050FA4">
              <w:rPr>
                <w:sz w:val="18"/>
                <w:szCs w:val="18"/>
                <w:lang w:val="sq-AL"/>
              </w:rPr>
              <w:t>Udhëzues për trajnimin e drejtuesve të rrjeteve profesionale për artet dhe zejet</w:t>
            </w:r>
          </w:p>
        </w:tc>
        <w:tc>
          <w:tcPr>
            <w:tcW w:w="1791" w:type="dxa"/>
            <w:vAlign w:val="center"/>
          </w:tcPr>
          <w:p w14:paraId="148D12A5" w14:textId="77663664" w:rsidR="00DB2D75" w:rsidRPr="00050FA4" w:rsidRDefault="00DB2D75" w:rsidP="00773BF3">
            <w:pPr>
              <w:pStyle w:val="AAAAAAATEXXXX"/>
              <w:ind w:firstLine="0"/>
              <w:jc w:val="right"/>
              <w:rPr>
                <w:sz w:val="18"/>
                <w:szCs w:val="18"/>
                <w:lang w:val="sq-AL"/>
              </w:rPr>
            </w:pPr>
            <w:r w:rsidRPr="00050FA4">
              <w:rPr>
                <w:sz w:val="18"/>
                <w:szCs w:val="18"/>
                <w:lang w:val="sq-AL"/>
              </w:rPr>
              <w:t>0</w:t>
            </w:r>
          </w:p>
        </w:tc>
        <w:tc>
          <w:tcPr>
            <w:tcW w:w="1791" w:type="dxa"/>
            <w:vAlign w:val="center"/>
          </w:tcPr>
          <w:p w14:paraId="0310F985" w14:textId="27419F67" w:rsidR="00DB2D75" w:rsidRPr="00050FA4" w:rsidRDefault="00DB2D75" w:rsidP="00773BF3">
            <w:pPr>
              <w:pStyle w:val="AAAAAAATEXXXX"/>
              <w:ind w:firstLine="0"/>
              <w:jc w:val="right"/>
              <w:rPr>
                <w:sz w:val="18"/>
                <w:szCs w:val="18"/>
                <w:lang w:val="sq-AL"/>
              </w:rPr>
            </w:pPr>
            <w:r w:rsidRPr="00050FA4">
              <w:rPr>
                <w:sz w:val="18"/>
                <w:szCs w:val="18"/>
                <w:lang w:val="sq-AL"/>
              </w:rPr>
              <w:t>700</w:t>
            </w:r>
          </w:p>
        </w:tc>
        <w:tc>
          <w:tcPr>
            <w:tcW w:w="1792" w:type="dxa"/>
            <w:vAlign w:val="center"/>
          </w:tcPr>
          <w:p w14:paraId="3D4111EC" w14:textId="1B8CFCAD" w:rsidR="00DB2D75" w:rsidRPr="00050FA4" w:rsidRDefault="00DB2D75" w:rsidP="00773BF3">
            <w:pPr>
              <w:pStyle w:val="AAAAAAATEXXXX"/>
              <w:ind w:firstLine="0"/>
              <w:jc w:val="right"/>
              <w:rPr>
                <w:sz w:val="18"/>
                <w:szCs w:val="18"/>
                <w:lang w:val="sq-AL"/>
              </w:rPr>
            </w:pPr>
            <w:r w:rsidRPr="00050FA4">
              <w:rPr>
                <w:sz w:val="18"/>
                <w:szCs w:val="18"/>
                <w:lang w:val="sq-AL"/>
              </w:rPr>
              <w:t>1200</w:t>
            </w:r>
          </w:p>
        </w:tc>
      </w:tr>
    </w:tbl>
    <w:p w14:paraId="27BC2372" w14:textId="77777777" w:rsidR="00D95692" w:rsidRPr="00050FA4" w:rsidRDefault="00D95692" w:rsidP="003F1DA7">
      <w:pPr>
        <w:pStyle w:val="AAAAAAATEXXXX"/>
        <w:rPr>
          <w:rStyle w:val="alt-edited"/>
          <w:lang w:val="sq-AL"/>
        </w:rPr>
      </w:pPr>
    </w:p>
    <w:p w14:paraId="7C0FB3CD" w14:textId="1BD6ACD6" w:rsidR="0030742B" w:rsidRPr="00050FA4" w:rsidRDefault="00892664" w:rsidP="003F1DA7">
      <w:pPr>
        <w:pStyle w:val="AAAAAAATEXXXX"/>
        <w:rPr>
          <w:rStyle w:val="alt-edited"/>
          <w:lang w:val="sq-AL"/>
        </w:rPr>
      </w:pPr>
      <w:r w:rsidRPr="00050FA4">
        <w:rPr>
          <w:rStyle w:val="alt-edited"/>
          <w:lang w:val="sq-AL"/>
        </w:rPr>
        <w:t xml:space="preserve">3. </w:t>
      </w:r>
      <w:r w:rsidR="00B2062A" w:rsidRPr="00050FA4">
        <w:rPr>
          <w:rStyle w:val="alt-edited"/>
          <w:lang w:val="sq-AL"/>
        </w:rPr>
        <w:t>Ndikimi i pritshëm në konkurrueshmëri</w:t>
      </w:r>
    </w:p>
    <w:p w14:paraId="6FA7DD6F" w14:textId="3BED5C69" w:rsidR="00DB2D75" w:rsidRPr="00050FA4" w:rsidRDefault="00DB2D75" w:rsidP="003F1DA7">
      <w:pPr>
        <w:ind w:firstLine="284"/>
        <w:jc w:val="both"/>
        <w:rPr>
          <w:rFonts w:ascii="Garamond" w:hAnsi="Garamond" w:cstheme="majorBidi"/>
          <w:color w:val="0D0D0D" w:themeColor="text1" w:themeTint="F2"/>
          <w:lang w:eastAsia="x-none"/>
        </w:rPr>
      </w:pPr>
      <w:r w:rsidRPr="00050FA4">
        <w:rPr>
          <w:rFonts w:ascii="Garamond" w:hAnsi="Garamond" w:cstheme="majorBidi"/>
          <w:color w:val="0D0D0D" w:themeColor="text1" w:themeTint="F2"/>
          <w:lang w:eastAsia="x-none"/>
        </w:rPr>
        <w:t xml:space="preserve">Në terma afatgjatë </w:t>
      </w:r>
      <w:r w:rsidR="00B754FD" w:rsidRPr="00050FA4">
        <w:rPr>
          <w:rFonts w:ascii="Garamond" w:hAnsi="Garamond" w:cstheme="majorBidi"/>
          <w:color w:val="0D0D0D" w:themeColor="text1" w:themeTint="F2"/>
          <w:lang w:eastAsia="x-none"/>
        </w:rPr>
        <w:t>–</w:t>
      </w:r>
      <w:r w:rsidRPr="00050FA4">
        <w:rPr>
          <w:rFonts w:ascii="Garamond" w:hAnsi="Garamond" w:cstheme="majorBidi"/>
          <w:color w:val="0D0D0D" w:themeColor="text1" w:themeTint="F2"/>
          <w:lang w:eastAsia="x-none"/>
        </w:rPr>
        <w:t xml:space="preserve"> sipas studimeve si studimi i OECD PISA</w:t>
      </w:r>
      <w:r w:rsidR="0084264C" w:rsidRPr="00050FA4">
        <w:rPr>
          <w:rFonts w:ascii="Garamond" w:hAnsi="Garamond" w:cstheme="majorBidi"/>
          <w:color w:val="0D0D0D" w:themeColor="text1" w:themeTint="F2"/>
          <w:lang w:eastAsia="x-none"/>
        </w:rPr>
        <w:t>,</w:t>
      </w:r>
      <w:r w:rsidRPr="00050FA4">
        <w:rPr>
          <w:rFonts w:ascii="Garamond" w:hAnsi="Garamond" w:cstheme="majorBidi"/>
          <w:color w:val="0D0D0D" w:themeColor="text1" w:themeTint="F2"/>
          <w:lang w:eastAsia="x-none"/>
        </w:rPr>
        <w:t xml:space="preserve"> që bëjnë një lidhje midis rezultateve më të mira në aftësitë bazë dhe zhvillimit ekonomik të vendeve </w:t>
      </w:r>
      <w:r w:rsidR="00B754FD" w:rsidRPr="00050FA4">
        <w:rPr>
          <w:rFonts w:ascii="Garamond" w:hAnsi="Garamond" w:cstheme="majorBidi"/>
          <w:color w:val="0D0D0D" w:themeColor="text1" w:themeTint="F2"/>
          <w:lang w:eastAsia="x-none"/>
        </w:rPr>
        <w:t>–</w:t>
      </w:r>
      <w:r w:rsidRPr="00050FA4">
        <w:rPr>
          <w:rFonts w:ascii="Garamond" w:hAnsi="Garamond" w:cstheme="majorBidi"/>
          <w:color w:val="0D0D0D" w:themeColor="text1" w:themeTint="F2"/>
          <w:lang w:eastAsia="x-none"/>
        </w:rPr>
        <w:t xml:space="preserve"> përmirësimi i cilësisë së mësuesve rrit rezultatet në aftësitë bazë, gjë që i mundëson këtij brezi studentësh të përgatiten më mirë për tregun e punës: qoftë si punonjës apo si krijues pune.</w:t>
      </w:r>
    </w:p>
    <w:p w14:paraId="1C930246" w14:textId="5F4E4906" w:rsidR="0030742B" w:rsidRPr="00050FA4" w:rsidRDefault="00892664"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1BFEF480" w14:textId="77777777" w:rsidR="00B754FD" w:rsidRPr="00050FA4" w:rsidRDefault="00B754FD" w:rsidP="003F1DA7">
      <w:pPr>
        <w:pStyle w:val="AAAAAAATEXXXX"/>
        <w:rPr>
          <w:lang w:val="sq-AL"/>
        </w:rPr>
      </w:pPr>
    </w:p>
    <w:tbl>
      <w:tblPr>
        <w:tblStyle w:val="TableGrid1"/>
        <w:tblW w:w="10060" w:type="dxa"/>
        <w:jc w:val="center"/>
        <w:tblLayout w:type="fixed"/>
        <w:tblLook w:val="04A0" w:firstRow="1" w:lastRow="0" w:firstColumn="1" w:lastColumn="0" w:noHBand="0" w:noVBand="1"/>
      </w:tblPr>
      <w:tblGrid>
        <w:gridCol w:w="988"/>
        <w:gridCol w:w="6197"/>
        <w:gridCol w:w="1315"/>
        <w:gridCol w:w="1560"/>
      </w:tblGrid>
      <w:tr w:rsidR="00FA29AB" w:rsidRPr="00050FA4" w14:paraId="4F922605" w14:textId="77777777" w:rsidTr="00B754FD">
        <w:trPr>
          <w:trHeight w:val="20"/>
          <w:jc w:val="center"/>
        </w:trPr>
        <w:tc>
          <w:tcPr>
            <w:tcW w:w="988" w:type="dxa"/>
            <w:vAlign w:val="center"/>
            <w:hideMark/>
          </w:tcPr>
          <w:p w14:paraId="32291007" w14:textId="77777777" w:rsidR="00DB2D75" w:rsidRPr="00050FA4" w:rsidRDefault="00DB2D75" w:rsidP="00B754FD">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Viti</w:t>
            </w:r>
          </w:p>
        </w:tc>
        <w:tc>
          <w:tcPr>
            <w:tcW w:w="6197" w:type="dxa"/>
            <w:vAlign w:val="center"/>
            <w:hideMark/>
          </w:tcPr>
          <w:p w14:paraId="6C58AE70" w14:textId="77777777" w:rsidR="00DB2D75" w:rsidRPr="00050FA4" w:rsidRDefault="00DB2D75" w:rsidP="00B754FD">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Aktiviteti</w:t>
            </w:r>
          </w:p>
        </w:tc>
        <w:tc>
          <w:tcPr>
            <w:tcW w:w="1315" w:type="dxa"/>
            <w:vAlign w:val="center"/>
            <w:hideMark/>
          </w:tcPr>
          <w:p w14:paraId="2128ECFC" w14:textId="77777777" w:rsidR="00DB2D75" w:rsidRPr="00050FA4" w:rsidRDefault="00DB2D75" w:rsidP="00B754FD">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Kostoja e vlerësuar</w:t>
            </w:r>
          </w:p>
        </w:tc>
        <w:tc>
          <w:tcPr>
            <w:tcW w:w="1560" w:type="dxa"/>
            <w:vAlign w:val="center"/>
            <w:hideMark/>
          </w:tcPr>
          <w:p w14:paraId="3A184169" w14:textId="77777777" w:rsidR="00DB2D75" w:rsidRPr="00050FA4" w:rsidRDefault="00DB2D75" w:rsidP="00B754FD">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Burimi i financimit</w:t>
            </w:r>
          </w:p>
        </w:tc>
      </w:tr>
      <w:tr w:rsidR="00FA29AB" w:rsidRPr="00050FA4" w14:paraId="54DA9265" w14:textId="77777777" w:rsidTr="00773BF3">
        <w:trPr>
          <w:trHeight w:val="20"/>
          <w:jc w:val="center"/>
        </w:trPr>
        <w:tc>
          <w:tcPr>
            <w:tcW w:w="988" w:type="dxa"/>
            <w:vMerge w:val="restart"/>
            <w:hideMark/>
          </w:tcPr>
          <w:p w14:paraId="066B185A" w14:textId="0EFDEE2F" w:rsidR="00DB2D75" w:rsidRPr="00050FA4" w:rsidRDefault="00DB2D75" w:rsidP="00773BF3">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2022</w:t>
            </w:r>
          </w:p>
        </w:tc>
        <w:tc>
          <w:tcPr>
            <w:tcW w:w="6197" w:type="dxa"/>
            <w:hideMark/>
          </w:tcPr>
          <w:p w14:paraId="5591FAE8"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Përfshirja e gjuhës angleze në klasën e parë (tekste për nxënësit e klasës së parë 2022)</w:t>
            </w:r>
          </w:p>
        </w:tc>
        <w:tc>
          <w:tcPr>
            <w:tcW w:w="1315" w:type="dxa"/>
          </w:tcPr>
          <w:p w14:paraId="5C536851" w14:textId="77777777" w:rsidR="00DB2D75" w:rsidRPr="00050FA4" w:rsidRDefault="00DB2D75" w:rsidP="00773BF3">
            <w:pPr>
              <w:jc w:val="right"/>
              <w:rPr>
                <w:rFonts w:ascii="Garamond" w:hAnsi="Garamond" w:cs="Times New Roman"/>
                <w:color w:val="0D0D0D" w:themeColor="text1" w:themeTint="F2"/>
                <w:sz w:val="18"/>
                <w:szCs w:val="18"/>
                <w:lang w:val="sq-AL"/>
              </w:rPr>
            </w:pPr>
          </w:p>
        </w:tc>
        <w:tc>
          <w:tcPr>
            <w:tcW w:w="1560" w:type="dxa"/>
          </w:tcPr>
          <w:p w14:paraId="06D5D860"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PBA 2022-2024</w:t>
            </w:r>
          </w:p>
        </w:tc>
      </w:tr>
      <w:tr w:rsidR="00FA29AB" w:rsidRPr="00050FA4" w14:paraId="4CF9F359" w14:textId="77777777" w:rsidTr="00773BF3">
        <w:trPr>
          <w:trHeight w:val="20"/>
          <w:jc w:val="center"/>
        </w:trPr>
        <w:tc>
          <w:tcPr>
            <w:tcW w:w="988" w:type="dxa"/>
            <w:vMerge/>
          </w:tcPr>
          <w:p w14:paraId="602F1D62"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0A8719A3" w14:textId="3BFFDEDC"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Hartimi i moduleve të trajnimit për </w:t>
            </w:r>
            <w:r w:rsidR="008A0E5B" w:rsidRPr="00050FA4">
              <w:rPr>
                <w:rFonts w:ascii="Garamond" w:hAnsi="Garamond" w:cs="Times New Roman"/>
                <w:color w:val="0D0D0D" w:themeColor="text1" w:themeTint="F2"/>
                <w:sz w:val="18"/>
                <w:szCs w:val="18"/>
                <w:lang w:val="sq-AL"/>
              </w:rPr>
              <w:t>“</w:t>
            </w:r>
            <w:r w:rsidRPr="00050FA4">
              <w:rPr>
                <w:rFonts w:ascii="Garamond" w:hAnsi="Garamond" w:cs="Times New Roman"/>
                <w:color w:val="0D0D0D" w:themeColor="text1" w:themeTint="F2"/>
                <w:sz w:val="18"/>
                <w:szCs w:val="18"/>
                <w:lang w:val="sq-AL"/>
              </w:rPr>
              <w:t>Mësimi i gjuhës angleze që në klasën e parë të arsimit bazë</w:t>
            </w:r>
            <w:r w:rsidR="008A0E5B" w:rsidRPr="00050FA4">
              <w:rPr>
                <w:rFonts w:ascii="Garamond" w:hAnsi="Garamond" w:cs="Times New Roman"/>
                <w:color w:val="0D0D0D" w:themeColor="text1" w:themeTint="F2"/>
                <w:sz w:val="18"/>
                <w:szCs w:val="18"/>
                <w:lang w:val="sq-AL"/>
              </w:rPr>
              <w:t>”</w:t>
            </w:r>
          </w:p>
        </w:tc>
        <w:tc>
          <w:tcPr>
            <w:tcW w:w="1315" w:type="dxa"/>
          </w:tcPr>
          <w:p w14:paraId="7BEF3E4E" w14:textId="098F3701"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700 </w:t>
            </w:r>
            <w:r w:rsidR="00773BF3" w:rsidRPr="00050FA4">
              <w:rPr>
                <w:rFonts w:ascii="Garamond" w:hAnsi="Garamond" w:cs="Times New Roman"/>
                <w:color w:val="0D0D0D" w:themeColor="text1" w:themeTint="F2"/>
                <w:sz w:val="18"/>
                <w:szCs w:val="18"/>
                <w:lang w:val="sq-AL"/>
              </w:rPr>
              <w:t>euro</w:t>
            </w:r>
          </w:p>
        </w:tc>
        <w:tc>
          <w:tcPr>
            <w:tcW w:w="1560" w:type="dxa"/>
          </w:tcPr>
          <w:p w14:paraId="24362A1A"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081224FE" w14:textId="77777777" w:rsidTr="00773BF3">
        <w:trPr>
          <w:trHeight w:val="20"/>
          <w:jc w:val="center"/>
        </w:trPr>
        <w:tc>
          <w:tcPr>
            <w:tcW w:w="988" w:type="dxa"/>
            <w:vMerge/>
            <w:hideMark/>
          </w:tcPr>
          <w:p w14:paraId="2BF9773F"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hideMark/>
          </w:tcPr>
          <w:p w14:paraId="1C608488"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1000 mësuesve të klasës së parë dhe monitorimi i vazhdimësisë së punës për zbatimin e programit të gjuhës angleze.</w:t>
            </w:r>
          </w:p>
        </w:tc>
        <w:tc>
          <w:tcPr>
            <w:tcW w:w="1315" w:type="dxa"/>
          </w:tcPr>
          <w:p w14:paraId="3DC90450" w14:textId="18160FAC"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12 000 </w:t>
            </w:r>
            <w:r w:rsidR="00773BF3" w:rsidRPr="00050FA4">
              <w:rPr>
                <w:rFonts w:ascii="Garamond" w:hAnsi="Garamond" w:cs="Times New Roman"/>
                <w:color w:val="0D0D0D" w:themeColor="text1" w:themeTint="F2"/>
                <w:sz w:val="18"/>
                <w:szCs w:val="18"/>
                <w:lang w:val="sq-AL"/>
              </w:rPr>
              <w:t>euro</w:t>
            </w:r>
          </w:p>
        </w:tc>
        <w:tc>
          <w:tcPr>
            <w:tcW w:w="1560" w:type="dxa"/>
          </w:tcPr>
          <w:p w14:paraId="63B73FA9"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56F71A3" w14:textId="77777777" w:rsidTr="00773BF3">
        <w:trPr>
          <w:trHeight w:val="20"/>
          <w:jc w:val="center"/>
        </w:trPr>
        <w:tc>
          <w:tcPr>
            <w:tcW w:w="988" w:type="dxa"/>
            <w:vMerge/>
          </w:tcPr>
          <w:p w14:paraId="3B21DBA5"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1CF42BB3" w14:textId="7B46D024"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Harmonizimi i kurrikulave të trajnimit fillestar të programeve të arsimit të lartë për arsimin bazuar në kërkesat e </w:t>
            </w:r>
            <w:r w:rsidR="00B754FD" w:rsidRPr="00050FA4">
              <w:rPr>
                <w:rFonts w:ascii="Garamond" w:hAnsi="Garamond" w:cs="Times New Roman"/>
                <w:color w:val="0D0D0D" w:themeColor="text1" w:themeTint="F2"/>
                <w:sz w:val="18"/>
                <w:szCs w:val="18"/>
                <w:lang w:val="sq-AL"/>
              </w:rPr>
              <w:t xml:space="preserve">ligjit për arsimin e lartë, </w:t>
            </w:r>
            <w:r w:rsidRPr="00050FA4">
              <w:rPr>
                <w:rFonts w:ascii="Garamond" w:hAnsi="Garamond" w:cs="Times New Roman"/>
                <w:color w:val="0D0D0D" w:themeColor="text1" w:themeTint="F2"/>
                <w:sz w:val="18"/>
                <w:szCs w:val="18"/>
                <w:lang w:val="sq-AL"/>
              </w:rPr>
              <w:t>si dhe me kurrikulën e ofruar në arsimin parauniversitar.</w:t>
            </w:r>
          </w:p>
        </w:tc>
        <w:tc>
          <w:tcPr>
            <w:tcW w:w="1315" w:type="dxa"/>
          </w:tcPr>
          <w:p w14:paraId="5E3D34F0" w14:textId="77777777"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ASCAL</w:t>
            </w:r>
          </w:p>
        </w:tc>
        <w:tc>
          <w:tcPr>
            <w:tcW w:w="1560" w:type="dxa"/>
          </w:tcPr>
          <w:p w14:paraId="6D24BCE4"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BE Erasmus +</w:t>
            </w:r>
          </w:p>
        </w:tc>
      </w:tr>
      <w:tr w:rsidR="00FA29AB" w:rsidRPr="00050FA4" w14:paraId="4A450D84" w14:textId="77777777" w:rsidTr="00773BF3">
        <w:trPr>
          <w:trHeight w:val="20"/>
          <w:jc w:val="center"/>
        </w:trPr>
        <w:tc>
          <w:tcPr>
            <w:tcW w:w="988" w:type="dxa"/>
            <w:vMerge/>
            <w:hideMark/>
          </w:tcPr>
          <w:p w14:paraId="0F6748F8"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hideMark/>
          </w:tcPr>
          <w:p w14:paraId="086701E7"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Zhvillimi i moduleve të trajnimit bazuar në standardet profesionale të mësuesit dhe në koherencë me kurrikulën e re.</w:t>
            </w:r>
          </w:p>
        </w:tc>
        <w:tc>
          <w:tcPr>
            <w:tcW w:w="1315" w:type="dxa"/>
            <w:hideMark/>
          </w:tcPr>
          <w:p w14:paraId="72C0AA0C" w14:textId="18312E82"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35 000 </w:t>
            </w:r>
            <w:r w:rsidR="00773BF3" w:rsidRPr="00050FA4">
              <w:rPr>
                <w:rFonts w:ascii="Garamond" w:hAnsi="Garamond" w:cs="Times New Roman"/>
                <w:color w:val="0D0D0D" w:themeColor="text1" w:themeTint="F2"/>
                <w:sz w:val="18"/>
                <w:szCs w:val="18"/>
                <w:lang w:val="sq-AL"/>
              </w:rPr>
              <w:t>euro</w:t>
            </w:r>
          </w:p>
        </w:tc>
        <w:tc>
          <w:tcPr>
            <w:tcW w:w="1560" w:type="dxa"/>
            <w:hideMark/>
          </w:tcPr>
          <w:p w14:paraId="644871DD"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17827927" w14:textId="77777777" w:rsidTr="00773BF3">
        <w:trPr>
          <w:trHeight w:val="20"/>
          <w:jc w:val="center"/>
        </w:trPr>
        <w:tc>
          <w:tcPr>
            <w:tcW w:w="988" w:type="dxa"/>
            <w:vMerge/>
          </w:tcPr>
          <w:p w14:paraId="56245FD0"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4C7C86C1"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i sistemit të karrierës së mësuesit bazuar në vlerësimin e performancës së mësuesve në shkollë.</w:t>
            </w:r>
          </w:p>
        </w:tc>
        <w:tc>
          <w:tcPr>
            <w:tcW w:w="1315" w:type="dxa"/>
          </w:tcPr>
          <w:p w14:paraId="604A6BEF" w14:textId="6438BC84"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3 000 </w:t>
            </w:r>
            <w:r w:rsidR="00773BF3" w:rsidRPr="00050FA4">
              <w:rPr>
                <w:rFonts w:ascii="Garamond" w:hAnsi="Garamond" w:cs="Times New Roman"/>
                <w:color w:val="0D0D0D" w:themeColor="text1" w:themeTint="F2"/>
                <w:sz w:val="18"/>
                <w:szCs w:val="18"/>
                <w:lang w:val="sq-AL"/>
              </w:rPr>
              <w:t>euro</w:t>
            </w:r>
          </w:p>
        </w:tc>
        <w:tc>
          <w:tcPr>
            <w:tcW w:w="1560" w:type="dxa"/>
          </w:tcPr>
          <w:p w14:paraId="221B9727"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6846B5A6" w14:textId="77777777" w:rsidTr="00773BF3">
        <w:trPr>
          <w:trHeight w:val="20"/>
          <w:jc w:val="center"/>
        </w:trPr>
        <w:tc>
          <w:tcPr>
            <w:tcW w:w="988" w:type="dxa"/>
            <w:vMerge/>
            <w:hideMark/>
          </w:tcPr>
          <w:p w14:paraId="036E99AC"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hideMark/>
          </w:tcPr>
          <w:p w14:paraId="450A206B"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i një udhëzuesi për zhvillimin e arsimit artizanal në arsimin parauniversitar.</w:t>
            </w:r>
          </w:p>
        </w:tc>
        <w:tc>
          <w:tcPr>
            <w:tcW w:w="1315" w:type="dxa"/>
            <w:hideMark/>
          </w:tcPr>
          <w:p w14:paraId="308A86E8" w14:textId="1A8B3546"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3 000 </w:t>
            </w:r>
            <w:r w:rsidR="00773BF3" w:rsidRPr="00050FA4">
              <w:rPr>
                <w:rFonts w:ascii="Garamond" w:hAnsi="Garamond" w:cs="Times New Roman"/>
                <w:color w:val="0D0D0D" w:themeColor="text1" w:themeTint="F2"/>
                <w:sz w:val="18"/>
                <w:szCs w:val="18"/>
                <w:lang w:val="sq-AL"/>
              </w:rPr>
              <w:t>euro</w:t>
            </w:r>
          </w:p>
        </w:tc>
        <w:tc>
          <w:tcPr>
            <w:tcW w:w="1560" w:type="dxa"/>
            <w:hideMark/>
          </w:tcPr>
          <w:p w14:paraId="4D664A8C" w14:textId="77777777" w:rsidR="00DB2D75" w:rsidRPr="00050FA4" w:rsidRDefault="00DB2D75" w:rsidP="00A95D23">
            <w:pPr>
              <w:rPr>
                <w:rFonts w:ascii="Garamond" w:hAnsi="Garamond" w:cs="Times New Roman"/>
                <w:b/>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r w:rsidRPr="00050FA4">
              <w:rPr>
                <w:rFonts w:ascii="Garamond" w:hAnsi="Garamond" w:cs="Times New Roman"/>
                <w:b/>
                <w:color w:val="0D0D0D" w:themeColor="text1" w:themeTint="F2"/>
                <w:sz w:val="18"/>
                <w:szCs w:val="18"/>
                <w:lang w:val="sq-AL"/>
              </w:rPr>
              <w:t xml:space="preserve"> </w:t>
            </w:r>
          </w:p>
        </w:tc>
      </w:tr>
      <w:tr w:rsidR="00FA29AB" w:rsidRPr="00050FA4" w14:paraId="6E574DEB" w14:textId="77777777" w:rsidTr="00773BF3">
        <w:trPr>
          <w:trHeight w:val="20"/>
          <w:jc w:val="center"/>
        </w:trPr>
        <w:tc>
          <w:tcPr>
            <w:tcW w:w="988" w:type="dxa"/>
            <w:vMerge/>
            <w:hideMark/>
          </w:tcPr>
          <w:p w14:paraId="7BB38482"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30EF5BF3"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dhe miratimi i standardeve të drejtorit të kopshteve.</w:t>
            </w:r>
          </w:p>
        </w:tc>
        <w:tc>
          <w:tcPr>
            <w:tcW w:w="1315" w:type="dxa"/>
          </w:tcPr>
          <w:p w14:paraId="69A74255" w14:textId="765B9CD5"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2 000 </w:t>
            </w:r>
            <w:r w:rsidR="00773BF3" w:rsidRPr="00050FA4">
              <w:rPr>
                <w:rFonts w:ascii="Garamond" w:hAnsi="Garamond" w:cs="Times New Roman"/>
                <w:color w:val="0D0D0D" w:themeColor="text1" w:themeTint="F2"/>
                <w:sz w:val="18"/>
                <w:szCs w:val="18"/>
                <w:lang w:val="sq-AL"/>
              </w:rPr>
              <w:t>euro</w:t>
            </w:r>
          </w:p>
        </w:tc>
        <w:tc>
          <w:tcPr>
            <w:tcW w:w="1560" w:type="dxa"/>
          </w:tcPr>
          <w:p w14:paraId="50A8948A"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448C4794" w14:textId="77777777" w:rsidTr="00773BF3">
        <w:trPr>
          <w:trHeight w:val="20"/>
          <w:jc w:val="center"/>
        </w:trPr>
        <w:tc>
          <w:tcPr>
            <w:tcW w:w="988" w:type="dxa"/>
            <w:vMerge w:val="restart"/>
          </w:tcPr>
          <w:p w14:paraId="2A63C989" w14:textId="77777777" w:rsidR="00DB2D75" w:rsidRPr="00050FA4" w:rsidRDefault="00DB2D75" w:rsidP="00773BF3">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2023</w:t>
            </w:r>
          </w:p>
        </w:tc>
        <w:tc>
          <w:tcPr>
            <w:tcW w:w="6197" w:type="dxa"/>
          </w:tcPr>
          <w:p w14:paraId="513764BC" w14:textId="77777777" w:rsidR="00DB2D75" w:rsidRPr="00050FA4" w:rsidRDefault="00DB2D75" w:rsidP="00A95D23">
            <w:pPr>
              <w:jc w:val="both"/>
              <w:rPr>
                <w:rFonts w:ascii="Garamond" w:hAnsi="Garamond" w:cs="Times New Roman"/>
                <w:color w:val="0D0D0D" w:themeColor="text1" w:themeTint="F2"/>
                <w:sz w:val="18"/>
                <w:szCs w:val="18"/>
                <w:lang w:val="sq-AL"/>
              </w:rPr>
            </w:pPr>
            <w:r w:rsidRPr="00050FA4">
              <w:rPr>
                <w:rStyle w:val="y2iqfc"/>
                <w:rFonts w:ascii="Garamond" w:hAnsi="Garamond" w:cs="Times New Roman"/>
                <w:color w:val="0D0D0D" w:themeColor="text1" w:themeTint="F2"/>
                <w:sz w:val="18"/>
                <w:szCs w:val="18"/>
                <w:lang w:val="sq-AL"/>
              </w:rPr>
              <w:t>Trajnimi i 1000 mësuesve të klasës së dytë dhe monitorimi i vazhdimësisë së punës për zbatimin e programit të gjuhës angleze.</w:t>
            </w:r>
          </w:p>
        </w:tc>
        <w:tc>
          <w:tcPr>
            <w:tcW w:w="1315" w:type="dxa"/>
          </w:tcPr>
          <w:p w14:paraId="55206393" w14:textId="7CCD3267"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15 000 </w:t>
            </w:r>
            <w:r w:rsidR="00773BF3" w:rsidRPr="00050FA4">
              <w:rPr>
                <w:rFonts w:ascii="Garamond" w:hAnsi="Garamond" w:cs="Times New Roman"/>
                <w:color w:val="0D0D0D" w:themeColor="text1" w:themeTint="F2"/>
                <w:sz w:val="18"/>
                <w:szCs w:val="18"/>
                <w:lang w:val="sq-AL"/>
              </w:rPr>
              <w:t>euro</w:t>
            </w:r>
          </w:p>
        </w:tc>
        <w:tc>
          <w:tcPr>
            <w:tcW w:w="1560" w:type="dxa"/>
          </w:tcPr>
          <w:p w14:paraId="5698F217"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6F9F7B96" w14:textId="77777777" w:rsidTr="00773BF3">
        <w:trPr>
          <w:trHeight w:val="20"/>
          <w:jc w:val="center"/>
        </w:trPr>
        <w:tc>
          <w:tcPr>
            <w:tcW w:w="988" w:type="dxa"/>
            <w:vMerge/>
          </w:tcPr>
          <w:p w14:paraId="54A2CFD5"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050BFAC5" w14:textId="2BEF0A4B"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Përfundimi i procesit të harmonizimit të kurrikulave të trajnimit fillestar të mësuesve të IAL-ve bazuar në kërkesat e </w:t>
            </w:r>
            <w:r w:rsidR="00B754FD" w:rsidRPr="00050FA4">
              <w:rPr>
                <w:rFonts w:ascii="Garamond" w:hAnsi="Garamond" w:cs="Times New Roman"/>
                <w:color w:val="0D0D0D" w:themeColor="text1" w:themeTint="F2"/>
                <w:sz w:val="18"/>
                <w:szCs w:val="18"/>
                <w:lang w:val="sq-AL"/>
              </w:rPr>
              <w:t xml:space="preserve">ligjit për arsimin e lartë, </w:t>
            </w:r>
            <w:r w:rsidRPr="00050FA4">
              <w:rPr>
                <w:rFonts w:ascii="Garamond" w:hAnsi="Garamond" w:cs="Times New Roman"/>
                <w:color w:val="0D0D0D" w:themeColor="text1" w:themeTint="F2"/>
                <w:sz w:val="18"/>
                <w:szCs w:val="18"/>
                <w:lang w:val="sq-AL"/>
              </w:rPr>
              <w:t>si dhe me kurrikulën e ofruar në arsimin parauniversitar.</w:t>
            </w:r>
          </w:p>
        </w:tc>
        <w:tc>
          <w:tcPr>
            <w:tcW w:w="1315" w:type="dxa"/>
          </w:tcPr>
          <w:p w14:paraId="37A0099F" w14:textId="77777777"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ASCAL</w:t>
            </w:r>
          </w:p>
        </w:tc>
        <w:tc>
          <w:tcPr>
            <w:tcW w:w="1560" w:type="dxa"/>
          </w:tcPr>
          <w:p w14:paraId="119DD921"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071BF4FA" w14:textId="77777777" w:rsidTr="00773BF3">
        <w:trPr>
          <w:trHeight w:val="20"/>
          <w:jc w:val="center"/>
        </w:trPr>
        <w:tc>
          <w:tcPr>
            <w:tcW w:w="988" w:type="dxa"/>
            <w:vMerge/>
          </w:tcPr>
          <w:p w14:paraId="545516F6"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5F5EC3BE" w14:textId="75960F4C"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Diskutimi dhe finalizimi i draftit të karrierës së mësuesit bazuar në vlerësimin e performancës </w:t>
            </w:r>
            <w:r w:rsidR="00B754FD" w:rsidRPr="00050FA4">
              <w:rPr>
                <w:rFonts w:ascii="Garamond" w:hAnsi="Garamond" w:cs="Times New Roman"/>
                <w:color w:val="0D0D0D" w:themeColor="text1" w:themeTint="F2"/>
                <w:sz w:val="18"/>
                <w:szCs w:val="18"/>
                <w:lang w:val="sq-AL"/>
              </w:rPr>
              <w:t>së mësuesit në shkollë</w:t>
            </w:r>
          </w:p>
        </w:tc>
        <w:tc>
          <w:tcPr>
            <w:tcW w:w="1315" w:type="dxa"/>
          </w:tcPr>
          <w:p w14:paraId="51882AD6" w14:textId="1A392807"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3 000 </w:t>
            </w:r>
            <w:r w:rsidR="00773BF3" w:rsidRPr="00050FA4">
              <w:rPr>
                <w:rFonts w:ascii="Garamond" w:hAnsi="Garamond" w:cs="Times New Roman"/>
                <w:color w:val="0D0D0D" w:themeColor="text1" w:themeTint="F2"/>
                <w:sz w:val="18"/>
                <w:szCs w:val="18"/>
                <w:lang w:val="sq-AL"/>
              </w:rPr>
              <w:t>euro</w:t>
            </w:r>
          </w:p>
        </w:tc>
        <w:tc>
          <w:tcPr>
            <w:tcW w:w="1560" w:type="dxa"/>
          </w:tcPr>
          <w:p w14:paraId="6FE03346"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658C199" w14:textId="77777777" w:rsidTr="00773BF3">
        <w:trPr>
          <w:trHeight w:val="20"/>
          <w:jc w:val="center"/>
        </w:trPr>
        <w:tc>
          <w:tcPr>
            <w:tcW w:w="988" w:type="dxa"/>
            <w:vMerge/>
            <w:hideMark/>
          </w:tcPr>
          <w:p w14:paraId="5691C7B4"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hideMark/>
          </w:tcPr>
          <w:p w14:paraId="721D3C2A" w14:textId="096FB848"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Forcimi i 300 kapaciteteve njerëzore në sektorët e kurrikulës në nivel të DRAP-ve dhe ZVAP-ve</w:t>
            </w:r>
          </w:p>
        </w:tc>
        <w:tc>
          <w:tcPr>
            <w:tcW w:w="1315" w:type="dxa"/>
          </w:tcPr>
          <w:p w14:paraId="669A113D" w14:textId="1128046C"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3 600 </w:t>
            </w:r>
            <w:r w:rsidR="00773BF3" w:rsidRPr="00050FA4">
              <w:rPr>
                <w:rFonts w:ascii="Garamond" w:hAnsi="Garamond" w:cs="Times New Roman"/>
                <w:color w:val="0D0D0D" w:themeColor="text1" w:themeTint="F2"/>
                <w:sz w:val="18"/>
                <w:szCs w:val="18"/>
                <w:lang w:val="sq-AL"/>
              </w:rPr>
              <w:t>euro</w:t>
            </w:r>
          </w:p>
        </w:tc>
        <w:tc>
          <w:tcPr>
            <w:tcW w:w="1560" w:type="dxa"/>
          </w:tcPr>
          <w:p w14:paraId="3F944646"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72EFDE2D" w14:textId="77777777" w:rsidTr="00773BF3">
        <w:trPr>
          <w:trHeight w:val="20"/>
          <w:jc w:val="center"/>
        </w:trPr>
        <w:tc>
          <w:tcPr>
            <w:tcW w:w="988" w:type="dxa"/>
            <w:vMerge/>
            <w:hideMark/>
          </w:tcPr>
          <w:p w14:paraId="0607E014"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tcPr>
          <w:p w14:paraId="724AA402" w14:textId="67B2ABD4"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Trajnimi i 700 drejtuesve të rrjeteve profesionale të arsimit të mesëm të ulët mbi udhëzuesin e zhvillimit të arsimit për </w:t>
            </w:r>
            <w:r w:rsidR="00B754FD" w:rsidRPr="00050FA4">
              <w:rPr>
                <w:rFonts w:ascii="Garamond" w:hAnsi="Garamond" w:cs="Times New Roman"/>
                <w:color w:val="0D0D0D" w:themeColor="text1" w:themeTint="F2"/>
                <w:sz w:val="18"/>
                <w:szCs w:val="18"/>
                <w:lang w:val="sq-AL"/>
              </w:rPr>
              <w:t>arte dhe zejtari.</w:t>
            </w:r>
          </w:p>
        </w:tc>
        <w:tc>
          <w:tcPr>
            <w:tcW w:w="1315" w:type="dxa"/>
          </w:tcPr>
          <w:p w14:paraId="3482E606" w14:textId="5B26AC82"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8 400 </w:t>
            </w:r>
            <w:r w:rsidR="00773BF3" w:rsidRPr="00050FA4">
              <w:rPr>
                <w:rFonts w:ascii="Garamond" w:hAnsi="Garamond" w:cs="Times New Roman"/>
                <w:color w:val="0D0D0D" w:themeColor="text1" w:themeTint="F2"/>
                <w:sz w:val="18"/>
                <w:szCs w:val="18"/>
                <w:lang w:val="sq-AL"/>
              </w:rPr>
              <w:t>euro</w:t>
            </w:r>
          </w:p>
        </w:tc>
        <w:tc>
          <w:tcPr>
            <w:tcW w:w="1560" w:type="dxa"/>
          </w:tcPr>
          <w:p w14:paraId="1CBF536B"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48AE8DA" w14:textId="77777777" w:rsidTr="00773BF3">
        <w:trPr>
          <w:trHeight w:val="20"/>
          <w:jc w:val="center"/>
        </w:trPr>
        <w:tc>
          <w:tcPr>
            <w:tcW w:w="988" w:type="dxa"/>
            <w:vMerge/>
            <w:hideMark/>
          </w:tcPr>
          <w:p w14:paraId="772B47ED" w14:textId="77777777" w:rsidR="00DB2D75" w:rsidRPr="00050FA4" w:rsidRDefault="00DB2D75" w:rsidP="00773BF3">
            <w:pPr>
              <w:jc w:val="center"/>
              <w:rPr>
                <w:rFonts w:ascii="Garamond" w:hAnsi="Garamond" w:cs="Times New Roman"/>
                <w:b/>
                <w:bCs/>
                <w:color w:val="0D0D0D" w:themeColor="text1" w:themeTint="F2"/>
                <w:sz w:val="18"/>
                <w:szCs w:val="18"/>
                <w:lang w:val="sq-AL"/>
              </w:rPr>
            </w:pPr>
          </w:p>
        </w:tc>
        <w:tc>
          <w:tcPr>
            <w:tcW w:w="6197" w:type="dxa"/>
            <w:hideMark/>
          </w:tcPr>
          <w:p w14:paraId="2946764B" w14:textId="1733011B"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dhe miratimi i kornizës për vlerësimin e cilësisë së shërbimeve në arsimin parashkollor.</w:t>
            </w:r>
          </w:p>
        </w:tc>
        <w:tc>
          <w:tcPr>
            <w:tcW w:w="1315" w:type="dxa"/>
          </w:tcPr>
          <w:p w14:paraId="0F34F6A9" w14:textId="3AF69396"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2 000 </w:t>
            </w:r>
            <w:r w:rsidR="00773BF3" w:rsidRPr="00050FA4">
              <w:rPr>
                <w:rFonts w:ascii="Garamond" w:hAnsi="Garamond" w:cs="Times New Roman"/>
                <w:color w:val="0D0D0D" w:themeColor="text1" w:themeTint="F2"/>
                <w:sz w:val="18"/>
                <w:szCs w:val="18"/>
                <w:lang w:val="sq-AL"/>
              </w:rPr>
              <w:t>euro</w:t>
            </w:r>
          </w:p>
        </w:tc>
        <w:tc>
          <w:tcPr>
            <w:tcW w:w="1560" w:type="dxa"/>
          </w:tcPr>
          <w:p w14:paraId="7DE77BF2"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1C34D6D4" w14:textId="77777777" w:rsidTr="00773BF3">
        <w:trPr>
          <w:trHeight w:val="20"/>
          <w:jc w:val="center"/>
        </w:trPr>
        <w:tc>
          <w:tcPr>
            <w:tcW w:w="988" w:type="dxa"/>
            <w:vMerge w:val="restart"/>
          </w:tcPr>
          <w:p w14:paraId="5013C970" w14:textId="77777777" w:rsidR="00DB2D75" w:rsidRPr="00050FA4" w:rsidRDefault="00DB2D75" w:rsidP="00773BF3">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2024</w:t>
            </w:r>
          </w:p>
        </w:tc>
        <w:tc>
          <w:tcPr>
            <w:tcW w:w="6197" w:type="dxa"/>
          </w:tcPr>
          <w:p w14:paraId="4D435330" w14:textId="3D5F970F"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Përmirësimi i aftësive të studentëve në gjuhë dhe komunikim, matematikë dhe shkencë</w:t>
            </w:r>
          </w:p>
        </w:tc>
        <w:tc>
          <w:tcPr>
            <w:tcW w:w="1315" w:type="dxa"/>
          </w:tcPr>
          <w:p w14:paraId="2ADB3B0B" w14:textId="5C7C750C"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5 000 </w:t>
            </w:r>
            <w:r w:rsidR="00773BF3" w:rsidRPr="00050FA4">
              <w:rPr>
                <w:rFonts w:ascii="Garamond" w:hAnsi="Garamond" w:cs="Times New Roman"/>
                <w:color w:val="0D0D0D" w:themeColor="text1" w:themeTint="F2"/>
                <w:sz w:val="18"/>
                <w:szCs w:val="18"/>
                <w:lang w:val="sq-AL"/>
              </w:rPr>
              <w:t>euro</w:t>
            </w:r>
          </w:p>
        </w:tc>
        <w:tc>
          <w:tcPr>
            <w:tcW w:w="1560" w:type="dxa"/>
          </w:tcPr>
          <w:p w14:paraId="3774F056"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0A75516D" w14:textId="77777777" w:rsidTr="00773BF3">
        <w:trPr>
          <w:trHeight w:val="20"/>
          <w:jc w:val="center"/>
        </w:trPr>
        <w:tc>
          <w:tcPr>
            <w:tcW w:w="988" w:type="dxa"/>
            <w:vMerge/>
          </w:tcPr>
          <w:p w14:paraId="322256B6" w14:textId="77777777" w:rsidR="00DB2D75" w:rsidRPr="00050FA4" w:rsidRDefault="00DB2D75" w:rsidP="00A95D23">
            <w:pPr>
              <w:jc w:val="both"/>
              <w:rPr>
                <w:rFonts w:ascii="Garamond" w:hAnsi="Garamond" w:cs="Times New Roman"/>
                <w:b/>
                <w:bCs/>
                <w:color w:val="0D0D0D" w:themeColor="text1" w:themeTint="F2"/>
                <w:sz w:val="18"/>
                <w:szCs w:val="18"/>
                <w:lang w:val="sq-AL"/>
              </w:rPr>
            </w:pPr>
          </w:p>
        </w:tc>
        <w:tc>
          <w:tcPr>
            <w:tcW w:w="6197" w:type="dxa"/>
          </w:tcPr>
          <w:p w14:paraId="4D3438CA" w14:textId="329FF3FA"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Miratimi i sistemit të karrierës së mësuesit bazuar në vlerësimin e performancës së </w:t>
            </w:r>
            <w:r w:rsidRPr="00050FA4">
              <w:rPr>
                <w:rFonts w:ascii="Garamond" w:hAnsi="Garamond" w:cs="Times New Roman"/>
                <w:color w:val="0D0D0D" w:themeColor="text1" w:themeTint="F2"/>
                <w:sz w:val="18"/>
                <w:szCs w:val="18"/>
                <w:lang w:val="sq-AL"/>
              </w:rPr>
              <w:lastRenderedPageBreak/>
              <w:t>mësuesve në shkollë</w:t>
            </w:r>
          </w:p>
        </w:tc>
        <w:tc>
          <w:tcPr>
            <w:tcW w:w="1315" w:type="dxa"/>
          </w:tcPr>
          <w:p w14:paraId="67737340" w14:textId="26711AE6"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lastRenderedPageBreak/>
              <w:t xml:space="preserve">3 000 </w:t>
            </w:r>
            <w:r w:rsidR="00773BF3" w:rsidRPr="00050FA4">
              <w:rPr>
                <w:rFonts w:ascii="Garamond" w:hAnsi="Garamond" w:cs="Times New Roman"/>
                <w:color w:val="0D0D0D" w:themeColor="text1" w:themeTint="F2"/>
                <w:sz w:val="18"/>
                <w:szCs w:val="18"/>
                <w:lang w:val="sq-AL"/>
              </w:rPr>
              <w:t>euro</w:t>
            </w:r>
          </w:p>
        </w:tc>
        <w:tc>
          <w:tcPr>
            <w:tcW w:w="1560" w:type="dxa"/>
          </w:tcPr>
          <w:p w14:paraId="53193E3B"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8D64410" w14:textId="77777777" w:rsidTr="00773BF3">
        <w:trPr>
          <w:trHeight w:val="20"/>
          <w:jc w:val="center"/>
        </w:trPr>
        <w:tc>
          <w:tcPr>
            <w:tcW w:w="988" w:type="dxa"/>
            <w:vMerge/>
          </w:tcPr>
          <w:p w14:paraId="51C17CF7" w14:textId="77777777" w:rsidR="00DB2D75" w:rsidRPr="00050FA4" w:rsidRDefault="00DB2D75" w:rsidP="00A95D23">
            <w:pPr>
              <w:jc w:val="both"/>
              <w:rPr>
                <w:rFonts w:ascii="Garamond" w:hAnsi="Garamond" w:cs="Times New Roman"/>
                <w:b/>
                <w:bCs/>
                <w:color w:val="0D0D0D" w:themeColor="text1" w:themeTint="F2"/>
                <w:sz w:val="18"/>
                <w:szCs w:val="18"/>
                <w:lang w:val="sq-AL"/>
              </w:rPr>
            </w:pPr>
          </w:p>
        </w:tc>
        <w:tc>
          <w:tcPr>
            <w:tcW w:w="6197" w:type="dxa"/>
          </w:tcPr>
          <w:p w14:paraId="736156BB" w14:textId="073C7D95" w:rsidR="00DB2D75" w:rsidRPr="00050FA4" w:rsidRDefault="00DB2D75"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Forcimi i kapaciteteve njerëzore në sektorët e kurrikulës në nivel të DRAP-ve dhe ZVAP-ve dhe trajnimi i 500 drejtuesve të rrjetit për udhëzuesin dhe zhvillimin e arsimit për </w:t>
            </w:r>
            <w:r w:rsidR="00B754FD" w:rsidRPr="00050FA4">
              <w:rPr>
                <w:rFonts w:ascii="Garamond" w:hAnsi="Garamond" w:cs="Times New Roman"/>
                <w:color w:val="0D0D0D" w:themeColor="text1" w:themeTint="F2"/>
                <w:sz w:val="18"/>
                <w:szCs w:val="18"/>
                <w:lang w:val="sq-AL"/>
              </w:rPr>
              <w:t>arte dhe zeje</w:t>
            </w:r>
          </w:p>
        </w:tc>
        <w:tc>
          <w:tcPr>
            <w:tcW w:w="1315" w:type="dxa"/>
          </w:tcPr>
          <w:p w14:paraId="7849349F" w14:textId="64690722" w:rsidR="00DB2D75" w:rsidRPr="00050FA4" w:rsidRDefault="00DB2D75" w:rsidP="00773BF3">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6 000 </w:t>
            </w:r>
            <w:r w:rsidR="00773BF3" w:rsidRPr="00050FA4">
              <w:rPr>
                <w:rFonts w:ascii="Garamond" w:hAnsi="Garamond" w:cs="Times New Roman"/>
                <w:color w:val="0D0D0D" w:themeColor="text1" w:themeTint="F2"/>
                <w:sz w:val="18"/>
                <w:szCs w:val="18"/>
                <w:lang w:val="sq-AL"/>
              </w:rPr>
              <w:t>euro</w:t>
            </w:r>
          </w:p>
        </w:tc>
        <w:tc>
          <w:tcPr>
            <w:tcW w:w="1560" w:type="dxa"/>
          </w:tcPr>
          <w:p w14:paraId="2B74BF29" w14:textId="77777777" w:rsidR="00DB2D75" w:rsidRPr="00050FA4" w:rsidRDefault="00DB2D75"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bl>
    <w:p w14:paraId="12751EBE" w14:textId="77777777" w:rsidR="00DB2D75" w:rsidRPr="00050FA4" w:rsidRDefault="00DB2D75" w:rsidP="003F1DA7">
      <w:pPr>
        <w:snapToGrid w:val="0"/>
        <w:ind w:firstLine="284"/>
        <w:rPr>
          <w:rFonts w:ascii="Garamond" w:hAnsi="Garamond" w:cstheme="majorBidi"/>
          <w:color w:val="0D0D0D" w:themeColor="text1" w:themeTint="F2"/>
        </w:rPr>
      </w:pPr>
    </w:p>
    <w:p w14:paraId="184AF8DF" w14:textId="36AA673D" w:rsidR="00DB2D75" w:rsidRPr="00050FA4" w:rsidRDefault="00DB2D75" w:rsidP="003F1DA7">
      <w:pPr>
        <w:pStyle w:val="AAAAAAATEXXXX"/>
        <w:rPr>
          <w:lang w:val="sq-AL"/>
        </w:rPr>
      </w:pPr>
      <w:r w:rsidRPr="00050FA4">
        <w:rPr>
          <w:lang w:val="sq-AL"/>
        </w:rPr>
        <w:t>- Për ASCAP-in, për periudhën 2022</w:t>
      </w:r>
      <w:r w:rsidR="006C68EC" w:rsidRPr="00050FA4">
        <w:rPr>
          <w:lang w:val="sq-AL"/>
        </w:rPr>
        <w:t>–</w:t>
      </w:r>
      <w:r w:rsidRPr="00050FA4">
        <w:rPr>
          <w:lang w:val="sq-AL"/>
        </w:rPr>
        <w:t>2024 në tabelë janë përfshirë fondet e planifikuara në aktivitetet e detajuara si më sipër: në vitin 2022 janë parashikuar 55,700 euro x</w:t>
      </w:r>
      <w:r w:rsidR="00B754FD" w:rsidRPr="00050FA4">
        <w:rPr>
          <w:lang w:val="sq-AL"/>
        </w:rPr>
        <w:t xml:space="preserve"> </w:t>
      </w:r>
      <w:r w:rsidRPr="00050FA4">
        <w:rPr>
          <w:lang w:val="sq-AL"/>
        </w:rPr>
        <w:t>123 lekë = 6,851,000 lekë, dhe në vitin 2023 janë parashikuar 32,000 euro x 123 lekë = 3,936,000 lekë.</w:t>
      </w:r>
    </w:p>
    <w:p w14:paraId="0F3A4D6B" w14:textId="77777777" w:rsidR="00DB2D75" w:rsidRPr="00050FA4" w:rsidRDefault="00DB2D75" w:rsidP="003F1DA7">
      <w:pPr>
        <w:pStyle w:val="AAAAAAATEXXXX"/>
        <w:rPr>
          <w:lang w:val="sq-AL"/>
        </w:rPr>
      </w:pPr>
      <w:r w:rsidRPr="00050FA4">
        <w:rPr>
          <w:lang w:val="sq-AL"/>
        </w:rPr>
        <w:t>Aktivitetet e parashikuara për Ministrinë e Arsimit llogariten si më poshtë;</w:t>
      </w:r>
    </w:p>
    <w:p w14:paraId="4AB8C382" w14:textId="45A905CD" w:rsidR="00DB2D75" w:rsidRPr="00050FA4" w:rsidRDefault="00DB2D75" w:rsidP="003F1DA7">
      <w:pPr>
        <w:pStyle w:val="AAAAAAATEXXXX"/>
        <w:rPr>
          <w:lang w:val="sq-AL"/>
        </w:rPr>
      </w:pPr>
      <w:r w:rsidRPr="00050FA4">
        <w:rPr>
          <w:lang w:val="sq-AL"/>
        </w:rPr>
        <w:t>- Në vitin 2022, fondet e parashikuara për mbulimin e kostove të mësimdhënies, mësimit të anglishtes për nxënësit e klasës së parë për rreth 150</w:t>
      </w:r>
      <w:r w:rsidR="006C68EC" w:rsidRPr="00050FA4">
        <w:rPr>
          <w:lang w:val="sq-AL"/>
        </w:rPr>
        <w:t>–</w:t>
      </w:r>
      <w:r w:rsidRPr="00050FA4">
        <w:rPr>
          <w:lang w:val="sq-AL"/>
        </w:rPr>
        <w:t>160 staf pedagogjik, si dhe mbulimin e kostos së teksteve shkollore ku pritet të përfitojnë tekste falas rreth 28</w:t>
      </w:r>
      <w:r w:rsidR="006C68EC" w:rsidRPr="00050FA4">
        <w:rPr>
          <w:lang w:val="sq-AL"/>
        </w:rPr>
        <w:t>–</w:t>
      </w:r>
      <w:r w:rsidRPr="00050FA4">
        <w:rPr>
          <w:lang w:val="sq-AL"/>
        </w:rPr>
        <w:t>30 mijë nxënës me rreth 30 milionë lekë.</w:t>
      </w:r>
    </w:p>
    <w:p w14:paraId="2D313090" w14:textId="5B92CD1C" w:rsidR="00DB2D75" w:rsidRPr="00050FA4" w:rsidRDefault="00DB2D75" w:rsidP="003F1DA7">
      <w:pPr>
        <w:pStyle w:val="AAAAAAATEXXXX"/>
        <w:rPr>
          <w:lang w:val="sq-AL"/>
        </w:rPr>
      </w:pPr>
      <w:r w:rsidRPr="00050FA4">
        <w:rPr>
          <w:lang w:val="sq-AL"/>
        </w:rPr>
        <w:t>- Në vitin 2023, fondet e parashikuara për mbulimin e kostove të mësimdhënies, mësimdhënies së anglishtes për nxënësit e klasave të para dhe të dyta për rreth 300</w:t>
      </w:r>
      <w:r w:rsidR="006C68EC" w:rsidRPr="00050FA4">
        <w:rPr>
          <w:lang w:val="sq-AL"/>
        </w:rPr>
        <w:t>–</w:t>
      </w:r>
      <w:r w:rsidRPr="00050FA4">
        <w:rPr>
          <w:lang w:val="sq-AL"/>
        </w:rPr>
        <w:t>320 staf pedagogjik, si dhe për mbulimin e kostove të teksteve shkollore ku parashikohet të përfitojnë rreth 58</w:t>
      </w:r>
      <w:r w:rsidR="006C68EC" w:rsidRPr="00050FA4">
        <w:rPr>
          <w:lang w:val="sq-AL"/>
        </w:rPr>
        <w:t>–</w:t>
      </w:r>
      <w:r w:rsidRPr="00050FA4">
        <w:rPr>
          <w:lang w:val="sq-AL"/>
        </w:rPr>
        <w:t>60 mijë nxënës falas me rreth 60 milionë lekë.</w:t>
      </w:r>
    </w:p>
    <w:p w14:paraId="6A98F0F8" w14:textId="541D7D12" w:rsidR="00DB2D75" w:rsidRPr="00050FA4" w:rsidRDefault="00DB2D75" w:rsidP="003F1DA7">
      <w:pPr>
        <w:pStyle w:val="AAAAAAATEXXXX"/>
        <w:rPr>
          <w:rFonts w:cstheme="majorBidi"/>
          <w:lang w:val="sq-AL"/>
        </w:rPr>
      </w:pPr>
      <w:r w:rsidRPr="00050FA4">
        <w:rPr>
          <w:lang w:val="sq-AL"/>
        </w:rPr>
        <w:t>- Në vitin 2024, fondet e parashikuara për mbulimin e kostove të mësimdhënies, mësimit të gjuhës angleze për nxënësit e klasës së parë, klasës së dytë dhe të tretë për rreth 450</w:t>
      </w:r>
      <w:r w:rsidR="004B3389" w:rsidRPr="00050FA4">
        <w:rPr>
          <w:lang w:val="sq-AL"/>
        </w:rPr>
        <w:t>–</w:t>
      </w:r>
      <w:r w:rsidRPr="00050FA4">
        <w:rPr>
          <w:lang w:val="sq-AL"/>
        </w:rPr>
        <w:t>480 personel mësimdhënës, si dhe për mbulimin e kostos së teksteve shkollore ku pritet të përfitojnë tekste falas për rreth 85</w:t>
      </w:r>
      <w:r w:rsidR="004B3389" w:rsidRPr="00050FA4">
        <w:rPr>
          <w:lang w:val="sq-AL"/>
        </w:rPr>
        <w:t>–</w:t>
      </w:r>
      <w:r w:rsidRPr="00050FA4">
        <w:rPr>
          <w:lang w:val="sq-AL"/>
        </w:rPr>
        <w:t>90 mijë nxënës me rreth 90 milionë lekë, nxënës përfitues nga klasa e parë deri në klasën e tretë.</w:t>
      </w:r>
    </w:p>
    <w:p w14:paraId="579997C5" w14:textId="727DCC5A" w:rsidR="0030742B" w:rsidRPr="00050FA4" w:rsidRDefault="00892664"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7E8699B7" w14:textId="5FDD6381" w:rsidR="00DB2D75" w:rsidRPr="00050FA4" w:rsidRDefault="00DB2D75" w:rsidP="003F1DA7">
      <w:pPr>
        <w:pStyle w:val="AAAAAAATEXXXX"/>
        <w:rPr>
          <w:lang w:val="sq-AL"/>
        </w:rPr>
      </w:pPr>
      <w:r w:rsidRPr="00050FA4">
        <w:rPr>
          <w:lang w:val="sq-AL"/>
        </w:rPr>
        <w:t>Masa konsiderohet neutrale ndaj gjinisë. Barazia gjinore do të respektohet gjatë zbatimit të masës së reformës.</w:t>
      </w:r>
    </w:p>
    <w:p w14:paraId="47DC0D92" w14:textId="5F158437" w:rsidR="0030742B" w:rsidRPr="00050FA4" w:rsidRDefault="00892664"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5F6D90F9" w14:textId="0CC06657" w:rsidR="00DB2D75" w:rsidRPr="00050FA4" w:rsidRDefault="00DB2D75" w:rsidP="003F1DA7">
      <w:pPr>
        <w:pStyle w:val="AAAAAAATEXXXX"/>
        <w:rPr>
          <w:lang w:val="sq-AL"/>
        </w:rPr>
      </w:pPr>
      <w:r w:rsidRPr="00050FA4">
        <w:rPr>
          <w:lang w:val="sq-AL"/>
        </w:rPr>
        <w:t>Masa e reformës është neutrale për sa i përket ndikimit në mjedis.</w:t>
      </w:r>
    </w:p>
    <w:p w14:paraId="11E949A4" w14:textId="577E24FF" w:rsidR="0030742B" w:rsidRPr="00050FA4" w:rsidRDefault="00892664" w:rsidP="003F1DA7">
      <w:pPr>
        <w:pStyle w:val="AAAAAAATEXXXX"/>
        <w:rPr>
          <w:lang w:val="sq-AL"/>
        </w:rPr>
      </w:pPr>
      <w:r w:rsidRPr="00050FA4">
        <w:rPr>
          <w:lang w:val="sq-AL"/>
        </w:rPr>
        <w:t xml:space="preserve">7. </w:t>
      </w:r>
      <w:r w:rsidR="00B2062A" w:rsidRPr="00050FA4">
        <w:rPr>
          <w:lang w:val="sq-AL"/>
        </w:rPr>
        <w:t>Rreziqet e mundshme</w:t>
      </w:r>
    </w:p>
    <w:p w14:paraId="42476C25" w14:textId="77777777" w:rsidR="00B754FD" w:rsidRPr="00050FA4" w:rsidRDefault="00B754FD" w:rsidP="003F1DA7">
      <w:pPr>
        <w:pStyle w:val="AAAAAAATEXXXX"/>
        <w:rPr>
          <w:lang w:val="sq-AL"/>
        </w:rPr>
      </w:pPr>
    </w:p>
    <w:tbl>
      <w:tblPr>
        <w:tblStyle w:val="TableGrid"/>
        <w:tblW w:w="0" w:type="auto"/>
        <w:jc w:val="center"/>
        <w:tblLook w:val="04A0" w:firstRow="1" w:lastRow="0" w:firstColumn="1" w:lastColumn="0" w:noHBand="0" w:noVBand="1"/>
      </w:tblPr>
      <w:tblGrid>
        <w:gridCol w:w="4522"/>
        <w:gridCol w:w="1417"/>
        <w:gridCol w:w="3668"/>
      </w:tblGrid>
      <w:tr w:rsidR="00FA29AB" w:rsidRPr="00050FA4" w14:paraId="6781DF91" w14:textId="77777777" w:rsidTr="006C68EC">
        <w:trPr>
          <w:jc w:val="center"/>
        </w:trPr>
        <w:tc>
          <w:tcPr>
            <w:tcW w:w="4522" w:type="dxa"/>
            <w:vAlign w:val="center"/>
          </w:tcPr>
          <w:p w14:paraId="3C8A63B4" w14:textId="770EFE48" w:rsidR="004F59F4" w:rsidRPr="00050FA4" w:rsidRDefault="00B2062A" w:rsidP="006C68E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417" w:type="dxa"/>
            <w:vAlign w:val="center"/>
          </w:tcPr>
          <w:p w14:paraId="241FC270" w14:textId="6763CDB3" w:rsidR="004F59F4" w:rsidRPr="00050FA4" w:rsidRDefault="00B2062A" w:rsidP="006C68E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p>
        </w:tc>
        <w:tc>
          <w:tcPr>
            <w:tcW w:w="3668" w:type="dxa"/>
            <w:vAlign w:val="center"/>
          </w:tcPr>
          <w:p w14:paraId="7173188D" w14:textId="230A84A9" w:rsidR="004F59F4" w:rsidRPr="00050FA4" w:rsidRDefault="00B2062A" w:rsidP="006C68EC">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1EC2F826" w14:textId="77777777" w:rsidTr="006C68EC">
        <w:trPr>
          <w:jc w:val="center"/>
        </w:trPr>
        <w:tc>
          <w:tcPr>
            <w:tcW w:w="4522" w:type="dxa"/>
          </w:tcPr>
          <w:p w14:paraId="7C6AB1BD" w14:textId="46D312D3" w:rsidR="00DB2D75" w:rsidRPr="00050FA4" w:rsidRDefault="00DB2D75" w:rsidP="00A95D23">
            <w:pPr>
              <w:widowControl/>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Bashkëpunim me institucionet e arsimit të lartë për harmonizimin e formimit fillestar</w:t>
            </w:r>
          </w:p>
        </w:tc>
        <w:tc>
          <w:tcPr>
            <w:tcW w:w="1417" w:type="dxa"/>
          </w:tcPr>
          <w:p w14:paraId="2431875D" w14:textId="2A861659"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Mesatare</w:t>
            </w:r>
          </w:p>
        </w:tc>
        <w:tc>
          <w:tcPr>
            <w:tcW w:w="3668" w:type="dxa"/>
          </w:tcPr>
          <w:p w14:paraId="1B22BD40" w14:textId="75142B2C"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Zbatimi i një plani specifik veprimi me institucionet e IAL-së dhe MAS-it që punojnë për harmonizimin e procesit të programeve mësimore të trajnimit fillestar.</w:t>
            </w:r>
          </w:p>
        </w:tc>
      </w:tr>
      <w:tr w:rsidR="00FA29AB" w:rsidRPr="00050FA4" w14:paraId="78DEC251" w14:textId="77777777" w:rsidTr="006C68EC">
        <w:trPr>
          <w:jc w:val="center"/>
        </w:trPr>
        <w:tc>
          <w:tcPr>
            <w:tcW w:w="4522" w:type="dxa"/>
          </w:tcPr>
          <w:p w14:paraId="38B6909D" w14:textId="21C924D5"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Përdorimi i vlerësimit të performancës së mësuesit në shkollë në bazë të karrierës nga drejtuesit e shkollës</w:t>
            </w:r>
          </w:p>
        </w:tc>
        <w:tc>
          <w:tcPr>
            <w:tcW w:w="1417" w:type="dxa"/>
          </w:tcPr>
          <w:p w14:paraId="4ED6A376" w14:textId="3C96BDF2"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E ulët</w:t>
            </w:r>
          </w:p>
        </w:tc>
        <w:tc>
          <w:tcPr>
            <w:tcW w:w="3668" w:type="dxa"/>
          </w:tcPr>
          <w:p w14:paraId="1B49CA33" w14:textId="157775CC" w:rsidR="00DB2D75" w:rsidRPr="00050FA4" w:rsidRDefault="00DB2D75"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Trajnimi i të gjithë drejtuesve të shkollës</w:t>
            </w:r>
          </w:p>
        </w:tc>
      </w:tr>
      <w:tr w:rsidR="00FA29AB" w:rsidRPr="00050FA4" w14:paraId="11A45C5E" w14:textId="77777777" w:rsidTr="006C68EC">
        <w:trPr>
          <w:jc w:val="center"/>
        </w:trPr>
        <w:tc>
          <w:tcPr>
            <w:tcW w:w="4522" w:type="dxa"/>
          </w:tcPr>
          <w:p w14:paraId="14D19BAF" w14:textId="234CE1A5"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Zbatimi i kurrikulës së unifikuar nga ASCAL në fakultetet e arsimit</w:t>
            </w:r>
          </w:p>
        </w:tc>
        <w:tc>
          <w:tcPr>
            <w:tcW w:w="1417" w:type="dxa"/>
          </w:tcPr>
          <w:p w14:paraId="484E3E99" w14:textId="57792FF6"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Mesatare</w:t>
            </w:r>
          </w:p>
        </w:tc>
        <w:tc>
          <w:tcPr>
            <w:tcW w:w="3668" w:type="dxa"/>
          </w:tcPr>
          <w:p w14:paraId="7CC44BFE" w14:textId="5F31D2F9" w:rsidR="00DB2D75" w:rsidRPr="00050FA4" w:rsidRDefault="00DB2D75"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Akreditimi i programeve të rishikuara të mësimdhënies</w:t>
            </w:r>
          </w:p>
        </w:tc>
      </w:tr>
    </w:tbl>
    <w:p w14:paraId="6F376E2B" w14:textId="77777777" w:rsidR="004F59F4" w:rsidRPr="00050FA4" w:rsidRDefault="004F59F4" w:rsidP="003F1DA7">
      <w:pPr>
        <w:snapToGrid w:val="0"/>
        <w:ind w:firstLine="284"/>
        <w:rPr>
          <w:rFonts w:ascii="Garamond" w:hAnsi="Garamond" w:cstheme="majorBidi"/>
          <w:color w:val="0D0D0D" w:themeColor="text1" w:themeTint="F2"/>
        </w:rPr>
      </w:pPr>
    </w:p>
    <w:p w14:paraId="41E894EC" w14:textId="2659CDE6" w:rsidR="0030742B" w:rsidRPr="00050FA4" w:rsidRDefault="00B2062A" w:rsidP="003F1DA7">
      <w:pPr>
        <w:pStyle w:val="AAAAAAATEXXXX"/>
        <w:rPr>
          <w:b/>
          <w:i/>
          <w:lang w:val="sq-AL"/>
        </w:rPr>
      </w:pPr>
      <w:r w:rsidRPr="00050FA4">
        <w:rPr>
          <w:b/>
          <w:i/>
          <w:lang w:val="sq-AL"/>
        </w:rPr>
        <w:t>Masa e reformës</w:t>
      </w:r>
      <w:r w:rsidR="009D3B25" w:rsidRPr="00050FA4">
        <w:rPr>
          <w:b/>
          <w:i/>
          <w:lang w:val="sq-AL"/>
        </w:rPr>
        <w:t xml:space="preserve"> </w:t>
      </w:r>
      <w:r w:rsidR="005358F8" w:rsidRPr="00050FA4">
        <w:rPr>
          <w:b/>
          <w:i/>
          <w:lang w:val="sq-AL"/>
        </w:rPr>
        <w:t>18</w:t>
      </w:r>
      <w:r w:rsidR="0030742B" w:rsidRPr="00050FA4">
        <w:rPr>
          <w:b/>
          <w:i/>
          <w:lang w:val="sq-AL"/>
        </w:rPr>
        <w:t>:</w:t>
      </w:r>
      <w:r w:rsidR="00F30712" w:rsidRPr="00050FA4">
        <w:rPr>
          <w:b/>
          <w:i/>
          <w:lang w:val="sq-AL"/>
        </w:rPr>
        <w:t xml:space="preserve"> </w:t>
      </w:r>
      <w:r w:rsidR="00DB2D75" w:rsidRPr="00050FA4">
        <w:rPr>
          <w:b/>
          <w:i/>
          <w:lang w:val="sq-AL"/>
        </w:rPr>
        <w:t>Gjithëpërfshirja dhe barazia në arsim</w:t>
      </w:r>
    </w:p>
    <w:p w14:paraId="12A5F68E" w14:textId="6AC653AF" w:rsidR="0030742B" w:rsidRPr="00050FA4" w:rsidRDefault="00892664" w:rsidP="003F1DA7">
      <w:pPr>
        <w:pStyle w:val="AAAAAAATEXXXX"/>
        <w:rPr>
          <w:lang w:val="sq-AL"/>
        </w:rPr>
      </w:pPr>
      <w:r w:rsidRPr="00050FA4">
        <w:rPr>
          <w:lang w:val="sq-AL"/>
        </w:rPr>
        <w:t xml:space="preserve">1. </w:t>
      </w:r>
      <w:r w:rsidR="00B2062A" w:rsidRPr="00050FA4">
        <w:rPr>
          <w:lang w:val="sq-AL"/>
        </w:rPr>
        <w:t>Përshkrimi i masës</w:t>
      </w:r>
    </w:p>
    <w:p w14:paraId="60E0F4B4" w14:textId="77777777" w:rsidR="00DB2D75" w:rsidRPr="00050FA4" w:rsidRDefault="00DB2D75" w:rsidP="003F1DA7">
      <w:pPr>
        <w:pStyle w:val="AAAAAAATEXXXX"/>
        <w:rPr>
          <w:lang w:val="sq-AL"/>
        </w:rPr>
      </w:pPr>
      <w:r w:rsidRPr="00050FA4">
        <w:rPr>
          <w:lang w:val="sq-AL"/>
        </w:rPr>
        <w:t xml:space="preserve">Masa e reformës synon të sigurojë arsim gjithëpërfshirës duke rritur më tej numrin e mësuesve mbështetës për fëmijët me aftësi të kufizuara në shkollat </w:t>
      </w:r>
      <w:r w:rsidRPr="00050FA4">
        <w:rPr>
          <w:rFonts w:ascii="Times New Roman" w:hAnsi="Times New Roman"/>
          <w:lang w:val="sq-AL"/>
        </w:rPr>
        <w:t>​​</w:t>
      </w:r>
      <w:r w:rsidRPr="00050FA4">
        <w:rPr>
          <w:lang w:val="sq-AL"/>
        </w:rPr>
        <w:t>publike t</w:t>
      </w:r>
      <w:r w:rsidRPr="00050FA4">
        <w:rPr>
          <w:rFonts w:cs="Garamond"/>
          <w:lang w:val="sq-AL"/>
        </w:rPr>
        <w:t>ë</w:t>
      </w:r>
      <w:r w:rsidRPr="00050FA4">
        <w:rPr>
          <w:lang w:val="sq-AL"/>
        </w:rPr>
        <w:t xml:space="preserve"> zakonshme dhe duke reduktuar m</w:t>
      </w:r>
      <w:r w:rsidRPr="00050FA4">
        <w:rPr>
          <w:rFonts w:cs="Garamond"/>
          <w:lang w:val="sq-AL"/>
        </w:rPr>
        <w:t>ë</w:t>
      </w:r>
      <w:r w:rsidRPr="00050FA4">
        <w:rPr>
          <w:lang w:val="sq-AL"/>
        </w:rPr>
        <w:t xml:space="preserve"> tej numrin e nx</w:t>
      </w:r>
      <w:r w:rsidRPr="00050FA4">
        <w:rPr>
          <w:rFonts w:cs="Garamond"/>
          <w:lang w:val="sq-AL"/>
        </w:rPr>
        <w:t>ë</w:t>
      </w:r>
      <w:r w:rsidRPr="00050FA4">
        <w:rPr>
          <w:lang w:val="sq-AL"/>
        </w:rPr>
        <w:t>n</w:t>
      </w:r>
      <w:r w:rsidRPr="00050FA4">
        <w:rPr>
          <w:rFonts w:cs="Garamond"/>
          <w:lang w:val="sq-AL"/>
        </w:rPr>
        <w:t>ë</w:t>
      </w:r>
      <w:r w:rsidRPr="00050FA4">
        <w:rPr>
          <w:lang w:val="sq-AL"/>
        </w:rPr>
        <w:t>sve q</w:t>
      </w:r>
      <w:r w:rsidRPr="00050FA4">
        <w:rPr>
          <w:rFonts w:cs="Garamond"/>
          <w:lang w:val="sq-AL"/>
        </w:rPr>
        <w:t>ë</w:t>
      </w:r>
      <w:r w:rsidRPr="00050FA4">
        <w:rPr>
          <w:lang w:val="sq-AL"/>
        </w:rPr>
        <w:t xml:space="preserve"> ndjekin klasa t</w:t>
      </w:r>
      <w:r w:rsidRPr="00050FA4">
        <w:rPr>
          <w:rFonts w:cs="Garamond"/>
          <w:lang w:val="sq-AL"/>
        </w:rPr>
        <w:t>ë</w:t>
      </w:r>
      <w:r w:rsidRPr="00050FA4">
        <w:rPr>
          <w:lang w:val="sq-AL"/>
        </w:rPr>
        <w:t xml:space="preserve"> larta dhe me cilësi të ulët. Janë bërë përpjekje për organizimin dhe trajnimin e mësuesve ndihmës në rrjetet profesionale.</w:t>
      </w:r>
    </w:p>
    <w:p w14:paraId="3118840B" w14:textId="0A540EA2" w:rsidR="00DB2D75" w:rsidRPr="00050FA4" w:rsidRDefault="00DB2D75" w:rsidP="003F1DA7">
      <w:pPr>
        <w:pStyle w:val="AAAAAAATEXXXX"/>
        <w:rPr>
          <w:lang w:val="sq-AL"/>
        </w:rPr>
      </w:pPr>
      <w:r w:rsidRPr="00050FA4">
        <w:rPr>
          <w:lang w:val="sq-AL"/>
        </w:rPr>
        <w:t>Gjithëpërfshirja ka qenë fokusi i politikave arsimore në Shqipëri në dekadën e fundit, duke synuar rritjen e pjesëmarrjes në edukimin e fëmijërisë së hershme, si dhe pjesëmarrjen në edukimin e fëmijëve nga grupet vulnerabël. Mësimi në klasa të përbashkëta zhvillohet në zona rurale dhe të thella. Për vite me radhë, MAS</w:t>
      </w:r>
      <w:r w:rsidR="004B3389" w:rsidRPr="00050FA4">
        <w:rPr>
          <w:lang w:val="sq-AL"/>
        </w:rPr>
        <w:t>-ja</w:t>
      </w:r>
      <w:r w:rsidRPr="00050FA4">
        <w:rPr>
          <w:lang w:val="sq-AL"/>
        </w:rPr>
        <w:t xml:space="preserve"> ka ndjekur një politikë të mbylljes së klasave kolektive, duke bashkuar shkollat e vogla për të zhvendosur nxënësit nga ato klasa në shkollat ku mësimi zhvillohet në klasa të veçanta, më të mëdha dhe duke siguruar transport për këta nxënës. Kjo ndërhyrje ka siguruar ofrimin e një arsimi më cilësor për nxënësit e zonave rurale. Aktualisht, çdo fëmijë që jeton mbi 2 km nga shkolla më e afërt ka transport falas. Parashikohet një rritje prej +50% e çmimit të rimbursimit të transportit të nxënësve.</w:t>
      </w:r>
    </w:p>
    <w:p w14:paraId="148E6DFE" w14:textId="561DDC88" w:rsidR="00DB2D75" w:rsidRPr="00050FA4" w:rsidRDefault="00DB2D75" w:rsidP="003F1DA7">
      <w:pPr>
        <w:pStyle w:val="AAAAAAATEXXXX"/>
        <w:rPr>
          <w:color w:val="0D0D0D" w:themeColor="text1" w:themeTint="F2"/>
          <w:lang w:val="sq-AL"/>
        </w:rPr>
      </w:pPr>
      <w:r w:rsidRPr="00050FA4">
        <w:rPr>
          <w:color w:val="0D0D0D" w:themeColor="text1" w:themeTint="F2"/>
          <w:lang w:val="sq-AL"/>
        </w:rPr>
        <w:t>Nga viti në vit është rritur numri i fëmijëve që kanë përfituar nga programi i teksteve falas. Në vitin shkollor 2021</w:t>
      </w:r>
      <w:r w:rsidR="004B3389" w:rsidRPr="00050FA4">
        <w:rPr>
          <w:lang w:val="sq-AL"/>
        </w:rPr>
        <w:t>–</w:t>
      </w:r>
      <w:r w:rsidRPr="00050FA4">
        <w:rPr>
          <w:color w:val="0D0D0D" w:themeColor="text1" w:themeTint="F2"/>
          <w:lang w:val="sq-AL"/>
        </w:rPr>
        <w:t xml:space="preserve">2022 studentët që ndjekin arsimin bazë në institucionet arsimore publike nga klasa e parë deri në klasën e 9-të përfshihen në politikën e </w:t>
      </w:r>
      <w:r w:rsidR="008A0E5B" w:rsidRPr="00050FA4">
        <w:rPr>
          <w:color w:val="0D0D0D" w:themeColor="text1" w:themeTint="F2"/>
          <w:lang w:val="sq-AL"/>
        </w:rPr>
        <w:t>“</w:t>
      </w:r>
      <w:r w:rsidRPr="00050FA4">
        <w:rPr>
          <w:color w:val="0D0D0D" w:themeColor="text1" w:themeTint="F2"/>
          <w:lang w:val="sq-AL"/>
        </w:rPr>
        <w:t>teksteve falas</w:t>
      </w:r>
      <w:r w:rsidR="008A0E5B" w:rsidRPr="00050FA4">
        <w:rPr>
          <w:color w:val="0D0D0D" w:themeColor="text1" w:themeTint="F2"/>
          <w:lang w:val="sq-AL"/>
        </w:rPr>
        <w:t>”</w:t>
      </w:r>
      <w:r w:rsidRPr="00050FA4">
        <w:rPr>
          <w:color w:val="0D0D0D" w:themeColor="text1" w:themeTint="F2"/>
          <w:lang w:val="sq-AL"/>
        </w:rPr>
        <w:t xml:space="preserve">. Sipas vendimit nr. 486, datë 17.06.2020 janë edhe 18 kategori që përfitojnë tekste falas në shkollat e mesme: nxënës që në arsimin bazë i përkasin kategorisë së pakicave kombëtare, ata që kanë marrë statusin e jetimit, nxënësit që vijnë nga familje që </w:t>
      </w:r>
      <w:r w:rsidRPr="00050FA4">
        <w:rPr>
          <w:color w:val="0D0D0D" w:themeColor="text1" w:themeTint="F2"/>
          <w:lang w:val="sq-AL"/>
        </w:rPr>
        <w:lastRenderedPageBreak/>
        <w:t>trajtohen me ndihmë ekonomike, asistencë dhe përfitime papunësie nga zyrat e punësimit, studentë me aftësi të kufizuara, studentë të pranuar në Shë</w:t>
      </w:r>
      <w:r w:rsidR="00E67ECA" w:rsidRPr="00050FA4">
        <w:rPr>
          <w:color w:val="0D0D0D" w:themeColor="text1" w:themeTint="F2"/>
          <w:lang w:val="sq-AL"/>
        </w:rPr>
        <w:t>rbimin Onkologjik, studentë që u</w:t>
      </w:r>
      <w:r w:rsidRPr="00050FA4">
        <w:rPr>
          <w:color w:val="0D0D0D" w:themeColor="text1" w:themeTint="F2"/>
          <w:lang w:val="sq-AL"/>
        </w:rPr>
        <w:t xml:space="preserve"> përkasin minoriteteve rome dhe egjiptiane etj.</w:t>
      </w:r>
    </w:p>
    <w:p w14:paraId="6BB8B6D5" w14:textId="04F52D3F" w:rsidR="00DB2D75" w:rsidRPr="00050FA4" w:rsidRDefault="00DB2D75" w:rsidP="003F1DA7">
      <w:pPr>
        <w:pStyle w:val="AAAAAAATEXXXX"/>
        <w:rPr>
          <w:rFonts w:cstheme="majorBidi"/>
          <w:color w:val="0D0D0D" w:themeColor="text1" w:themeTint="F2"/>
          <w:lang w:val="sq-AL"/>
        </w:rPr>
      </w:pPr>
      <w:r w:rsidRPr="00050FA4">
        <w:rPr>
          <w:color w:val="0D0D0D" w:themeColor="text1" w:themeTint="F2"/>
          <w:lang w:val="sq-AL"/>
        </w:rPr>
        <w:t>MAS</w:t>
      </w:r>
      <w:r w:rsidR="004B3389" w:rsidRPr="00050FA4">
        <w:rPr>
          <w:color w:val="0D0D0D" w:themeColor="text1" w:themeTint="F2"/>
          <w:lang w:val="sq-AL"/>
        </w:rPr>
        <w:t>-ja</w:t>
      </w:r>
      <w:r w:rsidRPr="00050FA4">
        <w:rPr>
          <w:color w:val="0D0D0D" w:themeColor="text1" w:themeTint="F2"/>
          <w:lang w:val="sq-AL"/>
        </w:rPr>
        <w:t xml:space="preserve"> po planifikon transformimin e shkollave/instituteve speciale në qendra burimore që mbështesin edukimin e fëmijëve me aftësi të kufizuara dhe integrimin e tyre social. Shndërrimi i një shkolle/institucioni të arsimit special në qendër burimore është një proces që kalon në disa faza duke adresuar ndryshimet në strukturë, menaxhim, personel mësimor dhe të specializuar, kurrikulë, infrastrukturë etj. Kjo masë lidhet me Kriteret Ekonomike, për të qenë konkurrues në BE e cila kërkon një sasi të mjaftueshme të kapitalit njerëzor, arsim, kërkim, inovacion dhe zhvillime të ardhshme në këtë fushë.</w:t>
      </w:r>
    </w:p>
    <w:p w14:paraId="3A21E39E" w14:textId="58796F6D" w:rsidR="0030742B" w:rsidRPr="00050FA4" w:rsidRDefault="00892664" w:rsidP="003F1DA7">
      <w:pPr>
        <w:pStyle w:val="AAAAAAATEXXXX"/>
        <w:rPr>
          <w:b/>
          <w:lang w:val="sq-AL"/>
        </w:rPr>
      </w:pPr>
      <w:r w:rsidRPr="00050FA4">
        <w:rPr>
          <w:b/>
          <w:lang w:val="sq-AL"/>
        </w:rPr>
        <w:t>a</w:t>
      </w:r>
      <w:r w:rsidR="008927A5" w:rsidRPr="00050FA4">
        <w:rPr>
          <w:b/>
          <w:lang w:val="sq-AL"/>
        </w:rPr>
        <w:t>)</w:t>
      </w:r>
      <w:r w:rsidRPr="00050FA4">
        <w:rPr>
          <w:b/>
          <w:lang w:val="sq-AL"/>
        </w:rPr>
        <w:t xml:space="preserve"> </w:t>
      </w:r>
      <w:r w:rsidR="00B2062A" w:rsidRPr="00050FA4">
        <w:rPr>
          <w:b/>
          <w:lang w:val="sq-AL"/>
        </w:rPr>
        <w:t xml:space="preserve">Aktivitete të planifikuara </w:t>
      </w:r>
      <w:r w:rsidR="007E7D02" w:rsidRPr="00050FA4">
        <w:rPr>
          <w:b/>
          <w:lang w:val="sq-AL"/>
        </w:rPr>
        <w:t>m</w:t>
      </w:r>
      <w:r w:rsidR="00B2062A" w:rsidRPr="00050FA4">
        <w:rPr>
          <w:b/>
          <w:lang w:val="sq-AL"/>
        </w:rPr>
        <w:t>ë</w:t>
      </w:r>
      <w:r w:rsidR="0030742B" w:rsidRPr="00050FA4">
        <w:rPr>
          <w:b/>
          <w:lang w:val="sq-AL"/>
        </w:rPr>
        <w:t xml:space="preserve"> 2022</w:t>
      </w:r>
      <w:r w:rsidR="007E7D02" w:rsidRPr="00050FA4">
        <w:rPr>
          <w:b/>
          <w:lang w:val="sq-AL"/>
        </w:rPr>
        <w:t>-shin</w:t>
      </w:r>
    </w:p>
    <w:p w14:paraId="44407BFB" w14:textId="3A898283" w:rsidR="002C526F" w:rsidRPr="00050FA4" w:rsidRDefault="00892664" w:rsidP="003F1DA7">
      <w:pPr>
        <w:pStyle w:val="AAAAAAATEXXXX"/>
        <w:rPr>
          <w:lang w:val="sq-AL"/>
        </w:rPr>
      </w:pPr>
      <w:r w:rsidRPr="00050FA4">
        <w:rPr>
          <w:lang w:val="sq-AL"/>
        </w:rPr>
        <w:t>a</w:t>
      </w:r>
      <w:r w:rsidR="008927A5" w:rsidRPr="00050FA4">
        <w:rPr>
          <w:lang w:val="sq-AL"/>
        </w:rPr>
        <w:t xml:space="preserve">) </w:t>
      </w:r>
      <w:r w:rsidR="002C526F" w:rsidRPr="00050FA4">
        <w:rPr>
          <w:lang w:val="sq-AL"/>
        </w:rPr>
        <w:t>Analiza e bazës ligjore dhe modeleve të vendeve të tjera për funksionimin e qendrave burimore</w:t>
      </w:r>
      <w:r w:rsidR="007E7D02" w:rsidRPr="00050FA4">
        <w:rPr>
          <w:lang w:val="sq-AL"/>
        </w:rPr>
        <w:t>;</w:t>
      </w:r>
    </w:p>
    <w:p w14:paraId="78E12798" w14:textId="420E83C5" w:rsidR="002C526F" w:rsidRPr="00050FA4" w:rsidRDefault="00892664" w:rsidP="003F1DA7">
      <w:pPr>
        <w:pStyle w:val="AAAAAAATEXXXX"/>
        <w:rPr>
          <w:lang w:val="sq-AL"/>
        </w:rPr>
      </w:pPr>
      <w:r w:rsidRPr="00050FA4">
        <w:rPr>
          <w:lang w:val="sq-AL"/>
        </w:rPr>
        <w:t>b</w:t>
      </w:r>
      <w:r w:rsidR="008927A5" w:rsidRPr="00050FA4">
        <w:rPr>
          <w:lang w:val="sq-AL"/>
        </w:rPr>
        <w:t>)</w:t>
      </w:r>
      <w:r w:rsidRPr="00050FA4">
        <w:rPr>
          <w:lang w:val="sq-AL"/>
        </w:rPr>
        <w:t xml:space="preserve"> </w:t>
      </w:r>
      <w:r w:rsidR="002C526F" w:rsidRPr="00050FA4">
        <w:rPr>
          <w:lang w:val="sq-AL"/>
        </w:rPr>
        <w:t>Hartimi i akteve administrative për funksionimin e qendrave burimore</w:t>
      </w:r>
      <w:r w:rsidR="007E7D02" w:rsidRPr="00050FA4">
        <w:rPr>
          <w:lang w:val="sq-AL"/>
        </w:rPr>
        <w:t>;</w:t>
      </w:r>
    </w:p>
    <w:p w14:paraId="70B8E322" w14:textId="148307C9" w:rsidR="002C526F" w:rsidRPr="00050FA4" w:rsidRDefault="00892664" w:rsidP="003F1DA7">
      <w:pPr>
        <w:pStyle w:val="AAAAAAATEXXXX"/>
        <w:rPr>
          <w:lang w:val="sq-AL"/>
        </w:rPr>
      </w:pPr>
      <w:r w:rsidRPr="00050FA4">
        <w:rPr>
          <w:lang w:val="sq-AL"/>
        </w:rPr>
        <w:t>c</w:t>
      </w:r>
      <w:r w:rsidR="008927A5" w:rsidRPr="00050FA4">
        <w:rPr>
          <w:lang w:val="sq-AL"/>
        </w:rPr>
        <w:t>)</w:t>
      </w:r>
      <w:r w:rsidRPr="00050FA4">
        <w:rPr>
          <w:lang w:val="sq-AL"/>
        </w:rPr>
        <w:t xml:space="preserve"> </w:t>
      </w:r>
      <w:r w:rsidR="002C526F" w:rsidRPr="00050FA4">
        <w:rPr>
          <w:lang w:val="sq-AL"/>
        </w:rPr>
        <w:t>Ofrimi i mësuesve ndihmës shtesë për nxënësit me aftësi të kufizuara dhe mësuesit që njohin gjuhën shqipe të shenjave për nxënësit që nuk dëgjojnë</w:t>
      </w:r>
      <w:r w:rsidR="007E7D02" w:rsidRPr="00050FA4">
        <w:rPr>
          <w:lang w:val="sq-AL"/>
        </w:rPr>
        <w:t>;</w:t>
      </w:r>
    </w:p>
    <w:p w14:paraId="7FEE855C" w14:textId="6472A7FB" w:rsidR="002C526F" w:rsidRPr="00050FA4" w:rsidRDefault="00892664" w:rsidP="003F1DA7">
      <w:pPr>
        <w:pStyle w:val="AAAAAAATEXXXX"/>
        <w:rPr>
          <w:lang w:val="sq-AL"/>
        </w:rPr>
      </w:pPr>
      <w:r w:rsidRPr="00050FA4">
        <w:rPr>
          <w:lang w:val="sq-AL"/>
        </w:rPr>
        <w:t>d</w:t>
      </w:r>
      <w:r w:rsidR="008927A5" w:rsidRPr="00050FA4">
        <w:rPr>
          <w:lang w:val="sq-AL"/>
        </w:rPr>
        <w:t>)</w:t>
      </w:r>
      <w:r w:rsidRPr="00050FA4">
        <w:rPr>
          <w:lang w:val="sq-AL"/>
        </w:rPr>
        <w:t xml:space="preserve"> </w:t>
      </w:r>
      <w:r w:rsidR="002C526F" w:rsidRPr="00050FA4">
        <w:rPr>
          <w:lang w:val="sq-AL"/>
        </w:rPr>
        <w:t>Hartimi dhe standardizimi i protokolleve të punës për shërbimin psikosocial</w:t>
      </w:r>
      <w:r w:rsidR="007E7D02" w:rsidRPr="00050FA4">
        <w:rPr>
          <w:lang w:val="sq-AL"/>
        </w:rPr>
        <w:t>;</w:t>
      </w:r>
    </w:p>
    <w:p w14:paraId="7C7F1DEB" w14:textId="4FDA4FC1" w:rsidR="002C526F" w:rsidRPr="00050FA4" w:rsidRDefault="00892664" w:rsidP="003F1DA7">
      <w:pPr>
        <w:pStyle w:val="AAAAAAATEXXXX"/>
        <w:rPr>
          <w:lang w:val="sq-AL"/>
        </w:rPr>
      </w:pPr>
      <w:r w:rsidRPr="00050FA4">
        <w:rPr>
          <w:lang w:val="sq-AL"/>
        </w:rPr>
        <w:t>e</w:t>
      </w:r>
      <w:r w:rsidR="008927A5" w:rsidRPr="00050FA4">
        <w:rPr>
          <w:lang w:val="sq-AL"/>
        </w:rPr>
        <w:t xml:space="preserve">) </w:t>
      </w:r>
      <w:r w:rsidR="002C526F" w:rsidRPr="00050FA4">
        <w:rPr>
          <w:lang w:val="sq-AL"/>
        </w:rPr>
        <w:t>Trajnimi i 42 ToT (drejtues të rrjeteve profesionale të mësuesve ndihmës) dhe mësues ndihmës</w:t>
      </w:r>
      <w:r w:rsidR="007E7D02" w:rsidRPr="00050FA4">
        <w:rPr>
          <w:lang w:val="sq-AL"/>
        </w:rPr>
        <w:t>;</w:t>
      </w:r>
    </w:p>
    <w:p w14:paraId="33ABB82F" w14:textId="1800D5FA" w:rsidR="002C526F" w:rsidRPr="00050FA4" w:rsidRDefault="00892664" w:rsidP="003F1DA7">
      <w:pPr>
        <w:pStyle w:val="AAAAAAATEXXXX"/>
        <w:rPr>
          <w:lang w:val="sq-AL"/>
        </w:rPr>
      </w:pPr>
      <w:r w:rsidRPr="00050FA4">
        <w:rPr>
          <w:lang w:val="sq-AL"/>
        </w:rPr>
        <w:t>f</w:t>
      </w:r>
      <w:r w:rsidR="008927A5" w:rsidRPr="00050FA4">
        <w:rPr>
          <w:lang w:val="sq-AL"/>
        </w:rPr>
        <w:t xml:space="preserve">) </w:t>
      </w:r>
      <w:r w:rsidR="002C526F" w:rsidRPr="00050FA4">
        <w:rPr>
          <w:lang w:val="sq-AL"/>
        </w:rPr>
        <w:t>Forcimi i rrjeteve profesionale t</w:t>
      </w:r>
      <w:r w:rsidR="004B3389" w:rsidRPr="00050FA4">
        <w:rPr>
          <w:lang w:val="sq-AL"/>
        </w:rPr>
        <w:t>ë punonjësve të shërbimit psiko</w:t>
      </w:r>
      <w:r w:rsidR="002C526F" w:rsidRPr="00050FA4">
        <w:rPr>
          <w:lang w:val="sq-AL"/>
        </w:rPr>
        <w:t>social</w:t>
      </w:r>
      <w:r w:rsidR="007E7D02" w:rsidRPr="00050FA4">
        <w:rPr>
          <w:lang w:val="sq-AL"/>
        </w:rPr>
        <w:t>;</w:t>
      </w:r>
    </w:p>
    <w:p w14:paraId="522FE832" w14:textId="7DAA2B0C" w:rsidR="002C526F" w:rsidRPr="00050FA4" w:rsidRDefault="00892664" w:rsidP="003F1DA7">
      <w:pPr>
        <w:pStyle w:val="AAAAAAATEXXXX"/>
        <w:rPr>
          <w:lang w:val="sq-AL"/>
        </w:rPr>
      </w:pPr>
      <w:r w:rsidRPr="00050FA4">
        <w:rPr>
          <w:lang w:val="sq-AL"/>
        </w:rPr>
        <w:t>g</w:t>
      </w:r>
      <w:r w:rsidR="008927A5" w:rsidRPr="00050FA4">
        <w:rPr>
          <w:lang w:val="sq-AL"/>
        </w:rPr>
        <w:t>)</w:t>
      </w:r>
      <w:r w:rsidRPr="00050FA4">
        <w:rPr>
          <w:lang w:val="sq-AL"/>
        </w:rPr>
        <w:t xml:space="preserve"> </w:t>
      </w:r>
      <w:r w:rsidR="002C526F" w:rsidRPr="00050FA4">
        <w:rPr>
          <w:lang w:val="sq-AL"/>
        </w:rPr>
        <w:t>Racionalizimi i rrjetit shkollor</w:t>
      </w:r>
      <w:r w:rsidR="007E7D02" w:rsidRPr="00050FA4">
        <w:rPr>
          <w:lang w:val="sq-AL"/>
        </w:rPr>
        <w:t>;</w:t>
      </w:r>
    </w:p>
    <w:p w14:paraId="6E3646A8" w14:textId="62157539" w:rsidR="002C526F" w:rsidRPr="00050FA4" w:rsidRDefault="00892664" w:rsidP="003F1DA7">
      <w:pPr>
        <w:pStyle w:val="AAAAAAATEXXXX"/>
        <w:rPr>
          <w:lang w:val="sq-AL"/>
        </w:rPr>
      </w:pPr>
      <w:r w:rsidRPr="00050FA4">
        <w:rPr>
          <w:lang w:val="sq-AL"/>
        </w:rPr>
        <w:t>h</w:t>
      </w:r>
      <w:r w:rsidR="008927A5" w:rsidRPr="00050FA4">
        <w:rPr>
          <w:lang w:val="sq-AL"/>
        </w:rPr>
        <w:t>)</w:t>
      </w:r>
      <w:r w:rsidRPr="00050FA4">
        <w:rPr>
          <w:lang w:val="sq-AL"/>
        </w:rPr>
        <w:t xml:space="preserve"> </w:t>
      </w:r>
      <w:r w:rsidR="002C526F" w:rsidRPr="00050FA4">
        <w:rPr>
          <w:lang w:val="sq-AL"/>
        </w:rPr>
        <w:t>Përmirësimi i shërbimit të transportit falas për studentët dhe mësuesit (Rritje +50% e çmimit të rimbursimit të transportit të nxënësve).</w:t>
      </w:r>
    </w:p>
    <w:p w14:paraId="69D678FC" w14:textId="2FA86B82" w:rsidR="0030742B" w:rsidRPr="00050FA4" w:rsidRDefault="00892664" w:rsidP="003F1DA7">
      <w:pPr>
        <w:pStyle w:val="AAAAAAATEXXXX"/>
        <w:rPr>
          <w:b/>
          <w:lang w:val="sq-AL"/>
        </w:rPr>
      </w:pPr>
      <w:r w:rsidRPr="00050FA4">
        <w:rPr>
          <w:b/>
          <w:lang w:val="sq-AL"/>
        </w:rPr>
        <w:t>b</w:t>
      </w:r>
      <w:r w:rsidR="008927A5" w:rsidRPr="00050FA4">
        <w:rPr>
          <w:b/>
          <w:lang w:val="sq-AL"/>
        </w:rPr>
        <w:t>)</w:t>
      </w:r>
      <w:r w:rsidRPr="00050FA4">
        <w:rPr>
          <w:b/>
          <w:lang w:val="sq-AL"/>
        </w:rPr>
        <w:t xml:space="preserve"> </w:t>
      </w:r>
      <w:r w:rsidR="00B2062A" w:rsidRPr="00050FA4">
        <w:rPr>
          <w:b/>
          <w:lang w:val="sq-AL"/>
        </w:rPr>
        <w:t xml:space="preserve">Aktivitete të planifikuara </w:t>
      </w:r>
      <w:r w:rsidR="007E7D02" w:rsidRPr="00050FA4">
        <w:rPr>
          <w:b/>
          <w:lang w:val="sq-AL"/>
        </w:rPr>
        <w:t>m</w:t>
      </w:r>
      <w:r w:rsidR="00B2062A" w:rsidRPr="00050FA4">
        <w:rPr>
          <w:b/>
          <w:lang w:val="sq-AL"/>
        </w:rPr>
        <w:t>ë</w:t>
      </w:r>
      <w:r w:rsidR="0030742B" w:rsidRPr="00050FA4">
        <w:rPr>
          <w:b/>
          <w:lang w:val="sq-AL"/>
        </w:rPr>
        <w:t xml:space="preserve"> 2023</w:t>
      </w:r>
      <w:r w:rsidR="007E7D02" w:rsidRPr="00050FA4">
        <w:rPr>
          <w:b/>
          <w:lang w:val="sq-AL"/>
        </w:rPr>
        <w:t>-shin</w:t>
      </w:r>
    </w:p>
    <w:p w14:paraId="654B2158" w14:textId="04F1305F" w:rsidR="002C526F" w:rsidRPr="00050FA4" w:rsidRDefault="00892664" w:rsidP="003F1DA7">
      <w:pPr>
        <w:pStyle w:val="AAAAAAATEXXXX"/>
        <w:rPr>
          <w:color w:val="0D0D0D" w:themeColor="text1" w:themeTint="F2"/>
          <w:lang w:val="sq-AL"/>
        </w:rPr>
      </w:pPr>
      <w:r w:rsidRPr="00050FA4">
        <w:rPr>
          <w:color w:val="0D0D0D" w:themeColor="text1" w:themeTint="F2"/>
          <w:lang w:val="sq-AL"/>
        </w:rPr>
        <w:t>a</w:t>
      </w:r>
      <w:r w:rsidR="008927A5"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Transformimi i shkollave speciale në qendra burimore</w:t>
      </w:r>
      <w:r w:rsidR="007E7D02" w:rsidRPr="00050FA4">
        <w:rPr>
          <w:color w:val="0D0D0D" w:themeColor="text1" w:themeTint="F2"/>
          <w:lang w:val="sq-AL"/>
        </w:rPr>
        <w:t>;</w:t>
      </w:r>
    </w:p>
    <w:p w14:paraId="0E4B1DE4" w14:textId="352A5FBF" w:rsidR="002C526F" w:rsidRPr="00050FA4" w:rsidRDefault="00892664" w:rsidP="003F1DA7">
      <w:pPr>
        <w:pStyle w:val="AAAAAAATEXXXX"/>
        <w:rPr>
          <w:color w:val="0D0D0D" w:themeColor="text1" w:themeTint="F2"/>
          <w:lang w:val="sq-AL"/>
        </w:rPr>
      </w:pPr>
      <w:r w:rsidRPr="00050FA4">
        <w:rPr>
          <w:color w:val="0D0D0D" w:themeColor="text1" w:themeTint="F2"/>
          <w:lang w:val="sq-AL"/>
        </w:rPr>
        <w:t>b</w:t>
      </w:r>
      <w:r w:rsidR="008927A5" w:rsidRPr="00050FA4">
        <w:rPr>
          <w:color w:val="0D0D0D" w:themeColor="text1" w:themeTint="F2"/>
          <w:lang w:val="sq-AL"/>
        </w:rPr>
        <w:t xml:space="preserve">) </w:t>
      </w:r>
      <w:r w:rsidR="002C526F" w:rsidRPr="00050FA4">
        <w:rPr>
          <w:color w:val="0D0D0D" w:themeColor="text1" w:themeTint="F2"/>
          <w:lang w:val="sq-AL"/>
        </w:rPr>
        <w:t>Ofrimi i mësuesve ndihmës shtesë për nxënësit me aftësi të kufizuara dhe mësuesit që njohin gjuhën shqipe të shenjave për nxënësit që nuk dëgjojnë</w:t>
      </w:r>
      <w:r w:rsidR="007E7D02" w:rsidRPr="00050FA4">
        <w:rPr>
          <w:color w:val="0D0D0D" w:themeColor="text1" w:themeTint="F2"/>
          <w:lang w:val="sq-AL"/>
        </w:rPr>
        <w:t>;</w:t>
      </w:r>
    </w:p>
    <w:p w14:paraId="72C65D09" w14:textId="35A7FA81" w:rsidR="002C526F" w:rsidRPr="00050FA4" w:rsidRDefault="00892664" w:rsidP="003F1DA7">
      <w:pPr>
        <w:pStyle w:val="AAAAAAATEXXXX"/>
        <w:rPr>
          <w:color w:val="0D0D0D" w:themeColor="text1" w:themeTint="F2"/>
          <w:lang w:val="sq-AL"/>
        </w:rPr>
      </w:pPr>
      <w:r w:rsidRPr="00050FA4">
        <w:rPr>
          <w:color w:val="0D0D0D" w:themeColor="text1" w:themeTint="F2"/>
          <w:lang w:val="sq-AL"/>
        </w:rPr>
        <w:t>c</w:t>
      </w:r>
      <w:r w:rsidR="008927A5" w:rsidRPr="00050FA4">
        <w:rPr>
          <w:color w:val="0D0D0D" w:themeColor="text1" w:themeTint="F2"/>
          <w:lang w:val="sq-AL"/>
        </w:rPr>
        <w:t xml:space="preserve">) </w:t>
      </w:r>
      <w:r w:rsidR="002C526F" w:rsidRPr="00050FA4">
        <w:rPr>
          <w:color w:val="0D0D0D" w:themeColor="text1" w:themeTint="F2"/>
          <w:lang w:val="sq-AL"/>
        </w:rPr>
        <w:t>Pajisja e shkollave me mjete dhe programe teknologjike për të ndihmuar fëmijët me aftësi të kufizuara</w:t>
      </w:r>
      <w:r w:rsidR="007E7D02" w:rsidRPr="00050FA4">
        <w:rPr>
          <w:color w:val="0D0D0D" w:themeColor="text1" w:themeTint="F2"/>
          <w:lang w:val="sq-AL"/>
        </w:rPr>
        <w:t>;</w:t>
      </w:r>
    </w:p>
    <w:p w14:paraId="3EEC1EBA" w14:textId="64E2E4ED" w:rsidR="002C526F" w:rsidRPr="00050FA4" w:rsidRDefault="00892664" w:rsidP="003F1DA7">
      <w:pPr>
        <w:pStyle w:val="AAAAAAATEXXXX"/>
        <w:rPr>
          <w:color w:val="0D0D0D" w:themeColor="text1" w:themeTint="F2"/>
          <w:lang w:val="sq-AL"/>
        </w:rPr>
      </w:pPr>
      <w:r w:rsidRPr="00050FA4">
        <w:rPr>
          <w:color w:val="0D0D0D" w:themeColor="text1" w:themeTint="F2"/>
          <w:lang w:val="sq-AL"/>
        </w:rPr>
        <w:t>d</w:t>
      </w:r>
      <w:r w:rsidR="008927A5" w:rsidRPr="00050FA4">
        <w:rPr>
          <w:color w:val="0D0D0D" w:themeColor="text1" w:themeTint="F2"/>
          <w:lang w:val="sq-AL"/>
        </w:rPr>
        <w:t xml:space="preserve">) </w:t>
      </w:r>
      <w:r w:rsidR="002C526F" w:rsidRPr="00050FA4">
        <w:rPr>
          <w:color w:val="0D0D0D" w:themeColor="text1" w:themeTint="F2"/>
          <w:lang w:val="sq-AL"/>
        </w:rPr>
        <w:t>Trajnimi i 42 ToT (drejtues të rrjeteve profesionale të mësuesve ndihmës) dhe mësues ndihmës</w:t>
      </w:r>
      <w:r w:rsidR="007E7D02" w:rsidRPr="00050FA4">
        <w:rPr>
          <w:color w:val="0D0D0D" w:themeColor="text1" w:themeTint="F2"/>
          <w:lang w:val="sq-AL"/>
        </w:rPr>
        <w:t>;</w:t>
      </w:r>
    </w:p>
    <w:p w14:paraId="53AF3985" w14:textId="00C13691" w:rsidR="002C526F" w:rsidRPr="00050FA4" w:rsidRDefault="00892664" w:rsidP="003F1DA7">
      <w:pPr>
        <w:pStyle w:val="AAAAAAATEXXXX"/>
        <w:rPr>
          <w:color w:val="0D0D0D" w:themeColor="text1" w:themeTint="F2"/>
          <w:lang w:val="sq-AL"/>
        </w:rPr>
      </w:pPr>
      <w:r w:rsidRPr="00050FA4">
        <w:rPr>
          <w:color w:val="0D0D0D" w:themeColor="text1" w:themeTint="F2"/>
          <w:lang w:val="sq-AL"/>
        </w:rPr>
        <w:t>e</w:t>
      </w:r>
      <w:r w:rsidR="008927A5"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Trajnimi i rrjeteve profesionale t</w:t>
      </w:r>
      <w:r w:rsidR="004B3389" w:rsidRPr="00050FA4">
        <w:rPr>
          <w:color w:val="0D0D0D" w:themeColor="text1" w:themeTint="F2"/>
          <w:lang w:val="sq-AL"/>
        </w:rPr>
        <w:t>ë punonjësve të shërbimit psiko</w:t>
      </w:r>
      <w:r w:rsidR="002C526F" w:rsidRPr="00050FA4">
        <w:rPr>
          <w:color w:val="0D0D0D" w:themeColor="text1" w:themeTint="F2"/>
          <w:lang w:val="sq-AL"/>
        </w:rPr>
        <w:t>social</w:t>
      </w:r>
      <w:r w:rsidR="007E7D02" w:rsidRPr="00050FA4">
        <w:rPr>
          <w:color w:val="0D0D0D" w:themeColor="text1" w:themeTint="F2"/>
          <w:lang w:val="sq-AL"/>
        </w:rPr>
        <w:t>;</w:t>
      </w:r>
    </w:p>
    <w:p w14:paraId="18161D19" w14:textId="4362A133" w:rsidR="002C526F" w:rsidRPr="00050FA4" w:rsidRDefault="00892664" w:rsidP="003F1DA7">
      <w:pPr>
        <w:pStyle w:val="AAAAAAATEXXXX"/>
        <w:rPr>
          <w:color w:val="0D0D0D" w:themeColor="text1" w:themeTint="F2"/>
          <w:lang w:val="sq-AL"/>
        </w:rPr>
      </w:pPr>
      <w:r w:rsidRPr="00050FA4">
        <w:rPr>
          <w:color w:val="0D0D0D" w:themeColor="text1" w:themeTint="F2"/>
          <w:lang w:val="sq-AL"/>
        </w:rPr>
        <w:t>f</w:t>
      </w:r>
      <w:r w:rsidR="008927A5"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Racionalizimi i rrjetit shkollor.</w:t>
      </w:r>
    </w:p>
    <w:p w14:paraId="4995EB9E" w14:textId="0A95CB64" w:rsidR="0030742B" w:rsidRPr="00050FA4" w:rsidRDefault="00B52E28" w:rsidP="003F1DA7">
      <w:pPr>
        <w:pStyle w:val="AAAAAAATEXXXX"/>
        <w:rPr>
          <w:b/>
          <w:lang w:val="sq-AL"/>
        </w:rPr>
      </w:pPr>
      <w:r w:rsidRPr="00050FA4">
        <w:rPr>
          <w:b/>
          <w:lang w:val="sq-AL"/>
        </w:rPr>
        <w:t>c</w:t>
      </w:r>
      <w:r w:rsidR="008927A5" w:rsidRPr="00050FA4">
        <w:rPr>
          <w:b/>
          <w:lang w:val="sq-AL"/>
        </w:rPr>
        <w:t>)</w:t>
      </w:r>
      <w:r w:rsidRPr="00050FA4">
        <w:rPr>
          <w:b/>
          <w:lang w:val="sq-AL"/>
        </w:rPr>
        <w:t xml:space="preserve"> </w:t>
      </w:r>
      <w:r w:rsidR="00B2062A" w:rsidRPr="00050FA4">
        <w:rPr>
          <w:b/>
          <w:lang w:val="sq-AL"/>
        </w:rPr>
        <w:t xml:space="preserve">Aktivitete të planifikuara </w:t>
      </w:r>
      <w:r w:rsidR="007E7D02" w:rsidRPr="00050FA4">
        <w:rPr>
          <w:b/>
          <w:lang w:val="sq-AL"/>
        </w:rPr>
        <w:t>m</w:t>
      </w:r>
      <w:r w:rsidR="00B2062A" w:rsidRPr="00050FA4">
        <w:rPr>
          <w:b/>
          <w:lang w:val="sq-AL"/>
        </w:rPr>
        <w:t>ë</w:t>
      </w:r>
      <w:r w:rsidR="0030742B" w:rsidRPr="00050FA4">
        <w:rPr>
          <w:b/>
          <w:lang w:val="sq-AL"/>
        </w:rPr>
        <w:t xml:space="preserve"> 2024</w:t>
      </w:r>
      <w:r w:rsidR="007E7D02" w:rsidRPr="00050FA4">
        <w:rPr>
          <w:b/>
          <w:lang w:val="sq-AL"/>
        </w:rPr>
        <w:t>-ën</w:t>
      </w:r>
    </w:p>
    <w:p w14:paraId="54B4F7B5" w14:textId="196E865C" w:rsidR="002C526F" w:rsidRPr="00050FA4" w:rsidRDefault="00B52E28" w:rsidP="003F1DA7">
      <w:pPr>
        <w:pStyle w:val="AAAAAAATEXXXX"/>
        <w:rPr>
          <w:lang w:val="sq-AL"/>
        </w:rPr>
      </w:pPr>
      <w:r w:rsidRPr="00050FA4">
        <w:rPr>
          <w:lang w:val="sq-AL"/>
        </w:rPr>
        <w:t>a</w:t>
      </w:r>
      <w:r w:rsidR="008927A5" w:rsidRPr="00050FA4">
        <w:rPr>
          <w:lang w:val="sq-AL"/>
        </w:rPr>
        <w:t>)</w:t>
      </w:r>
      <w:r w:rsidRPr="00050FA4">
        <w:rPr>
          <w:lang w:val="sq-AL"/>
        </w:rPr>
        <w:t xml:space="preserve"> </w:t>
      </w:r>
      <w:r w:rsidR="002C526F" w:rsidRPr="00050FA4">
        <w:rPr>
          <w:lang w:val="sq-AL"/>
        </w:rPr>
        <w:t>Funksionimi i plotë i shkollave speciale deri te qendrat burimore</w:t>
      </w:r>
      <w:r w:rsidR="007E7D02" w:rsidRPr="00050FA4">
        <w:rPr>
          <w:lang w:val="sq-AL"/>
        </w:rPr>
        <w:t>;</w:t>
      </w:r>
    </w:p>
    <w:p w14:paraId="6AF9DAED" w14:textId="3AD84BFB" w:rsidR="002C526F" w:rsidRPr="00050FA4" w:rsidRDefault="00B52E28" w:rsidP="003F1DA7">
      <w:pPr>
        <w:pStyle w:val="AAAAAAATEXXXX"/>
        <w:rPr>
          <w:lang w:val="sq-AL"/>
        </w:rPr>
      </w:pPr>
      <w:r w:rsidRPr="00050FA4">
        <w:rPr>
          <w:lang w:val="sq-AL"/>
        </w:rPr>
        <w:t>b</w:t>
      </w:r>
      <w:r w:rsidR="008927A5" w:rsidRPr="00050FA4">
        <w:rPr>
          <w:lang w:val="sq-AL"/>
        </w:rPr>
        <w:t>)</w:t>
      </w:r>
      <w:r w:rsidRPr="00050FA4">
        <w:rPr>
          <w:lang w:val="sq-AL"/>
        </w:rPr>
        <w:t xml:space="preserve"> </w:t>
      </w:r>
      <w:r w:rsidR="002C526F" w:rsidRPr="00050FA4">
        <w:rPr>
          <w:lang w:val="sq-AL"/>
        </w:rPr>
        <w:t>Pajisja e shkollave me mjete dhe programe teknologjike për të ndihmuar fëmijët me aftësi të kufizuara.</w:t>
      </w:r>
    </w:p>
    <w:p w14:paraId="2C96CF79" w14:textId="236EAA5B" w:rsidR="0030742B" w:rsidRPr="00050FA4" w:rsidRDefault="00B52E28" w:rsidP="003F1DA7">
      <w:pPr>
        <w:pStyle w:val="AAAAAAATEXXXX"/>
        <w:rPr>
          <w:lang w:val="sq-AL"/>
        </w:rPr>
      </w:pPr>
      <w:r w:rsidRPr="00050FA4">
        <w:rPr>
          <w:lang w:val="sq-AL"/>
        </w:rPr>
        <w:t xml:space="preserve">2. </w:t>
      </w:r>
      <w:r w:rsidR="00B2062A" w:rsidRPr="00050FA4">
        <w:rPr>
          <w:lang w:val="sq-AL"/>
        </w:rPr>
        <w:t>Treguesit e rezultateve</w:t>
      </w:r>
    </w:p>
    <w:p w14:paraId="4025466F" w14:textId="77777777" w:rsidR="007E7D02" w:rsidRPr="00050FA4" w:rsidRDefault="007E7D02" w:rsidP="003F1DA7">
      <w:pPr>
        <w:pStyle w:val="AAAAAAATEXXXX"/>
        <w:rPr>
          <w:lang w:val="sq-AL"/>
        </w:rPr>
      </w:pPr>
    </w:p>
    <w:tbl>
      <w:tblPr>
        <w:tblW w:w="10201" w:type="dxa"/>
        <w:jc w:val="center"/>
        <w:tblLayout w:type="fixed"/>
        <w:tblLook w:val="04A0" w:firstRow="1" w:lastRow="0" w:firstColumn="1" w:lastColumn="0" w:noHBand="0" w:noVBand="1"/>
      </w:tblPr>
      <w:tblGrid>
        <w:gridCol w:w="4135"/>
        <w:gridCol w:w="1710"/>
        <w:gridCol w:w="2160"/>
        <w:gridCol w:w="2196"/>
      </w:tblGrid>
      <w:tr w:rsidR="00FA29AB" w:rsidRPr="00050FA4" w14:paraId="6DD076F5" w14:textId="77777777" w:rsidTr="008927A5">
        <w:trPr>
          <w:trHeight w:val="350"/>
          <w:jc w:val="center"/>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31634" w14:textId="34F07785" w:rsidR="004F59F4" w:rsidRPr="00050FA4" w:rsidRDefault="00B2062A" w:rsidP="008927A5">
            <w:pPr>
              <w:jc w:val="center"/>
              <w:rPr>
                <w:rFonts w:ascii="Garamond" w:eastAsia="Times New Roman" w:hAnsi="Garamond" w:cstheme="majorBidi"/>
                <w:b/>
                <w:bCs/>
                <w:color w:val="0D0D0D" w:themeColor="text1" w:themeTint="F2"/>
                <w:sz w:val="18"/>
                <w:szCs w:val="18"/>
              </w:rPr>
            </w:pPr>
            <w:r w:rsidRPr="00050FA4">
              <w:rPr>
                <w:rFonts w:ascii="Garamond" w:eastAsia="Times New Roman" w:hAnsi="Garamond" w:cstheme="majorBidi"/>
                <w:b/>
                <w:bCs/>
                <w:color w:val="0D0D0D" w:themeColor="text1" w:themeTint="F2"/>
                <w:sz w:val="18"/>
                <w:szCs w:val="18"/>
              </w:rPr>
              <w:t>Tregues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DD77469" w14:textId="62936841" w:rsidR="004F59F4" w:rsidRPr="00050FA4" w:rsidRDefault="00B2062A" w:rsidP="008927A5">
            <w:pPr>
              <w:jc w:val="center"/>
              <w:rPr>
                <w:rFonts w:ascii="Garamond" w:eastAsia="Times New Roman" w:hAnsi="Garamond" w:cstheme="majorBidi"/>
                <w:b/>
                <w:bCs/>
                <w:color w:val="0D0D0D" w:themeColor="text1" w:themeTint="F2"/>
                <w:sz w:val="18"/>
                <w:szCs w:val="18"/>
              </w:rPr>
            </w:pPr>
            <w:r w:rsidRPr="00050FA4">
              <w:rPr>
                <w:rFonts w:ascii="Garamond" w:hAnsi="Garamond" w:cstheme="majorBidi"/>
                <w:b/>
                <w:color w:val="0D0D0D" w:themeColor="text1" w:themeTint="F2"/>
                <w:sz w:val="18"/>
                <w:szCs w:val="18"/>
              </w:rPr>
              <w:t>Bazë</w:t>
            </w:r>
            <w:r w:rsidR="004F59F4" w:rsidRPr="00050FA4">
              <w:rPr>
                <w:rFonts w:ascii="Garamond" w:hAnsi="Garamond" w:cstheme="majorBidi"/>
                <w:b/>
                <w:color w:val="0D0D0D" w:themeColor="text1" w:themeTint="F2"/>
                <w:sz w:val="18"/>
                <w:szCs w:val="18"/>
              </w:rPr>
              <w:t xml:space="preserve"> (2021)</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4D99E58E" w14:textId="519189CE" w:rsidR="004F59F4" w:rsidRPr="00050FA4" w:rsidRDefault="00B2062A" w:rsidP="008927A5">
            <w:pPr>
              <w:jc w:val="center"/>
              <w:rPr>
                <w:rFonts w:ascii="Garamond" w:eastAsia="Times New Roman" w:hAnsi="Garamond" w:cstheme="majorBidi"/>
                <w:b/>
                <w:bCs/>
                <w:color w:val="0D0D0D" w:themeColor="text1" w:themeTint="F2"/>
                <w:sz w:val="18"/>
                <w:szCs w:val="18"/>
              </w:rPr>
            </w:pPr>
            <w:r w:rsidRPr="00050FA4">
              <w:rPr>
                <w:rFonts w:ascii="Garamond" w:hAnsi="Garamond" w:cstheme="majorBidi"/>
                <w:b/>
                <w:color w:val="0D0D0D" w:themeColor="text1" w:themeTint="F2"/>
                <w:sz w:val="18"/>
                <w:szCs w:val="18"/>
              </w:rPr>
              <w:t>I ndërmjetëm</w:t>
            </w:r>
            <w:r w:rsidR="004F59F4" w:rsidRPr="00050FA4">
              <w:rPr>
                <w:rFonts w:ascii="Garamond" w:hAnsi="Garamond" w:cstheme="majorBidi"/>
                <w:b/>
                <w:color w:val="0D0D0D" w:themeColor="text1" w:themeTint="F2"/>
                <w:sz w:val="18"/>
                <w:szCs w:val="18"/>
              </w:rPr>
              <w:t xml:space="preserve"> (2022)</w:t>
            </w:r>
          </w:p>
        </w:tc>
        <w:tc>
          <w:tcPr>
            <w:tcW w:w="2196" w:type="dxa"/>
            <w:tcBorders>
              <w:top w:val="single" w:sz="4" w:space="0" w:color="auto"/>
              <w:left w:val="nil"/>
              <w:bottom w:val="single" w:sz="4" w:space="0" w:color="auto"/>
              <w:right w:val="single" w:sz="4" w:space="0" w:color="auto"/>
            </w:tcBorders>
            <w:shd w:val="clear" w:color="auto" w:fill="auto"/>
            <w:vAlign w:val="center"/>
            <w:hideMark/>
          </w:tcPr>
          <w:p w14:paraId="24084F21" w14:textId="1971CA2C" w:rsidR="004F59F4" w:rsidRPr="00050FA4" w:rsidRDefault="00B2062A" w:rsidP="008927A5">
            <w:pPr>
              <w:jc w:val="center"/>
              <w:rPr>
                <w:rFonts w:ascii="Garamond" w:eastAsia="Times New Roman" w:hAnsi="Garamond" w:cstheme="majorBidi"/>
                <w:b/>
                <w:bCs/>
                <w:color w:val="0D0D0D" w:themeColor="text1" w:themeTint="F2"/>
                <w:sz w:val="18"/>
                <w:szCs w:val="18"/>
              </w:rPr>
            </w:pPr>
            <w:r w:rsidRPr="00050FA4">
              <w:rPr>
                <w:rFonts w:ascii="Garamond" w:hAnsi="Garamond" w:cstheme="majorBidi"/>
                <w:b/>
                <w:color w:val="0D0D0D" w:themeColor="text1" w:themeTint="F2"/>
                <w:sz w:val="18"/>
                <w:szCs w:val="18"/>
              </w:rPr>
              <w:t>Synimi</w:t>
            </w:r>
            <w:r w:rsidR="004F59F4" w:rsidRPr="00050FA4">
              <w:rPr>
                <w:rFonts w:ascii="Garamond" w:hAnsi="Garamond" w:cstheme="majorBidi"/>
                <w:b/>
                <w:color w:val="0D0D0D" w:themeColor="text1" w:themeTint="F2"/>
                <w:sz w:val="18"/>
                <w:szCs w:val="18"/>
              </w:rPr>
              <w:t xml:space="preserve"> (2024)</w:t>
            </w:r>
          </w:p>
        </w:tc>
      </w:tr>
      <w:tr w:rsidR="00FA29AB" w:rsidRPr="00050FA4" w14:paraId="6C3E582F" w14:textId="77777777" w:rsidTr="008927A5">
        <w:trPr>
          <w:trHeight w:val="281"/>
          <w:jc w:val="center"/>
        </w:trPr>
        <w:tc>
          <w:tcPr>
            <w:tcW w:w="4135" w:type="dxa"/>
            <w:tcBorders>
              <w:top w:val="single" w:sz="4" w:space="0" w:color="auto"/>
              <w:left w:val="single" w:sz="4" w:space="0" w:color="auto"/>
              <w:bottom w:val="single" w:sz="4" w:space="0" w:color="auto"/>
              <w:right w:val="single" w:sz="4" w:space="0" w:color="auto"/>
            </w:tcBorders>
            <w:shd w:val="clear" w:color="auto" w:fill="auto"/>
            <w:noWrap/>
          </w:tcPr>
          <w:p w14:paraId="71708A44" w14:textId="23F4D362" w:rsidR="002C526F" w:rsidRPr="00050FA4" w:rsidRDefault="002C526F" w:rsidP="00A95D23">
            <w:pPr>
              <w:rPr>
                <w:rFonts w:ascii="Garamond" w:eastAsia="Times New Roman" w:hAnsi="Garamond" w:cstheme="majorBidi"/>
                <w:bCs/>
                <w:color w:val="0D0D0D" w:themeColor="text1" w:themeTint="F2"/>
                <w:sz w:val="18"/>
                <w:szCs w:val="18"/>
              </w:rPr>
            </w:pPr>
            <w:r w:rsidRPr="00050FA4">
              <w:rPr>
                <w:rFonts w:ascii="Garamond" w:eastAsia="Times New Roman" w:hAnsi="Garamond"/>
                <w:color w:val="0D0D0D" w:themeColor="text1" w:themeTint="F2"/>
                <w:sz w:val="18"/>
                <w:szCs w:val="18"/>
              </w:rPr>
              <w:t>Numri i mësuesve ndihmës shtesë për nxënësit me nevoja të veçanta</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057536E3" w14:textId="4B50BF3D" w:rsidR="002C526F" w:rsidRPr="00050FA4" w:rsidRDefault="002C526F" w:rsidP="008927A5">
            <w:pPr>
              <w:jc w:val="right"/>
              <w:rPr>
                <w:rFonts w:ascii="Garamond" w:hAnsi="Garamond" w:cstheme="majorBidi"/>
                <w:color w:val="0D0D0D" w:themeColor="text1" w:themeTint="F2"/>
                <w:sz w:val="18"/>
                <w:szCs w:val="18"/>
              </w:rPr>
            </w:pPr>
            <w:r w:rsidRPr="00050FA4">
              <w:rPr>
                <w:rFonts w:ascii="Garamond" w:eastAsia="Arial Narrow" w:hAnsi="Garamond"/>
                <w:color w:val="0D0D0D" w:themeColor="text1" w:themeTint="F2"/>
                <w:sz w:val="18"/>
                <w:szCs w:val="18"/>
              </w:rPr>
              <w:t>1275 (2020</w:t>
            </w:r>
            <w:r w:rsidR="008927A5" w:rsidRPr="00050FA4">
              <w:rPr>
                <w:rFonts w:ascii="Garamond" w:eastAsia="Arial Narrow" w:hAnsi="Garamond"/>
                <w:color w:val="0D0D0D" w:themeColor="text1" w:themeTint="F2"/>
                <w:sz w:val="18"/>
                <w:szCs w:val="18"/>
              </w:rPr>
              <w:t>–</w:t>
            </w:r>
            <w:r w:rsidRPr="00050FA4">
              <w:rPr>
                <w:rFonts w:ascii="Garamond" w:eastAsia="Arial Narrow" w:hAnsi="Garamond"/>
                <w:color w:val="0D0D0D" w:themeColor="text1" w:themeTint="F2"/>
                <w:sz w:val="18"/>
                <w:szCs w:val="18"/>
              </w:rPr>
              <w:t>2021)</w:t>
            </w:r>
          </w:p>
        </w:tc>
        <w:tc>
          <w:tcPr>
            <w:tcW w:w="2160" w:type="dxa"/>
            <w:tcBorders>
              <w:top w:val="single" w:sz="4" w:space="0" w:color="auto"/>
              <w:left w:val="nil"/>
              <w:bottom w:val="single" w:sz="4" w:space="0" w:color="auto"/>
              <w:right w:val="single" w:sz="4" w:space="0" w:color="auto"/>
            </w:tcBorders>
            <w:shd w:val="clear" w:color="auto" w:fill="auto"/>
            <w:noWrap/>
          </w:tcPr>
          <w:p w14:paraId="7CC75064" w14:textId="6CDAD141" w:rsidR="002C526F" w:rsidRPr="00050FA4" w:rsidRDefault="002C526F" w:rsidP="008927A5">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1300</w:t>
            </w:r>
          </w:p>
        </w:tc>
        <w:tc>
          <w:tcPr>
            <w:tcW w:w="2196" w:type="dxa"/>
            <w:tcBorders>
              <w:top w:val="single" w:sz="4" w:space="0" w:color="auto"/>
              <w:left w:val="nil"/>
              <w:bottom w:val="single" w:sz="4" w:space="0" w:color="auto"/>
              <w:right w:val="single" w:sz="4" w:space="0" w:color="auto"/>
            </w:tcBorders>
            <w:shd w:val="clear" w:color="auto" w:fill="auto"/>
            <w:noWrap/>
          </w:tcPr>
          <w:p w14:paraId="056419CC" w14:textId="219A9B29"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1350</w:t>
            </w:r>
          </w:p>
        </w:tc>
      </w:tr>
      <w:tr w:rsidR="00FA29AB" w:rsidRPr="00050FA4" w14:paraId="7F603D58" w14:textId="77777777" w:rsidTr="008927A5">
        <w:trPr>
          <w:trHeight w:val="272"/>
          <w:jc w:val="center"/>
        </w:trPr>
        <w:tc>
          <w:tcPr>
            <w:tcW w:w="4135" w:type="dxa"/>
            <w:tcBorders>
              <w:top w:val="single" w:sz="4" w:space="0" w:color="auto"/>
              <w:left w:val="single" w:sz="4" w:space="0" w:color="auto"/>
              <w:bottom w:val="single" w:sz="4" w:space="0" w:color="auto"/>
              <w:right w:val="single" w:sz="4" w:space="0" w:color="auto"/>
            </w:tcBorders>
            <w:shd w:val="clear" w:color="auto" w:fill="auto"/>
            <w:noWrap/>
          </w:tcPr>
          <w:p w14:paraId="2ECA024E" w14:textId="6E2E2DB0" w:rsidR="002C526F" w:rsidRPr="00050FA4" w:rsidRDefault="002C526F" w:rsidP="004B3389">
            <w:pPr>
              <w:rPr>
                <w:rFonts w:ascii="Garamond" w:eastAsia="Times New Roman" w:hAnsi="Garamond" w:cstheme="majorBidi"/>
                <w:bCs/>
                <w:color w:val="0D0D0D" w:themeColor="text1" w:themeTint="F2"/>
                <w:sz w:val="18"/>
                <w:szCs w:val="18"/>
              </w:rPr>
            </w:pPr>
            <w:r w:rsidRPr="00050FA4">
              <w:rPr>
                <w:rFonts w:ascii="Garamond" w:eastAsia="Times New Roman" w:hAnsi="Garamond"/>
                <w:color w:val="0D0D0D" w:themeColor="text1" w:themeTint="F2"/>
                <w:sz w:val="18"/>
                <w:szCs w:val="18"/>
              </w:rPr>
              <w:t>Numri i personelit në shërbimin psikosocial në shkolla</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16C72E4C" w14:textId="6B48DCFD"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eastAsia="Arial Narrow" w:hAnsi="Garamond"/>
                <w:color w:val="0D0D0D" w:themeColor="text1" w:themeTint="F2"/>
                <w:sz w:val="18"/>
                <w:szCs w:val="18"/>
              </w:rPr>
              <w:t>526</w:t>
            </w:r>
          </w:p>
        </w:tc>
        <w:tc>
          <w:tcPr>
            <w:tcW w:w="2160" w:type="dxa"/>
            <w:tcBorders>
              <w:top w:val="single" w:sz="4" w:space="0" w:color="auto"/>
              <w:left w:val="nil"/>
              <w:bottom w:val="single" w:sz="4" w:space="0" w:color="auto"/>
              <w:right w:val="single" w:sz="4" w:space="0" w:color="auto"/>
            </w:tcBorders>
            <w:shd w:val="clear" w:color="auto" w:fill="auto"/>
            <w:noWrap/>
          </w:tcPr>
          <w:p w14:paraId="7247E9C8" w14:textId="6552C5A0"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630</w:t>
            </w:r>
          </w:p>
        </w:tc>
        <w:tc>
          <w:tcPr>
            <w:tcW w:w="2196" w:type="dxa"/>
            <w:tcBorders>
              <w:top w:val="single" w:sz="4" w:space="0" w:color="auto"/>
              <w:left w:val="nil"/>
              <w:bottom w:val="single" w:sz="4" w:space="0" w:color="auto"/>
              <w:right w:val="single" w:sz="4" w:space="0" w:color="auto"/>
            </w:tcBorders>
            <w:shd w:val="clear" w:color="auto" w:fill="auto"/>
            <w:noWrap/>
          </w:tcPr>
          <w:p w14:paraId="4BE08522" w14:textId="337484BC"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700</w:t>
            </w:r>
          </w:p>
        </w:tc>
      </w:tr>
      <w:tr w:rsidR="00FA29AB" w:rsidRPr="00050FA4" w14:paraId="07F7C2AB" w14:textId="77777777" w:rsidTr="008927A5">
        <w:trPr>
          <w:trHeight w:val="272"/>
          <w:jc w:val="center"/>
        </w:trPr>
        <w:tc>
          <w:tcPr>
            <w:tcW w:w="4135" w:type="dxa"/>
            <w:tcBorders>
              <w:top w:val="single" w:sz="4" w:space="0" w:color="auto"/>
              <w:left w:val="single" w:sz="4" w:space="0" w:color="auto"/>
              <w:bottom w:val="single" w:sz="4" w:space="0" w:color="auto"/>
              <w:right w:val="single" w:sz="4" w:space="0" w:color="auto"/>
            </w:tcBorders>
            <w:shd w:val="clear" w:color="auto" w:fill="auto"/>
            <w:noWrap/>
          </w:tcPr>
          <w:p w14:paraId="2A1E4A90" w14:textId="1814F292" w:rsidR="002C526F" w:rsidRPr="00050FA4" w:rsidRDefault="002C526F" w:rsidP="00A95D23">
            <w:pPr>
              <w:rPr>
                <w:rFonts w:ascii="Garamond" w:eastAsia="Times New Roman" w:hAnsi="Garamond" w:cstheme="majorBidi"/>
                <w:bCs/>
                <w:color w:val="0D0D0D" w:themeColor="text1" w:themeTint="F2"/>
                <w:sz w:val="18"/>
                <w:szCs w:val="18"/>
              </w:rPr>
            </w:pPr>
            <w:r w:rsidRPr="00050FA4">
              <w:rPr>
                <w:rFonts w:ascii="Garamond" w:eastAsia="Times New Roman" w:hAnsi="Garamond"/>
                <w:color w:val="0D0D0D" w:themeColor="text1" w:themeTint="F2"/>
                <w:sz w:val="18"/>
                <w:szCs w:val="18"/>
              </w:rPr>
              <w:t>Numri i fëmijëve në klasa kolektive të transferuar në shkolla më cilësore aty pranë</w:t>
            </w:r>
          </w:p>
        </w:tc>
        <w:tc>
          <w:tcPr>
            <w:tcW w:w="1710" w:type="dxa"/>
            <w:tcBorders>
              <w:top w:val="single" w:sz="4" w:space="0" w:color="auto"/>
              <w:left w:val="nil"/>
              <w:bottom w:val="single" w:sz="4" w:space="0" w:color="auto"/>
              <w:right w:val="single" w:sz="4" w:space="0" w:color="auto"/>
            </w:tcBorders>
            <w:shd w:val="clear" w:color="auto" w:fill="auto"/>
            <w:noWrap/>
          </w:tcPr>
          <w:p w14:paraId="671F37DF" w14:textId="76AA8F72"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2829 nxënës</w:t>
            </w:r>
          </w:p>
        </w:tc>
        <w:tc>
          <w:tcPr>
            <w:tcW w:w="2160" w:type="dxa"/>
            <w:tcBorders>
              <w:top w:val="single" w:sz="4" w:space="0" w:color="auto"/>
              <w:left w:val="nil"/>
              <w:bottom w:val="single" w:sz="4" w:space="0" w:color="auto"/>
              <w:right w:val="single" w:sz="4" w:space="0" w:color="auto"/>
            </w:tcBorders>
            <w:shd w:val="clear" w:color="auto" w:fill="auto"/>
            <w:noWrap/>
          </w:tcPr>
          <w:p w14:paraId="33AF63BE" w14:textId="084E0267"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(2020) +250 duke iu referuar vlerësimit bazë</w:t>
            </w:r>
          </w:p>
        </w:tc>
        <w:tc>
          <w:tcPr>
            <w:tcW w:w="2196" w:type="dxa"/>
            <w:tcBorders>
              <w:top w:val="single" w:sz="4" w:space="0" w:color="auto"/>
              <w:left w:val="nil"/>
              <w:bottom w:val="single" w:sz="4" w:space="0" w:color="auto"/>
              <w:right w:val="single" w:sz="4" w:space="0" w:color="auto"/>
            </w:tcBorders>
            <w:shd w:val="clear" w:color="auto" w:fill="auto"/>
            <w:noWrap/>
          </w:tcPr>
          <w:p w14:paraId="6A9241EB" w14:textId="33BED1CE" w:rsidR="002C526F" w:rsidRPr="00050FA4" w:rsidRDefault="002C526F" w:rsidP="008927A5">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(2022) +500 duke iu referuar vlerësimit bazë</w:t>
            </w:r>
          </w:p>
        </w:tc>
      </w:tr>
    </w:tbl>
    <w:p w14:paraId="0A311443" w14:textId="77777777" w:rsidR="004F59F4" w:rsidRPr="00050FA4" w:rsidRDefault="004F59F4" w:rsidP="003F1DA7">
      <w:pPr>
        <w:snapToGrid w:val="0"/>
        <w:ind w:firstLine="284"/>
        <w:rPr>
          <w:rFonts w:ascii="Garamond" w:hAnsi="Garamond" w:cstheme="majorBidi"/>
          <w:color w:val="0D0D0D" w:themeColor="text1" w:themeTint="F2"/>
        </w:rPr>
      </w:pPr>
    </w:p>
    <w:p w14:paraId="57831A4A" w14:textId="70165D8E" w:rsidR="0030742B" w:rsidRPr="00050FA4" w:rsidRDefault="00B52E28" w:rsidP="003F1DA7">
      <w:pPr>
        <w:pStyle w:val="AAAAAAATEXXXX"/>
        <w:rPr>
          <w:lang w:val="sq-AL"/>
        </w:rPr>
      </w:pPr>
      <w:r w:rsidRPr="00050FA4">
        <w:rPr>
          <w:lang w:val="sq-AL"/>
        </w:rPr>
        <w:t xml:space="preserve">3. </w:t>
      </w:r>
      <w:r w:rsidR="00B2062A" w:rsidRPr="00050FA4">
        <w:rPr>
          <w:lang w:val="sq-AL"/>
        </w:rPr>
        <w:t>Ndikimi i pritshëm në konkurrueshmëri</w:t>
      </w:r>
    </w:p>
    <w:p w14:paraId="66EAD5DB" w14:textId="7D25EB4E" w:rsidR="002C526F" w:rsidRPr="00050FA4" w:rsidRDefault="002C526F" w:rsidP="003F1DA7">
      <w:pPr>
        <w:pStyle w:val="AAAAAAATEXXXX"/>
        <w:rPr>
          <w:lang w:val="sq-AL"/>
        </w:rPr>
      </w:pPr>
      <w:r w:rsidRPr="00050FA4">
        <w:rPr>
          <w:lang w:val="sq-AL"/>
        </w:rPr>
        <w:t xml:space="preserve">Në planin afatgjatë, duke ofruar mundësi </w:t>
      </w:r>
      <w:r w:rsidR="004B3389" w:rsidRPr="00050FA4">
        <w:rPr>
          <w:lang w:val="sq-AL"/>
        </w:rPr>
        <w:t>më të mira arsimore klasa shumë</w:t>
      </w:r>
      <w:r w:rsidRPr="00050FA4">
        <w:rPr>
          <w:lang w:val="sq-AL"/>
        </w:rPr>
        <w:t>klasëshe dhe fëmijët me aftësi të kufizuara do të rrisin shanset e tyre për të arritur aftësitë e nevojshme për t</w:t>
      </w:r>
      <w:r w:rsidR="00CD4CE7" w:rsidRPr="00050FA4">
        <w:rPr>
          <w:lang w:val="sq-AL"/>
        </w:rPr>
        <w:t>’</w:t>
      </w:r>
      <w:r w:rsidRPr="00050FA4">
        <w:rPr>
          <w:lang w:val="sq-AL"/>
        </w:rPr>
        <w:t>u bashkuar me tregun e punës dhe për të bërë jetë të pavarur, si dhe për të rriturit.</w:t>
      </w:r>
    </w:p>
    <w:p w14:paraId="52391854" w14:textId="10788789" w:rsidR="0030742B" w:rsidRPr="00050FA4" w:rsidRDefault="00B52E28"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35E0CFBE" w14:textId="634C2255" w:rsidR="002C526F" w:rsidRPr="00050FA4" w:rsidRDefault="002C526F" w:rsidP="003F1DA7">
      <w:pPr>
        <w:pStyle w:val="AAAAAAATEXXXX"/>
        <w:rPr>
          <w:lang w:val="sq-AL"/>
        </w:rPr>
      </w:pPr>
      <w:r w:rsidRPr="00050FA4">
        <w:rPr>
          <w:lang w:val="sq-AL"/>
        </w:rPr>
        <w:t xml:space="preserve">Trajnimi i 42 ToT (drejtuesve të rrjeteve profesionale të mësuesve ndihmës) dhe mësuesve ndihmës janë parashikuar 2000 </w:t>
      </w:r>
      <w:r w:rsidR="008927A5" w:rsidRPr="00050FA4">
        <w:rPr>
          <w:lang w:val="sq-AL"/>
        </w:rPr>
        <w:t xml:space="preserve">euro </w:t>
      </w:r>
      <w:r w:rsidRPr="00050FA4">
        <w:rPr>
          <w:lang w:val="sq-AL"/>
        </w:rPr>
        <w:t>në vit.</w:t>
      </w:r>
    </w:p>
    <w:p w14:paraId="0C8E6C9D" w14:textId="710BEBB2" w:rsidR="002C526F" w:rsidRPr="00050FA4" w:rsidRDefault="002C526F" w:rsidP="003F1DA7">
      <w:pPr>
        <w:pStyle w:val="AAAAAAATEXXXX"/>
        <w:rPr>
          <w:lang w:val="sq-AL"/>
        </w:rPr>
      </w:pPr>
      <w:r w:rsidRPr="00050FA4">
        <w:rPr>
          <w:lang w:val="sq-AL"/>
        </w:rPr>
        <w:t>Forcimi i rrjeteve profesionale të punonjësve të shërbimit psikosocial për rreth 600 punonjës psikosocialë</w:t>
      </w:r>
      <w:r w:rsidR="007E7D02" w:rsidRPr="00050FA4">
        <w:rPr>
          <w:lang w:val="sq-AL"/>
        </w:rPr>
        <w:t>,</w:t>
      </w:r>
      <w:r w:rsidRPr="00050FA4">
        <w:rPr>
          <w:lang w:val="sq-AL"/>
        </w:rPr>
        <w:t xml:space="preserve"> që pritet të trajnohen, parashikohet një fond prej 9000 </w:t>
      </w:r>
      <w:r w:rsidR="00CD4CE7" w:rsidRPr="00050FA4">
        <w:rPr>
          <w:lang w:val="sq-AL"/>
        </w:rPr>
        <w:t>euro</w:t>
      </w:r>
      <w:r w:rsidR="006A27AC" w:rsidRPr="00050FA4">
        <w:rPr>
          <w:lang w:val="sq-AL"/>
        </w:rPr>
        <w:t>sh</w:t>
      </w:r>
      <w:r w:rsidR="00CD4CE7" w:rsidRPr="00050FA4">
        <w:rPr>
          <w:lang w:val="sq-AL"/>
        </w:rPr>
        <w:t xml:space="preserve"> </w:t>
      </w:r>
      <w:r w:rsidRPr="00050FA4">
        <w:rPr>
          <w:lang w:val="sq-AL"/>
        </w:rPr>
        <w:t>në vit.</w:t>
      </w:r>
    </w:p>
    <w:p w14:paraId="72E1CF00" w14:textId="21B1BC68" w:rsidR="002C526F" w:rsidRPr="00050FA4" w:rsidRDefault="002C526F" w:rsidP="003F1DA7">
      <w:pPr>
        <w:pStyle w:val="AAAAAAATEXXXX"/>
        <w:rPr>
          <w:lang w:val="sq-AL"/>
        </w:rPr>
      </w:pPr>
      <w:r w:rsidRPr="00050FA4">
        <w:rPr>
          <w:lang w:val="sq-AL"/>
        </w:rPr>
        <w:t xml:space="preserve">Përmirësimi i shërbimit të transportit falas për studentët dhe mësuesit duke rishikuar çmimet dhe kriteret dhe kategoritë në nevojë, (parashikohet një rritje + 50% e çmimit të transportit të studentëve ku </w:t>
      </w:r>
      <w:r w:rsidRPr="00050FA4">
        <w:rPr>
          <w:lang w:val="sq-AL"/>
        </w:rPr>
        <w:lastRenderedPageBreak/>
        <w:t>përfitues janë rreth 30</w:t>
      </w:r>
      <w:r w:rsidR="00CD4CE7" w:rsidRPr="00050FA4">
        <w:rPr>
          <w:lang w:val="sq-AL"/>
        </w:rPr>
        <w:t>–</w:t>
      </w:r>
      <w:r w:rsidRPr="00050FA4">
        <w:rPr>
          <w:lang w:val="sq-AL"/>
        </w:rPr>
        <w:t>32 mijë studentë me një kosto vjetore të vlerësuar prej 170 milionë lekësh në vit, kosto e cila indeksohet</w:t>
      </w:r>
      <w:r w:rsidR="00535FB4" w:rsidRPr="00050FA4">
        <w:rPr>
          <w:lang w:val="sq-AL"/>
        </w:rPr>
        <w:t>/</w:t>
      </w:r>
      <w:r w:rsidRPr="00050FA4">
        <w:rPr>
          <w:lang w:val="sq-AL"/>
        </w:rPr>
        <w:t>rritet çdo vit). Ky aktivitet lidhet me përllogaritjen e kostove të shërbimit të transportit për nxënësit e arsimit bazë që pritet të përballohen nga fondi i buxhetit të shtetit dhe do të vijojnë edhe pas përfundimit të reformës.</w:t>
      </w:r>
    </w:p>
    <w:p w14:paraId="1494564E" w14:textId="73D9CD21" w:rsidR="0030742B" w:rsidRPr="00050FA4" w:rsidRDefault="00B52E28"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2CE807B2" w14:textId="4807D3D3" w:rsidR="002C526F" w:rsidRPr="00050FA4" w:rsidRDefault="002C526F" w:rsidP="003F1DA7">
      <w:pPr>
        <w:pStyle w:val="AAAAAAATEXXXX"/>
        <w:rPr>
          <w:lang w:val="sq-AL"/>
        </w:rPr>
      </w:pPr>
      <w:r w:rsidRPr="00050FA4">
        <w:rPr>
          <w:lang w:val="sq-AL"/>
        </w:rPr>
        <w:t>Masa synon të krijojë mundësi më të mira, përfshirje më të mirë dhe mundësi më të mira për fëmijët. Barazia gjinore do të respektohet gjatë gjithë zbatimit të masës.</w:t>
      </w:r>
    </w:p>
    <w:p w14:paraId="66FC12FE" w14:textId="059F6C9E" w:rsidR="0030742B" w:rsidRPr="00050FA4" w:rsidRDefault="00B52E28"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65D23A46" w14:textId="1875FBCB" w:rsidR="002C526F" w:rsidRPr="00050FA4" w:rsidRDefault="002C526F" w:rsidP="003F1DA7">
      <w:pPr>
        <w:pStyle w:val="AAAAAAATEXXXX"/>
        <w:rPr>
          <w:lang w:val="sq-AL"/>
        </w:rPr>
      </w:pPr>
      <w:r w:rsidRPr="00050FA4">
        <w:rPr>
          <w:lang w:val="sq-AL"/>
        </w:rPr>
        <w:t>Masa nuk pritet të ketë ndikim në mjedis.</w:t>
      </w:r>
    </w:p>
    <w:p w14:paraId="563204BF" w14:textId="5016A62A" w:rsidR="0030742B" w:rsidRPr="00050FA4" w:rsidRDefault="00B52E28" w:rsidP="003F1DA7">
      <w:pPr>
        <w:pStyle w:val="AAAAAAATEXXXX"/>
        <w:rPr>
          <w:lang w:val="sq-AL"/>
        </w:rPr>
      </w:pPr>
      <w:r w:rsidRPr="00050FA4">
        <w:rPr>
          <w:lang w:val="sq-AL"/>
        </w:rPr>
        <w:t xml:space="preserve">7. </w:t>
      </w:r>
      <w:r w:rsidR="00B2062A" w:rsidRPr="00050FA4">
        <w:rPr>
          <w:lang w:val="sq-AL"/>
        </w:rPr>
        <w:t>Rreziqet e mundshme</w:t>
      </w:r>
    </w:p>
    <w:p w14:paraId="715E0C3D" w14:textId="77777777" w:rsidR="007E7D02" w:rsidRPr="00050FA4" w:rsidRDefault="007E7D02" w:rsidP="003F1DA7">
      <w:pPr>
        <w:pStyle w:val="AAAAAAATEXXXX"/>
        <w:rPr>
          <w:lang w:val="sq-AL"/>
        </w:rPr>
      </w:pPr>
    </w:p>
    <w:tbl>
      <w:tblPr>
        <w:tblStyle w:val="TableGrid"/>
        <w:tblW w:w="0" w:type="auto"/>
        <w:jc w:val="center"/>
        <w:tblLook w:val="04A0" w:firstRow="1" w:lastRow="0" w:firstColumn="1" w:lastColumn="0" w:noHBand="0" w:noVBand="1"/>
      </w:tblPr>
      <w:tblGrid>
        <w:gridCol w:w="4248"/>
        <w:gridCol w:w="1417"/>
        <w:gridCol w:w="3957"/>
      </w:tblGrid>
      <w:tr w:rsidR="00FA29AB" w:rsidRPr="00050FA4" w14:paraId="58A8F028" w14:textId="77777777" w:rsidTr="00CD4CE7">
        <w:trPr>
          <w:jc w:val="center"/>
        </w:trPr>
        <w:tc>
          <w:tcPr>
            <w:tcW w:w="4248" w:type="dxa"/>
            <w:vAlign w:val="center"/>
          </w:tcPr>
          <w:p w14:paraId="5B3D6486" w14:textId="05D05029" w:rsidR="004F59F4" w:rsidRPr="00050FA4" w:rsidRDefault="00B2062A" w:rsidP="00CD4CE7">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417" w:type="dxa"/>
            <w:vAlign w:val="center"/>
          </w:tcPr>
          <w:p w14:paraId="5970D36A" w14:textId="77777777" w:rsidR="00CD4CE7" w:rsidRPr="00050FA4" w:rsidRDefault="00B2062A" w:rsidP="00CD4CE7">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4F59F4" w:rsidRPr="00050FA4">
              <w:rPr>
                <w:rFonts w:ascii="Garamond" w:hAnsi="Garamond" w:cstheme="majorBidi"/>
                <w:b/>
                <w:color w:val="0D0D0D" w:themeColor="text1" w:themeTint="F2"/>
                <w:sz w:val="18"/>
                <w:szCs w:val="18"/>
              </w:rPr>
              <w:t xml:space="preserve"> </w:t>
            </w:r>
          </w:p>
          <w:p w14:paraId="5D46413E" w14:textId="586B7674" w:rsidR="004F59F4" w:rsidRPr="00050FA4" w:rsidRDefault="004F59F4" w:rsidP="00CD4CE7">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3957" w:type="dxa"/>
            <w:vAlign w:val="center"/>
          </w:tcPr>
          <w:p w14:paraId="6B41DC2F" w14:textId="61A8F6E3" w:rsidR="004F59F4" w:rsidRPr="00050FA4" w:rsidRDefault="00B2062A" w:rsidP="00CD4CE7">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3C73D49C" w14:textId="77777777" w:rsidTr="00CD4CE7">
        <w:trPr>
          <w:jc w:val="center"/>
        </w:trPr>
        <w:tc>
          <w:tcPr>
            <w:tcW w:w="4248" w:type="dxa"/>
          </w:tcPr>
          <w:p w14:paraId="64121CC0" w14:textId="27952F89"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Ngurrimi nga ana e familjeve për të lejuar që fëmijët e tyre të transferohen në shkollat e afërta</w:t>
            </w:r>
          </w:p>
        </w:tc>
        <w:tc>
          <w:tcPr>
            <w:tcW w:w="1417" w:type="dxa"/>
          </w:tcPr>
          <w:p w14:paraId="25E5D302" w14:textId="214D74E9"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E ulët</w:t>
            </w:r>
          </w:p>
        </w:tc>
        <w:tc>
          <w:tcPr>
            <w:tcW w:w="3957" w:type="dxa"/>
          </w:tcPr>
          <w:p w14:paraId="7CDCC4B8" w14:textId="338AD5D4"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Masat mbështetëse për fëmijët dhe prindërit. Bashkëpunimi me komunitetin në këtë proces.</w:t>
            </w:r>
          </w:p>
        </w:tc>
      </w:tr>
      <w:tr w:rsidR="00FA29AB" w:rsidRPr="00050FA4" w14:paraId="4727E95C" w14:textId="77777777" w:rsidTr="00CD4CE7">
        <w:trPr>
          <w:jc w:val="center"/>
        </w:trPr>
        <w:tc>
          <w:tcPr>
            <w:tcW w:w="4248" w:type="dxa"/>
          </w:tcPr>
          <w:p w14:paraId="42B031A0" w14:textId="7039EEEB"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Mungesa e fondeve të mjaftueshme për të punësuar/punuar mësues ndihmës</w:t>
            </w:r>
          </w:p>
        </w:tc>
        <w:tc>
          <w:tcPr>
            <w:tcW w:w="1417" w:type="dxa"/>
          </w:tcPr>
          <w:p w14:paraId="7C6C8F81" w14:textId="798FA374"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 xml:space="preserve">E ulët </w:t>
            </w:r>
          </w:p>
        </w:tc>
        <w:tc>
          <w:tcPr>
            <w:tcW w:w="3957" w:type="dxa"/>
          </w:tcPr>
          <w:p w14:paraId="6BCA3388" w14:textId="167EA389"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Planifikimi vjetor i buxhetit.</w:t>
            </w:r>
          </w:p>
        </w:tc>
      </w:tr>
    </w:tbl>
    <w:p w14:paraId="1A0F625E" w14:textId="77777777" w:rsidR="004F59F4" w:rsidRPr="00050FA4" w:rsidRDefault="004F59F4" w:rsidP="003F1DA7">
      <w:pPr>
        <w:snapToGrid w:val="0"/>
        <w:ind w:firstLine="284"/>
        <w:rPr>
          <w:rFonts w:ascii="Garamond" w:hAnsi="Garamond" w:cstheme="majorBidi"/>
          <w:color w:val="0D0D0D" w:themeColor="text1" w:themeTint="F2"/>
        </w:rPr>
      </w:pPr>
    </w:p>
    <w:p w14:paraId="41180AB5" w14:textId="744D8774" w:rsidR="00F30712" w:rsidRPr="00050FA4" w:rsidRDefault="00B2062A" w:rsidP="003F1DA7">
      <w:pPr>
        <w:pStyle w:val="AAAAAAATEXXXX"/>
        <w:rPr>
          <w:b/>
          <w:i/>
          <w:lang w:val="sq-AL"/>
        </w:rPr>
      </w:pPr>
      <w:r w:rsidRPr="00050FA4">
        <w:rPr>
          <w:b/>
          <w:i/>
          <w:lang w:val="sq-AL"/>
        </w:rPr>
        <w:t>Masa e reformës</w:t>
      </w:r>
      <w:r w:rsidR="009D3B25" w:rsidRPr="00050FA4">
        <w:rPr>
          <w:b/>
          <w:i/>
          <w:lang w:val="sq-AL"/>
        </w:rPr>
        <w:t xml:space="preserve"> </w:t>
      </w:r>
      <w:r w:rsidR="005358F8" w:rsidRPr="00050FA4">
        <w:rPr>
          <w:b/>
          <w:i/>
          <w:lang w:val="sq-AL"/>
        </w:rPr>
        <w:t>19</w:t>
      </w:r>
      <w:r w:rsidR="00F30712" w:rsidRPr="00050FA4">
        <w:rPr>
          <w:b/>
          <w:i/>
          <w:lang w:val="sq-AL"/>
        </w:rPr>
        <w:t>:</w:t>
      </w:r>
      <w:r w:rsidR="0001460F" w:rsidRPr="00050FA4">
        <w:rPr>
          <w:b/>
          <w:i/>
          <w:lang w:val="sq-AL"/>
        </w:rPr>
        <w:t xml:space="preserve"> </w:t>
      </w:r>
      <w:r w:rsidR="002C526F" w:rsidRPr="00050FA4">
        <w:rPr>
          <w:b/>
          <w:i/>
          <w:lang w:val="sq-AL"/>
        </w:rPr>
        <w:t>Zhvillimi dhe fuqizimi i kompetencës digjitale</w:t>
      </w:r>
    </w:p>
    <w:p w14:paraId="525F86FD" w14:textId="00125824" w:rsidR="00F30712" w:rsidRPr="00050FA4" w:rsidRDefault="00B52E28" w:rsidP="003F1DA7">
      <w:pPr>
        <w:pStyle w:val="AAAAAAATEXXXX"/>
        <w:rPr>
          <w:lang w:val="sq-AL"/>
        </w:rPr>
      </w:pPr>
      <w:r w:rsidRPr="00050FA4">
        <w:rPr>
          <w:lang w:val="sq-AL"/>
        </w:rPr>
        <w:t xml:space="preserve">1. </w:t>
      </w:r>
      <w:r w:rsidR="00B2062A" w:rsidRPr="00050FA4">
        <w:rPr>
          <w:lang w:val="sq-AL"/>
        </w:rPr>
        <w:t>Përshkrimi i masës</w:t>
      </w:r>
    </w:p>
    <w:p w14:paraId="1B5EB924" w14:textId="77777777" w:rsidR="002C526F" w:rsidRPr="00050FA4" w:rsidRDefault="002C526F" w:rsidP="003F1DA7">
      <w:pPr>
        <w:pStyle w:val="AAAAAAATEXXXX"/>
        <w:rPr>
          <w:color w:val="0D0D0D" w:themeColor="text1" w:themeTint="F2"/>
          <w:lang w:val="sq-AL"/>
        </w:rPr>
      </w:pPr>
      <w:r w:rsidRPr="00050FA4">
        <w:rPr>
          <w:color w:val="0D0D0D" w:themeColor="text1" w:themeTint="F2"/>
          <w:lang w:val="sq-AL"/>
        </w:rPr>
        <w:t>TIK-u ka ndikuar shumë në mënyrën e ofrimit të shërbimeve arsimore, pasi ka potencialin t'u ofrojë studentëve mësim gjatë gjithë jetës, pjesëmarrje të plotë në shoqëri dhe sukses në jetën profesionale. Arritja e këtij qëllimi dikton zhvillimin e njohurive dhe aftësive digjitale të nxënësve dhe mësuesve. Studentët sot jetojnë dhe rriten në një botë digjitale, por edhe ata kanë nevojë për mbështetje në zhvillimin e kompetencës digjitale. Sfida më e madhe është për mësuesit. Përveç kompetencave digjitale të nevojshme për jetën e përditshme, mësuesit kanë nevojë për kompetenca specifike digjitale që u mundësojnë përdorimin e teknologjisë për të mbështetur, përmirësuar dhe transformuar procesin e mësimdhënies, si dhe për përgjegjësi të tjera në shkollë.</w:t>
      </w:r>
    </w:p>
    <w:p w14:paraId="1BF149BC" w14:textId="44288CF4" w:rsidR="002C526F" w:rsidRPr="00050FA4" w:rsidRDefault="002C526F" w:rsidP="003F1DA7">
      <w:pPr>
        <w:pStyle w:val="AAAAAAATEXXXX"/>
        <w:rPr>
          <w:color w:val="0D0D0D" w:themeColor="text1" w:themeTint="F2"/>
          <w:lang w:val="sq-AL"/>
        </w:rPr>
      </w:pPr>
      <w:r w:rsidRPr="00050FA4">
        <w:rPr>
          <w:color w:val="0D0D0D" w:themeColor="text1" w:themeTint="F2"/>
          <w:lang w:val="sq-AL"/>
        </w:rPr>
        <w:t xml:space="preserve">Në nivel evropian, këto kompetenca janë të përfshira në një kornizë kompetencash për mësuesit </w:t>
      </w:r>
      <w:r w:rsidRPr="00050FA4">
        <w:rPr>
          <w:i/>
          <w:color w:val="0D0D0D" w:themeColor="text1" w:themeTint="F2"/>
          <w:lang w:val="sq-AL"/>
        </w:rPr>
        <w:t>(European Framework for Digital Teacher Competence, DigComEdu).</w:t>
      </w:r>
      <w:r w:rsidRPr="00050FA4">
        <w:rPr>
          <w:color w:val="0D0D0D" w:themeColor="text1" w:themeTint="F2"/>
          <w:lang w:val="sq-AL"/>
        </w:rPr>
        <w:t xml:space="preserve"> UNESCO</w:t>
      </w:r>
      <w:r w:rsidR="00843AE0" w:rsidRPr="00050FA4">
        <w:rPr>
          <w:color w:val="0D0D0D" w:themeColor="text1" w:themeTint="F2"/>
          <w:lang w:val="sq-AL"/>
        </w:rPr>
        <w:t>-ja</w:t>
      </w:r>
      <w:r w:rsidRPr="00050FA4">
        <w:rPr>
          <w:color w:val="0D0D0D" w:themeColor="text1" w:themeTint="F2"/>
          <w:lang w:val="sq-AL"/>
        </w:rPr>
        <w:t xml:space="preserve"> ka hartuar</w:t>
      </w:r>
      <w:r w:rsidR="001E18DC" w:rsidRPr="00050FA4">
        <w:rPr>
          <w:color w:val="0D0D0D" w:themeColor="text1" w:themeTint="F2"/>
          <w:lang w:val="sq-AL"/>
        </w:rPr>
        <w:t>,</w:t>
      </w:r>
      <w:r w:rsidRPr="00050FA4">
        <w:rPr>
          <w:color w:val="0D0D0D" w:themeColor="text1" w:themeTint="F2"/>
          <w:lang w:val="sq-AL"/>
        </w:rPr>
        <w:t xml:space="preserve"> gjithashtu</w:t>
      </w:r>
      <w:r w:rsidR="001E18DC" w:rsidRPr="00050FA4">
        <w:rPr>
          <w:color w:val="0D0D0D" w:themeColor="text1" w:themeTint="F2"/>
          <w:lang w:val="sq-AL"/>
        </w:rPr>
        <w:t>,</w:t>
      </w:r>
      <w:r w:rsidRPr="00050FA4">
        <w:rPr>
          <w:color w:val="0D0D0D" w:themeColor="text1" w:themeTint="F2"/>
          <w:lang w:val="sq-AL"/>
        </w:rPr>
        <w:t xml:space="preserve"> Kornizën e Kompetencës së TIK-ut për Mësuesit (ICT CFT, versioni 3), si një dokument për të udhëhequr zhvillimin e mësuesve në përdorimin e TIK-ut.</w:t>
      </w:r>
    </w:p>
    <w:p w14:paraId="12A678DB" w14:textId="1995DDF5" w:rsidR="002C526F" w:rsidRPr="00050FA4" w:rsidRDefault="002C526F" w:rsidP="003F1DA7">
      <w:pPr>
        <w:pStyle w:val="AAAAAAATEXXXX"/>
        <w:rPr>
          <w:color w:val="0D0D0D" w:themeColor="text1" w:themeTint="F2"/>
          <w:lang w:val="sq-AL"/>
        </w:rPr>
      </w:pPr>
      <w:r w:rsidRPr="00050FA4">
        <w:rPr>
          <w:color w:val="0D0D0D" w:themeColor="text1" w:themeTint="F2"/>
          <w:lang w:val="sq-AL"/>
        </w:rPr>
        <w:t>Ministria e Arsimit dhe Sportit, duke u mbështetur në trendet botërore të arsimit sot, ka vendosur si prioritet integrimin e TIK-ut dhe digjitalizimin e arsimit në Strategjinë Kombëtare të Arsimit, 2021</w:t>
      </w:r>
      <w:r w:rsidR="00040B46" w:rsidRPr="00050FA4">
        <w:rPr>
          <w:rFonts w:cstheme="majorBidi"/>
          <w:color w:val="0D0D0D" w:themeColor="text1" w:themeTint="F2"/>
          <w:lang w:val="sq-AL"/>
        </w:rPr>
        <w:t>–</w:t>
      </w:r>
      <w:r w:rsidRPr="00050FA4">
        <w:rPr>
          <w:color w:val="0D0D0D" w:themeColor="text1" w:themeTint="F2"/>
          <w:lang w:val="sq-AL"/>
        </w:rPr>
        <w:t>2026. MAS</w:t>
      </w:r>
      <w:r w:rsidR="00040B46" w:rsidRPr="00050FA4">
        <w:rPr>
          <w:color w:val="0D0D0D" w:themeColor="text1" w:themeTint="F2"/>
          <w:lang w:val="sq-AL"/>
        </w:rPr>
        <w:t xml:space="preserve">-ja </w:t>
      </w:r>
      <w:r w:rsidRPr="00050FA4">
        <w:rPr>
          <w:color w:val="0D0D0D" w:themeColor="text1" w:themeTint="F2"/>
          <w:lang w:val="sq-AL"/>
        </w:rPr>
        <w:t>ka planifikuar hartimin dhe zbatimin e programeve të TIK-ut për herë të parë vit pas viti duke filluar nga klasa I në 2022, klasa II në 2023 dhe klasa III në 2024.</w:t>
      </w:r>
    </w:p>
    <w:p w14:paraId="5250B508" w14:textId="77777777" w:rsidR="002C526F" w:rsidRPr="00050FA4" w:rsidRDefault="002C526F" w:rsidP="003F1DA7">
      <w:pPr>
        <w:pStyle w:val="AAAAAAATEXXXX"/>
        <w:rPr>
          <w:lang w:val="sq-AL"/>
        </w:rPr>
      </w:pPr>
      <w:r w:rsidRPr="00050FA4">
        <w:rPr>
          <w:lang w:val="sq-AL"/>
        </w:rPr>
        <w:t>Përmirësimi i infrastrukturës digjitale, zhvillimi i vazhdueshëm profesional i mësuesve dhe drejtorëve të shkollave, mirëmbajtja e pajisjeve etj., vazhdojnë të mbeten prioritete për të ardhmen. Deri më tani për zhvillimin e aftësive digjitale janë realizuar:</w:t>
      </w:r>
    </w:p>
    <w:p w14:paraId="7D3DD9CE" w14:textId="5ACC0C82" w:rsidR="002C526F" w:rsidRPr="00050FA4" w:rsidRDefault="00B52E28" w:rsidP="003F1DA7">
      <w:pPr>
        <w:pStyle w:val="AAAAAAATEXXXX"/>
        <w:rPr>
          <w:lang w:val="sq-AL"/>
        </w:rPr>
      </w:pPr>
      <w:r w:rsidRPr="00050FA4">
        <w:rPr>
          <w:lang w:val="sq-AL"/>
        </w:rPr>
        <w:t xml:space="preserve">- </w:t>
      </w:r>
      <w:r w:rsidR="002C526F" w:rsidRPr="00050FA4">
        <w:rPr>
          <w:lang w:val="sq-AL"/>
        </w:rPr>
        <w:t>Miratimi i standardeve profesionale të mësuesve për përdorimin e TIK-ut në procesin e mësimdhënies.</w:t>
      </w:r>
    </w:p>
    <w:p w14:paraId="48D9B53D" w14:textId="6108B03E" w:rsidR="002C526F" w:rsidRPr="00050FA4" w:rsidRDefault="00B52E28" w:rsidP="003F1DA7">
      <w:pPr>
        <w:pStyle w:val="AAAAAAATEXXXX"/>
        <w:rPr>
          <w:lang w:val="sq-AL"/>
        </w:rPr>
      </w:pPr>
      <w:r w:rsidRPr="00050FA4">
        <w:rPr>
          <w:lang w:val="sq-AL"/>
        </w:rPr>
        <w:t xml:space="preserve">- </w:t>
      </w:r>
      <w:r w:rsidR="002C526F" w:rsidRPr="00050FA4">
        <w:rPr>
          <w:lang w:val="sq-AL"/>
        </w:rPr>
        <w:t>Hartimi i udhëzimeve për përdorimin e TIK-ut në procesin mësimor.</w:t>
      </w:r>
    </w:p>
    <w:p w14:paraId="630AB34F" w14:textId="255E19E9" w:rsidR="002C526F" w:rsidRPr="00050FA4" w:rsidRDefault="00B52E28" w:rsidP="003F1DA7">
      <w:pPr>
        <w:pStyle w:val="AAAAAAATEXXXX"/>
        <w:rPr>
          <w:lang w:val="sq-AL"/>
        </w:rPr>
      </w:pPr>
      <w:r w:rsidRPr="00050FA4">
        <w:rPr>
          <w:lang w:val="sq-AL"/>
        </w:rPr>
        <w:t xml:space="preserve">- </w:t>
      </w:r>
      <w:r w:rsidR="002C526F" w:rsidRPr="00050FA4">
        <w:rPr>
          <w:lang w:val="sq-AL"/>
        </w:rPr>
        <w:t>Miratimi i moduleve dhe materialeve për trajnimin e mësuesve.</w:t>
      </w:r>
    </w:p>
    <w:p w14:paraId="2C8DC8D9" w14:textId="77777777" w:rsidR="002C526F" w:rsidRPr="00050FA4" w:rsidRDefault="002C526F" w:rsidP="003F1DA7">
      <w:pPr>
        <w:pStyle w:val="AAAAAAATEXXXX"/>
        <w:rPr>
          <w:lang w:val="sq-AL"/>
        </w:rPr>
      </w:pPr>
      <w:r w:rsidRPr="00050FA4">
        <w:rPr>
          <w:lang w:val="sq-AL"/>
        </w:rPr>
        <w:t xml:space="preserve">Rreth 1200 mësues të TIK-ut janë trajnuar për përdorimin e platformës akademi.al, si dhe 5508 mësues për përdorimin e platformave </w:t>
      </w:r>
      <w:r w:rsidRPr="00050FA4">
        <w:rPr>
          <w:i/>
          <w:lang w:val="sq-AL"/>
        </w:rPr>
        <w:t>online</w:t>
      </w:r>
      <w:r w:rsidRPr="00050FA4">
        <w:rPr>
          <w:lang w:val="sq-AL"/>
        </w:rPr>
        <w:t xml:space="preserve"> në procesin mësimor, 724 drejtues rrjetesh profesionale për përdorimin e TIK-ut në vlerësimin e nxënësve në bazë të kompetencave.</w:t>
      </w:r>
    </w:p>
    <w:p w14:paraId="565EFCEE" w14:textId="77777777" w:rsidR="002C526F" w:rsidRPr="00050FA4" w:rsidRDefault="002C526F" w:rsidP="003F1DA7">
      <w:pPr>
        <w:pStyle w:val="AAAAAAATEXXXX"/>
        <w:rPr>
          <w:lang w:val="sq-AL"/>
        </w:rPr>
      </w:pPr>
      <w:r w:rsidRPr="00050FA4">
        <w:rPr>
          <w:lang w:val="sq-AL"/>
        </w:rPr>
        <w:t>Shqipëria do të vazhdojë të investojë në pajisjet digjitale dhe aksesin në internet në shkolla. Në funksion të kësaj, duhet të sigurohet balanca ndërmjet investimeve në lidhje me shpenzimet për pajisje dhe akses në internet dhe shpenzimet për mirëmbajtje teknike. Kjo përpjekje duhet të shoqërohet me sigurimin e pajisjeve në klasa, duke rritur ndjeshëm numrin e kompjuterëve që janë plotësisht funksionalë dhe të përdorshëm nga nxënësit në shkolla.</w:t>
      </w:r>
    </w:p>
    <w:p w14:paraId="151A16F9" w14:textId="77777777" w:rsidR="002C526F" w:rsidRPr="00050FA4" w:rsidRDefault="002C526F" w:rsidP="003F1DA7">
      <w:pPr>
        <w:pStyle w:val="AAAAAAATEXXXX"/>
        <w:rPr>
          <w:lang w:val="sq-AL"/>
        </w:rPr>
      </w:pPr>
      <w:r w:rsidRPr="00050FA4">
        <w:rPr>
          <w:lang w:val="sq-AL"/>
        </w:rPr>
        <w:t xml:space="preserve">Mirëmbajtja teknike e pajisjeve TIK përmes klubeve studentore dhe strukturës lokale arsimore është gjithashtu thelbësore. Në shkolla do të ngrihen klube nxënësish, të cilat së bashku me mësuesit e informatikës do të sigurojnë mirëmbajtjen elementare teknike të pajisjeve TIK, duke përfshirë instalimin </w:t>
      </w:r>
      <w:r w:rsidRPr="00050FA4">
        <w:rPr>
          <w:lang w:val="sq-AL"/>
        </w:rPr>
        <w:lastRenderedPageBreak/>
        <w:t>dhe përditësimin e softuerit, konfigurimin e pajisjeve, si dhe parandalimin e defekteve të vogla. Për këto klube do të hartohen udhëzime të veçanta dhe do të ofrohen trajnime për mësuesit që drejtojnë klubet.</w:t>
      </w:r>
    </w:p>
    <w:p w14:paraId="3B5C27B4" w14:textId="286612A5" w:rsidR="002C526F" w:rsidRPr="00050FA4" w:rsidRDefault="002C526F" w:rsidP="003F1DA7">
      <w:pPr>
        <w:pStyle w:val="AAAAAAATEXXXX"/>
        <w:rPr>
          <w:rFonts w:cstheme="majorBidi"/>
          <w:lang w:val="sq-AL"/>
        </w:rPr>
      </w:pPr>
      <w:r w:rsidRPr="00050FA4">
        <w:rPr>
          <w:lang w:val="sq-AL"/>
        </w:rPr>
        <w:t xml:space="preserve">Kjo masë lidhet me </w:t>
      </w:r>
      <w:r w:rsidR="00040B46" w:rsidRPr="00050FA4">
        <w:rPr>
          <w:lang w:val="sq-AL"/>
        </w:rPr>
        <w:t>kriteret ekonomike</w:t>
      </w:r>
      <w:r w:rsidRPr="00050FA4">
        <w:rPr>
          <w:lang w:val="sq-AL"/>
        </w:rPr>
        <w:t>, për të qenë konkurrues në BE, gjë që kërkon një sasi të mjaftueshme kapitali njerëzor, arsim, kërkim, inovacion dhe zhvillime të ardhshme në këtë fushë.</w:t>
      </w:r>
    </w:p>
    <w:p w14:paraId="31892F49" w14:textId="59B2DB50" w:rsidR="00F30712" w:rsidRPr="00050FA4" w:rsidRDefault="00B52E28" w:rsidP="003F1DA7">
      <w:pPr>
        <w:pStyle w:val="AAAAAAATEXXXX"/>
        <w:rPr>
          <w:b/>
          <w:lang w:val="sq-AL"/>
        </w:rPr>
      </w:pPr>
      <w:r w:rsidRPr="00050FA4">
        <w:rPr>
          <w:b/>
          <w:lang w:val="sq-AL"/>
        </w:rPr>
        <w:t>a</w:t>
      </w:r>
      <w:r w:rsidR="00C4095F" w:rsidRPr="00050FA4">
        <w:rPr>
          <w:b/>
          <w:lang w:val="sq-AL"/>
        </w:rPr>
        <w:t>)</w:t>
      </w:r>
      <w:r w:rsidR="004127C4" w:rsidRPr="00050FA4">
        <w:rPr>
          <w:b/>
          <w:lang w:val="sq-AL"/>
        </w:rPr>
        <w:t xml:space="preserve"> </w:t>
      </w:r>
      <w:r w:rsidR="00B2062A" w:rsidRPr="00050FA4">
        <w:rPr>
          <w:b/>
          <w:lang w:val="sq-AL"/>
        </w:rPr>
        <w:t xml:space="preserve">Aktivitete të planifikuara </w:t>
      </w:r>
      <w:r w:rsidR="004B3389" w:rsidRPr="00050FA4">
        <w:rPr>
          <w:b/>
          <w:lang w:val="sq-AL"/>
        </w:rPr>
        <w:t>m</w:t>
      </w:r>
      <w:r w:rsidR="00B2062A" w:rsidRPr="00050FA4">
        <w:rPr>
          <w:b/>
          <w:lang w:val="sq-AL"/>
        </w:rPr>
        <w:t>ë</w:t>
      </w:r>
      <w:r w:rsidR="00F30712" w:rsidRPr="00050FA4">
        <w:rPr>
          <w:b/>
          <w:lang w:val="sq-AL"/>
        </w:rPr>
        <w:t xml:space="preserve"> 2022</w:t>
      </w:r>
      <w:r w:rsidR="004B3389" w:rsidRPr="00050FA4">
        <w:rPr>
          <w:b/>
          <w:lang w:val="sq-AL"/>
        </w:rPr>
        <w:t>-shin</w:t>
      </w:r>
    </w:p>
    <w:p w14:paraId="16810F03" w14:textId="0C95B8E4" w:rsidR="002C526F" w:rsidRPr="00050FA4" w:rsidRDefault="00B52E28" w:rsidP="003F1DA7">
      <w:pPr>
        <w:pStyle w:val="AAAAAAATEXXXX"/>
        <w:rPr>
          <w:lang w:val="sq-AL"/>
        </w:rPr>
      </w:pPr>
      <w:r w:rsidRPr="00050FA4">
        <w:rPr>
          <w:lang w:val="sq-AL"/>
        </w:rPr>
        <w:t>a</w:t>
      </w:r>
      <w:r w:rsidR="00C4095F" w:rsidRPr="00050FA4">
        <w:rPr>
          <w:lang w:val="sq-AL"/>
        </w:rPr>
        <w:t>)</w:t>
      </w:r>
      <w:r w:rsidRPr="00050FA4">
        <w:rPr>
          <w:lang w:val="sq-AL"/>
        </w:rPr>
        <w:t xml:space="preserve"> </w:t>
      </w:r>
      <w:r w:rsidR="002C526F" w:rsidRPr="00050FA4">
        <w:rPr>
          <w:lang w:val="sq-AL"/>
        </w:rPr>
        <w:t>Hartimi dhe miratimi i programit të teknologjisë së informacionit dhe komunikimit dhe zbatimi i tij në klasën e parë</w:t>
      </w:r>
      <w:r w:rsidR="00040B46" w:rsidRPr="00050FA4">
        <w:rPr>
          <w:lang w:val="sq-AL"/>
        </w:rPr>
        <w:t>;</w:t>
      </w:r>
    </w:p>
    <w:p w14:paraId="702994C4" w14:textId="66E2CDAE" w:rsidR="002C526F" w:rsidRPr="00050FA4" w:rsidRDefault="00B52E28" w:rsidP="003F1DA7">
      <w:pPr>
        <w:pStyle w:val="AAAAAAATEXXXX"/>
        <w:rPr>
          <w:lang w:val="sq-AL"/>
        </w:rPr>
      </w:pPr>
      <w:r w:rsidRPr="00050FA4">
        <w:rPr>
          <w:lang w:val="sq-AL"/>
        </w:rPr>
        <w:t>b</w:t>
      </w:r>
      <w:r w:rsidR="00C4095F" w:rsidRPr="00050FA4">
        <w:rPr>
          <w:lang w:val="sq-AL"/>
        </w:rPr>
        <w:t>)</w:t>
      </w:r>
      <w:r w:rsidRPr="00050FA4">
        <w:rPr>
          <w:lang w:val="sq-AL"/>
        </w:rPr>
        <w:t xml:space="preserve"> </w:t>
      </w:r>
      <w:r w:rsidR="002C526F" w:rsidRPr="00050FA4">
        <w:rPr>
          <w:lang w:val="sq-AL"/>
        </w:rPr>
        <w:t>Trajnimi i mësuesve TIK për zbatimin e programit në klasën e parë</w:t>
      </w:r>
      <w:r w:rsidR="00040B46" w:rsidRPr="00050FA4">
        <w:rPr>
          <w:lang w:val="sq-AL"/>
        </w:rPr>
        <w:t>;</w:t>
      </w:r>
    </w:p>
    <w:p w14:paraId="063D29A1" w14:textId="6E705400" w:rsidR="002C526F" w:rsidRPr="00050FA4" w:rsidRDefault="00B52E28" w:rsidP="003F1DA7">
      <w:pPr>
        <w:pStyle w:val="AAAAAAATEXXXX"/>
        <w:rPr>
          <w:lang w:val="sq-AL"/>
        </w:rPr>
      </w:pPr>
      <w:r w:rsidRPr="00050FA4">
        <w:rPr>
          <w:lang w:val="sq-AL"/>
        </w:rPr>
        <w:t>c</w:t>
      </w:r>
      <w:r w:rsidR="00C4095F" w:rsidRPr="00050FA4">
        <w:rPr>
          <w:lang w:val="sq-AL"/>
        </w:rPr>
        <w:t>)</w:t>
      </w:r>
      <w:r w:rsidRPr="00050FA4">
        <w:rPr>
          <w:lang w:val="sq-AL"/>
        </w:rPr>
        <w:t xml:space="preserve"> </w:t>
      </w:r>
      <w:r w:rsidR="002C526F" w:rsidRPr="00050FA4">
        <w:rPr>
          <w:lang w:val="sq-AL"/>
        </w:rPr>
        <w:t>Rishikimi i programit ekzistues të klasës IV për të përfshirë aftësitë e kodimit dhe zbatimin e tij në 2022</w:t>
      </w:r>
      <w:r w:rsidR="00040B46" w:rsidRPr="00050FA4">
        <w:rPr>
          <w:lang w:val="sq-AL"/>
        </w:rPr>
        <w:t>;</w:t>
      </w:r>
    </w:p>
    <w:p w14:paraId="7372B3DE" w14:textId="2B8B0181" w:rsidR="002C526F" w:rsidRPr="00050FA4" w:rsidRDefault="00B52E28" w:rsidP="003F1DA7">
      <w:pPr>
        <w:pStyle w:val="AAAAAAATEXXXX"/>
        <w:rPr>
          <w:lang w:val="sq-AL"/>
        </w:rPr>
      </w:pPr>
      <w:r w:rsidRPr="00050FA4">
        <w:rPr>
          <w:lang w:val="sq-AL"/>
        </w:rPr>
        <w:t>d</w:t>
      </w:r>
      <w:r w:rsidR="00C4095F" w:rsidRPr="00050FA4">
        <w:rPr>
          <w:lang w:val="sq-AL"/>
        </w:rPr>
        <w:t>)</w:t>
      </w:r>
      <w:r w:rsidRPr="00050FA4">
        <w:rPr>
          <w:lang w:val="sq-AL"/>
        </w:rPr>
        <w:t xml:space="preserve"> </w:t>
      </w:r>
      <w:r w:rsidR="002C526F" w:rsidRPr="00050FA4">
        <w:rPr>
          <w:lang w:val="sq-AL"/>
        </w:rPr>
        <w:t>Trajnimi i mësuesve TIK për zbatimin e programit në klasën e katërt</w:t>
      </w:r>
      <w:r w:rsidR="00040B46" w:rsidRPr="00050FA4">
        <w:rPr>
          <w:lang w:val="sq-AL"/>
        </w:rPr>
        <w:t>;</w:t>
      </w:r>
    </w:p>
    <w:p w14:paraId="6595168A" w14:textId="0EC58E07" w:rsidR="002C526F" w:rsidRPr="00050FA4" w:rsidRDefault="00B52E28" w:rsidP="003F1DA7">
      <w:pPr>
        <w:pStyle w:val="AAAAAAATEXXXX"/>
        <w:rPr>
          <w:lang w:val="sq-AL"/>
        </w:rPr>
      </w:pPr>
      <w:r w:rsidRPr="00050FA4">
        <w:rPr>
          <w:lang w:val="sq-AL"/>
        </w:rPr>
        <w:t>e</w:t>
      </w:r>
      <w:r w:rsidR="00C4095F" w:rsidRPr="00050FA4">
        <w:rPr>
          <w:lang w:val="sq-AL"/>
        </w:rPr>
        <w:t xml:space="preserve">) </w:t>
      </w:r>
      <w:r w:rsidR="002C526F" w:rsidRPr="00050FA4">
        <w:rPr>
          <w:lang w:val="sq-AL"/>
        </w:rPr>
        <w:t>Përcaktimi i standardeve për pajisjet TIK në shkolla.</w:t>
      </w:r>
      <w:r w:rsidR="00040B46" w:rsidRPr="00050FA4">
        <w:rPr>
          <w:lang w:val="sq-AL"/>
        </w:rPr>
        <w:t>;</w:t>
      </w:r>
    </w:p>
    <w:p w14:paraId="52475B29" w14:textId="2AADC748" w:rsidR="002C526F" w:rsidRPr="00050FA4" w:rsidRDefault="00B52E28" w:rsidP="003F1DA7">
      <w:pPr>
        <w:pStyle w:val="AAAAAAATEXXXX"/>
        <w:rPr>
          <w:lang w:val="sq-AL"/>
        </w:rPr>
      </w:pPr>
      <w:r w:rsidRPr="00050FA4">
        <w:rPr>
          <w:lang w:val="sq-AL"/>
        </w:rPr>
        <w:t>f</w:t>
      </w:r>
      <w:r w:rsidR="00C4095F" w:rsidRPr="00050FA4">
        <w:rPr>
          <w:lang w:val="sq-AL"/>
        </w:rPr>
        <w:t xml:space="preserve">) </w:t>
      </w:r>
      <w:r w:rsidR="002C526F" w:rsidRPr="00050FA4">
        <w:rPr>
          <w:lang w:val="sq-AL"/>
        </w:rPr>
        <w:t>Investimi në rritjen e numrit të pajisjeve digjitale në shkolla.</w:t>
      </w:r>
    </w:p>
    <w:p w14:paraId="38352352" w14:textId="70C74C66" w:rsidR="00F30712" w:rsidRPr="00050FA4" w:rsidRDefault="00B52E28" w:rsidP="003F1DA7">
      <w:pPr>
        <w:pStyle w:val="AAAAAAATEXXXX"/>
        <w:rPr>
          <w:b/>
          <w:lang w:val="sq-AL"/>
        </w:rPr>
      </w:pPr>
      <w:r w:rsidRPr="00050FA4">
        <w:rPr>
          <w:b/>
          <w:lang w:val="sq-AL"/>
        </w:rPr>
        <w:t>b</w:t>
      </w:r>
      <w:r w:rsidR="00C4095F" w:rsidRPr="00050FA4">
        <w:rPr>
          <w:b/>
          <w:lang w:val="sq-AL"/>
        </w:rPr>
        <w:t>)</w:t>
      </w:r>
      <w:r w:rsidR="004127C4" w:rsidRPr="00050FA4">
        <w:rPr>
          <w:b/>
          <w:lang w:val="sq-AL"/>
        </w:rPr>
        <w:t xml:space="preserve"> </w:t>
      </w:r>
      <w:r w:rsidR="00B2062A" w:rsidRPr="00050FA4">
        <w:rPr>
          <w:b/>
          <w:lang w:val="sq-AL"/>
        </w:rPr>
        <w:t xml:space="preserve">Aktivitete të planifikuara </w:t>
      </w:r>
      <w:r w:rsidR="00040B46" w:rsidRPr="00050FA4">
        <w:rPr>
          <w:b/>
          <w:lang w:val="sq-AL"/>
        </w:rPr>
        <w:t>m</w:t>
      </w:r>
      <w:r w:rsidR="00B2062A" w:rsidRPr="00050FA4">
        <w:rPr>
          <w:b/>
          <w:lang w:val="sq-AL"/>
        </w:rPr>
        <w:t>ë</w:t>
      </w:r>
      <w:r w:rsidR="00F30712" w:rsidRPr="00050FA4">
        <w:rPr>
          <w:b/>
          <w:lang w:val="sq-AL"/>
        </w:rPr>
        <w:t xml:space="preserve"> 2023</w:t>
      </w:r>
      <w:r w:rsidR="00040B46" w:rsidRPr="00050FA4">
        <w:rPr>
          <w:b/>
          <w:lang w:val="sq-AL"/>
        </w:rPr>
        <w:t>-shin</w:t>
      </w:r>
    </w:p>
    <w:p w14:paraId="3B283AB4" w14:textId="099094E6" w:rsidR="002C526F" w:rsidRPr="00050FA4" w:rsidRDefault="00B52E28" w:rsidP="003F1DA7">
      <w:pPr>
        <w:pStyle w:val="AAAAAAATEXXXX"/>
        <w:rPr>
          <w:lang w:val="sq-AL"/>
        </w:rPr>
      </w:pPr>
      <w:r w:rsidRPr="00050FA4">
        <w:rPr>
          <w:lang w:val="sq-AL"/>
        </w:rPr>
        <w:t>a</w:t>
      </w:r>
      <w:r w:rsidR="00FB44E6" w:rsidRPr="00050FA4">
        <w:rPr>
          <w:lang w:val="sq-AL"/>
        </w:rPr>
        <w:t>)</w:t>
      </w:r>
      <w:r w:rsidRPr="00050FA4">
        <w:rPr>
          <w:lang w:val="sq-AL"/>
        </w:rPr>
        <w:t xml:space="preserve"> </w:t>
      </w:r>
      <w:r w:rsidR="002C526F" w:rsidRPr="00050FA4">
        <w:rPr>
          <w:lang w:val="sq-AL"/>
        </w:rPr>
        <w:t>Hartimi dhe miratimi i programit të teknologjisë së informacionit dhe komunikimit dhe zbatimi i tij në klasën e dytë</w:t>
      </w:r>
      <w:r w:rsidR="00040B46" w:rsidRPr="00050FA4">
        <w:rPr>
          <w:lang w:val="sq-AL"/>
        </w:rPr>
        <w:t>;</w:t>
      </w:r>
    </w:p>
    <w:p w14:paraId="1160D5F3" w14:textId="0AACF15B" w:rsidR="002C526F" w:rsidRPr="00050FA4" w:rsidRDefault="00B52E28" w:rsidP="003F1DA7">
      <w:pPr>
        <w:pStyle w:val="AAAAAAATEXXXX"/>
        <w:rPr>
          <w:lang w:val="sq-AL"/>
        </w:rPr>
      </w:pPr>
      <w:r w:rsidRPr="00050FA4">
        <w:rPr>
          <w:lang w:val="sq-AL"/>
        </w:rPr>
        <w:t>b</w:t>
      </w:r>
      <w:r w:rsidR="00FB44E6" w:rsidRPr="00050FA4">
        <w:rPr>
          <w:lang w:val="sq-AL"/>
        </w:rPr>
        <w:t>)</w:t>
      </w:r>
      <w:r w:rsidRPr="00050FA4">
        <w:rPr>
          <w:lang w:val="sq-AL"/>
        </w:rPr>
        <w:t xml:space="preserve"> </w:t>
      </w:r>
      <w:r w:rsidR="002C526F" w:rsidRPr="00050FA4">
        <w:rPr>
          <w:lang w:val="sq-AL"/>
        </w:rPr>
        <w:t>Trajnimi i mësuesve TIK për zbatimin e programit në klasën e dytë</w:t>
      </w:r>
      <w:r w:rsidR="00040B46" w:rsidRPr="00050FA4">
        <w:rPr>
          <w:lang w:val="sq-AL"/>
        </w:rPr>
        <w:t>;</w:t>
      </w:r>
    </w:p>
    <w:p w14:paraId="4AFC747D" w14:textId="02D139AA" w:rsidR="002C526F" w:rsidRPr="00050FA4" w:rsidRDefault="00B52E28" w:rsidP="003F1DA7">
      <w:pPr>
        <w:pStyle w:val="AAAAAAATEXXXX"/>
        <w:rPr>
          <w:lang w:val="sq-AL"/>
        </w:rPr>
      </w:pPr>
      <w:r w:rsidRPr="00050FA4">
        <w:rPr>
          <w:lang w:val="sq-AL"/>
        </w:rPr>
        <w:t>c</w:t>
      </w:r>
      <w:r w:rsidR="00FB44E6" w:rsidRPr="00050FA4">
        <w:rPr>
          <w:lang w:val="sq-AL"/>
        </w:rPr>
        <w:t>)</w:t>
      </w:r>
      <w:r w:rsidRPr="00050FA4">
        <w:rPr>
          <w:lang w:val="sq-AL"/>
        </w:rPr>
        <w:t xml:space="preserve"> </w:t>
      </w:r>
      <w:r w:rsidR="002C526F" w:rsidRPr="00050FA4">
        <w:rPr>
          <w:lang w:val="sq-AL"/>
        </w:rPr>
        <w:t xml:space="preserve">Rishikimi i programit ekzistues të klasës V për të përfshirë aftësitë e kodimit dhe zbatimin e tij </w:t>
      </w:r>
      <w:r w:rsidR="00040B46" w:rsidRPr="00050FA4">
        <w:rPr>
          <w:lang w:val="sq-AL"/>
        </w:rPr>
        <w:t>m</w:t>
      </w:r>
      <w:r w:rsidR="002C526F" w:rsidRPr="00050FA4">
        <w:rPr>
          <w:lang w:val="sq-AL"/>
        </w:rPr>
        <w:t>ë 2023</w:t>
      </w:r>
      <w:r w:rsidR="00040B46" w:rsidRPr="00050FA4">
        <w:rPr>
          <w:lang w:val="sq-AL"/>
        </w:rPr>
        <w:t>-shin;</w:t>
      </w:r>
    </w:p>
    <w:p w14:paraId="520DB581" w14:textId="49878E1A" w:rsidR="002C526F" w:rsidRPr="00050FA4" w:rsidRDefault="00B52E28" w:rsidP="003F1DA7">
      <w:pPr>
        <w:pStyle w:val="AAAAAAATEXXXX"/>
        <w:rPr>
          <w:lang w:val="sq-AL"/>
        </w:rPr>
      </w:pPr>
      <w:r w:rsidRPr="00050FA4">
        <w:rPr>
          <w:lang w:val="sq-AL"/>
        </w:rPr>
        <w:t>d</w:t>
      </w:r>
      <w:r w:rsidR="00FB44E6" w:rsidRPr="00050FA4">
        <w:rPr>
          <w:lang w:val="sq-AL"/>
        </w:rPr>
        <w:t>)</w:t>
      </w:r>
      <w:r w:rsidRPr="00050FA4">
        <w:rPr>
          <w:lang w:val="sq-AL"/>
        </w:rPr>
        <w:t xml:space="preserve"> </w:t>
      </w:r>
      <w:r w:rsidR="002C526F" w:rsidRPr="00050FA4">
        <w:rPr>
          <w:lang w:val="sq-AL"/>
        </w:rPr>
        <w:t>Trajnimi i mësuesve TIK për zbatimin e programit në klasën e pestë</w:t>
      </w:r>
      <w:r w:rsidR="009F1E3C" w:rsidRPr="00050FA4">
        <w:rPr>
          <w:lang w:val="sq-AL"/>
        </w:rPr>
        <w:t>;</w:t>
      </w:r>
    </w:p>
    <w:p w14:paraId="72F8E463" w14:textId="14A776FC" w:rsidR="002C526F" w:rsidRPr="00050FA4" w:rsidRDefault="00B52E28" w:rsidP="003F1DA7">
      <w:pPr>
        <w:pStyle w:val="AAAAAAATEXXXX"/>
        <w:rPr>
          <w:lang w:val="sq-AL"/>
        </w:rPr>
      </w:pPr>
      <w:r w:rsidRPr="00050FA4">
        <w:rPr>
          <w:lang w:val="sq-AL"/>
        </w:rPr>
        <w:t>e</w:t>
      </w:r>
      <w:r w:rsidR="00FB44E6" w:rsidRPr="00050FA4">
        <w:rPr>
          <w:lang w:val="sq-AL"/>
        </w:rPr>
        <w:t>)</w:t>
      </w:r>
      <w:r w:rsidRPr="00050FA4">
        <w:rPr>
          <w:lang w:val="sq-AL"/>
        </w:rPr>
        <w:t xml:space="preserve"> </w:t>
      </w:r>
      <w:r w:rsidR="002C526F" w:rsidRPr="00050FA4">
        <w:rPr>
          <w:lang w:val="sq-AL"/>
        </w:rPr>
        <w:t xml:space="preserve">Trajnimi i 1200 drejtuesve profesionistë të rrjetit mbi </w:t>
      </w:r>
      <w:r w:rsidR="008A0E5B" w:rsidRPr="00050FA4">
        <w:rPr>
          <w:lang w:val="sq-AL"/>
        </w:rPr>
        <w:t>“</w:t>
      </w:r>
      <w:r w:rsidR="002C526F" w:rsidRPr="00050FA4">
        <w:rPr>
          <w:lang w:val="sq-AL"/>
        </w:rPr>
        <w:t xml:space="preserve">Siguria e studentëve në </w:t>
      </w:r>
      <w:r w:rsidR="009F1E3C" w:rsidRPr="00050FA4">
        <w:rPr>
          <w:lang w:val="sq-AL"/>
        </w:rPr>
        <w:t>internet</w:t>
      </w:r>
      <w:r w:rsidR="008A0E5B" w:rsidRPr="00050FA4">
        <w:rPr>
          <w:lang w:val="sq-AL"/>
        </w:rPr>
        <w:t>”</w:t>
      </w:r>
      <w:r w:rsidR="009F1E3C" w:rsidRPr="00050FA4">
        <w:rPr>
          <w:lang w:val="sq-AL"/>
        </w:rPr>
        <w:t>;</w:t>
      </w:r>
    </w:p>
    <w:p w14:paraId="4838DD89" w14:textId="5E786F69" w:rsidR="002C526F" w:rsidRPr="00050FA4" w:rsidRDefault="00B52E28" w:rsidP="003F1DA7">
      <w:pPr>
        <w:pStyle w:val="AAAAAAATEXXXX"/>
        <w:rPr>
          <w:lang w:val="sq-AL"/>
        </w:rPr>
      </w:pPr>
      <w:r w:rsidRPr="00050FA4">
        <w:rPr>
          <w:lang w:val="sq-AL"/>
        </w:rPr>
        <w:t>f</w:t>
      </w:r>
      <w:r w:rsidR="00FB44E6" w:rsidRPr="00050FA4">
        <w:rPr>
          <w:lang w:val="sq-AL"/>
        </w:rPr>
        <w:t>)</w:t>
      </w:r>
      <w:r w:rsidRPr="00050FA4">
        <w:rPr>
          <w:lang w:val="sq-AL"/>
        </w:rPr>
        <w:t xml:space="preserve"> </w:t>
      </w:r>
      <w:r w:rsidR="002C526F" w:rsidRPr="00050FA4">
        <w:rPr>
          <w:lang w:val="sq-AL"/>
        </w:rPr>
        <w:t>Trajnimi i 1200 drejtuesve të rrjeteve profesionale për zbatimin e standardeve profesionale të mësuesve si dhe për përdorimin e TIK-ut në procesin mësimor si pjesë e arsimit të kombinuar</w:t>
      </w:r>
      <w:r w:rsidR="009F1E3C" w:rsidRPr="00050FA4">
        <w:rPr>
          <w:lang w:val="sq-AL"/>
        </w:rPr>
        <w:t>;</w:t>
      </w:r>
    </w:p>
    <w:p w14:paraId="753B7A1D" w14:textId="46B35059" w:rsidR="002C526F" w:rsidRPr="00050FA4" w:rsidRDefault="00B52E28" w:rsidP="003F1DA7">
      <w:pPr>
        <w:pStyle w:val="AAAAAAATEXXXX"/>
        <w:rPr>
          <w:lang w:val="sq-AL"/>
        </w:rPr>
      </w:pPr>
      <w:r w:rsidRPr="00050FA4">
        <w:rPr>
          <w:lang w:val="sq-AL"/>
        </w:rPr>
        <w:t>g</w:t>
      </w:r>
      <w:r w:rsidR="00FB44E6" w:rsidRPr="00050FA4">
        <w:rPr>
          <w:lang w:val="sq-AL"/>
        </w:rPr>
        <w:t>)</w:t>
      </w:r>
      <w:r w:rsidRPr="00050FA4">
        <w:rPr>
          <w:lang w:val="sq-AL"/>
        </w:rPr>
        <w:t xml:space="preserve"> </w:t>
      </w:r>
      <w:r w:rsidR="002C526F" w:rsidRPr="00050FA4">
        <w:rPr>
          <w:lang w:val="sq-AL"/>
        </w:rPr>
        <w:t>Investimi në rritjen e numrit të pajisjeve digjitale në shkolla.</w:t>
      </w:r>
    </w:p>
    <w:p w14:paraId="24424F9E" w14:textId="1F8E9331" w:rsidR="00F30712" w:rsidRPr="00050FA4" w:rsidRDefault="00FB44E6" w:rsidP="003F1DA7">
      <w:pPr>
        <w:pStyle w:val="AAAAAAATEXXXX"/>
        <w:rPr>
          <w:b/>
          <w:lang w:val="sq-AL"/>
        </w:rPr>
      </w:pPr>
      <w:r w:rsidRPr="00050FA4">
        <w:rPr>
          <w:b/>
          <w:lang w:val="sq-AL"/>
        </w:rPr>
        <w:t>c)</w:t>
      </w:r>
      <w:r w:rsidR="004127C4" w:rsidRPr="00050FA4">
        <w:rPr>
          <w:b/>
          <w:lang w:val="sq-AL"/>
        </w:rPr>
        <w:t xml:space="preserve"> </w:t>
      </w:r>
      <w:r w:rsidR="00B2062A" w:rsidRPr="00050FA4">
        <w:rPr>
          <w:b/>
          <w:lang w:val="sq-AL"/>
        </w:rPr>
        <w:t xml:space="preserve">Aktivitete të planifikuara </w:t>
      </w:r>
      <w:r w:rsidR="009F1E3C" w:rsidRPr="00050FA4">
        <w:rPr>
          <w:b/>
          <w:lang w:val="sq-AL"/>
        </w:rPr>
        <w:t>m</w:t>
      </w:r>
      <w:r w:rsidR="00B2062A" w:rsidRPr="00050FA4">
        <w:rPr>
          <w:b/>
          <w:lang w:val="sq-AL"/>
        </w:rPr>
        <w:t>ë</w:t>
      </w:r>
      <w:r w:rsidR="00F30712" w:rsidRPr="00050FA4">
        <w:rPr>
          <w:b/>
          <w:lang w:val="sq-AL"/>
        </w:rPr>
        <w:t xml:space="preserve"> 2024</w:t>
      </w:r>
      <w:r w:rsidR="009F1E3C" w:rsidRPr="00050FA4">
        <w:rPr>
          <w:b/>
          <w:lang w:val="sq-AL"/>
        </w:rPr>
        <w:t>-ën</w:t>
      </w:r>
    </w:p>
    <w:p w14:paraId="1A8D9861" w14:textId="26A423FA" w:rsidR="002C526F" w:rsidRPr="00050FA4" w:rsidRDefault="00B52E28" w:rsidP="003F1DA7">
      <w:pPr>
        <w:pStyle w:val="AAAAAAATEXXXX"/>
        <w:rPr>
          <w:color w:val="0D0D0D" w:themeColor="text1" w:themeTint="F2"/>
          <w:lang w:val="sq-AL"/>
        </w:rPr>
      </w:pPr>
      <w:r w:rsidRPr="00050FA4">
        <w:rPr>
          <w:color w:val="0D0D0D" w:themeColor="text1" w:themeTint="F2"/>
          <w:lang w:val="sq-AL"/>
        </w:rPr>
        <w:t>a</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Hartimi dhe miratimi i programit të teknologjisë së informacionit dhe komunikimit dhe zbatimi i tij në klasën e tretë</w:t>
      </w:r>
      <w:r w:rsidR="009F1E3C" w:rsidRPr="00050FA4">
        <w:rPr>
          <w:color w:val="0D0D0D" w:themeColor="text1" w:themeTint="F2"/>
          <w:lang w:val="sq-AL"/>
        </w:rPr>
        <w:t>;</w:t>
      </w:r>
    </w:p>
    <w:p w14:paraId="451B917D" w14:textId="13910C43" w:rsidR="002C526F" w:rsidRPr="00050FA4" w:rsidRDefault="00B52E28" w:rsidP="003F1DA7">
      <w:pPr>
        <w:pStyle w:val="AAAAAAATEXXXX"/>
        <w:rPr>
          <w:color w:val="0D0D0D" w:themeColor="text1" w:themeTint="F2"/>
          <w:lang w:val="sq-AL"/>
        </w:rPr>
      </w:pPr>
      <w:r w:rsidRPr="00050FA4">
        <w:rPr>
          <w:color w:val="0D0D0D" w:themeColor="text1" w:themeTint="F2"/>
          <w:lang w:val="sq-AL"/>
        </w:rPr>
        <w:t>b</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Trajnimi i mësuesve TIK për zbatimin e programit në klasën e tretë</w:t>
      </w:r>
      <w:r w:rsidR="009F1E3C" w:rsidRPr="00050FA4">
        <w:rPr>
          <w:color w:val="0D0D0D" w:themeColor="text1" w:themeTint="F2"/>
          <w:lang w:val="sq-AL"/>
        </w:rPr>
        <w:t>;</w:t>
      </w:r>
    </w:p>
    <w:p w14:paraId="4DA9307E" w14:textId="3B9134B4" w:rsidR="002C526F" w:rsidRPr="00050FA4" w:rsidRDefault="00B52E28" w:rsidP="003F1DA7">
      <w:pPr>
        <w:pStyle w:val="AAAAAAATEXXXX"/>
        <w:rPr>
          <w:color w:val="0D0D0D" w:themeColor="text1" w:themeTint="F2"/>
          <w:lang w:val="sq-AL"/>
        </w:rPr>
      </w:pPr>
      <w:r w:rsidRPr="00050FA4">
        <w:rPr>
          <w:color w:val="0D0D0D" w:themeColor="text1" w:themeTint="F2"/>
          <w:lang w:val="sq-AL"/>
        </w:rPr>
        <w:t>c</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Rishikimi i programit ekzistues të klasës VI për të përfshirë aftësitë e kodimit dhe zbatimin e tij në 2024</w:t>
      </w:r>
      <w:r w:rsidR="009F1E3C" w:rsidRPr="00050FA4">
        <w:rPr>
          <w:color w:val="0D0D0D" w:themeColor="text1" w:themeTint="F2"/>
          <w:lang w:val="sq-AL"/>
        </w:rPr>
        <w:t>;</w:t>
      </w:r>
    </w:p>
    <w:p w14:paraId="6EB62192" w14:textId="22DE2B4B" w:rsidR="002C526F" w:rsidRPr="00050FA4" w:rsidRDefault="00B52E28" w:rsidP="003F1DA7">
      <w:pPr>
        <w:pStyle w:val="AAAAAAATEXXXX"/>
        <w:rPr>
          <w:color w:val="0D0D0D" w:themeColor="text1" w:themeTint="F2"/>
          <w:lang w:val="sq-AL"/>
        </w:rPr>
      </w:pPr>
      <w:r w:rsidRPr="00050FA4">
        <w:rPr>
          <w:color w:val="0D0D0D" w:themeColor="text1" w:themeTint="F2"/>
          <w:lang w:val="sq-AL"/>
        </w:rPr>
        <w:t>d</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Trajnimi i mësuesve TIK për zbatimin e programit në klasën e gjashtë</w:t>
      </w:r>
      <w:r w:rsidR="009F1E3C" w:rsidRPr="00050FA4">
        <w:rPr>
          <w:color w:val="0D0D0D" w:themeColor="text1" w:themeTint="F2"/>
          <w:lang w:val="sq-AL"/>
        </w:rPr>
        <w:t>;</w:t>
      </w:r>
    </w:p>
    <w:p w14:paraId="5C32C909" w14:textId="7EBFFA50" w:rsidR="002C526F" w:rsidRPr="00050FA4" w:rsidRDefault="00B52E28" w:rsidP="003F1DA7">
      <w:pPr>
        <w:pStyle w:val="AAAAAAATEXXXX"/>
        <w:rPr>
          <w:color w:val="0D0D0D" w:themeColor="text1" w:themeTint="F2"/>
          <w:lang w:val="sq-AL"/>
        </w:rPr>
      </w:pPr>
      <w:r w:rsidRPr="00050FA4">
        <w:rPr>
          <w:color w:val="0D0D0D" w:themeColor="text1" w:themeTint="F2"/>
          <w:lang w:val="sq-AL"/>
        </w:rPr>
        <w:t>e</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Trajnime për mësues dhe drejtues shkollash mbi standardet e mësuesve për përdorimin e TIK-ut në sistemin arsimor para universitar nëpërmjet rrjeteve profesionale</w:t>
      </w:r>
      <w:r w:rsidR="009F1E3C" w:rsidRPr="00050FA4">
        <w:rPr>
          <w:color w:val="0D0D0D" w:themeColor="text1" w:themeTint="F2"/>
          <w:lang w:val="sq-AL"/>
        </w:rPr>
        <w:t>;</w:t>
      </w:r>
    </w:p>
    <w:p w14:paraId="6781E787" w14:textId="6BD8B9F9" w:rsidR="002C526F" w:rsidRPr="00050FA4" w:rsidRDefault="00B52E28" w:rsidP="003F1DA7">
      <w:pPr>
        <w:pStyle w:val="AAAAAAATEXXXX"/>
        <w:rPr>
          <w:color w:val="0D0D0D" w:themeColor="text1" w:themeTint="F2"/>
          <w:lang w:val="sq-AL"/>
        </w:rPr>
      </w:pPr>
      <w:r w:rsidRPr="00050FA4">
        <w:rPr>
          <w:color w:val="0D0D0D" w:themeColor="text1" w:themeTint="F2"/>
          <w:lang w:val="sq-AL"/>
        </w:rPr>
        <w:t>f</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Investimi në rritjen e numrit të pajisjeve digjitale në shkolla</w:t>
      </w:r>
      <w:r w:rsidR="009F1E3C" w:rsidRPr="00050FA4">
        <w:rPr>
          <w:color w:val="0D0D0D" w:themeColor="text1" w:themeTint="F2"/>
          <w:lang w:val="sq-AL"/>
        </w:rPr>
        <w:t>;</w:t>
      </w:r>
    </w:p>
    <w:p w14:paraId="02801511" w14:textId="418515EF" w:rsidR="002C526F" w:rsidRPr="00050FA4" w:rsidRDefault="00B52E28" w:rsidP="003F1DA7">
      <w:pPr>
        <w:pStyle w:val="AAAAAAATEXXXX"/>
        <w:rPr>
          <w:color w:val="0D0D0D" w:themeColor="text1" w:themeTint="F2"/>
          <w:lang w:val="sq-AL"/>
        </w:rPr>
      </w:pPr>
      <w:r w:rsidRPr="00050FA4">
        <w:rPr>
          <w:color w:val="0D0D0D" w:themeColor="text1" w:themeTint="F2"/>
          <w:lang w:val="sq-AL"/>
        </w:rPr>
        <w:t>g</w:t>
      </w:r>
      <w:r w:rsidR="00FB44E6" w:rsidRPr="00050FA4">
        <w:rPr>
          <w:color w:val="0D0D0D" w:themeColor="text1" w:themeTint="F2"/>
          <w:lang w:val="sq-AL"/>
        </w:rPr>
        <w:t>)</w:t>
      </w:r>
      <w:r w:rsidRPr="00050FA4">
        <w:rPr>
          <w:color w:val="0D0D0D" w:themeColor="text1" w:themeTint="F2"/>
          <w:lang w:val="sq-AL"/>
        </w:rPr>
        <w:t xml:space="preserve"> </w:t>
      </w:r>
      <w:r w:rsidR="002C526F" w:rsidRPr="00050FA4">
        <w:rPr>
          <w:color w:val="0D0D0D" w:themeColor="text1" w:themeTint="F2"/>
          <w:lang w:val="sq-AL"/>
        </w:rPr>
        <w:t>Mirëmbajtja teknike e pajisjeve TIK përmes klubeve studentore dhe strukturës lokale arsimore.</w:t>
      </w:r>
    </w:p>
    <w:p w14:paraId="5F9AE728" w14:textId="49E3F070" w:rsidR="00F30712" w:rsidRPr="00050FA4" w:rsidRDefault="00B52E28" w:rsidP="003F1DA7">
      <w:pPr>
        <w:pStyle w:val="AAAAAAATEXXXX"/>
        <w:rPr>
          <w:lang w:val="sq-AL"/>
        </w:rPr>
      </w:pPr>
      <w:r w:rsidRPr="00050FA4">
        <w:rPr>
          <w:lang w:val="sq-AL"/>
        </w:rPr>
        <w:t xml:space="preserve">2. </w:t>
      </w:r>
      <w:r w:rsidR="00B2062A" w:rsidRPr="00050FA4">
        <w:rPr>
          <w:lang w:val="sq-AL"/>
        </w:rPr>
        <w:t>Treguesit e rezultateve</w:t>
      </w:r>
    </w:p>
    <w:p w14:paraId="3D947FFA" w14:textId="77777777" w:rsidR="004B3389" w:rsidRPr="00050FA4" w:rsidRDefault="004B3389" w:rsidP="003F1DA7">
      <w:pPr>
        <w:pStyle w:val="AAAAAAATEXXXX"/>
        <w:rPr>
          <w:lang w:val="sq-AL"/>
        </w:rPr>
      </w:pPr>
    </w:p>
    <w:tbl>
      <w:tblPr>
        <w:tblW w:w="9630" w:type="dxa"/>
        <w:jc w:val="center"/>
        <w:tblLayout w:type="fixed"/>
        <w:tblLook w:val="04A0" w:firstRow="1" w:lastRow="0" w:firstColumn="1" w:lastColumn="0" w:noHBand="0" w:noVBand="1"/>
      </w:tblPr>
      <w:tblGrid>
        <w:gridCol w:w="5310"/>
        <w:gridCol w:w="1300"/>
        <w:gridCol w:w="1559"/>
        <w:gridCol w:w="1461"/>
      </w:tblGrid>
      <w:tr w:rsidR="00FA29AB" w:rsidRPr="00050FA4" w14:paraId="74F90DDA" w14:textId="77777777" w:rsidTr="00A769D0">
        <w:trPr>
          <w:trHeight w:val="20"/>
          <w:jc w:val="center"/>
        </w:trPr>
        <w:tc>
          <w:tcPr>
            <w:tcW w:w="5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5AF27" w14:textId="3528C925" w:rsidR="004F59F4" w:rsidRPr="00050FA4" w:rsidRDefault="00B2062A" w:rsidP="00FB44E6">
            <w:pPr>
              <w:jc w:val="center"/>
              <w:rPr>
                <w:rFonts w:ascii="Garamond" w:eastAsia="Times New Roman" w:hAnsi="Garamond" w:cstheme="majorBidi"/>
                <w:b/>
                <w:bCs/>
                <w:color w:val="0D0D0D" w:themeColor="text1" w:themeTint="F2"/>
                <w:sz w:val="18"/>
                <w:szCs w:val="18"/>
              </w:rPr>
            </w:pPr>
            <w:r w:rsidRPr="00050FA4">
              <w:rPr>
                <w:rFonts w:ascii="Garamond" w:eastAsia="Times New Roman" w:hAnsi="Garamond" w:cstheme="majorBidi"/>
                <w:b/>
                <w:bCs/>
                <w:color w:val="0D0D0D" w:themeColor="text1" w:themeTint="F2"/>
                <w:sz w:val="18"/>
                <w:szCs w:val="18"/>
              </w:rPr>
              <w:t>Tregues</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25D24F0" w14:textId="230D1F98" w:rsidR="004F59F4" w:rsidRPr="00050FA4" w:rsidRDefault="00B2062A" w:rsidP="00FB44E6">
            <w:pPr>
              <w:jc w:val="center"/>
              <w:rPr>
                <w:rFonts w:ascii="Garamond" w:eastAsia="Times New Roman" w:hAnsi="Garamond" w:cstheme="majorBidi"/>
                <w:b/>
                <w:bCs/>
                <w:color w:val="0D0D0D" w:themeColor="text1" w:themeTint="F2"/>
                <w:sz w:val="18"/>
                <w:szCs w:val="18"/>
              </w:rPr>
            </w:pPr>
            <w:r w:rsidRPr="00050FA4">
              <w:rPr>
                <w:rFonts w:ascii="Garamond" w:hAnsi="Garamond" w:cstheme="majorBidi"/>
                <w:b/>
                <w:color w:val="0D0D0D" w:themeColor="text1" w:themeTint="F2"/>
                <w:sz w:val="18"/>
                <w:szCs w:val="18"/>
              </w:rPr>
              <w:t>Bazë</w:t>
            </w:r>
            <w:r w:rsidR="004F59F4" w:rsidRPr="00050FA4">
              <w:rPr>
                <w:rFonts w:ascii="Garamond" w:hAnsi="Garamond" w:cstheme="majorBidi"/>
                <w:b/>
                <w:color w:val="0D0D0D" w:themeColor="text1" w:themeTint="F2"/>
                <w:sz w:val="18"/>
                <w:szCs w:val="18"/>
              </w:rPr>
              <w:t xml:space="preserve"> (2022)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A5EE6C1" w14:textId="2D2F3719" w:rsidR="004F59F4" w:rsidRPr="00050FA4" w:rsidRDefault="00B2062A" w:rsidP="00FB44E6">
            <w:pPr>
              <w:jc w:val="center"/>
              <w:rPr>
                <w:rFonts w:ascii="Garamond" w:eastAsia="Times New Roman" w:hAnsi="Garamond" w:cstheme="majorBidi"/>
                <w:b/>
                <w:bCs/>
                <w:color w:val="0D0D0D" w:themeColor="text1" w:themeTint="F2"/>
                <w:sz w:val="18"/>
                <w:szCs w:val="18"/>
              </w:rPr>
            </w:pPr>
            <w:r w:rsidRPr="00050FA4">
              <w:rPr>
                <w:rFonts w:ascii="Garamond" w:hAnsi="Garamond" w:cstheme="majorBidi"/>
                <w:b/>
                <w:color w:val="0D0D0D" w:themeColor="text1" w:themeTint="F2"/>
                <w:sz w:val="18"/>
                <w:szCs w:val="18"/>
              </w:rPr>
              <w:t>I ndërmjetëm</w:t>
            </w:r>
            <w:r w:rsidR="004F59F4" w:rsidRPr="00050FA4">
              <w:rPr>
                <w:rFonts w:ascii="Garamond" w:hAnsi="Garamond" w:cstheme="majorBidi"/>
                <w:b/>
                <w:color w:val="0D0D0D" w:themeColor="text1" w:themeTint="F2"/>
                <w:sz w:val="18"/>
                <w:szCs w:val="18"/>
              </w:rPr>
              <w:t xml:space="preserve"> (2023)</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14:paraId="75C72C3D" w14:textId="0376DA1E" w:rsidR="004F59F4" w:rsidRPr="00050FA4" w:rsidRDefault="00B2062A" w:rsidP="00FB44E6">
            <w:pPr>
              <w:jc w:val="center"/>
              <w:rPr>
                <w:rFonts w:ascii="Garamond" w:eastAsia="Times New Roman" w:hAnsi="Garamond" w:cstheme="majorBidi"/>
                <w:b/>
                <w:bCs/>
                <w:color w:val="0D0D0D" w:themeColor="text1" w:themeTint="F2"/>
                <w:sz w:val="18"/>
                <w:szCs w:val="18"/>
              </w:rPr>
            </w:pPr>
            <w:r w:rsidRPr="00050FA4">
              <w:rPr>
                <w:rFonts w:ascii="Garamond" w:hAnsi="Garamond" w:cstheme="majorBidi"/>
                <w:b/>
                <w:color w:val="0D0D0D" w:themeColor="text1" w:themeTint="F2"/>
                <w:sz w:val="18"/>
                <w:szCs w:val="18"/>
              </w:rPr>
              <w:t>Synimi</w:t>
            </w:r>
            <w:r w:rsidR="004F59F4" w:rsidRPr="00050FA4">
              <w:rPr>
                <w:rFonts w:ascii="Garamond" w:hAnsi="Garamond" w:cstheme="majorBidi"/>
                <w:b/>
                <w:color w:val="0D0D0D" w:themeColor="text1" w:themeTint="F2"/>
                <w:sz w:val="18"/>
                <w:szCs w:val="18"/>
              </w:rPr>
              <w:t xml:space="preserve"> (2024)</w:t>
            </w:r>
          </w:p>
        </w:tc>
      </w:tr>
      <w:tr w:rsidR="00FA29AB" w:rsidRPr="00050FA4" w14:paraId="345F328C" w14:textId="77777777" w:rsidTr="00A769D0">
        <w:trPr>
          <w:trHeight w:val="20"/>
          <w:jc w:val="center"/>
        </w:trPr>
        <w:tc>
          <w:tcPr>
            <w:tcW w:w="5310" w:type="dxa"/>
            <w:tcBorders>
              <w:top w:val="single" w:sz="4" w:space="0" w:color="auto"/>
              <w:left w:val="single" w:sz="4" w:space="0" w:color="auto"/>
              <w:bottom w:val="single" w:sz="4" w:space="0" w:color="auto"/>
              <w:right w:val="single" w:sz="4" w:space="0" w:color="auto"/>
            </w:tcBorders>
            <w:shd w:val="clear" w:color="auto" w:fill="auto"/>
          </w:tcPr>
          <w:p w14:paraId="2AC673FA" w14:textId="0C0CD794"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Numri i mësuesve të trajnuar (TIK në klasën e parë, të dytë, të tretë)</w:t>
            </w:r>
          </w:p>
        </w:tc>
        <w:tc>
          <w:tcPr>
            <w:tcW w:w="1300" w:type="dxa"/>
            <w:tcBorders>
              <w:top w:val="single" w:sz="4" w:space="0" w:color="auto"/>
              <w:left w:val="nil"/>
              <w:bottom w:val="single" w:sz="4" w:space="0" w:color="auto"/>
              <w:right w:val="single" w:sz="4" w:space="0" w:color="auto"/>
            </w:tcBorders>
            <w:shd w:val="clear" w:color="auto" w:fill="auto"/>
            <w:vAlign w:val="center"/>
          </w:tcPr>
          <w:p w14:paraId="1A5C0335" w14:textId="63B6F38C" w:rsidR="002C526F" w:rsidRPr="00050FA4" w:rsidRDefault="002C526F" w:rsidP="00FB44E6">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500</w:t>
            </w:r>
          </w:p>
        </w:tc>
        <w:tc>
          <w:tcPr>
            <w:tcW w:w="1559" w:type="dxa"/>
            <w:tcBorders>
              <w:top w:val="single" w:sz="4" w:space="0" w:color="auto"/>
              <w:left w:val="nil"/>
              <w:bottom w:val="single" w:sz="4" w:space="0" w:color="auto"/>
              <w:right w:val="single" w:sz="4" w:space="0" w:color="auto"/>
            </w:tcBorders>
            <w:shd w:val="clear" w:color="auto" w:fill="auto"/>
          </w:tcPr>
          <w:p w14:paraId="56F3C35F" w14:textId="7CAA3732" w:rsidR="002C526F" w:rsidRPr="00050FA4" w:rsidRDefault="002C526F" w:rsidP="00FB44E6">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1000</w:t>
            </w:r>
          </w:p>
        </w:tc>
        <w:tc>
          <w:tcPr>
            <w:tcW w:w="1461" w:type="dxa"/>
            <w:tcBorders>
              <w:top w:val="single" w:sz="4" w:space="0" w:color="auto"/>
              <w:left w:val="nil"/>
              <w:bottom w:val="single" w:sz="4" w:space="0" w:color="auto"/>
              <w:right w:val="single" w:sz="4" w:space="0" w:color="auto"/>
            </w:tcBorders>
            <w:shd w:val="clear" w:color="auto" w:fill="auto"/>
          </w:tcPr>
          <w:p w14:paraId="609AF96A" w14:textId="2914643D" w:rsidR="002C526F" w:rsidRPr="00050FA4" w:rsidRDefault="002C526F" w:rsidP="00FB44E6">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 xml:space="preserve">1000 </w:t>
            </w:r>
          </w:p>
        </w:tc>
      </w:tr>
      <w:tr w:rsidR="00FA29AB" w:rsidRPr="00050FA4" w14:paraId="61C02C68" w14:textId="77777777" w:rsidTr="00A769D0">
        <w:trPr>
          <w:trHeight w:val="20"/>
          <w:jc w:val="center"/>
        </w:trPr>
        <w:tc>
          <w:tcPr>
            <w:tcW w:w="5310" w:type="dxa"/>
            <w:tcBorders>
              <w:top w:val="single" w:sz="4" w:space="0" w:color="auto"/>
              <w:left w:val="single" w:sz="4" w:space="0" w:color="auto"/>
              <w:bottom w:val="single" w:sz="4" w:space="0" w:color="auto"/>
              <w:right w:val="single" w:sz="4" w:space="0" w:color="auto"/>
            </w:tcBorders>
            <w:shd w:val="clear" w:color="auto" w:fill="auto"/>
          </w:tcPr>
          <w:p w14:paraId="2ECE9F01" w14:textId="0E56415E"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Numri i mësuesve të trajnuar (TIK në klasën e katërt, të pestë, të gjashtë)</w:t>
            </w:r>
          </w:p>
        </w:tc>
        <w:tc>
          <w:tcPr>
            <w:tcW w:w="1300" w:type="dxa"/>
            <w:tcBorders>
              <w:top w:val="single" w:sz="4" w:space="0" w:color="auto"/>
              <w:left w:val="nil"/>
              <w:bottom w:val="single" w:sz="4" w:space="0" w:color="auto"/>
              <w:right w:val="single" w:sz="4" w:space="0" w:color="auto"/>
            </w:tcBorders>
            <w:shd w:val="clear" w:color="auto" w:fill="auto"/>
            <w:vAlign w:val="center"/>
          </w:tcPr>
          <w:p w14:paraId="47B6BD95" w14:textId="1E167862" w:rsidR="002C526F" w:rsidRPr="00050FA4" w:rsidRDefault="002C526F" w:rsidP="00FB44E6">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0</w:t>
            </w:r>
          </w:p>
        </w:tc>
        <w:tc>
          <w:tcPr>
            <w:tcW w:w="1559" w:type="dxa"/>
            <w:tcBorders>
              <w:top w:val="single" w:sz="4" w:space="0" w:color="auto"/>
              <w:left w:val="nil"/>
              <w:bottom w:val="single" w:sz="4" w:space="0" w:color="auto"/>
              <w:right w:val="single" w:sz="4" w:space="0" w:color="auto"/>
            </w:tcBorders>
            <w:shd w:val="clear" w:color="auto" w:fill="auto"/>
          </w:tcPr>
          <w:p w14:paraId="4893DD43" w14:textId="5F151B25" w:rsidR="002C526F" w:rsidRPr="00050FA4" w:rsidRDefault="002C526F" w:rsidP="00FB44E6">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500</w:t>
            </w:r>
          </w:p>
        </w:tc>
        <w:tc>
          <w:tcPr>
            <w:tcW w:w="1461" w:type="dxa"/>
            <w:tcBorders>
              <w:top w:val="single" w:sz="4" w:space="0" w:color="auto"/>
              <w:left w:val="nil"/>
              <w:bottom w:val="single" w:sz="4" w:space="0" w:color="auto"/>
              <w:right w:val="single" w:sz="4" w:space="0" w:color="auto"/>
            </w:tcBorders>
            <w:shd w:val="clear" w:color="auto" w:fill="auto"/>
          </w:tcPr>
          <w:p w14:paraId="6B9C2EE6" w14:textId="47BF4896" w:rsidR="002C526F" w:rsidRPr="00050FA4" w:rsidRDefault="002C526F" w:rsidP="00FB44E6">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1000</w:t>
            </w:r>
          </w:p>
        </w:tc>
      </w:tr>
      <w:tr w:rsidR="00FA29AB" w:rsidRPr="00050FA4" w14:paraId="492CECA9" w14:textId="77777777" w:rsidTr="00A769D0">
        <w:trPr>
          <w:trHeight w:val="20"/>
          <w:jc w:val="center"/>
        </w:trPr>
        <w:tc>
          <w:tcPr>
            <w:tcW w:w="5310" w:type="dxa"/>
            <w:tcBorders>
              <w:top w:val="single" w:sz="4" w:space="0" w:color="auto"/>
              <w:left w:val="single" w:sz="4" w:space="0" w:color="auto"/>
              <w:bottom w:val="single" w:sz="4" w:space="0" w:color="auto"/>
              <w:right w:val="single" w:sz="4" w:space="0" w:color="auto"/>
            </w:tcBorders>
            <w:shd w:val="clear" w:color="auto" w:fill="auto"/>
          </w:tcPr>
          <w:p w14:paraId="24747F8E" w14:textId="74636E34"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eastAsia="Times New Roman" w:hAnsi="Garamond"/>
                <w:color w:val="0D0D0D" w:themeColor="text1" w:themeTint="F2"/>
                <w:sz w:val="18"/>
                <w:szCs w:val="18"/>
              </w:rPr>
              <w:t>Trajnimi i drejtuesve të rrjeteve profesionale për TIK</w:t>
            </w:r>
            <w:r w:rsidR="009F1E3C" w:rsidRPr="00050FA4">
              <w:rPr>
                <w:rFonts w:ascii="Garamond" w:eastAsia="Times New Roman" w:hAnsi="Garamond"/>
                <w:color w:val="0D0D0D" w:themeColor="text1" w:themeTint="F2"/>
                <w:sz w:val="18"/>
                <w:szCs w:val="18"/>
              </w:rPr>
              <w:t>-un</w:t>
            </w:r>
          </w:p>
        </w:tc>
        <w:tc>
          <w:tcPr>
            <w:tcW w:w="1300" w:type="dxa"/>
            <w:tcBorders>
              <w:top w:val="single" w:sz="4" w:space="0" w:color="auto"/>
              <w:left w:val="nil"/>
              <w:bottom w:val="single" w:sz="4" w:space="0" w:color="auto"/>
              <w:right w:val="single" w:sz="4" w:space="0" w:color="auto"/>
            </w:tcBorders>
            <w:shd w:val="clear" w:color="auto" w:fill="auto"/>
            <w:vAlign w:val="center"/>
          </w:tcPr>
          <w:p w14:paraId="244E2209" w14:textId="7ACFD9C6" w:rsidR="002C526F" w:rsidRPr="00050FA4" w:rsidRDefault="002C526F" w:rsidP="00FB44E6">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0</w:t>
            </w:r>
          </w:p>
        </w:tc>
        <w:tc>
          <w:tcPr>
            <w:tcW w:w="1559" w:type="dxa"/>
            <w:tcBorders>
              <w:top w:val="single" w:sz="4" w:space="0" w:color="auto"/>
              <w:left w:val="nil"/>
              <w:bottom w:val="single" w:sz="4" w:space="0" w:color="auto"/>
              <w:right w:val="single" w:sz="4" w:space="0" w:color="auto"/>
            </w:tcBorders>
            <w:shd w:val="clear" w:color="auto" w:fill="auto"/>
          </w:tcPr>
          <w:p w14:paraId="647C76A1" w14:textId="12E267F6" w:rsidR="002C526F" w:rsidRPr="00050FA4" w:rsidRDefault="002C526F" w:rsidP="00FB44E6">
            <w:pPr>
              <w:jc w:val="right"/>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700</w:t>
            </w:r>
          </w:p>
        </w:tc>
        <w:tc>
          <w:tcPr>
            <w:tcW w:w="1461" w:type="dxa"/>
            <w:tcBorders>
              <w:top w:val="single" w:sz="4" w:space="0" w:color="auto"/>
              <w:left w:val="nil"/>
              <w:bottom w:val="single" w:sz="4" w:space="0" w:color="auto"/>
              <w:right w:val="single" w:sz="4" w:space="0" w:color="auto"/>
            </w:tcBorders>
            <w:shd w:val="clear" w:color="auto" w:fill="auto"/>
          </w:tcPr>
          <w:p w14:paraId="15DFE3A5" w14:textId="12BAF28E" w:rsidR="002C526F" w:rsidRPr="00050FA4" w:rsidRDefault="002C526F" w:rsidP="00FB44E6">
            <w:pPr>
              <w:jc w:val="right"/>
              <w:rPr>
                <w:rFonts w:ascii="Garamond" w:eastAsia="Times New Roman" w:hAnsi="Garamond" w:cstheme="majorBidi"/>
                <w:bCs/>
                <w:color w:val="0D0D0D" w:themeColor="text1" w:themeTint="F2"/>
                <w:sz w:val="18"/>
                <w:szCs w:val="18"/>
              </w:rPr>
            </w:pPr>
            <w:r w:rsidRPr="00050FA4">
              <w:rPr>
                <w:rFonts w:ascii="Garamond" w:hAnsi="Garamond"/>
                <w:color w:val="0D0D0D" w:themeColor="text1" w:themeTint="F2"/>
                <w:sz w:val="18"/>
                <w:szCs w:val="18"/>
              </w:rPr>
              <w:t>1200</w:t>
            </w:r>
          </w:p>
        </w:tc>
      </w:tr>
    </w:tbl>
    <w:p w14:paraId="0F96FBC7" w14:textId="77777777" w:rsidR="004F59F4" w:rsidRPr="00050FA4" w:rsidRDefault="004F59F4" w:rsidP="003F1DA7">
      <w:pPr>
        <w:snapToGrid w:val="0"/>
        <w:ind w:firstLine="284"/>
        <w:rPr>
          <w:rFonts w:ascii="Garamond" w:hAnsi="Garamond" w:cstheme="majorBidi"/>
          <w:color w:val="0D0D0D" w:themeColor="text1" w:themeTint="F2"/>
        </w:rPr>
      </w:pPr>
    </w:p>
    <w:p w14:paraId="43DED573" w14:textId="0A264F76" w:rsidR="00F30712" w:rsidRPr="00050FA4" w:rsidRDefault="00B52E28" w:rsidP="003F1DA7">
      <w:pPr>
        <w:pStyle w:val="AAAAAAATEXXXX"/>
        <w:rPr>
          <w:lang w:val="sq-AL"/>
        </w:rPr>
      </w:pPr>
      <w:r w:rsidRPr="00050FA4">
        <w:rPr>
          <w:lang w:val="sq-AL"/>
        </w:rPr>
        <w:t xml:space="preserve">3. </w:t>
      </w:r>
      <w:r w:rsidR="00B2062A" w:rsidRPr="00050FA4">
        <w:rPr>
          <w:lang w:val="sq-AL"/>
        </w:rPr>
        <w:t>Ndikimi i pritshëm në konkurrueshmëri</w:t>
      </w:r>
    </w:p>
    <w:p w14:paraId="19FE3172" w14:textId="42B01128" w:rsidR="002C526F" w:rsidRPr="00050FA4" w:rsidRDefault="002C526F" w:rsidP="003F1DA7">
      <w:pPr>
        <w:pStyle w:val="AAAAAAATEXXXX"/>
        <w:rPr>
          <w:lang w:val="sq-AL"/>
        </w:rPr>
      </w:pPr>
      <w:r w:rsidRPr="00050FA4">
        <w:rPr>
          <w:lang w:val="sq-AL"/>
        </w:rPr>
        <w:t>Teknologjia e informacionit dhe komunikimit (TIK), e cila përfshin kompjuterë, tabletë, telefona inteligjentë, tavolina ndërvepruese dhe aksesorë të tjerë, mund të ketë një ndikim pozitiv në përmirësimin e cilësisë së mësimdhënies, rritjen e motivimit dhe përmirësimin e performancës së studentëve, duke siguruar që të gjithë studentët të jenë në gjendje të marrin disa nivele të kompetencës digjitale për të përmbushur kërkesat e njohurive të shoqërive të shekullit të 21-të dhe për t</w:t>
      </w:r>
      <w:r w:rsidR="00E67ECA" w:rsidRPr="00050FA4">
        <w:rPr>
          <w:lang w:val="sq-AL"/>
        </w:rPr>
        <w:t>’</w:t>
      </w:r>
      <w:r w:rsidRPr="00050FA4">
        <w:rPr>
          <w:lang w:val="sq-AL"/>
        </w:rPr>
        <w:t>i mundësuar këtij brezi studentësh, në planin afatgjatë, të përgatiten më mirë për tregun e punës: qoftë si punonjës apo si krijues pune.</w:t>
      </w:r>
    </w:p>
    <w:p w14:paraId="370EF7CF" w14:textId="093D44CB" w:rsidR="00F30712" w:rsidRPr="00050FA4" w:rsidRDefault="00B52E28" w:rsidP="003F1DA7">
      <w:pPr>
        <w:pStyle w:val="AAAAAAATEXXXX"/>
        <w:rPr>
          <w:lang w:val="sq-AL"/>
        </w:rPr>
      </w:pPr>
      <w:r w:rsidRPr="00050FA4">
        <w:rPr>
          <w:lang w:val="sq-AL"/>
        </w:rPr>
        <w:t xml:space="preserve">4. </w:t>
      </w:r>
      <w:r w:rsidR="00C03C79" w:rsidRPr="00050FA4">
        <w:rPr>
          <w:lang w:val="sq-AL"/>
        </w:rPr>
        <w:t>Kostoja e parashikuar</w:t>
      </w:r>
      <w:r w:rsidR="00B2062A" w:rsidRPr="00050FA4">
        <w:rPr>
          <w:lang w:val="sq-AL"/>
        </w:rPr>
        <w:t xml:space="preserve"> e aktiviteteve dhe burimi i financimit</w:t>
      </w:r>
    </w:p>
    <w:p w14:paraId="04FE7397" w14:textId="77777777" w:rsidR="004B3389" w:rsidRPr="00050FA4" w:rsidRDefault="004B3389" w:rsidP="003F1DA7">
      <w:pPr>
        <w:pStyle w:val="AAAAAAATEXXXX"/>
        <w:rPr>
          <w:lang w:val="sq-AL"/>
        </w:rPr>
      </w:pPr>
    </w:p>
    <w:p w14:paraId="2587BEB2" w14:textId="77777777" w:rsidR="009F1E3C" w:rsidRPr="00050FA4" w:rsidRDefault="009F1E3C" w:rsidP="003F1DA7">
      <w:pPr>
        <w:pStyle w:val="AAAAAAATEXXXX"/>
        <w:rPr>
          <w:lang w:val="sq-AL"/>
        </w:rPr>
      </w:pPr>
    </w:p>
    <w:p w14:paraId="63AB8B9A" w14:textId="77777777" w:rsidR="009F1E3C" w:rsidRPr="00050FA4" w:rsidRDefault="009F1E3C" w:rsidP="003F1DA7">
      <w:pPr>
        <w:pStyle w:val="AAAAAAATEXXXX"/>
        <w:rPr>
          <w:lang w:val="sq-AL"/>
        </w:rPr>
      </w:pPr>
    </w:p>
    <w:tbl>
      <w:tblPr>
        <w:tblStyle w:val="TableGrid11"/>
        <w:tblW w:w="9440" w:type="dxa"/>
        <w:jc w:val="center"/>
        <w:tblLayout w:type="fixed"/>
        <w:tblLook w:val="04A0" w:firstRow="1" w:lastRow="0" w:firstColumn="1" w:lastColumn="0" w:noHBand="0" w:noVBand="1"/>
      </w:tblPr>
      <w:tblGrid>
        <w:gridCol w:w="727"/>
        <w:gridCol w:w="5757"/>
        <w:gridCol w:w="1476"/>
        <w:gridCol w:w="1480"/>
      </w:tblGrid>
      <w:tr w:rsidR="00FA29AB" w:rsidRPr="00050FA4" w14:paraId="30E15CFB" w14:textId="77777777" w:rsidTr="009F1E3C">
        <w:trPr>
          <w:trHeight w:val="20"/>
          <w:jc w:val="center"/>
        </w:trPr>
        <w:tc>
          <w:tcPr>
            <w:tcW w:w="727" w:type="dxa"/>
            <w:vAlign w:val="center"/>
            <w:hideMark/>
          </w:tcPr>
          <w:p w14:paraId="0164489E" w14:textId="77777777" w:rsidR="002C526F" w:rsidRPr="00050FA4" w:rsidRDefault="002C526F" w:rsidP="00FB44E6">
            <w:pPr>
              <w:jc w:val="right"/>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lastRenderedPageBreak/>
              <w:t>Viti</w:t>
            </w:r>
          </w:p>
        </w:tc>
        <w:tc>
          <w:tcPr>
            <w:tcW w:w="5757" w:type="dxa"/>
            <w:vAlign w:val="center"/>
            <w:hideMark/>
          </w:tcPr>
          <w:p w14:paraId="7F428C2B" w14:textId="77777777" w:rsidR="002C526F" w:rsidRPr="00050FA4" w:rsidRDefault="002C526F" w:rsidP="00FB44E6">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Aktiviteti</w:t>
            </w:r>
          </w:p>
        </w:tc>
        <w:tc>
          <w:tcPr>
            <w:tcW w:w="1476" w:type="dxa"/>
            <w:vAlign w:val="center"/>
            <w:hideMark/>
          </w:tcPr>
          <w:p w14:paraId="3708455C" w14:textId="77777777" w:rsidR="002C526F" w:rsidRPr="00050FA4" w:rsidRDefault="002C526F" w:rsidP="00FB44E6">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Kostoja e parashikuar</w:t>
            </w:r>
          </w:p>
        </w:tc>
        <w:tc>
          <w:tcPr>
            <w:tcW w:w="1480" w:type="dxa"/>
            <w:vAlign w:val="center"/>
            <w:hideMark/>
          </w:tcPr>
          <w:p w14:paraId="5359A37A" w14:textId="77777777" w:rsidR="002C526F" w:rsidRPr="00050FA4" w:rsidRDefault="002C526F" w:rsidP="00FB44E6">
            <w:pPr>
              <w:jc w:val="center"/>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Burimi i Financimit</w:t>
            </w:r>
          </w:p>
        </w:tc>
      </w:tr>
      <w:tr w:rsidR="00FA29AB" w:rsidRPr="00050FA4" w14:paraId="0AB2F032" w14:textId="77777777" w:rsidTr="009F1E3C">
        <w:trPr>
          <w:trHeight w:val="20"/>
          <w:jc w:val="center"/>
        </w:trPr>
        <w:tc>
          <w:tcPr>
            <w:tcW w:w="727" w:type="dxa"/>
            <w:vMerge w:val="restart"/>
            <w:vAlign w:val="center"/>
            <w:hideMark/>
          </w:tcPr>
          <w:p w14:paraId="50B8E4F8" w14:textId="77777777" w:rsidR="002C526F" w:rsidRPr="00050FA4" w:rsidRDefault="002C526F" w:rsidP="00FB44E6">
            <w:pPr>
              <w:jc w:val="right"/>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2022</w:t>
            </w:r>
          </w:p>
        </w:tc>
        <w:tc>
          <w:tcPr>
            <w:tcW w:w="5757" w:type="dxa"/>
            <w:shd w:val="clear" w:color="auto" w:fill="auto"/>
          </w:tcPr>
          <w:p w14:paraId="6034EB7D"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dhe miratimi i programit të teknologjisë së informacionit dhe komunikimit dhe zbatimi i tij në klasën e parë</w:t>
            </w:r>
          </w:p>
        </w:tc>
        <w:tc>
          <w:tcPr>
            <w:tcW w:w="1476" w:type="dxa"/>
            <w:shd w:val="clear" w:color="auto" w:fill="auto"/>
            <w:hideMark/>
          </w:tcPr>
          <w:p w14:paraId="693AFBBD"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700</w:t>
            </w:r>
          </w:p>
        </w:tc>
        <w:tc>
          <w:tcPr>
            <w:tcW w:w="1480" w:type="dxa"/>
            <w:shd w:val="clear" w:color="auto" w:fill="auto"/>
            <w:hideMark/>
          </w:tcPr>
          <w:p w14:paraId="16D87FFE"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5F458E77" w14:textId="77777777" w:rsidTr="009F1E3C">
        <w:trPr>
          <w:trHeight w:val="20"/>
          <w:jc w:val="center"/>
        </w:trPr>
        <w:tc>
          <w:tcPr>
            <w:tcW w:w="727" w:type="dxa"/>
            <w:vMerge/>
            <w:vAlign w:val="center"/>
            <w:hideMark/>
          </w:tcPr>
          <w:p w14:paraId="0DB55521"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008F97DA"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mësuesve TIK për zbatimin e programit në klasën e parë.</w:t>
            </w:r>
          </w:p>
        </w:tc>
        <w:tc>
          <w:tcPr>
            <w:tcW w:w="1476" w:type="dxa"/>
            <w:shd w:val="clear" w:color="auto" w:fill="auto"/>
            <w:hideMark/>
          </w:tcPr>
          <w:p w14:paraId="1FC136E7"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12 000 </w:t>
            </w:r>
          </w:p>
        </w:tc>
        <w:tc>
          <w:tcPr>
            <w:tcW w:w="1480" w:type="dxa"/>
            <w:shd w:val="clear" w:color="auto" w:fill="auto"/>
            <w:hideMark/>
          </w:tcPr>
          <w:p w14:paraId="5263F1F1"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0452B0D2" w14:textId="77777777" w:rsidTr="009F1E3C">
        <w:trPr>
          <w:trHeight w:val="20"/>
          <w:jc w:val="center"/>
        </w:trPr>
        <w:tc>
          <w:tcPr>
            <w:tcW w:w="727" w:type="dxa"/>
            <w:vMerge/>
            <w:vAlign w:val="center"/>
            <w:hideMark/>
          </w:tcPr>
          <w:p w14:paraId="0A776092"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20C085C0"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Rishikimi i programit ekzistues të klasës IV për të përfshirë aftësitë e kodimit dhe zbatimin e tij në 2022.</w:t>
            </w:r>
          </w:p>
        </w:tc>
        <w:tc>
          <w:tcPr>
            <w:tcW w:w="1476" w:type="dxa"/>
            <w:shd w:val="clear" w:color="auto" w:fill="auto"/>
            <w:hideMark/>
          </w:tcPr>
          <w:p w14:paraId="14D7DFE2"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700</w:t>
            </w:r>
          </w:p>
        </w:tc>
        <w:tc>
          <w:tcPr>
            <w:tcW w:w="1480" w:type="dxa"/>
            <w:shd w:val="clear" w:color="auto" w:fill="auto"/>
            <w:hideMark/>
          </w:tcPr>
          <w:p w14:paraId="38B49F5E"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4ABDE0F1" w14:textId="77777777" w:rsidTr="009F1E3C">
        <w:trPr>
          <w:trHeight w:val="20"/>
          <w:jc w:val="center"/>
        </w:trPr>
        <w:tc>
          <w:tcPr>
            <w:tcW w:w="727" w:type="dxa"/>
            <w:vMerge/>
            <w:vAlign w:val="center"/>
            <w:hideMark/>
          </w:tcPr>
          <w:p w14:paraId="73560954"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46B0DFB0"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mësuesve TIK për zbatimin e programit në klasën e katërt.</w:t>
            </w:r>
          </w:p>
        </w:tc>
        <w:tc>
          <w:tcPr>
            <w:tcW w:w="1476" w:type="dxa"/>
            <w:shd w:val="clear" w:color="auto" w:fill="auto"/>
            <w:hideMark/>
          </w:tcPr>
          <w:p w14:paraId="0A824CAA"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12 000 </w:t>
            </w:r>
          </w:p>
        </w:tc>
        <w:tc>
          <w:tcPr>
            <w:tcW w:w="1480" w:type="dxa"/>
            <w:shd w:val="clear" w:color="auto" w:fill="auto"/>
            <w:hideMark/>
          </w:tcPr>
          <w:p w14:paraId="43C3D48C"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41223052" w14:textId="77777777" w:rsidTr="009F1E3C">
        <w:trPr>
          <w:trHeight w:val="20"/>
          <w:jc w:val="center"/>
        </w:trPr>
        <w:tc>
          <w:tcPr>
            <w:tcW w:w="727" w:type="dxa"/>
            <w:vMerge/>
            <w:vAlign w:val="center"/>
            <w:hideMark/>
          </w:tcPr>
          <w:p w14:paraId="716B4E78"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3CAE5864"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Përcaktimi i standardeve për pajisjet TIK në shkolla.</w:t>
            </w:r>
          </w:p>
        </w:tc>
        <w:tc>
          <w:tcPr>
            <w:tcW w:w="1476" w:type="dxa"/>
            <w:shd w:val="clear" w:color="auto" w:fill="auto"/>
            <w:hideMark/>
          </w:tcPr>
          <w:p w14:paraId="0781C57B"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1,382,114 </w:t>
            </w:r>
          </w:p>
        </w:tc>
        <w:tc>
          <w:tcPr>
            <w:tcW w:w="1480" w:type="dxa"/>
            <w:shd w:val="clear" w:color="auto" w:fill="auto"/>
            <w:hideMark/>
          </w:tcPr>
          <w:p w14:paraId="1881A84C"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7B9B00DA" w14:textId="77777777" w:rsidTr="009F1E3C">
        <w:trPr>
          <w:trHeight w:val="20"/>
          <w:jc w:val="center"/>
        </w:trPr>
        <w:tc>
          <w:tcPr>
            <w:tcW w:w="727" w:type="dxa"/>
            <w:vMerge w:val="restart"/>
            <w:vAlign w:val="center"/>
            <w:hideMark/>
          </w:tcPr>
          <w:p w14:paraId="57A482EB" w14:textId="77777777" w:rsidR="002C526F" w:rsidRPr="00050FA4" w:rsidRDefault="002C526F" w:rsidP="00FB44E6">
            <w:pPr>
              <w:jc w:val="right"/>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2023</w:t>
            </w:r>
          </w:p>
        </w:tc>
        <w:tc>
          <w:tcPr>
            <w:tcW w:w="5757" w:type="dxa"/>
            <w:shd w:val="clear" w:color="auto" w:fill="auto"/>
          </w:tcPr>
          <w:p w14:paraId="5D3F5600"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dhe miratimi i programit të teknologjisë së informacionit dhe komunikimit dhe zbatimi i tij në klasën e dytë</w:t>
            </w:r>
          </w:p>
        </w:tc>
        <w:tc>
          <w:tcPr>
            <w:tcW w:w="1476" w:type="dxa"/>
            <w:shd w:val="clear" w:color="auto" w:fill="auto"/>
          </w:tcPr>
          <w:p w14:paraId="61D315AA"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700</w:t>
            </w:r>
          </w:p>
        </w:tc>
        <w:tc>
          <w:tcPr>
            <w:tcW w:w="1480" w:type="dxa"/>
            <w:shd w:val="clear" w:color="auto" w:fill="auto"/>
            <w:hideMark/>
          </w:tcPr>
          <w:p w14:paraId="79F30886"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61A23479" w14:textId="77777777" w:rsidTr="009F1E3C">
        <w:trPr>
          <w:trHeight w:val="20"/>
          <w:jc w:val="center"/>
        </w:trPr>
        <w:tc>
          <w:tcPr>
            <w:tcW w:w="727" w:type="dxa"/>
            <w:vMerge/>
            <w:vAlign w:val="center"/>
            <w:hideMark/>
          </w:tcPr>
          <w:p w14:paraId="047C94EC"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3A69E09A"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mësuesve TIK për zbatimin e programit në klasën e dytë.</w:t>
            </w:r>
          </w:p>
        </w:tc>
        <w:tc>
          <w:tcPr>
            <w:tcW w:w="1476" w:type="dxa"/>
            <w:shd w:val="clear" w:color="auto" w:fill="auto"/>
          </w:tcPr>
          <w:p w14:paraId="0ADA36A3"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12,000</w:t>
            </w:r>
          </w:p>
        </w:tc>
        <w:tc>
          <w:tcPr>
            <w:tcW w:w="1480" w:type="dxa"/>
            <w:shd w:val="clear" w:color="auto" w:fill="auto"/>
            <w:hideMark/>
          </w:tcPr>
          <w:p w14:paraId="706EB1A7"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176DDCA8" w14:textId="77777777" w:rsidTr="009F1E3C">
        <w:trPr>
          <w:trHeight w:val="20"/>
          <w:jc w:val="center"/>
        </w:trPr>
        <w:tc>
          <w:tcPr>
            <w:tcW w:w="727" w:type="dxa"/>
            <w:vMerge/>
            <w:vAlign w:val="center"/>
            <w:hideMark/>
          </w:tcPr>
          <w:p w14:paraId="26C3F9DF"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4755B9C7"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Rishikimi i programit ekzistues të klasës V për të përfshirë aftësitë e kodimit dhe zbatimin e tij në 2023.</w:t>
            </w:r>
          </w:p>
        </w:tc>
        <w:tc>
          <w:tcPr>
            <w:tcW w:w="1476" w:type="dxa"/>
            <w:shd w:val="clear" w:color="auto" w:fill="auto"/>
          </w:tcPr>
          <w:p w14:paraId="3EC4D1FF"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700</w:t>
            </w:r>
          </w:p>
        </w:tc>
        <w:tc>
          <w:tcPr>
            <w:tcW w:w="1480" w:type="dxa"/>
            <w:shd w:val="clear" w:color="auto" w:fill="auto"/>
            <w:hideMark/>
          </w:tcPr>
          <w:p w14:paraId="1FB90126"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78781A9E" w14:textId="77777777" w:rsidTr="009F1E3C">
        <w:trPr>
          <w:trHeight w:val="20"/>
          <w:jc w:val="center"/>
        </w:trPr>
        <w:tc>
          <w:tcPr>
            <w:tcW w:w="727" w:type="dxa"/>
            <w:vMerge/>
            <w:vAlign w:val="center"/>
          </w:tcPr>
          <w:p w14:paraId="6CB6E84E"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3FFAD8EB"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mësuesve TIK për zbatimin e programit në klasën e pestë</w:t>
            </w:r>
          </w:p>
        </w:tc>
        <w:tc>
          <w:tcPr>
            <w:tcW w:w="1476" w:type="dxa"/>
            <w:shd w:val="clear" w:color="auto" w:fill="auto"/>
          </w:tcPr>
          <w:p w14:paraId="15608E75"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12,000</w:t>
            </w:r>
          </w:p>
        </w:tc>
        <w:tc>
          <w:tcPr>
            <w:tcW w:w="1480" w:type="dxa"/>
            <w:shd w:val="clear" w:color="auto" w:fill="auto"/>
          </w:tcPr>
          <w:p w14:paraId="3445E53D"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31501DC" w14:textId="77777777" w:rsidTr="009F1E3C">
        <w:trPr>
          <w:trHeight w:val="20"/>
          <w:jc w:val="center"/>
        </w:trPr>
        <w:tc>
          <w:tcPr>
            <w:tcW w:w="727" w:type="dxa"/>
            <w:vMerge/>
            <w:vAlign w:val="center"/>
          </w:tcPr>
          <w:p w14:paraId="32A207DA"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0D13F1C4" w14:textId="5630B664"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 xml:space="preserve">Trajnimi i 1200 drejtuesve profesionistë të rrjetit mbi </w:t>
            </w:r>
            <w:r w:rsidR="008A0E5B" w:rsidRPr="00050FA4">
              <w:rPr>
                <w:rFonts w:ascii="Garamond" w:hAnsi="Garamond" w:cs="Times New Roman"/>
                <w:color w:val="0D0D0D" w:themeColor="text1" w:themeTint="F2"/>
                <w:sz w:val="18"/>
                <w:szCs w:val="18"/>
                <w:lang w:val="sq-AL"/>
              </w:rPr>
              <w:t>“</w:t>
            </w:r>
            <w:r w:rsidRPr="00050FA4">
              <w:rPr>
                <w:rFonts w:ascii="Garamond" w:hAnsi="Garamond" w:cs="Times New Roman"/>
                <w:color w:val="0D0D0D" w:themeColor="text1" w:themeTint="F2"/>
                <w:sz w:val="18"/>
                <w:szCs w:val="18"/>
                <w:lang w:val="sq-AL"/>
              </w:rPr>
              <w:t>Siguria e studentëve në internet</w:t>
            </w:r>
            <w:r w:rsidR="008A0E5B" w:rsidRPr="00050FA4">
              <w:rPr>
                <w:rFonts w:ascii="Garamond" w:hAnsi="Garamond" w:cs="Times New Roman"/>
                <w:color w:val="0D0D0D" w:themeColor="text1" w:themeTint="F2"/>
                <w:sz w:val="18"/>
                <w:szCs w:val="18"/>
                <w:lang w:val="sq-AL"/>
              </w:rPr>
              <w:t>”</w:t>
            </w:r>
          </w:p>
        </w:tc>
        <w:tc>
          <w:tcPr>
            <w:tcW w:w="1476" w:type="dxa"/>
            <w:shd w:val="clear" w:color="auto" w:fill="auto"/>
          </w:tcPr>
          <w:p w14:paraId="512EAF30"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15,000</w:t>
            </w:r>
          </w:p>
        </w:tc>
        <w:tc>
          <w:tcPr>
            <w:tcW w:w="1480" w:type="dxa"/>
            <w:shd w:val="clear" w:color="auto" w:fill="auto"/>
          </w:tcPr>
          <w:p w14:paraId="0703AD1E"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4CB6CBC3" w14:textId="77777777" w:rsidTr="009F1E3C">
        <w:trPr>
          <w:trHeight w:val="20"/>
          <w:jc w:val="center"/>
        </w:trPr>
        <w:tc>
          <w:tcPr>
            <w:tcW w:w="727" w:type="dxa"/>
            <w:vMerge/>
            <w:vAlign w:val="center"/>
          </w:tcPr>
          <w:p w14:paraId="47F523F9"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2271D323"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Përcaktimi i standardeve për pajisjet TIK në shkolla</w:t>
            </w:r>
          </w:p>
        </w:tc>
        <w:tc>
          <w:tcPr>
            <w:tcW w:w="1476" w:type="dxa"/>
            <w:shd w:val="clear" w:color="auto" w:fill="auto"/>
          </w:tcPr>
          <w:p w14:paraId="03BDAABA"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1,382,114</w:t>
            </w:r>
          </w:p>
        </w:tc>
        <w:tc>
          <w:tcPr>
            <w:tcW w:w="1480" w:type="dxa"/>
            <w:shd w:val="clear" w:color="auto" w:fill="auto"/>
          </w:tcPr>
          <w:p w14:paraId="1E4B6036"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897ED6F" w14:textId="77777777" w:rsidTr="009F1E3C">
        <w:trPr>
          <w:trHeight w:val="20"/>
          <w:jc w:val="center"/>
        </w:trPr>
        <w:tc>
          <w:tcPr>
            <w:tcW w:w="727" w:type="dxa"/>
            <w:vMerge/>
            <w:vAlign w:val="center"/>
          </w:tcPr>
          <w:p w14:paraId="1BB3D102"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shd w:val="clear" w:color="auto" w:fill="auto"/>
          </w:tcPr>
          <w:p w14:paraId="5C65F30C"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1200 drejtuesve të rrjeteve profesionale për zbatimin e standardeve profesionale të mësuesve si dhe për përdorimin e TIK-ut në procesin mësimor si pjesë e arsimit të kombinuar.</w:t>
            </w:r>
          </w:p>
        </w:tc>
        <w:tc>
          <w:tcPr>
            <w:tcW w:w="1476" w:type="dxa"/>
            <w:shd w:val="clear" w:color="auto" w:fill="auto"/>
          </w:tcPr>
          <w:p w14:paraId="4E29EB79"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15,000</w:t>
            </w:r>
          </w:p>
        </w:tc>
        <w:tc>
          <w:tcPr>
            <w:tcW w:w="1480" w:type="dxa"/>
            <w:shd w:val="clear" w:color="auto" w:fill="auto"/>
          </w:tcPr>
          <w:p w14:paraId="393B722D"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39AAD65C" w14:textId="77777777" w:rsidTr="009F1E3C">
        <w:trPr>
          <w:trHeight w:val="20"/>
          <w:jc w:val="center"/>
        </w:trPr>
        <w:tc>
          <w:tcPr>
            <w:tcW w:w="727" w:type="dxa"/>
            <w:vMerge w:val="restart"/>
            <w:vAlign w:val="center"/>
          </w:tcPr>
          <w:p w14:paraId="377C80EF" w14:textId="77777777" w:rsidR="002C526F" w:rsidRPr="00050FA4" w:rsidRDefault="002C526F" w:rsidP="00FB44E6">
            <w:pPr>
              <w:jc w:val="right"/>
              <w:rPr>
                <w:rFonts w:ascii="Garamond" w:hAnsi="Garamond" w:cs="Times New Roman"/>
                <w:b/>
                <w:bCs/>
                <w:color w:val="0D0D0D" w:themeColor="text1" w:themeTint="F2"/>
                <w:sz w:val="18"/>
                <w:szCs w:val="18"/>
                <w:lang w:val="sq-AL"/>
              </w:rPr>
            </w:pPr>
            <w:r w:rsidRPr="00050FA4">
              <w:rPr>
                <w:rFonts w:ascii="Garamond" w:hAnsi="Garamond" w:cs="Times New Roman"/>
                <w:b/>
                <w:bCs/>
                <w:color w:val="0D0D0D" w:themeColor="text1" w:themeTint="F2"/>
                <w:sz w:val="18"/>
                <w:szCs w:val="18"/>
                <w:lang w:val="sq-AL"/>
              </w:rPr>
              <w:t>2024</w:t>
            </w:r>
          </w:p>
        </w:tc>
        <w:tc>
          <w:tcPr>
            <w:tcW w:w="5757" w:type="dxa"/>
            <w:shd w:val="clear" w:color="auto" w:fill="auto"/>
          </w:tcPr>
          <w:p w14:paraId="3E6B20D9"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Hartimi dhe miratimi i programit të teknologjisë së informacionit dhe komunikimit dhe zbatimi i tij në klasën e tretë</w:t>
            </w:r>
          </w:p>
        </w:tc>
        <w:tc>
          <w:tcPr>
            <w:tcW w:w="1476" w:type="dxa"/>
            <w:shd w:val="clear" w:color="auto" w:fill="auto"/>
          </w:tcPr>
          <w:p w14:paraId="2ED7FE5F"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700</w:t>
            </w:r>
          </w:p>
        </w:tc>
        <w:tc>
          <w:tcPr>
            <w:tcW w:w="1480" w:type="dxa"/>
            <w:shd w:val="clear" w:color="auto" w:fill="auto"/>
          </w:tcPr>
          <w:p w14:paraId="2F465EAD"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0F0631A4" w14:textId="77777777" w:rsidTr="009F1E3C">
        <w:trPr>
          <w:trHeight w:val="20"/>
          <w:jc w:val="center"/>
        </w:trPr>
        <w:tc>
          <w:tcPr>
            <w:tcW w:w="727" w:type="dxa"/>
            <w:vMerge/>
            <w:vAlign w:val="center"/>
          </w:tcPr>
          <w:p w14:paraId="69EE5425"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tcPr>
          <w:p w14:paraId="771F0FA4"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mësuesve TIK për zbatimin e programit në klasën e tretë</w:t>
            </w:r>
          </w:p>
        </w:tc>
        <w:tc>
          <w:tcPr>
            <w:tcW w:w="1476" w:type="dxa"/>
          </w:tcPr>
          <w:p w14:paraId="7DA7FE9C"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12,000</w:t>
            </w:r>
          </w:p>
        </w:tc>
        <w:tc>
          <w:tcPr>
            <w:tcW w:w="1480" w:type="dxa"/>
          </w:tcPr>
          <w:p w14:paraId="30DFA693"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25FCE02C" w14:textId="77777777" w:rsidTr="009F1E3C">
        <w:trPr>
          <w:trHeight w:val="20"/>
          <w:jc w:val="center"/>
        </w:trPr>
        <w:tc>
          <w:tcPr>
            <w:tcW w:w="727" w:type="dxa"/>
            <w:vMerge/>
            <w:vAlign w:val="center"/>
          </w:tcPr>
          <w:p w14:paraId="7BAB2B0E"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tcPr>
          <w:p w14:paraId="709FA70D"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Rishikimi i programit ekzistues të klasës VI për të përfshirë aftësitë e kodimit dhe zbatimin e tij në 2024.</w:t>
            </w:r>
          </w:p>
        </w:tc>
        <w:tc>
          <w:tcPr>
            <w:tcW w:w="1476" w:type="dxa"/>
          </w:tcPr>
          <w:p w14:paraId="37D89E60"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700</w:t>
            </w:r>
          </w:p>
        </w:tc>
        <w:tc>
          <w:tcPr>
            <w:tcW w:w="1480" w:type="dxa"/>
          </w:tcPr>
          <w:p w14:paraId="0C409E12"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4CF3C631" w14:textId="77777777" w:rsidTr="009F1E3C">
        <w:trPr>
          <w:trHeight w:val="20"/>
          <w:jc w:val="center"/>
        </w:trPr>
        <w:tc>
          <w:tcPr>
            <w:tcW w:w="727" w:type="dxa"/>
            <w:vMerge/>
            <w:vAlign w:val="center"/>
          </w:tcPr>
          <w:p w14:paraId="7130C455"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tcPr>
          <w:p w14:paraId="76E8F49A"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Trajnimi i mësuesve TIK për zbatimin e programit në klasën e gjashtë</w:t>
            </w:r>
          </w:p>
        </w:tc>
        <w:tc>
          <w:tcPr>
            <w:tcW w:w="1476" w:type="dxa"/>
          </w:tcPr>
          <w:p w14:paraId="61FC9E5F"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15,000</w:t>
            </w:r>
          </w:p>
        </w:tc>
        <w:tc>
          <w:tcPr>
            <w:tcW w:w="1480" w:type="dxa"/>
          </w:tcPr>
          <w:p w14:paraId="3354880A"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27836522" w14:textId="77777777" w:rsidTr="009F1E3C">
        <w:trPr>
          <w:trHeight w:val="20"/>
          <w:jc w:val="center"/>
        </w:trPr>
        <w:tc>
          <w:tcPr>
            <w:tcW w:w="727" w:type="dxa"/>
            <w:vMerge/>
            <w:vAlign w:val="center"/>
          </w:tcPr>
          <w:p w14:paraId="3F07287B"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tcPr>
          <w:p w14:paraId="10A8D8FE"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Trajnime për 5000 mësues dhe drejtues shkollash mbi standardet e mësuesve për përdorimin e TIK-ut në sistemin arsimor parauniversitar përmes rrjeteve profesionale.</w:t>
            </w:r>
          </w:p>
        </w:tc>
        <w:tc>
          <w:tcPr>
            <w:tcW w:w="1476" w:type="dxa"/>
          </w:tcPr>
          <w:p w14:paraId="389947BD"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60,000</w:t>
            </w:r>
          </w:p>
        </w:tc>
        <w:tc>
          <w:tcPr>
            <w:tcW w:w="1480" w:type="dxa"/>
          </w:tcPr>
          <w:p w14:paraId="6B61F1BA"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58621F17" w14:textId="77777777" w:rsidTr="009F1E3C">
        <w:trPr>
          <w:trHeight w:val="20"/>
          <w:jc w:val="center"/>
        </w:trPr>
        <w:tc>
          <w:tcPr>
            <w:tcW w:w="727" w:type="dxa"/>
            <w:vMerge/>
            <w:vAlign w:val="center"/>
          </w:tcPr>
          <w:p w14:paraId="76CB86DD"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tcPr>
          <w:p w14:paraId="7901D15B"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Përcaktimi i standardeve për pajisjet TIK në shkolla</w:t>
            </w:r>
          </w:p>
        </w:tc>
        <w:tc>
          <w:tcPr>
            <w:tcW w:w="1476" w:type="dxa"/>
          </w:tcPr>
          <w:p w14:paraId="55C980AD" w14:textId="77777777" w:rsidR="002C526F" w:rsidRPr="00050FA4" w:rsidRDefault="002C526F" w:rsidP="00FB44E6">
            <w:pPr>
              <w:jc w:val="right"/>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1,382,114</w:t>
            </w:r>
          </w:p>
        </w:tc>
        <w:tc>
          <w:tcPr>
            <w:tcW w:w="1480" w:type="dxa"/>
          </w:tcPr>
          <w:p w14:paraId="2E5A46FD" w14:textId="77777777" w:rsidR="002C526F" w:rsidRPr="00050FA4" w:rsidRDefault="002C526F" w:rsidP="00A95D23">
            <w:pPr>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Buxheti i Shtetit</w:t>
            </w:r>
          </w:p>
        </w:tc>
      </w:tr>
      <w:tr w:rsidR="00FA29AB" w:rsidRPr="00050FA4" w14:paraId="71D5F00C" w14:textId="77777777" w:rsidTr="009F1E3C">
        <w:trPr>
          <w:trHeight w:val="20"/>
          <w:jc w:val="center"/>
        </w:trPr>
        <w:tc>
          <w:tcPr>
            <w:tcW w:w="727" w:type="dxa"/>
            <w:vMerge/>
            <w:vAlign w:val="center"/>
          </w:tcPr>
          <w:p w14:paraId="474FA4A0" w14:textId="77777777" w:rsidR="002C526F" w:rsidRPr="00050FA4" w:rsidRDefault="002C526F" w:rsidP="00FB44E6">
            <w:pPr>
              <w:jc w:val="right"/>
              <w:rPr>
                <w:rFonts w:ascii="Garamond" w:hAnsi="Garamond" w:cs="Times New Roman"/>
                <w:b/>
                <w:bCs/>
                <w:color w:val="0D0D0D" w:themeColor="text1" w:themeTint="F2"/>
                <w:sz w:val="18"/>
                <w:szCs w:val="18"/>
                <w:lang w:val="sq-AL"/>
              </w:rPr>
            </w:pPr>
          </w:p>
        </w:tc>
        <w:tc>
          <w:tcPr>
            <w:tcW w:w="5757" w:type="dxa"/>
          </w:tcPr>
          <w:p w14:paraId="556B5DD9" w14:textId="77777777" w:rsidR="002C526F" w:rsidRPr="00050FA4" w:rsidRDefault="002C526F" w:rsidP="00A95D23">
            <w:pPr>
              <w:jc w:val="both"/>
              <w:rPr>
                <w:rFonts w:ascii="Garamond" w:hAnsi="Garamond" w:cs="Times New Roman"/>
                <w:color w:val="0D0D0D" w:themeColor="text1" w:themeTint="F2"/>
                <w:sz w:val="18"/>
                <w:szCs w:val="18"/>
                <w:lang w:val="sq-AL"/>
              </w:rPr>
            </w:pPr>
            <w:r w:rsidRPr="00050FA4">
              <w:rPr>
                <w:rFonts w:ascii="Garamond" w:hAnsi="Garamond" w:cs="Times New Roman"/>
                <w:color w:val="0D0D0D" w:themeColor="text1" w:themeTint="F2"/>
                <w:sz w:val="18"/>
                <w:szCs w:val="18"/>
                <w:lang w:val="sq-AL"/>
              </w:rPr>
              <w:t>Mirëmbajtja teknike e pajisjeve TIK përmes klubeve studentore dhe strukturës lokale arsimore</w:t>
            </w:r>
          </w:p>
        </w:tc>
        <w:tc>
          <w:tcPr>
            <w:tcW w:w="1476" w:type="dxa"/>
          </w:tcPr>
          <w:p w14:paraId="12FC31DD" w14:textId="77777777" w:rsidR="002C526F" w:rsidRPr="00050FA4" w:rsidRDefault="002C526F" w:rsidP="00FB44E6">
            <w:pPr>
              <w:jc w:val="right"/>
              <w:rPr>
                <w:rFonts w:ascii="Garamond" w:hAnsi="Garamond" w:cs="Times New Roman"/>
                <w:color w:val="0D0D0D" w:themeColor="text1" w:themeTint="F2"/>
                <w:sz w:val="18"/>
                <w:szCs w:val="18"/>
                <w:lang w:val="sq-AL"/>
              </w:rPr>
            </w:pPr>
          </w:p>
        </w:tc>
        <w:tc>
          <w:tcPr>
            <w:tcW w:w="1480" w:type="dxa"/>
          </w:tcPr>
          <w:p w14:paraId="7011B191" w14:textId="77777777" w:rsidR="002C526F" w:rsidRPr="00050FA4" w:rsidRDefault="002C526F" w:rsidP="00A95D23">
            <w:pPr>
              <w:jc w:val="both"/>
              <w:rPr>
                <w:rFonts w:ascii="Garamond" w:hAnsi="Garamond" w:cs="Times New Roman"/>
                <w:color w:val="0D0D0D" w:themeColor="text1" w:themeTint="F2"/>
                <w:sz w:val="18"/>
                <w:szCs w:val="18"/>
                <w:lang w:val="sq-AL"/>
              </w:rPr>
            </w:pPr>
          </w:p>
        </w:tc>
      </w:tr>
    </w:tbl>
    <w:p w14:paraId="7E64F051" w14:textId="77777777" w:rsidR="002C526F" w:rsidRPr="00050FA4" w:rsidRDefault="002C526F" w:rsidP="003F1DA7">
      <w:pPr>
        <w:snapToGrid w:val="0"/>
        <w:ind w:firstLine="284"/>
        <w:rPr>
          <w:rFonts w:ascii="Garamond" w:hAnsi="Garamond" w:cstheme="majorBidi"/>
          <w:color w:val="0D0D0D" w:themeColor="text1" w:themeTint="F2"/>
          <w:sz w:val="20"/>
          <w:szCs w:val="20"/>
        </w:rPr>
      </w:pPr>
    </w:p>
    <w:p w14:paraId="263C2A0E" w14:textId="10D38637" w:rsidR="00F30712" w:rsidRPr="00050FA4" w:rsidRDefault="00B52E28" w:rsidP="003F1DA7">
      <w:pPr>
        <w:pStyle w:val="AAAAAAATEXXXX"/>
        <w:rPr>
          <w:lang w:val="sq-AL"/>
        </w:rPr>
      </w:pPr>
      <w:r w:rsidRPr="00050FA4">
        <w:rPr>
          <w:lang w:val="sq-AL"/>
        </w:rPr>
        <w:t xml:space="preserve">5. </w:t>
      </w:r>
      <w:r w:rsidR="00B2062A" w:rsidRPr="00050FA4">
        <w:rPr>
          <w:lang w:val="sq-AL"/>
        </w:rPr>
        <w:t>Ndikimi i pritshëm në përfundimet sociale si punësimi, ulja e varfërisë, barazia gjinore dhe aksesi në kujdesin shëndetësor</w:t>
      </w:r>
    </w:p>
    <w:p w14:paraId="051C3041" w14:textId="051E87A2" w:rsidR="002C526F" w:rsidRPr="00050FA4" w:rsidRDefault="002C526F" w:rsidP="003F1DA7">
      <w:pPr>
        <w:pStyle w:val="AAAAAAATEXXXX"/>
        <w:rPr>
          <w:lang w:val="sq-AL"/>
        </w:rPr>
      </w:pPr>
      <w:r w:rsidRPr="00050FA4">
        <w:rPr>
          <w:lang w:val="sq-AL"/>
        </w:rPr>
        <w:t>Masa konsiderohet neutrale ndaj gjinisë. Barazia gjinore do të respektohet gjatë gjithë zbatimit të masës.</w:t>
      </w:r>
    </w:p>
    <w:p w14:paraId="48F36588" w14:textId="1DD09737" w:rsidR="00F30712" w:rsidRPr="00050FA4" w:rsidRDefault="00B52E28" w:rsidP="003F1DA7">
      <w:pPr>
        <w:pStyle w:val="AAAAAAATEXXXX"/>
        <w:rPr>
          <w:lang w:val="sq-AL"/>
        </w:rPr>
      </w:pPr>
      <w:r w:rsidRPr="00050FA4">
        <w:rPr>
          <w:lang w:val="sq-AL"/>
        </w:rPr>
        <w:t xml:space="preserve">6. </w:t>
      </w:r>
      <w:r w:rsidR="00B2062A" w:rsidRPr="00050FA4">
        <w:rPr>
          <w:lang w:val="sq-AL"/>
        </w:rPr>
        <w:t>Ndikimi i pritshëm në mjedis dhe ndryshimi i klimës</w:t>
      </w:r>
    </w:p>
    <w:p w14:paraId="1B438A4C" w14:textId="05C83C77" w:rsidR="002C526F" w:rsidRPr="00050FA4" w:rsidRDefault="002C526F" w:rsidP="003F1DA7">
      <w:pPr>
        <w:pStyle w:val="AAAAAAATEXXXX"/>
        <w:rPr>
          <w:lang w:val="sq-AL"/>
        </w:rPr>
      </w:pPr>
      <w:r w:rsidRPr="00050FA4">
        <w:rPr>
          <w:lang w:val="sq-AL"/>
        </w:rPr>
        <w:t>Masa nuk pritet të ketë ndikim në mjedis.</w:t>
      </w:r>
    </w:p>
    <w:p w14:paraId="0AF2F043" w14:textId="6645EB66" w:rsidR="00F30712" w:rsidRPr="00050FA4" w:rsidRDefault="00B52E28" w:rsidP="003F1DA7">
      <w:pPr>
        <w:pStyle w:val="AAAAAAATEXXXX"/>
        <w:rPr>
          <w:lang w:val="sq-AL"/>
        </w:rPr>
      </w:pPr>
      <w:r w:rsidRPr="00050FA4">
        <w:rPr>
          <w:lang w:val="sq-AL"/>
        </w:rPr>
        <w:t xml:space="preserve">7. </w:t>
      </w:r>
      <w:r w:rsidR="00B2062A" w:rsidRPr="00050FA4">
        <w:rPr>
          <w:lang w:val="sq-AL"/>
        </w:rPr>
        <w:t>Rreziqet e mundshme</w:t>
      </w:r>
    </w:p>
    <w:p w14:paraId="30A50C32" w14:textId="77777777" w:rsidR="004B3389" w:rsidRPr="00050FA4" w:rsidRDefault="004B3389" w:rsidP="003F1DA7">
      <w:pPr>
        <w:pStyle w:val="AAAAAAATEXXXX"/>
        <w:rPr>
          <w:lang w:val="sq-AL"/>
        </w:rPr>
      </w:pPr>
    </w:p>
    <w:tbl>
      <w:tblPr>
        <w:tblStyle w:val="TableGrid2"/>
        <w:tblW w:w="0" w:type="auto"/>
        <w:jc w:val="center"/>
        <w:tblLook w:val="04A0" w:firstRow="1" w:lastRow="0" w:firstColumn="1" w:lastColumn="0" w:noHBand="0" w:noVBand="1"/>
      </w:tblPr>
      <w:tblGrid>
        <w:gridCol w:w="3816"/>
        <w:gridCol w:w="1558"/>
        <w:gridCol w:w="4233"/>
      </w:tblGrid>
      <w:tr w:rsidR="00FA29AB" w:rsidRPr="00050FA4" w14:paraId="6A954B22" w14:textId="77777777" w:rsidTr="00FB44E6">
        <w:trPr>
          <w:jc w:val="center"/>
        </w:trPr>
        <w:tc>
          <w:tcPr>
            <w:tcW w:w="3816" w:type="dxa"/>
            <w:vAlign w:val="center"/>
          </w:tcPr>
          <w:p w14:paraId="46B1275E" w14:textId="48043D4C" w:rsidR="00947108" w:rsidRPr="00050FA4" w:rsidRDefault="00B2062A" w:rsidP="00FB44E6">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Rreziku</w:t>
            </w:r>
          </w:p>
        </w:tc>
        <w:tc>
          <w:tcPr>
            <w:tcW w:w="1558" w:type="dxa"/>
            <w:vAlign w:val="center"/>
          </w:tcPr>
          <w:p w14:paraId="0FC6B30E" w14:textId="77777777" w:rsidR="00FB44E6" w:rsidRPr="00050FA4" w:rsidRDefault="00B2062A" w:rsidP="00FB44E6">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Mundësia</w:t>
            </w:r>
            <w:r w:rsidR="00947108" w:rsidRPr="00050FA4">
              <w:rPr>
                <w:rFonts w:ascii="Garamond" w:hAnsi="Garamond" w:cstheme="majorBidi"/>
                <w:b/>
                <w:color w:val="0D0D0D" w:themeColor="text1" w:themeTint="F2"/>
                <w:sz w:val="18"/>
                <w:szCs w:val="18"/>
              </w:rPr>
              <w:t xml:space="preserve"> </w:t>
            </w:r>
          </w:p>
          <w:p w14:paraId="154026E7" w14:textId="54CFEB76" w:rsidR="00947108" w:rsidRPr="00050FA4" w:rsidRDefault="00947108" w:rsidP="00FB44E6">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w:t>
            </w:r>
            <w:r w:rsidR="00B2062A" w:rsidRPr="00050FA4">
              <w:rPr>
                <w:rFonts w:ascii="Garamond" w:hAnsi="Garamond" w:cstheme="majorBidi"/>
                <w:b/>
                <w:color w:val="0D0D0D" w:themeColor="text1" w:themeTint="F2"/>
                <w:sz w:val="18"/>
                <w:szCs w:val="18"/>
              </w:rPr>
              <w:t>e ulët, e lartë</w:t>
            </w:r>
            <w:r w:rsidRPr="00050FA4">
              <w:rPr>
                <w:rFonts w:ascii="Garamond" w:hAnsi="Garamond" w:cstheme="majorBidi"/>
                <w:b/>
                <w:color w:val="0D0D0D" w:themeColor="text1" w:themeTint="F2"/>
                <w:sz w:val="18"/>
                <w:szCs w:val="18"/>
              </w:rPr>
              <w:t>)</w:t>
            </w:r>
          </w:p>
        </w:tc>
        <w:tc>
          <w:tcPr>
            <w:tcW w:w="4233" w:type="dxa"/>
            <w:vAlign w:val="center"/>
          </w:tcPr>
          <w:p w14:paraId="59213905" w14:textId="66A1FF43" w:rsidR="00947108" w:rsidRPr="00050FA4" w:rsidRDefault="00B2062A" w:rsidP="00FB44E6">
            <w:pPr>
              <w:snapToGrid w:val="0"/>
              <w:jc w:val="center"/>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Veprimi zbutës i parashikuar</w:t>
            </w:r>
          </w:p>
        </w:tc>
      </w:tr>
      <w:tr w:rsidR="00FA29AB" w:rsidRPr="00050FA4" w14:paraId="685D5353" w14:textId="77777777" w:rsidTr="00FB44E6">
        <w:trPr>
          <w:jc w:val="center"/>
        </w:trPr>
        <w:tc>
          <w:tcPr>
            <w:tcW w:w="3816" w:type="dxa"/>
          </w:tcPr>
          <w:p w14:paraId="7C703AC7" w14:textId="741E7EC6" w:rsidR="002C526F" w:rsidRPr="00050FA4" w:rsidRDefault="002C526F" w:rsidP="00A95D23">
            <w:pPr>
              <w:snapToGrid w:val="0"/>
              <w:jc w:val="both"/>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Mungesa e mësuesve të trajnuar me profilin përkatës të TIK-ut për arsimin fillor (për klasën e parë, të dytë, të tretë, të katërt, të pestë)</w:t>
            </w:r>
          </w:p>
        </w:tc>
        <w:tc>
          <w:tcPr>
            <w:tcW w:w="1558" w:type="dxa"/>
          </w:tcPr>
          <w:p w14:paraId="788BE5EA" w14:textId="50F25DFA"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I mesëm</w:t>
            </w:r>
          </w:p>
        </w:tc>
        <w:tc>
          <w:tcPr>
            <w:tcW w:w="4233" w:type="dxa"/>
          </w:tcPr>
          <w:p w14:paraId="2A004B81" w14:textId="7D0C16F5"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Më shumë studentë të TIK-ut që diplomohen në profilin e mësimdhënies. Bashkëpunim me Institucionet e Arsimit të Lartë. Plani i veprimit për trajnimin e mësuesve të TIK-ut.</w:t>
            </w:r>
          </w:p>
        </w:tc>
      </w:tr>
      <w:tr w:rsidR="00FA29AB" w:rsidRPr="00050FA4" w14:paraId="3F1628C4" w14:textId="77777777" w:rsidTr="00FB44E6">
        <w:trPr>
          <w:jc w:val="center"/>
        </w:trPr>
        <w:tc>
          <w:tcPr>
            <w:tcW w:w="3816" w:type="dxa"/>
          </w:tcPr>
          <w:p w14:paraId="5F529195" w14:textId="53D9BEB9" w:rsidR="002C526F" w:rsidRPr="00050FA4" w:rsidRDefault="002C526F" w:rsidP="00A95D23">
            <w:pPr>
              <w:snapToGrid w:val="0"/>
              <w:jc w:val="both"/>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Vështirësi buxhetore në pajisjen e të gjitha shkollave me akses në rrjetin e internetit</w:t>
            </w:r>
          </w:p>
        </w:tc>
        <w:tc>
          <w:tcPr>
            <w:tcW w:w="1558" w:type="dxa"/>
          </w:tcPr>
          <w:p w14:paraId="7DA7F9AF" w14:textId="637693A6"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I Ulët</w:t>
            </w:r>
          </w:p>
        </w:tc>
        <w:tc>
          <w:tcPr>
            <w:tcW w:w="4233" w:type="dxa"/>
          </w:tcPr>
          <w:p w14:paraId="3022B8BE" w14:textId="570B3C57" w:rsidR="002C526F" w:rsidRPr="00050FA4" w:rsidRDefault="002C526F" w:rsidP="00A95D23">
            <w:pPr>
              <w:snapToGrid w:val="0"/>
              <w:rPr>
                <w:rFonts w:ascii="Garamond" w:hAnsi="Garamond" w:cstheme="majorBidi"/>
                <w:color w:val="0D0D0D" w:themeColor="text1" w:themeTint="F2"/>
                <w:sz w:val="18"/>
                <w:szCs w:val="18"/>
              </w:rPr>
            </w:pPr>
            <w:r w:rsidRPr="00050FA4">
              <w:rPr>
                <w:rFonts w:ascii="Garamond" w:hAnsi="Garamond"/>
                <w:color w:val="0D0D0D" w:themeColor="text1" w:themeTint="F2"/>
                <w:sz w:val="18"/>
                <w:szCs w:val="18"/>
              </w:rPr>
              <w:t>Bashkëpunim me AKSHI-n dhe pushtetin vendor përgjegjës për administrimin e shkollës</w:t>
            </w:r>
          </w:p>
        </w:tc>
      </w:tr>
    </w:tbl>
    <w:p w14:paraId="53BAF761" w14:textId="77777777" w:rsidR="00947108" w:rsidRPr="00050FA4" w:rsidRDefault="00947108" w:rsidP="003F1DA7">
      <w:pPr>
        <w:snapToGrid w:val="0"/>
        <w:ind w:firstLine="284"/>
        <w:rPr>
          <w:rFonts w:ascii="Garamond" w:hAnsi="Garamond" w:cstheme="majorBidi"/>
          <w:color w:val="0D0D0D" w:themeColor="text1" w:themeTint="F2"/>
        </w:rPr>
      </w:pPr>
    </w:p>
    <w:p w14:paraId="22CCF4AA" w14:textId="2E440620" w:rsidR="00C21F03" w:rsidRPr="00050FA4" w:rsidRDefault="004127C4" w:rsidP="003F1DA7">
      <w:pPr>
        <w:pStyle w:val="AAAAAAATEXXXX"/>
        <w:rPr>
          <w:b/>
          <w:lang w:val="sq-AL"/>
        </w:rPr>
      </w:pPr>
      <w:bookmarkStart w:id="68" w:name="_Toc93325778"/>
      <w:r w:rsidRPr="00050FA4">
        <w:rPr>
          <w:b/>
          <w:lang w:val="sq-AL"/>
        </w:rPr>
        <w:t xml:space="preserve">5.2.10 </w:t>
      </w:r>
      <w:r w:rsidR="002C526F" w:rsidRPr="00050FA4">
        <w:rPr>
          <w:b/>
          <w:lang w:val="sq-AL"/>
        </w:rPr>
        <w:t>Punësimi dhe tregjet e punës</w:t>
      </w:r>
      <w:bookmarkEnd w:id="68"/>
    </w:p>
    <w:p w14:paraId="1F6C43AB" w14:textId="6E60EC0E" w:rsidR="002E21FD" w:rsidRPr="00050FA4" w:rsidRDefault="00B52E28" w:rsidP="003F1DA7">
      <w:pPr>
        <w:pStyle w:val="AAAAAAATEXXXX"/>
        <w:rPr>
          <w:b/>
          <w:i/>
          <w:lang w:val="sq-AL"/>
        </w:rPr>
      </w:pPr>
      <w:r w:rsidRPr="00050FA4">
        <w:rPr>
          <w:b/>
          <w:i/>
          <w:lang w:val="sq-AL"/>
        </w:rPr>
        <w:t>a</w:t>
      </w:r>
      <w:r w:rsidR="00FB44E6" w:rsidRPr="00050FA4">
        <w:rPr>
          <w:b/>
          <w:i/>
          <w:lang w:val="sq-AL"/>
        </w:rPr>
        <w:t>)</w:t>
      </w:r>
      <w:r w:rsidRPr="00050FA4">
        <w:rPr>
          <w:b/>
          <w:i/>
          <w:lang w:val="sq-AL"/>
        </w:rPr>
        <w:t xml:space="preserve"> </w:t>
      </w:r>
      <w:r w:rsidR="002E21FD" w:rsidRPr="00050FA4">
        <w:rPr>
          <w:b/>
          <w:i/>
          <w:lang w:val="sq-AL"/>
        </w:rPr>
        <w:t>Analiza e pengesave kryesore</w:t>
      </w:r>
    </w:p>
    <w:p w14:paraId="60772686" w14:textId="7F8D1913" w:rsidR="00970CB0" w:rsidRPr="00050FA4" w:rsidRDefault="00970CB0" w:rsidP="003F1DA7">
      <w:pPr>
        <w:pStyle w:val="AAAAAAATEXXXX"/>
        <w:rPr>
          <w:lang w:val="sq-AL"/>
        </w:rPr>
      </w:pPr>
      <w:r w:rsidRPr="00050FA4">
        <w:rPr>
          <w:lang w:val="sq-AL"/>
        </w:rPr>
        <w:t>Gjatë viteve 2014</w:t>
      </w:r>
      <w:r w:rsidR="00FB44E6" w:rsidRPr="00050FA4">
        <w:rPr>
          <w:lang w:val="sq-AL"/>
        </w:rPr>
        <w:t>–</w:t>
      </w:r>
      <w:r w:rsidRPr="00050FA4">
        <w:rPr>
          <w:lang w:val="sq-AL"/>
        </w:rPr>
        <w:t xml:space="preserve">2021 Shqipëria ka bërë përparim të rëndësishëm drejt sigurimit që si burrat ashtu edhe gratë të kenë akses të shtuar në shanse punësimi. Tendenca pozitive e viteve të fundit vazhdoi gjatë gjithë vitit 2019 dhe tremujorit të parë të 2020 në të gjithë treguesit e tregut të punës. Megjithatë, gjatë vitit 2020, pandemia </w:t>
      </w:r>
      <w:r w:rsidR="009F1E3C" w:rsidRPr="00050FA4">
        <w:rPr>
          <w:lang w:val="sq-AL"/>
        </w:rPr>
        <w:t>COVID</w:t>
      </w:r>
      <w:r w:rsidRPr="00050FA4">
        <w:rPr>
          <w:lang w:val="sq-AL"/>
        </w:rPr>
        <w:t xml:space="preserve">-19 dhe masat e marra për të kufizuar përhapjen e virusit ndikuan në tregun shqiptar të punës. Ndikimi i </w:t>
      </w:r>
      <w:r w:rsidR="009F1E3C" w:rsidRPr="00050FA4">
        <w:rPr>
          <w:lang w:val="sq-AL"/>
        </w:rPr>
        <w:t>COVID</w:t>
      </w:r>
      <w:r w:rsidRPr="00050FA4">
        <w:rPr>
          <w:lang w:val="sq-AL"/>
        </w:rPr>
        <w:t>-19 u bë më i theksuar në TM2-2020, siç pasqyrohet nga treguesit standardë të tregut të punës (punësimi, papunësia dhe shkalla e pjesëmarrjes në fuqinë punëtore). Gjatë tremujorit të dytë 2021, shkalla e punësimit për popullsinë nga 15 deri në 64 vjeç është 60,7%. Gjatë këtij tremujori, numri i përgjithshëm i të punësuarve është rritur me 1,0% krahasuar me tremujorin e dytë 2020 dhe me 2,9% krahasuar me tremujorin e parë 2021.</w:t>
      </w:r>
    </w:p>
    <w:p w14:paraId="67B2AFBD" w14:textId="17D0D38C" w:rsidR="00970CB0" w:rsidRPr="00050FA4" w:rsidRDefault="00970CB0" w:rsidP="003F1DA7">
      <w:pPr>
        <w:pStyle w:val="AAAAAAATEXXXX"/>
        <w:rPr>
          <w:lang w:val="sq-AL"/>
        </w:rPr>
      </w:pPr>
      <w:r w:rsidRPr="00050FA4">
        <w:rPr>
          <w:lang w:val="sq-AL"/>
        </w:rPr>
        <w:t xml:space="preserve">Në tremujorin e dytë të vitit 2021, shkalla e pjesëmarrjes në fuqinë punëtore për popullsinë nga 15 deri në 64 vjeç është 69,0%. Norma e pjesëmarrjes në fuqinë punëtore është 0,9 pikë përqindjeje më e lartë </w:t>
      </w:r>
      <w:r w:rsidRPr="00050FA4">
        <w:rPr>
          <w:lang w:val="sq-AL"/>
        </w:rPr>
        <w:lastRenderedPageBreak/>
        <w:t>krahasuar me tremujorin e dytë 2020 dhe është rritur gjithashtu me 1,5 pikë përqindje krahasuar me tremujorin paraardhës. Shkalla e pjesëmarrjes së grave në fuqinë punëtore është 60,9%, ndërsa për burrat ky tregues është 77,3%. Shkalla e pjesëmarrjes së burrave në fuqinë punëtore është 16.4 pikë përqindje më e lartë se e grave. Shkalla e pjesëmarrjes në fuqinë punëtore për gratë është rritur me 0,2 pikë përqindje dhe për burrat është rritur me 1,6 pikë përqindje krahasuar me të njëjtin tremujor të vitit 2020</w:t>
      </w:r>
      <w:r w:rsidR="00535FB4" w:rsidRPr="00050FA4">
        <w:rPr>
          <w:lang w:val="sq-AL"/>
        </w:rPr>
        <w:t>/</w:t>
      </w:r>
      <w:r w:rsidRPr="00050FA4">
        <w:rPr>
          <w:lang w:val="sq-AL"/>
        </w:rPr>
        <w:t>Gjatë tremujorit të dytë 2021, shkalla e pjesëmarrjes në fuqinë punëtore të të rinjve (popullsia nga 15 në 29 vjeç) është 51,9 %. Ky tregues u rrit me 1,1 pikë përqindjeje krahasuar me tremujorin e dytë 2020.</w:t>
      </w:r>
    </w:p>
    <w:p w14:paraId="7DB3BC50" w14:textId="7B836785" w:rsidR="00970CB0" w:rsidRPr="00050FA4" w:rsidRDefault="00970CB0" w:rsidP="003F1DA7">
      <w:pPr>
        <w:pStyle w:val="AAAAAAATEXXXX"/>
        <w:rPr>
          <w:lang w:val="sq-AL"/>
        </w:rPr>
      </w:pPr>
      <w:r w:rsidRPr="00050FA4">
        <w:rPr>
          <w:lang w:val="sq-AL"/>
        </w:rPr>
        <w:t xml:space="preserve">Pavarësisht se shkalla e punësimit është përmirësuar ndjeshëm në vitet e fundit, Shqipëria mbetet pas mesatares së Bashkimit Evropian. Shkalla e punësimit është </w:t>
      </w:r>
      <w:r w:rsidR="00A417C0" w:rsidRPr="00050FA4">
        <w:rPr>
          <w:lang w:val="sq-AL"/>
        </w:rPr>
        <w:t>përmirësuar ndjeshëm sidomos te</w:t>
      </w:r>
      <w:r w:rsidRPr="00050FA4">
        <w:rPr>
          <w:lang w:val="sq-AL"/>
        </w:rPr>
        <w:t xml:space="preserve"> gratë (nga 40% në 2013 në 53.7% në TM2-2021). Megjithatë, pabarazia gjinore në punësim mbetet problematike, ku shkalla e punësimit të meshkujve tejkalon atë të femrave me 14,1%. Shkalla e punësimit është rritur me 1,6 pikë përqindje për burrat dhe për gratë me 0,5 pikë përqindje krahasuar me të njëjtin tremujor të vitit 2020. Shkalla e punësimit të të rinjve është 41,6%. Pavarësisht një rritjeje prej 1,9 pikë përqindjeje në vitin 2021, punësimi i të rinjve 15-24 vjeç mbetet prapa pjesës tjetër të popullsisë së rritur, duke qëndruar në një mesatare prej 41,6% në vitin 2021. Megjithatë, normat e pjesëmarrjes në fuqinë punëtore mbeten gjithashtu nën mesataret e BE-së, me një hendeku gjinor prej 16%. Në vitin 2021, shkalla e pjesëmarrjes së të rinjve (popullsia nga 15 deri në 29 vjeç) vazhdoi të ishte më e ulët se për pjesën tjetër të popullsisë së rritur (51.9%). Ky tregues është rritur me 1,1 pikë përqindjeje krahasuar me tremujorin e dytë 2020 dhe me 1,7 pikë përqindje krahasuar me tremujorin e parë 2021.</w:t>
      </w:r>
    </w:p>
    <w:p w14:paraId="525593FF" w14:textId="77777777" w:rsidR="00970CB0" w:rsidRPr="00050FA4" w:rsidRDefault="00970CB0" w:rsidP="003F1DA7">
      <w:pPr>
        <w:pStyle w:val="AAAAAAATEXXXX"/>
        <w:rPr>
          <w:lang w:val="sq-AL"/>
        </w:rPr>
      </w:pPr>
      <w:r w:rsidRPr="00050FA4">
        <w:rPr>
          <w:lang w:val="sq-AL"/>
        </w:rPr>
        <w:t>Në tremujorin e dytë të vitit 2021, shkalla zyrtare e papunësisë në Shqipëri, për popullsinë 15 vjeç e lart është 11,6%. Në terma vjetorë, niveli i papunësisë u ul me 2,5%, dhe krahasuar me tremujorin paraardhës u ul me 1,9%. Në tremujorin e dytë të vitit 2021, shkalla zyrtare e papunësisë në Shqipëri është 11,6%. Shkalla zyrtare e papunësisë është ulur me 0,3 pikë përqindjeje krahasuar me tremujorin e dytë 2020 dhe me tremujorin e parë të 2021. Shkalla zyrtare e papunësisë është 11,8% për meshkujt dhe 11,3% për femrat. Shkalla e papunësisë.</w:t>
      </w:r>
    </w:p>
    <w:p w14:paraId="1186CC33" w14:textId="46D1B7AD" w:rsidR="00970CB0" w:rsidRPr="00050FA4" w:rsidRDefault="00970CB0" w:rsidP="003F1DA7">
      <w:pPr>
        <w:pStyle w:val="AAAAAAATEXXXX"/>
        <w:rPr>
          <w:lang w:val="sq-AL"/>
        </w:rPr>
      </w:pPr>
      <w:r w:rsidRPr="00050FA4">
        <w:rPr>
          <w:lang w:val="sq-AL"/>
        </w:rPr>
        <w:t>Shkalla e papunësisë u ul me 0,2 pikë përqindje për burrat dhe me 0,6 pikë përqindje për gratë, krahasuar me të njëjtin tremujor të vitit 2020. Papunësia e të rinjve është ulur nga një kulm prej rreth 43% në 2014 në 26,5% në 2020 për grup</w:t>
      </w:r>
      <w:r w:rsidR="004B3389" w:rsidRPr="00050FA4">
        <w:rPr>
          <w:lang w:val="sq-AL"/>
        </w:rPr>
        <w:t>-</w:t>
      </w:r>
      <w:r w:rsidRPr="00050FA4">
        <w:rPr>
          <w:lang w:val="sq-AL"/>
        </w:rPr>
        <w:t>moshën 15-25 vjeç. Një përqindje e lartë e të rinjve as në punësim, as në arsim dhe trajnim (NEET), veçanërisht në mesin e më të arsimuarve tregon një tranzicion sfidues të tregut të punës për të rinjtë.</w:t>
      </w:r>
    </w:p>
    <w:p w14:paraId="6F3156B8" w14:textId="75E12EC5" w:rsidR="00970CB0" w:rsidRPr="00050FA4" w:rsidRDefault="00970CB0" w:rsidP="003F1DA7">
      <w:pPr>
        <w:pStyle w:val="AAAAAAATEXXXX"/>
        <w:rPr>
          <w:rFonts w:cstheme="majorBidi"/>
          <w:lang w:val="sq-AL"/>
        </w:rPr>
      </w:pPr>
      <w:r w:rsidRPr="00050FA4">
        <w:rPr>
          <w:lang w:val="sq-AL"/>
        </w:rPr>
        <w:t>Norma e NEET për Shqipërinë në 2020 ishte 27.9, nga 26.6 në 2019 (INSTAT), më shumë se dyfishi i mesatares së BE-27 (12.6%). Në këtë grup, 36,5% klasifikohen si të papunë (INSTAT 2020). Shkalla e papunësisë së të rinjve ishte 21.5% në 2019. Megjithatë vetëm rreth 18,000 të rinj NEET, nga gjithsej që janë mbi 190,000, janë regjistruar në Shërbimin Publik të Punësimit dhe shtrirja duhet të shtrihet përtej këtij grupi që përfaqëson më pak se 10% të të rinjve NEET. Të rinjtë në Shqipëri aktualisht vuajnë nga disa sfida, duke përfshirë një shkallë të ulët punësimi prej 21.5%, një nga më të ulëtat në rajon.</w:t>
      </w:r>
    </w:p>
    <w:bookmarkEnd w:id="58"/>
    <w:bookmarkEnd w:id="59"/>
    <w:p w14:paraId="7DF31FA3" w14:textId="77777777" w:rsidR="000F7E5A" w:rsidRPr="00050FA4" w:rsidRDefault="000F7E5A" w:rsidP="003F1DA7">
      <w:pPr>
        <w:snapToGrid w:val="0"/>
        <w:ind w:firstLine="284"/>
        <w:rPr>
          <w:rFonts w:ascii="Garamond" w:hAnsi="Garamond" w:cstheme="majorBidi"/>
          <w:color w:val="0D0D0D" w:themeColor="text1" w:themeTint="F2"/>
        </w:rPr>
      </w:pPr>
    </w:p>
    <w:p w14:paraId="7311A553" w14:textId="28976BF0" w:rsidR="000F7E5A" w:rsidRPr="00050FA4" w:rsidRDefault="004127C4" w:rsidP="003F1DA7">
      <w:pPr>
        <w:pStyle w:val="AAAAAAATEXXXX"/>
        <w:rPr>
          <w:lang w:val="sq-AL"/>
        </w:rPr>
      </w:pPr>
      <w:bookmarkStart w:id="69" w:name="_Toc93325779"/>
      <w:r w:rsidRPr="00050FA4">
        <w:rPr>
          <w:lang w:val="sq-AL"/>
        </w:rPr>
        <w:t xml:space="preserve">5.3. </w:t>
      </w:r>
      <w:r w:rsidR="005E44FE" w:rsidRPr="00050FA4">
        <w:rPr>
          <w:lang w:val="sq-AL"/>
        </w:rPr>
        <w:t>Përmbledhje e m</w:t>
      </w:r>
      <w:r w:rsidR="00B2062A" w:rsidRPr="00050FA4">
        <w:rPr>
          <w:lang w:val="sq-AL"/>
        </w:rPr>
        <w:t>asa</w:t>
      </w:r>
      <w:r w:rsidR="005E44FE" w:rsidRPr="00050FA4">
        <w:rPr>
          <w:lang w:val="sq-AL"/>
        </w:rPr>
        <w:t>ve të</w:t>
      </w:r>
      <w:r w:rsidR="00B2062A" w:rsidRPr="00050FA4">
        <w:rPr>
          <w:lang w:val="sq-AL"/>
        </w:rPr>
        <w:t xml:space="preserve"> reformës</w:t>
      </w:r>
      <w:bookmarkEnd w:id="69"/>
    </w:p>
    <w:tbl>
      <w:tblPr>
        <w:tblStyle w:val="TableGrid"/>
        <w:tblW w:w="0" w:type="auto"/>
        <w:jc w:val="center"/>
        <w:tblLook w:val="04A0" w:firstRow="1" w:lastRow="0" w:firstColumn="1" w:lastColumn="0" w:noHBand="0" w:noVBand="1"/>
      </w:tblPr>
      <w:tblGrid>
        <w:gridCol w:w="10116"/>
      </w:tblGrid>
      <w:tr w:rsidR="00FA29AB" w:rsidRPr="00050FA4" w14:paraId="44E5FA94" w14:textId="77777777" w:rsidTr="00617B60">
        <w:trPr>
          <w:jc w:val="center"/>
        </w:trPr>
        <w:tc>
          <w:tcPr>
            <w:tcW w:w="10343" w:type="dxa"/>
          </w:tcPr>
          <w:p w14:paraId="1CC7AF06" w14:textId="01C036F7" w:rsidR="003276FB" w:rsidRPr="00050FA4" w:rsidRDefault="00B52E28" w:rsidP="00A95D23">
            <w:pPr>
              <w:pStyle w:val="AAAAAAATEXXXX"/>
              <w:ind w:firstLine="0"/>
              <w:rPr>
                <w:sz w:val="18"/>
                <w:szCs w:val="18"/>
                <w:lang w:val="sq-AL"/>
              </w:rPr>
            </w:pPr>
            <w:r w:rsidRPr="00050FA4">
              <w:rPr>
                <w:sz w:val="18"/>
                <w:szCs w:val="18"/>
                <w:lang w:val="sq-AL"/>
              </w:rPr>
              <w:t>A</w:t>
            </w:r>
            <w:r w:rsidR="007808AC" w:rsidRPr="00050FA4">
              <w:rPr>
                <w:sz w:val="18"/>
                <w:szCs w:val="18"/>
                <w:lang w:val="sq-AL"/>
              </w:rPr>
              <w:t>.</w:t>
            </w:r>
            <w:r w:rsidRPr="00050FA4">
              <w:rPr>
                <w:sz w:val="18"/>
                <w:szCs w:val="18"/>
                <w:lang w:val="sq-AL"/>
              </w:rPr>
              <w:t xml:space="preserve"> </w:t>
            </w:r>
            <w:r w:rsidR="003276FB" w:rsidRPr="00050FA4">
              <w:rPr>
                <w:sz w:val="18"/>
                <w:szCs w:val="18"/>
                <w:lang w:val="sq-AL"/>
              </w:rPr>
              <w:t>Reformat që trajtojnë tr</w:t>
            </w:r>
            <w:r w:rsidR="007808AC" w:rsidRPr="00050FA4">
              <w:rPr>
                <w:sz w:val="18"/>
                <w:szCs w:val="18"/>
                <w:lang w:val="sq-AL"/>
              </w:rPr>
              <w:t>i</w:t>
            </w:r>
            <w:r w:rsidR="003276FB" w:rsidRPr="00050FA4">
              <w:rPr>
                <w:sz w:val="18"/>
                <w:szCs w:val="18"/>
                <w:lang w:val="sq-AL"/>
              </w:rPr>
              <w:t xml:space="preserve"> sfidat kyçe</w:t>
            </w:r>
          </w:p>
          <w:p w14:paraId="0A0FD779" w14:textId="0E0E0288" w:rsidR="003276FB" w:rsidRPr="00050FA4" w:rsidRDefault="003276FB" w:rsidP="00A95D23">
            <w:pPr>
              <w:pStyle w:val="AAAAAAATEXXXX"/>
              <w:ind w:firstLine="0"/>
              <w:rPr>
                <w:sz w:val="18"/>
                <w:szCs w:val="18"/>
                <w:lang w:val="sq-AL"/>
              </w:rPr>
            </w:pPr>
            <w:r w:rsidRPr="00050FA4">
              <w:rPr>
                <w:sz w:val="18"/>
                <w:szCs w:val="18"/>
                <w:lang w:val="sq-AL"/>
              </w:rPr>
              <w:t xml:space="preserve">Sfida </w:t>
            </w:r>
            <w:r w:rsidR="007808AC" w:rsidRPr="00050FA4">
              <w:rPr>
                <w:sz w:val="18"/>
                <w:szCs w:val="18"/>
                <w:lang w:val="sq-AL"/>
              </w:rPr>
              <w:t xml:space="preserve">kyçe </w:t>
            </w:r>
            <w:r w:rsidRPr="00050FA4">
              <w:rPr>
                <w:sz w:val="18"/>
                <w:szCs w:val="18"/>
                <w:lang w:val="sq-AL"/>
              </w:rPr>
              <w:t>#1</w:t>
            </w:r>
          </w:p>
          <w:p w14:paraId="1CC9FC0D" w14:textId="77777777" w:rsidR="003276FB" w:rsidRPr="00050FA4" w:rsidRDefault="003276FB" w:rsidP="00A95D23">
            <w:pPr>
              <w:pStyle w:val="AAAAAAATEXXXX"/>
              <w:ind w:firstLine="0"/>
              <w:rPr>
                <w:sz w:val="18"/>
                <w:szCs w:val="18"/>
                <w:lang w:val="sq-AL"/>
              </w:rPr>
            </w:pPr>
            <w:r w:rsidRPr="00050FA4">
              <w:rPr>
                <w:sz w:val="18"/>
                <w:szCs w:val="18"/>
                <w:lang w:val="sq-AL"/>
              </w:rPr>
              <w:t>Reforma 01: Rritja e cilësisë dhe aksesit në AFP</w:t>
            </w:r>
          </w:p>
          <w:p w14:paraId="0BD72FF4" w14:textId="103408AC" w:rsidR="003276FB" w:rsidRPr="00050FA4" w:rsidRDefault="003276FB" w:rsidP="00A95D23">
            <w:pPr>
              <w:pStyle w:val="AAAAAAATEXXXX"/>
              <w:ind w:firstLine="0"/>
              <w:rPr>
                <w:sz w:val="18"/>
                <w:szCs w:val="18"/>
                <w:lang w:val="sq-AL"/>
              </w:rPr>
            </w:pPr>
            <w:r w:rsidRPr="00050FA4">
              <w:rPr>
                <w:sz w:val="18"/>
                <w:szCs w:val="18"/>
                <w:lang w:val="sq-AL"/>
              </w:rPr>
              <w:t xml:space="preserve">Reforma 02: </w:t>
            </w:r>
            <w:r w:rsidR="00863BC8" w:rsidRPr="00050FA4">
              <w:rPr>
                <w:sz w:val="18"/>
                <w:szCs w:val="18"/>
                <w:lang w:val="sq-AL"/>
              </w:rPr>
              <w:t>Përmirësimi i punësueshmërisë së punëkërkuesve të papunë më vulnerabël, veçanërisht atyre të prekur nga COVID-19, përmes PNP-ve dhe shërbimeve të punësimit të reja dhe të rishikuara</w:t>
            </w:r>
          </w:p>
          <w:p w14:paraId="59576414" w14:textId="77777777" w:rsidR="003276FB" w:rsidRPr="00050FA4" w:rsidRDefault="003276FB" w:rsidP="00A95D23">
            <w:pPr>
              <w:pStyle w:val="AAAAAAATEXXXX"/>
              <w:ind w:firstLine="0"/>
              <w:rPr>
                <w:sz w:val="18"/>
                <w:szCs w:val="18"/>
                <w:lang w:val="sq-AL"/>
              </w:rPr>
            </w:pPr>
            <w:r w:rsidRPr="00050FA4">
              <w:rPr>
                <w:sz w:val="18"/>
                <w:szCs w:val="18"/>
                <w:lang w:val="sq-AL"/>
              </w:rPr>
              <w:t>Reforma 03: Përmirësimi i kapaciteteve institucionale, financiare dhe njerëzore për kërkim dhe inovacion</w:t>
            </w:r>
          </w:p>
          <w:p w14:paraId="11B0A884" w14:textId="65FF069A" w:rsidR="003276FB" w:rsidRPr="00050FA4" w:rsidRDefault="003276FB" w:rsidP="00A95D23">
            <w:pPr>
              <w:pStyle w:val="AAAAAAATEXXXX"/>
              <w:ind w:firstLine="0"/>
              <w:rPr>
                <w:sz w:val="18"/>
                <w:szCs w:val="18"/>
                <w:lang w:val="sq-AL"/>
              </w:rPr>
            </w:pPr>
            <w:r w:rsidRPr="00050FA4">
              <w:rPr>
                <w:sz w:val="18"/>
                <w:szCs w:val="18"/>
                <w:lang w:val="sq-AL"/>
              </w:rPr>
              <w:t xml:space="preserve">Sfida </w:t>
            </w:r>
            <w:r w:rsidR="007808AC" w:rsidRPr="00050FA4">
              <w:rPr>
                <w:sz w:val="18"/>
                <w:szCs w:val="18"/>
                <w:lang w:val="sq-AL"/>
              </w:rPr>
              <w:t xml:space="preserve">kyçe </w:t>
            </w:r>
            <w:r w:rsidRPr="00050FA4">
              <w:rPr>
                <w:sz w:val="18"/>
                <w:szCs w:val="18"/>
                <w:lang w:val="sq-AL"/>
              </w:rPr>
              <w:t>#2</w:t>
            </w:r>
          </w:p>
          <w:p w14:paraId="413D9244" w14:textId="77777777" w:rsidR="003276FB" w:rsidRPr="00050FA4" w:rsidRDefault="003276FB" w:rsidP="00A95D23">
            <w:pPr>
              <w:pStyle w:val="AAAAAAATEXXXX"/>
              <w:ind w:firstLine="0"/>
              <w:rPr>
                <w:sz w:val="18"/>
                <w:szCs w:val="18"/>
                <w:lang w:val="sq-AL"/>
              </w:rPr>
            </w:pPr>
            <w:r w:rsidRPr="00050FA4">
              <w:rPr>
                <w:sz w:val="18"/>
                <w:szCs w:val="18"/>
                <w:lang w:val="sq-AL"/>
              </w:rPr>
              <w:t>Reforma 04: Rritja e mbulimit dhe përshtatshmërisë së mbrojtjes sociale dhe sigurimeve shëndetësore për të ulur përqindjen e popullsisë së rrezikuar nga varfëria</w:t>
            </w:r>
          </w:p>
          <w:p w14:paraId="72210B06" w14:textId="77777777" w:rsidR="003276FB" w:rsidRPr="00050FA4" w:rsidRDefault="003276FB" w:rsidP="00A95D23">
            <w:pPr>
              <w:pStyle w:val="AAAAAAATEXXXX"/>
              <w:ind w:firstLine="0"/>
              <w:rPr>
                <w:sz w:val="18"/>
                <w:szCs w:val="18"/>
                <w:lang w:val="sq-AL"/>
              </w:rPr>
            </w:pPr>
            <w:r w:rsidRPr="00050FA4">
              <w:rPr>
                <w:sz w:val="18"/>
                <w:szCs w:val="18"/>
                <w:lang w:val="sq-AL"/>
              </w:rPr>
              <w:t>Reforma 05: Rritja e aksesit në kujdesin shëndetësor</w:t>
            </w:r>
          </w:p>
          <w:p w14:paraId="33BEC4F9" w14:textId="7DF08DC9" w:rsidR="003276FB" w:rsidRPr="00050FA4" w:rsidRDefault="003276FB" w:rsidP="00A95D23">
            <w:pPr>
              <w:pStyle w:val="AAAAAAATEXXXX"/>
              <w:ind w:firstLine="0"/>
              <w:rPr>
                <w:sz w:val="18"/>
                <w:szCs w:val="18"/>
                <w:lang w:val="sq-AL"/>
              </w:rPr>
            </w:pPr>
            <w:r w:rsidRPr="00050FA4">
              <w:rPr>
                <w:sz w:val="18"/>
                <w:szCs w:val="18"/>
                <w:lang w:val="sq-AL"/>
              </w:rPr>
              <w:t xml:space="preserve">Sfida </w:t>
            </w:r>
            <w:r w:rsidR="007808AC" w:rsidRPr="00050FA4">
              <w:rPr>
                <w:sz w:val="18"/>
                <w:szCs w:val="18"/>
                <w:lang w:val="sq-AL"/>
              </w:rPr>
              <w:t xml:space="preserve">kyçe </w:t>
            </w:r>
            <w:r w:rsidRPr="00050FA4">
              <w:rPr>
                <w:sz w:val="18"/>
                <w:szCs w:val="18"/>
                <w:lang w:val="sq-AL"/>
              </w:rPr>
              <w:t>#3</w:t>
            </w:r>
          </w:p>
          <w:p w14:paraId="38975083" w14:textId="77777777" w:rsidR="003276FB" w:rsidRPr="00050FA4" w:rsidRDefault="003276FB" w:rsidP="00A95D23">
            <w:pPr>
              <w:pStyle w:val="AAAAAAATEXXXX"/>
              <w:ind w:firstLine="0"/>
              <w:rPr>
                <w:sz w:val="18"/>
                <w:szCs w:val="18"/>
                <w:lang w:val="sq-AL"/>
              </w:rPr>
            </w:pPr>
            <w:r w:rsidRPr="00050FA4">
              <w:rPr>
                <w:sz w:val="18"/>
                <w:szCs w:val="18"/>
                <w:lang w:val="sq-AL"/>
              </w:rPr>
              <w:t>Reforma 06: Fuqizimi i luftës kundër informalitetit</w:t>
            </w:r>
          </w:p>
          <w:p w14:paraId="1FF87314" w14:textId="77777777" w:rsidR="003276FB" w:rsidRPr="00050FA4" w:rsidRDefault="003276FB" w:rsidP="00A95D23">
            <w:pPr>
              <w:pStyle w:val="AAAAAAATEXXXX"/>
              <w:ind w:firstLine="0"/>
              <w:rPr>
                <w:sz w:val="18"/>
                <w:szCs w:val="18"/>
                <w:lang w:val="sq-AL"/>
              </w:rPr>
            </w:pPr>
            <w:r w:rsidRPr="00050FA4">
              <w:rPr>
                <w:sz w:val="18"/>
                <w:szCs w:val="18"/>
                <w:lang w:val="sq-AL"/>
              </w:rPr>
              <w:t xml:space="preserve">Reforma 07: Zhvillimi i kuadrit ligjor për të mbështetur </w:t>
            </w:r>
            <w:r w:rsidRPr="00050FA4">
              <w:rPr>
                <w:i/>
                <w:sz w:val="18"/>
                <w:szCs w:val="18"/>
                <w:lang w:val="sq-AL"/>
              </w:rPr>
              <w:t>start-up</w:t>
            </w:r>
            <w:r w:rsidRPr="00050FA4">
              <w:rPr>
                <w:sz w:val="18"/>
                <w:szCs w:val="18"/>
                <w:lang w:val="sq-AL"/>
              </w:rPr>
              <w:t xml:space="preserve"> inovative</w:t>
            </w:r>
          </w:p>
          <w:p w14:paraId="196396AB" w14:textId="77777777" w:rsidR="003276FB" w:rsidRPr="00050FA4" w:rsidRDefault="003276FB" w:rsidP="00A95D23">
            <w:pPr>
              <w:pStyle w:val="AAAAAAATEXXXX"/>
              <w:ind w:firstLine="0"/>
              <w:rPr>
                <w:sz w:val="18"/>
                <w:szCs w:val="18"/>
                <w:lang w:val="sq-AL"/>
              </w:rPr>
            </w:pPr>
            <w:r w:rsidRPr="00050FA4">
              <w:rPr>
                <w:sz w:val="18"/>
                <w:szCs w:val="18"/>
                <w:lang w:val="sq-AL"/>
              </w:rPr>
              <w:t>Reforma 08: Masat mbështetëse për NMVM</w:t>
            </w:r>
          </w:p>
          <w:p w14:paraId="06BE12DA" w14:textId="5BE0BB32" w:rsidR="003276FB" w:rsidRPr="00050FA4" w:rsidRDefault="003276FB" w:rsidP="00A95D23">
            <w:pPr>
              <w:pStyle w:val="AAAAAAATEXXXX"/>
              <w:ind w:firstLine="0"/>
              <w:rPr>
                <w:sz w:val="18"/>
                <w:szCs w:val="18"/>
                <w:lang w:val="sq-AL"/>
              </w:rPr>
            </w:pPr>
            <w:r w:rsidRPr="00050FA4">
              <w:rPr>
                <w:sz w:val="18"/>
                <w:szCs w:val="18"/>
                <w:lang w:val="sq-AL"/>
              </w:rPr>
              <w:t>Reforma 09: Modernizimi i instrumenteve të pagesave me vlerë të vogël</w:t>
            </w:r>
          </w:p>
        </w:tc>
      </w:tr>
      <w:tr w:rsidR="00FA29AB" w:rsidRPr="00050FA4" w14:paraId="18180724" w14:textId="77777777" w:rsidTr="00617B60">
        <w:trPr>
          <w:jc w:val="center"/>
        </w:trPr>
        <w:tc>
          <w:tcPr>
            <w:tcW w:w="10343" w:type="dxa"/>
          </w:tcPr>
          <w:p w14:paraId="45CAE13F" w14:textId="4B081EEF" w:rsidR="003276FB" w:rsidRPr="00050FA4" w:rsidRDefault="007808AC" w:rsidP="00A95D23">
            <w:pPr>
              <w:pStyle w:val="AAAAAAATEXXXX"/>
              <w:ind w:firstLine="0"/>
              <w:rPr>
                <w:sz w:val="18"/>
                <w:szCs w:val="18"/>
                <w:lang w:val="sq-AL"/>
              </w:rPr>
            </w:pPr>
            <w:r w:rsidRPr="00050FA4">
              <w:rPr>
                <w:sz w:val="18"/>
                <w:szCs w:val="18"/>
                <w:lang w:val="sq-AL"/>
              </w:rPr>
              <w:t>B.</w:t>
            </w:r>
            <w:r w:rsidR="00B52E28" w:rsidRPr="00050FA4">
              <w:rPr>
                <w:sz w:val="18"/>
                <w:szCs w:val="18"/>
                <w:lang w:val="sq-AL"/>
              </w:rPr>
              <w:t xml:space="preserve"> </w:t>
            </w:r>
            <w:r w:rsidR="003276FB" w:rsidRPr="00050FA4">
              <w:rPr>
                <w:sz w:val="18"/>
                <w:szCs w:val="18"/>
                <w:lang w:val="sq-AL"/>
              </w:rPr>
              <w:t>Reformat që trajtojnë sfida të tjera</w:t>
            </w:r>
          </w:p>
          <w:p w14:paraId="3674076C" w14:textId="77777777" w:rsidR="003276FB" w:rsidRPr="00050FA4" w:rsidRDefault="003276FB" w:rsidP="00A95D23">
            <w:pPr>
              <w:pStyle w:val="AAAAAAATEXXXX"/>
              <w:ind w:firstLine="0"/>
              <w:rPr>
                <w:sz w:val="18"/>
                <w:szCs w:val="18"/>
                <w:lang w:val="sq-AL"/>
              </w:rPr>
            </w:pPr>
            <w:r w:rsidRPr="00050FA4">
              <w:rPr>
                <w:sz w:val="18"/>
                <w:szCs w:val="18"/>
                <w:lang w:val="sq-AL"/>
              </w:rPr>
              <w:t>Menaxhimi i Financave Publike</w:t>
            </w:r>
          </w:p>
          <w:p w14:paraId="1C4D8850" w14:textId="77777777" w:rsidR="003276FB" w:rsidRPr="00050FA4" w:rsidRDefault="003276FB" w:rsidP="00A95D23">
            <w:pPr>
              <w:pStyle w:val="AAAAAAATEXXXX"/>
              <w:ind w:firstLine="0"/>
              <w:rPr>
                <w:sz w:val="18"/>
                <w:szCs w:val="18"/>
                <w:lang w:val="sq-AL"/>
              </w:rPr>
            </w:pPr>
            <w:r w:rsidRPr="00050FA4">
              <w:rPr>
                <w:sz w:val="18"/>
                <w:szCs w:val="18"/>
                <w:lang w:val="sq-AL"/>
              </w:rPr>
              <w:t>Reforma 10: Investimet strategjike publike</w:t>
            </w:r>
          </w:p>
          <w:p w14:paraId="0D0DE5F6" w14:textId="19446690" w:rsidR="003276FB" w:rsidRPr="00050FA4" w:rsidRDefault="00863BC8" w:rsidP="00A95D23">
            <w:pPr>
              <w:pStyle w:val="AAAAAAATEXXXX"/>
              <w:ind w:firstLine="0"/>
              <w:rPr>
                <w:bCs/>
                <w:sz w:val="18"/>
                <w:szCs w:val="18"/>
                <w:lang w:val="sq-AL"/>
              </w:rPr>
            </w:pPr>
            <w:r w:rsidRPr="00050FA4">
              <w:rPr>
                <w:bCs/>
                <w:sz w:val="18"/>
                <w:szCs w:val="18"/>
                <w:lang w:val="sq-AL"/>
              </w:rPr>
              <w:t xml:space="preserve">Transformimi </w:t>
            </w:r>
            <w:r w:rsidR="00C948AF" w:rsidRPr="00050FA4">
              <w:rPr>
                <w:bCs/>
                <w:sz w:val="18"/>
                <w:szCs w:val="18"/>
                <w:lang w:val="sq-AL"/>
              </w:rPr>
              <w:t>digjital</w:t>
            </w:r>
            <w:r w:rsidRPr="00050FA4">
              <w:rPr>
                <w:bCs/>
                <w:sz w:val="18"/>
                <w:szCs w:val="18"/>
                <w:lang w:val="sq-AL"/>
              </w:rPr>
              <w:t>, kërkim, zhvillim dhe inovacion</w:t>
            </w:r>
          </w:p>
          <w:p w14:paraId="693BC822" w14:textId="77777777" w:rsidR="003276FB" w:rsidRPr="00050FA4" w:rsidRDefault="003276FB" w:rsidP="00A95D23">
            <w:pPr>
              <w:pStyle w:val="AAAAAAATEXXXX"/>
              <w:ind w:firstLine="0"/>
              <w:rPr>
                <w:sz w:val="18"/>
                <w:szCs w:val="18"/>
                <w:lang w:val="sq-AL"/>
              </w:rPr>
            </w:pPr>
            <w:r w:rsidRPr="00050FA4">
              <w:rPr>
                <w:sz w:val="18"/>
                <w:szCs w:val="18"/>
                <w:lang w:val="sq-AL"/>
              </w:rPr>
              <w:t xml:space="preserve">Reforma 11: Zhvillimi i infrastrukturës </w:t>
            </w:r>
            <w:r w:rsidRPr="00050FA4">
              <w:rPr>
                <w:i/>
                <w:sz w:val="18"/>
                <w:szCs w:val="18"/>
                <w:lang w:val="sq-AL"/>
              </w:rPr>
              <w:t>broadband</w:t>
            </w:r>
            <w:r w:rsidRPr="00050FA4">
              <w:rPr>
                <w:sz w:val="18"/>
                <w:szCs w:val="18"/>
                <w:lang w:val="sq-AL"/>
              </w:rPr>
              <w:t xml:space="preserve"> për ekonominë digjitale</w:t>
            </w:r>
          </w:p>
          <w:p w14:paraId="1B1EF649" w14:textId="77777777" w:rsidR="003276FB" w:rsidRPr="00050FA4" w:rsidRDefault="003276FB" w:rsidP="00A95D23">
            <w:pPr>
              <w:pStyle w:val="AAAAAAATEXXXX"/>
              <w:ind w:firstLine="0"/>
              <w:rPr>
                <w:sz w:val="18"/>
                <w:szCs w:val="18"/>
                <w:lang w:val="sq-AL"/>
              </w:rPr>
            </w:pPr>
            <w:r w:rsidRPr="00050FA4">
              <w:rPr>
                <w:sz w:val="18"/>
                <w:szCs w:val="18"/>
                <w:lang w:val="sq-AL"/>
              </w:rPr>
              <w:t>Integrimi Ekonomik</w:t>
            </w:r>
          </w:p>
          <w:p w14:paraId="0DDB15DB" w14:textId="77777777" w:rsidR="003276FB" w:rsidRPr="00050FA4" w:rsidRDefault="003276FB" w:rsidP="00A95D23">
            <w:pPr>
              <w:pStyle w:val="AAAAAAATEXXXX"/>
              <w:ind w:firstLine="0"/>
              <w:rPr>
                <w:sz w:val="18"/>
                <w:szCs w:val="18"/>
                <w:lang w:val="sq-AL"/>
              </w:rPr>
            </w:pPr>
            <w:r w:rsidRPr="00050FA4">
              <w:rPr>
                <w:sz w:val="18"/>
                <w:szCs w:val="18"/>
                <w:lang w:val="sq-AL"/>
              </w:rPr>
              <w:lastRenderedPageBreak/>
              <w:t>Reforma 12: Thellimi i integrimit ekonomik</w:t>
            </w:r>
          </w:p>
          <w:p w14:paraId="0666FE1E" w14:textId="77777777" w:rsidR="003276FB" w:rsidRPr="00050FA4" w:rsidRDefault="003276FB" w:rsidP="00A95D23">
            <w:pPr>
              <w:pStyle w:val="AAAAAAATEXXXX"/>
              <w:ind w:firstLine="0"/>
              <w:rPr>
                <w:sz w:val="18"/>
                <w:szCs w:val="18"/>
                <w:lang w:val="sq-AL"/>
              </w:rPr>
            </w:pPr>
            <w:r w:rsidRPr="00050FA4">
              <w:rPr>
                <w:sz w:val="18"/>
                <w:szCs w:val="18"/>
                <w:lang w:val="sq-AL"/>
              </w:rPr>
              <w:t>Energjia</w:t>
            </w:r>
          </w:p>
          <w:p w14:paraId="382F8351" w14:textId="77777777" w:rsidR="003276FB" w:rsidRPr="00050FA4" w:rsidRDefault="003276FB" w:rsidP="00A95D23">
            <w:pPr>
              <w:pStyle w:val="AAAAAAATEXXXX"/>
              <w:ind w:firstLine="0"/>
              <w:rPr>
                <w:sz w:val="18"/>
                <w:szCs w:val="18"/>
                <w:lang w:val="sq-AL"/>
              </w:rPr>
            </w:pPr>
            <w:r w:rsidRPr="00050FA4">
              <w:rPr>
                <w:sz w:val="18"/>
                <w:szCs w:val="18"/>
                <w:lang w:val="sq-AL"/>
              </w:rPr>
              <w:t>Reforma 13: Liberalizimi i tregut të energjisë</w:t>
            </w:r>
          </w:p>
          <w:p w14:paraId="11CD79AB" w14:textId="53992B0E" w:rsidR="003276FB" w:rsidRPr="00050FA4" w:rsidRDefault="003276FB" w:rsidP="00A95D23">
            <w:pPr>
              <w:pStyle w:val="AAAAAAATEXXXX"/>
              <w:ind w:firstLine="0"/>
              <w:rPr>
                <w:sz w:val="18"/>
                <w:szCs w:val="18"/>
                <w:lang w:val="sq-AL"/>
              </w:rPr>
            </w:pPr>
            <w:r w:rsidRPr="00050FA4">
              <w:rPr>
                <w:sz w:val="18"/>
                <w:szCs w:val="18"/>
                <w:lang w:val="sq-AL"/>
              </w:rPr>
              <w:t xml:space="preserve">Reforma 14: </w:t>
            </w:r>
            <w:r w:rsidR="00863BC8" w:rsidRPr="00050FA4">
              <w:rPr>
                <w:sz w:val="18"/>
                <w:szCs w:val="18"/>
                <w:lang w:val="sq-AL"/>
              </w:rPr>
              <w:t>Diversifikimi i burimeve të energjisë përmes promovimit të burimeve të rinovueshme të energjisë dhe përmirësimeve të efiçencës së energjisë</w:t>
            </w:r>
          </w:p>
          <w:p w14:paraId="1DCB5315" w14:textId="77777777" w:rsidR="003276FB" w:rsidRPr="00050FA4" w:rsidRDefault="003276FB" w:rsidP="00A95D23">
            <w:pPr>
              <w:pStyle w:val="AAAAAAATEXXXX"/>
              <w:ind w:firstLine="0"/>
              <w:rPr>
                <w:sz w:val="18"/>
                <w:szCs w:val="18"/>
                <w:lang w:val="sq-AL"/>
              </w:rPr>
            </w:pPr>
            <w:r w:rsidRPr="00050FA4">
              <w:rPr>
                <w:sz w:val="18"/>
                <w:szCs w:val="18"/>
                <w:lang w:val="sq-AL"/>
              </w:rPr>
              <w:t>Transporti</w:t>
            </w:r>
          </w:p>
          <w:p w14:paraId="1C3F08F3" w14:textId="77777777" w:rsidR="003276FB" w:rsidRPr="00050FA4" w:rsidRDefault="003276FB" w:rsidP="00A95D23">
            <w:pPr>
              <w:pStyle w:val="AAAAAAATEXXXX"/>
              <w:ind w:firstLine="0"/>
              <w:rPr>
                <w:sz w:val="18"/>
                <w:szCs w:val="18"/>
                <w:lang w:val="sq-AL"/>
              </w:rPr>
            </w:pPr>
            <w:r w:rsidRPr="00050FA4">
              <w:rPr>
                <w:sz w:val="18"/>
                <w:szCs w:val="18"/>
                <w:lang w:val="sq-AL"/>
              </w:rPr>
              <w:t>Reforma 15: Rehabilitimi dhe ndërtimi i segmentit hekurudhor Durrës-TIA-Tiranë</w:t>
            </w:r>
          </w:p>
          <w:p w14:paraId="75F9602B" w14:textId="77777777" w:rsidR="003276FB" w:rsidRPr="00050FA4" w:rsidRDefault="003276FB" w:rsidP="00A95D23">
            <w:pPr>
              <w:pStyle w:val="AAAAAAATEXXXX"/>
              <w:ind w:firstLine="0"/>
              <w:rPr>
                <w:sz w:val="18"/>
                <w:szCs w:val="18"/>
                <w:lang w:val="sq-AL"/>
              </w:rPr>
            </w:pPr>
            <w:r w:rsidRPr="00050FA4">
              <w:rPr>
                <w:sz w:val="18"/>
                <w:szCs w:val="18"/>
                <w:lang w:val="sq-AL"/>
              </w:rPr>
              <w:t>Bujqësia, industria dhe shërbimet</w:t>
            </w:r>
          </w:p>
          <w:p w14:paraId="7AEB4C0D" w14:textId="77777777" w:rsidR="003276FB" w:rsidRPr="00050FA4" w:rsidRDefault="003276FB" w:rsidP="00A95D23">
            <w:pPr>
              <w:pStyle w:val="AAAAAAATEXXXX"/>
              <w:ind w:firstLine="0"/>
              <w:rPr>
                <w:sz w:val="18"/>
                <w:szCs w:val="18"/>
                <w:lang w:val="sq-AL"/>
              </w:rPr>
            </w:pPr>
            <w:r w:rsidRPr="00050FA4">
              <w:rPr>
                <w:sz w:val="18"/>
                <w:szCs w:val="18"/>
                <w:lang w:val="sq-AL"/>
              </w:rPr>
              <w:t>Reforma 16: Marina më të mira dhe qeverisje dhe shërbime detare</w:t>
            </w:r>
          </w:p>
          <w:p w14:paraId="144578C8" w14:textId="77777777" w:rsidR="003276FB" w:rsidRPr="00050FA4" w:rsidRDefault="003276FB" w:rsidP="00A95D23">
            <w:pPr>
              <w:pStyle w:val="AAAAAAATEXXXX"/>
              <w:ind w:firstLine="0"/>
              <w:rPr>
                <w:sz w:val="18"/>
                <w:szCs w:val="18"/>
                <w:lang w:val="sq-AL"/>
              </w:rPr>
            </w:pPr>
            <w:r w:rsidRPr="00050FA4">
              <w:rPr>
                <w:sz w:val="18"/>
                <w:szCs w:val="18"/>
                <w:lang w:val="sq-AL"/>
              </w:rPr>
              <w:t>Arsimimi dhe aftësitë</w:t>
            </w:r>
          </w:p>
          <w:p w14:paraId="483740C3" w14:textId="77777777" w:rsidR="003276FB" w:rsidRPr="00050FA4" w:rsidRDefault="003276FB" w:rsidP="00A95D23">
            <w:pPr>
              <w:pStyle w:val="AAAAAAATEXXXX"/>
              <w:ind w:firstLine="0"/>
              <w:rPr>
                <w:sz w:val="18"/>
                <w:szCs w:val="18"/>
                <w:lang w:val="sq-AL"/>
              </w:rPr>
            </w:pPr>
            <w:r w:rsidRPr="00050FA4">
              <w:rPr>
                <w:sz w:val="18"/>
                <w:szCs w:val="18"/>
                <w:lang w:val="sq-AL"/>
              </w:rPr>
              <w:t>Reforma 17: Mbështetja e zbatimit të reformës kurrikulare para universitare dhe trajnimit të mësuesve</w:t>
            </w:r>
          </w:p>
          <w:p w14:paraId="0ABC43D9" w14:textId="77777777" w:rsidR="003276FB" w:rsidRPr="00050FA4" w:rsidRDefault="003276FB" w:rsidP="00A95D23">
            <w:pPr>
              <w:pStyle w:val="AAAAAAATEXXXX"/>
              <w:ind w:firstLine="0"/>
              <w:rPr>
                <w:sz w:val="18"/>
                <w:szCs w:val="18"/>
                <w:lang w:val="sq-AL"/>
              </w:rPr>
            </w:pPr>
            <w:r w:rsidRPr="00050FA4">
              <w:rPr>
                <w:sz w:val="18"/>
                <w:szCs w:val="18"/>
                <w:lang w:val="sq-AL"/>
              </w:rPr>
              <w:t>Reforma 18: Gjithë përfshirja dhe barazia në arsim</w:t>
            </w:r>
          </w:p>
          <w:p w14:paraId="7383887D" w14:textId="77777777" w:rsidR="003276FB" w:rsidRPr="00050FA4" w:rsidRDefault="003276FB" w:rsidP="00A95D23">
            <w:pPr>
              <w:pStyle w:val="AAAAAAATEXXXX"/>
              <w:ind w:firstLine="0"/>
              <w:rPr>
                <w:sz w:val="18"/>
                <w:szCs w:val="18"/>
                <w:lang w:val="sq-AL"/>
              </w:rPr>
            </w:pPr>
            <w:r w:rsidRPr="00050FA4">
              <w:rPr>
                <w:sz w:val="18"/>
                <w:szCs w:val="18"/>
                <w:lang w:val="sq-AL"/>
              </w:rPr>
              <w:t>Reforma 19: Zhvillimi dhe fuqizimi i kompetencës digjitale</w:t>
            </w:r>
          </w:p>
        </w:tc>
      </w:tr>
    </w:tbl>
    <w:p w14:paraId="641260AA" w14:textId="77777777" w:rsidR="00FA4DC6" w:rsidRPr="00050FA4" w:rsidRDefault="00FA4DC6" w:rsidP="003F1DA7">
      <w:pPr>
        <w:pStyle w:val="AAAAAAATEXXXX"/>
        <w:rPr>
          <w:lang w:val="sq-AL"/>
        </w:rPr>
      </w:pPr>
      <w:bookmarkStart w:id="70" w:name="_Toc484076194"/>
      <w:bookmarkStart w:id="71" w:name="_Toc62805604"/>
      <w:bookmarkStart w:id="72" w:name="_Toc93325780"/>
    </w:p>
    <w:p w14:paraId="1C6A6863" w14:textId="38A1F23C" w:rsidR="00DF1828" w:rsidRPr="00050FA4" w:rsidRDefault="004127C4" w:rsidP="003F1DA7">
      <w:pPr>
        <w:pStyle w:val="AAAAAAATEXXXX"/>
        <w:rPr>
          <w:lang w:val="sq-AL"/>
        </w:rPr>
      </w:pPr>
      <w:r w:rsidRPr="00050FA4">
        <w:rPr>
          <w:lang w:val="sq-AL"/>
        </w:rPr>
        <w:t xml:space="preserve">6. </w:t>
      </w:r>
      <w:r w:rsidR="009F1E3C" w:rsidRPr="00050FA4">
        <w:rPr>
          <w:lang w:val="sq-AL"/>
        </w:rPr>
        <w:t>Kostimi dhe financimi i reformave strukturore</w:t>
      </w:r>
      <w:bookmarkEnd w:id="70"/>
      <w:bookmarkEnd w:id="71"/>
      <w:bookmarkEnd w:id="72"/>
    </w:p>
    <w:p w14:paraId="1F718FCA" w14:textId="2F98E34E" w:rsidR="00171FFE" w:rsidRPr="00050FA4" w:rsidRDefault="00171FFE" w:rsidP="003F1DA7">
      <w:pPr>
        <w:pStyle w:val="AAAAAAATEXXXX"/>
        <w:rPr>
          <w:lang w:val="sq-AL"/>
        </w:rPr>
      </w:pPr>
      <w:r w:rsidRPr="00050FA4">
        <w:rPr>
          <w:lang w:val="sq-AL"/>
        </w:rPr>
        <w:t>Shpenzimet e pritshme në buxhetin e shtetit përfshijnë fonde për reformat kryesore strukturore për periudhën afatmesme në vazhdim. Shpenzimet buxhetore janë shpërndarë në reformat strukturore të përfshira në ERP 2022</w:t>
      </w:r>
      <w:r w:rsidR="004B3389" w:rsidRPr="00050FA4">
        <w:rPr>
          <w:lang w:val="sq-AL"/>
        </w:rPr>
        <w:t>–</w:t>
      </w:r>
      <w:r w:rsidRPr="00050FA4">
        <w:rPr>
          <w:lang w:val="sq-AL"/>
        </w:rPr>
        <w:t>2024. Detajet e implikimeve buxhetore të reformave gjenden në tabelën 10a dhe tabelën 10b të shtojcës 1. Shpenzimet e parashikuara gjithashtu përfshijnë shpenzime për reformat kryesore strukturore në periudhën vijuese.</w:t>
      </w:r>
    </w:p>
    <w:p w14:paraId="49E7E4A0" w14:textId="53B94C14" w:rsidR="00DF1828" w:rsidRPr="00050FA4" w:rsidRDefault="004127C4" w:rsidP="003F1DA7">
      <w:pPr>
        <w:pStyle w:val="AAAAAAATEXXXX"/>
        <w:rPr>
          <w:lang w:val="sq-AL"/>
        </w:rPr>
      </w:pPr>
      <w:bookmarkStart w:id="73" w:name="_Toc484076195"/>
      <w:bookmarkStart w:id="74" w:name="_Toc62805605"/>
      <w:bookmarkStart w:id="75" w:name="_Toc93325781"/>
      <w:r w:rsidRPr="00050FA4">
        <w:rPr>
          <w:lang w:val="sq-AL"/>
        </w:rPr>
        <w:t xml:space="preserve">7. </w:t>
      </w:r>
      <w:r w:rsidR="009F1E3C" w:rsidRPr="00050FA4">
        <w:rPr>
          <w:lang w:val="sq-AL"/>
        </w:rPr>
        <w:t>Çështjet institucionale dhe përfshirja e grupeve të interesit</w:t>
      </w:r>
      <w:bookmarkEnd w:id="73"/>
      <w:bookmarkEnd w:id="74"/>
      <w:bookmarkEnd w:id="75"/>
    </w:p>
    <w:p w14:paraId="444E384F" w14:textId="39047E2A" w:rsidR="00171FFE" w:rsidRPr="00050FA4" w:rsidRDefault="00171FFE" w:rsidP="003F1DA7">
      <w:pPr>
        <w:pStyle w:val="AAAAAAATEXXXX"/>
        <w:rPr>
          <w:lang w:val="sq-AL"/>
        </w:rPr>
      </w:pPr>
      <w:r w:rsidRPr="00050FA4">
        <w:rPr>
          <w:lang w:val="sq-AL"/>
        </w:rPr>
        <w:t>Cikli i Programit të Reformave Ekonomike 2022</w:t>
      </w:r>
      <w:r w:rsidR="009F1E3C" w:rsidRPr="00050FA4">
        <w:rPr>
          <w:rFonts w:cstheme="majorBidi"/>
          <w:color w:val="0D0D0D" w:themeColor="text1" w:themeTint="F2"/>
          <w:lang w:val="sq-AL"/>
        </w:rPr>
        <w:t>–</w:t>
      </w:r>
      <w:r w:rsidRPr="00050FA4">
        <w:rPr>
          <w:lang w:val="sq-AL"/>
        </w:rPr>
        <w:t>2024 nisi zyrtarisht më 24 qershor 2021 nga Komisioni Evropian.</w:t>
      </w:r>
    </w:p>
    <w:p w14:paraId="096F1A75" w14:textId="419CBB1C" w:rsidR="00171FFE" w:rsidRPr="00050FA4" w:rsidRDefault="00171FFE" w:rsidP="003F1DA7">
      <w:pPr>
        <w:pStyle w:val="AAAAAAATEXXXX"/>
        <w:rPr>
          <w:lang w:val="sq-AL"/>
        </w:rPr>
      </w:pPr>
      <w:r w:rsidRPr="00050FA4">
        <w:rPr>
          <w:lang w:val="sq-AL"/>
        </w:rPr>
        <w:t>Përgatitja e ERP 2022</w:t>
      </w:r>
      <w:r w:rsidR="009F1E3C" w:rsidRPr="00050FA4">
        <w:rPr>
          <w:rFonts w:cstheme="majorBidi"/>
          <w:color w:val="0D0D0D" w:themeColor="text1" w:themeTint="F2"/>
          <w:lang w:val="sq-AL"/>
        </w:rPr>
        <w:t>–</w:t>
      </w:r>
      <w:r w:rsidRPr="00050FA4">
        <w:rPr>
          <w:lang w:val="sq-AL"/>
        </w:rPr>
        <w:t xml:space="preserve">2024 u bashkërendua nga Ministria e Financave dhe Ekonomisë në bashkëpunim të ngushtë me Ministrinë e Infrastrukturës dhe Energjisë, Ministrinë e Bujqësisë dhe Zhvillimit Rural, </w:t>
      </w:r>
      <w:r w:rsidR="00970CB0" w:rsidRPr="00050FA4">
        <w:rPr>
          <w:lang w:val="sq-AL"/>
        </w:rPr>
        <w:t xml:space="preserve">Ministrinë e Shëndetësisë dhe Mbrojtjes Sociale, </w:t>
      </w:r>
      <w:r w:rsidRPr="00050FA4">
        <w:rPr>
          <w:lang w:val="sq-AL"/>
        </w:rPr>
        <w:t>Ministrinë e Arsimit dhe Sportit, Ministrinë e Turizmit dhe Mjedisit, Bankën e Shqipërisë, Drejtorinë e Përgjithshme të Tatimeve dhe INSTAT.</w:t>
      </w:r>
    </w:p>
    <w:p w14:paraId="44224741" w14:textId="66F0F92C" w:rsidR="00FA4DC6" w:rsidRPr="00050FA4" w:rsidRDefault="00171FFE" w:rsidP="003F1DA7">
      <w:pPr>
        <w:pStyle w:val="AAAAAAATEXXXX"/>
        <w:rPr>
          <w:lang w:val="sq-AL"/>
        </w:rPr>
      </w:pPr>
      <w:r w:rsidRPr="00050FA4">
        <w:rPr>
          <w:lang w:val="sq-AL"/>
        </w:rPr>
        <w:t>Urdhri i Kryeministrit nr. 107, d</w:t>
      </w:r>
      <w:r w:rsidR="00617B60" w:rsidRPr="00050FA4">
        <w:rPr>
          <w:lang w:val="sq-AL"/>
        </w:rPr>
        <w:t>atë</w:t>
      </w:r>
      <w:r w:rsidRPr="00050FA4">
        <w:rPr>
          <w:lang w:val="sq-AL"/>
        </w:rPr>
        <w:t xml:space="preserve"> 6.8.2019 përcakton kornizën për koordinimin e procesit të ERP në nivelin kombëtar dhe ngarkon Ministrin e Financave dhe Ekonomisë me funksionin e Koordinatorit Kombëtar të ERP për Shqipërinë. Gjithashtu, urdhri parashikon krijimin e grupit të nivelit të lartë ndërministror dhe sekretariatit teknik ndërinstitucional për të koordinuar procesin. Koordinimi institucional është përmirësuar në disa mënyra. Një shkallë më e lartë e pronësisë dhe përgjegjësisë institucionale ndaj reformave të propozuara është më e qartë, kryesisht si rezultat i përcaktimit të detyrave, funksioneve dhe përgjegjësive të secilit institucion raportues,</w:t>
      </w:r>
      <w:r w:rsidR="00FA4DC6" w:rsidRPr="00050FA4">
        <w:rPr>
          <w:lang w:val="sq-AL"/>
        </w:rPr>
        <w:t xml:space="preserve"> bazuar në dispozitat e urdhrit.</w:t>
      </w:r>
    </w:p>
    <w:p w14:paraId="2E2D1AC7" w14:textId="096B56BC" w:rsidR="00171FFE" w:rsidRPr="00050FA4" w:rsidRDefault="009F1E3C" w:rsidP="003F1DA7">
      <w:pPr>
        <w:pStyle w:val="AAAAAAATEXXXX"/>
        <w:rPr>
          <w:lang w:val="sq-AL"/>
        </w:rPr>
      </w:pPr>
      <w:r w:rsidRPr="00050FA4">
        <w:rPr>
          <w:lang w:val="sq-AL"/>
        </w:rPr>
        <w:t>Draft-</w:t>
      </w:r>
      <w:r w:rsidR="00171FFE" w:rsidRPr="00050FA4">
        <w:rPr>
          <w:lang w:val="sq-AL"/>
        </w:rPr>
        <w:t>ERP 2022</w:t>
      </w:r>
      <w:r w:rsidRPr="00050FA4">
        <w:rPr>
          <w:rFonts w:cstheme="majorBidi"/>
          <w:color w:val="0D0D0D" w:themeColor="text1" w:themeTint="F2"/>
          <w:lang w:val="sq-AL"/>
        </w:rPr>
        <w:t>–</w:t>
      </w:r>
      <w:r w:rsidR="00171FFE" w:rsidRPr="00050FA4">
        <w:rPr>
          <w:lang w:val="sq-AL"/>
        </w:rPr>
        <w:t>2024 u publikua n</w:t>
      </w:r>
      <w:r w:rsidR="00921120" w:rsidRPr="00050FA4">
        <w:rPr>
          <w:lang w:val="sq-AL"/>
        </w:rPr>
        <w:t>ë</w:t>
      </w:r>
      <w:r w:rsidR="00171FFE" w:rsidRPr="00050FA4">
        <w:rPr>
          <w:lang w:val="sq-AL"/>
        </w:rPr>
        <w:t xml:space="preserve"> faqen zyrtare të Ministrisë së Financave dhe Ekonomisë </w:t>
      </w:r>
      <w:r w:rsidR="00970CB0" w:rsidRPr="00050FA4">
        <w:rPr>
          <w:lang w:val="sq-AL"/>
        </w:rPr>
        <w:t xml:space="preserve">(lidhja: </w:t>
      </w:r>
      <w:hyperlink r:id="rId69" w:history="1">
        <w:r w:rsidR="00970CB0" w:rsidRPr="00050FA4">
          <w:rPr>
            <w:rStyle w:val="Hyperlink"/>
            <w:color w:val="0D0D0D"/>
            <w:u w:val="none"/>
            <w:lang w:val="sq-AL"/>
          </w:rPr>
          <w:t>https://www.financa.gov.al/programi-i-reformave-ekonomike/</w:t>
        </w:r>
      </w:hyperlink>
      <w:r w:rsidR="00970CB0" w:rsidRPr="00050FA4">
        <w:rPr>
          <w:lang w:val="sq-AL"/>
        </w:rPr>
        <w:t xml:space="preserve">) </w:t>
      </w:r>
      <w:r w:rsidR="00171FFE" w:rsidRPr="00050FA4">
        <w:rPr>
          <w:lang w:val="sq-AL"/>
        </w:rPr>
        <w:t>për konsultim të gjerë nga grupet e ndryshme të interesit, nga data 22 dhjetor 2021 deri më 31 janar 2022.</w:t>
      </w:r>
      <w:r w:rsidR="001F44B3" w:rsidRPr="00050FA4">
        <w:rPr>
          <w:lang w:val="sq-AL"/>
        </w:rPr>
        <w:t xml:space="preserve"> Gjithashtu, n</w:t>
      </w:r>
      <w:r w:rsidR="00921120" w:rsidRPr="00050FA4">
        <w:rPr>
          <w:lang w:val="sq-AL"/>
        </w:rPr>
        <w:t>ë</w:t>
      </w:r>
      <w:r w:rsidR="001F44B3" w:rsidRPr="00050FA4">
        <w:rPr>
          <w:lang w:val="sq-AL"/>
        </w:rPr>
        <w:t xml:space="preserve"> përputhje me parashikimet e ligjit 146/2016 </w:t>
      </w:r>
      <w:r w:rsidR="008A0E5B" w:rsidRPr="00050FA4">
        <w:rPr>
          <w:lang w:val="sq-AL"/>
        </w:rPr>
        <w:t>“</w:t>
      </w:r>
      <w:r w:rsidR="00921120" w:rsidRPr="00050FA4">
        <w:rPr>
          <w:lang w:val="sq-AL"/>
        </w:rPr>
        <w:t>Për</w:t>
      </w:r>
      <w:r w:rsidR="001F44B3" w:rsidRPr="00050FA4">
        <w:rPr>
          <w:lang w:val="sq-AL"/>
        </w:rPr>
        <w:t xml:space="preserve"> njoftimin dhe konsultimin publik</w:t>
      </w:r>
      <w:r w:rsidR="008A0E5B" w:rsidRPr="00050FA4">
        <w:rPr>
          <w:lang w:val="sq-AL"/>
        </w:rPr>
        <w:t>”</w:t>
      </w:r>
      <w:r w:rsidR="00921120" w:rsidRPr="00050FA4">
        <w:rPr>
          <w:lang w:val="sq-AL"/>
        </w:rPr>
        <w:t xml:space="preserve"> projektakti për</w:t>
      </w:r>
      <w:r w:rsidR="009B1D6B" w:rsidRPr="00050FA4">
        <w:rPr>
          <w:lang w:val="sq-AL"/>
        </w:rPr>
        <w:t xml:space="preserve"> </w:t>
      </w:r>
      <w:r w:rsidR="00921120" w:rsidRPr="00050FA4">
        <w:rPr>
          <w:lang w:val="sq-AL"/>
        </w:rPr>
        <w:t xml:space="preserve">miratimin e Programit të Reformave Ekonomike 2022-2024 u publikua </w:t>
      </w:r>
      <w:r w:rsidR="00A9445C" w:rsidRPr="00050FA4">
        <w:rPr>
          <w:lang w:val="sq-AL"/>
        </w:rPr>
        <w:t>në</w:t>
      </w:r>
      <w:r w:rsidR="006804B6" w:rsidRPr="00050FA4">
        <w:rPr>
          <w:lang w:val="sq-AL"/>
        </w:rPr>
        <w:t xml:space="preserve"> </w:t>
      </w:r>
      <w:r w:rsidR="00921120" w:rsidRPr="00050FA4">
        <w:rPr>
          <w:lang w:val="sq-AL"/>
        </w:rPr>
        <w:t>regjistrin kombëtar për njoftimet dhe</w:t>
      </w:r>
      <w:r w:rsidR="006804B6" w:rsidRPr="00050FA4">
        <w:rPr>
          <w:lang w:val="sq-AL"/>
        </w:rPr>
        <w:t xml:space="preserve"> konsultimet publike</w:t>
      </w:r>
      <w:r w:rsidR="00970CB0" w:rsidRPr="00050FA4">
        <w:rPr>
          <w:lang w:val="sq-AL"/>
        </w:rPr>
        <w:t xml:space="preserve"> (</w:t>
      </w:r>
      <w:hyperlink r:id="rId70" w:history="1">
        <w:r w:rsidR="00970CB0" w:rsidRPr="00050FA4">
          <w:rPr>
            <w:rStyle w:val="Hyperlink"/>
            <w:color w:val="0D0D0D"/>
            <w:u w:val="none"/>
            <w:lang w:val="sq-AL"/>
          </w:rPr>
          <w:t>http://konsultimipublik.gov.al/Konsultime/Detaje/439</w:t>
        </w:r>
      </w:hyperlink>
      <w:r w:rsidR="00970CB0" w:rsidRPr="00050FA4">
        <w:rPr>
          <w:rStyle w:val="Hyperlink"/>
          <w:color w:val="0D0D0D"/>
          <w:u w:val="none"/>
          <w:lang w:val="sq-AL"/>
        </w:rPr>
        <w:t>)</w:t>
      </w:r>
      <w:r w:rsidR="006804B6" w:rsidRPr="00050FA4">
        <w:rPr>
          <w:lang w:val="sq-AL"/>
        </w:rPr>
        <w:t>.</w:t>
      </w:r>
      <w:r w:rsidR="00954243" w:rsidRPr="00050FA4">
        <w:rPr>
          <w:lang w:val="sq-AL"/>
        </w:rPr>
        <w:t xml:space="preserve"> </w:t>
      </w:r>
      <w:r w:rsidR="006804B6" w:rsidRPr="00050FA4">
        <w:rPr>
          <w:lang w:val="sq-AL"/>
        </w:rPr>
        <w:t>Informacion i hollësishëm për rezultatet e procesit t</w:t>
      </w:r>
      <w:r w:rsidR="000046E1" w:rsidRPr="00050FA4">
        <w:rPr>
          <w:lang w:val="sq-AL"/>
        </w:rPr>
        <w:t>ë</w:t>
      </w:r>
      <w:r w:rsidR="006804B6" w:rsidRPr="00050FA4">
        <w:rPr>
          <w:lang w:val="sq-AL"/>
        </w:rPr>
        <w:t xml:space="preserve"> konsultimit gjendet në Shtojcën III.</w:t>
      </w:r>
    </w:p>
    <w:p w14:paraId="309D70B5" w14:textId="59AB120A" w:rsidR="00FA4DC6" w:rsidRPr="00050FA4" w:rsidRDefault="00171FFE" w:rsidP="003F1DA7">
      <w:pPr>
        <w:pStyle w:val="AAAAAAATEXXXX"/>
        <w:rPr>
          <w:lang w:val="sq-AL"/>
        </w:rPr>
      </w:pPr>
      <w:r w:rsidRPr="00050FA4">
        <w:rPr>
          <w:lang w:val="sq-AL"/>
        </w:rPr>
        <w:t>Programi i Reformave Ekonomike 2022</w:t>
      </w:r>
      <w:r w:rsidR="009F1E3C" w:rsidRPr="00050FA4">
        <w:rPr>
          <w:rFonts w:cstheme="majorBidi"/>
          <w:color w:val="0D0D0D" w:themeColor="text1" w:themeTint="F2"/>
          <w:lang w:val="sq-AL"/>
        </w:rPr>
        <w:t>–</w:t>
      </w:r>
      <w:r w:rsidRPr="00050FA4">
        <w:rPr>
          <w:lang w:val="sq-AL"/>
        </w:rPr>
        <w:t>2024 mirat</w:t>
      </w:r>
      <w:r w:rsidR="000046E1" w:rsidRPr="00050FA4">
        <w:rPr>
          <w:lang w:val="sq-AL"/>
        </w:rPr>
        <w:t xml:space="preserve">ohet </w:t>
      </w:r>
      <w:r w:rsidRPr="00050FA4">
        <w:rPr>
          <w:lang w:val="sq-AL"/>
        </w:rPr>
        <w:t xml:space="preserve">nga Këshilli i Ministrave dhe </w:t>
      </w:r>
      <w:r w:rsidR="0068637A" w:rsidRPr="00050FA4">
        <w:rPr>
          <w:lang w:val="sq-AL"/>
        </w:rPr>
        <w:t>do t’</w:t>
      </w:r>
      <w:r w:rsidRPr="00050FA4">
        <w:rPr>
          <w:lang w:val="sq-AL"/>
        </w:rPr>
        <w:t>i transmetohet Komisionit Evropian.</w:t>
      </w:r>
    </w:p>
    <w:p w14:paraId="3F47934F" w14:textId="77777777" w:rsidR="00617B60" w:rsidRPr="00050FA4" w:rsidRDefault="00617B60" w:rsidP="00617B60">
      <w:pPr>
        <w:pStyle w:val="Heading1"/>
        <w:snapToGrid w:val="0"/>
        <w:ind w:left="0"/>
        <w:rPr>
          <w:rFonts w:ascii="Garamond" w:eastAsia="Arial Narrow" w:hAnsi="Garamond"/>
          <w:b w:val="0"/>
          <w:bCs w:val="0"/>
          <w:color w:val="0D0D0D"/>
        </w:rPr>
      </w:pPr>
      <w:bookmarkStart w:id="76" w:name="_Toc484076196"/>
      <w:bookmarkStart w:id="77" w:name="_Toc62805606"/>
      <w:bookmarkStart w:id="78" w:name="_Toc93325782"/>
    </w:p>
    <w:p w14:paraId="13474A6C"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30FEC862"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395A2574"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525BA26A"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20729D18"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68015A5D"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16F487EA"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3E0EE596"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5C8A9391"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4B4C06FA"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3EB494D7"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30BEC4CA" w14:textId="77777777" w:rsidR="006A2513" w:rsidRPr="00050FA4" w:rsidRDefault="006A2513" w:rsidP="00617B60">
      <w:pPr>
        <w:pStyle w:val="Heading1"/>
        <w:snapToGrid w:val="0"/>
        <w:ind w:left="0"/>
        <w:jc w:val="center"/>
        <w:rPr>
          <w:rFonts w:ascii="Garamond" w:hAnsi="Garamond" w:cstheme="majorBidi"/>
          <w:b w:val="0"/>
          <w:color w:val="0D0D0D" w:themeColor="text1" w:themeTint="F2"/>
          <w:sz w:val="22"/>
          <w:szCs w:val="22"/>
        </w:rPr>
      </w:pPr>
    </w:p>
    <w:p w14:paraId="778F096A" w14:textId="77777777" w:rsidR="00E67ECA" w:rsidRPr="00050FA4" w:rsidRDefault="00E67ECA" w:rsidP="00617B60">
      <w:pPr>
        <w:pStyle w:val="Heading1"/>
        <w:snapToGrid w:val="0"/>
        <w:ind w:left="0"/>
        <w:jc w:val="center"/>
        <w:rPr>
          <w:rFonts w:ascii="Garamond" w:hAnsi="Garamond" w:cstheme="majorBidi"/>
          <w:b w:val="0"/>
          <w:color w:val="0D0D0D" w:themeColor="text1" w:themeTint="F2"/>
          <w:sz w:val="22"/>
          <w:szCs w:val="22"/>
        </w:rPr>
      </w:pPr>
    </w:p>
    <w:p w14:paraId="3E10C9FE" w14:textId="752028B7" w:rsidR="00DF1828" w:rsidRPr="00050FA4" w:rsidRDefault="00C07622" w:rsidP="00617B60">
      <w:pPr>
        <w:pStyle w:val="Heading1"/>
        <w:snapToGrid w:val="0"/>
        <w:ind w:left="0"/>
        <w:jc w:val="center"/>
        <w:rPr>
          <w:rFonts w:ascii="Garamond" w:hAnsi="Garamond" w:cstheme="majorBidi"/>
          <w:b w:val="0"/>
          <w:color w:val="0D0D0D" w:themeColor="text1" w:themeTint="F2"/>
          <w:sz w:val="22"/>
          <w:szCs w:val="22"/>
        </w:rPr>
      </w:pPr>
      <w:r w:rsidRPr="00050FA4">
        <w:rPr>
          <w:rFonts w:ascii="Garamond" w:hAnsi="Garamond" w:cstheme="majorBidi"/>
          <w:b w:val="0"/>
          <w:color w:val="0D0D0D" w:themeColor="text1" w:themeTint="F2"/>
          <w:sz w:val="22"/>
          <w:szCs w:val="22"/>
        </w:rPr>
        <w:lastRenderedPageBreak/>
        <w:t>SHTOJCA</w:t>
      </w:r>
      <w:r w:rsidR="000B0C45" w:rsidRPr="00050FA4">
        <w:rPr>
          <w:rFonts w:ascii="Garamond" w:hAnsi="Garamond" w:cstheme="majorBidi"/>
          <w:b w:val="0"/>
          <w:color w:val="0D0D0D" w:themeColor="text1" w:themeTint="F2"/>
          <w:sz w:val="22"/>
          <w:szCs w:val="22"/>
        </w:rPr>
        <w:t xml:space="preserve"> </w:t>
      </w:r>
      <w:r w:rsidR="00DF1828" w:rsidRPr="00050FA4">
        <w:rPr>
          <w:rFonts w:ascii="Garamond" w:hAnsi="Garamond" w:cstheme="majorBidi"/>
          <w:b w:val="0"/>
          <w:color w:val="0D0D0D" w:themeColor="text1" w:themeTint="F2"/>
          <w:sz w:val="22"/>
          <w:szCs w:val="22"/>
        </w:rPr>
        <w:t>I</w:t>
      </w:r>
      <w:bookmarkEnd w:id="76"/>
      <w:bookmarkEnd w:id="77"/>
      <w:bookmarkEnd w:id="78"/>
    </w:p>
    <w:p w14:paraId="4ADCDE27" w14:textId="77777777" w:rsidR="00951413" w:rsidRPr="00050FA4" w:rsidRDefault="00951413" w:rsidP="003F1DA7">
      <w:pPr>
        <w:snapToGrid w:val="0"/>
        <w:ind w:firstLine="284"/>
        <w:rPr>
          <w:rFonts w:ascii="Garamond" w:hAnsi="Garamond" w:cstheme="majorBidi"/>
          <w:color w:val="0D0D0D" w:themeColor="text1" w:themeTint="F2"/>
          <w:sz w:val="22"/>
          <w:szCs w:val="22"/>
        </w:rPr>
      </w:pPr>
    </w:p>
    <w:p w14:paraId="0D5AEA28"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79" w:name="_Toc93325783"/>
      <w:r w:rsidRPr="00050FA4">
        <w:rPr>
          <w:rFonts w:ascii="Garamond" w:hAnsi="Garamond"/>
          <w:color w:val="0D0D0D" w:themeColor="text1" w:themeTint="F2"/>
          <w:sz w:val="20"/>
          <w:szCs w:val="20"/>
        </w:rPr>
        <w:t>Tabela 1a: Perspektivat makroekonomike</w:t>
      </w:r>
      <w:bookmarkEnd w:id="79"/>
    </w:p>
    <w:tbl>
      <w:tblPr>
        <w:tblW w:w="10097" w:type="dxa"/>
        <w:jc w:val="center"/>
        <w:tblLook w:val="04A0" w:firstRow="1" w:lastRow="0" w:firstColumn="1" w:lastColumn="0" w:noHBand="0" w:noVBand="1"/>
      </w:tblPr>
      <w:tblGrid>
        <w:gridCol w:w="3382"/>
        <w:gridCol w:w="957"/>
        <w:gridCol w:w="929"/>
        <w:gridCol w:w="965"/>
        <w:gridCol w:w="965"/>
        <w:gridCol w:w="965"/>
        <w:gridCol w:w="965"/>
        <w:gridCol w:w="969"/>
      </w:tblGrid>
      <w:tr w:rsidR="00FA29AB" w:rsidRPr="00050FA4" w14:paraId="61E9B735" w14:textId="77777777" w:rsidTr="00617B60">
        <w:trPr>
          <w:trHeight w:val="207"/>
          <w:jc w:val="center"/>
        </w:trPr>
        <w:tc>
          <w:tcPr>
            <w:tcW w:w="3382" w:type="dxa"/>
            <w:vMerge w:val="restart"/>
            <w:tcBorders>
              <w:top w:val="double" w:sz="6" w:space="0" w:color="auto"/>
              <w:left w:val="double" w:sz="6" w:space="0" w:color="auto"/>
              <w:bottom w:val="dotted" w:sz="4" w:space="0" w:color="000000"/>
              <w:right w:val="dotted" w:sz="4" w:space="0" w:color="auto"/>
            </w:tcBorders>
            <w:shd w:val="clear" w:color="auto" w:fill="FFFFFF"/>
            <w:vAlign w:val="center"/>
            <w:hideMark/>
          </w:tcPr>
          <w:p w14:paraId="73D5C51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Percentages unless otherwise indicated</w:t>
            </w:r>
          </w:p>
        </w:tc>
        <w:tc>
          <w:tcPr>
            <w:tcW w:w="957" w:type="dxa"/>
            <w:vMerge w:val="restart"/>
            <w:tcBorders>
              <w:top w:val="double" w:sz="6" w:space="0" w:color="auto"/>
              <w:left w:val="dotted" w:sz="4" w:space="0" w:color="auto"/>
              <w:bottom w:val="dotted" w:sz="4" w:space="0" w:color="000000"/>
              <w:right w:val="single" w:sz="8" w:space="0" w:color="auto"/>
            </w:tcBorders>
            <w:shd w:val="clear" w:color="auto" w:fill="FFFFFF"/>
            <w:vAlign w:val="center"/>
            <w:hideMark/>
          </w:tcPr>
          <w:p w14:paraId="6AF6E4E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929" w:type="dxa"/>
            <w:tcBorders>
              <w:top w:val="double" w:sz="6" w:space="0" w:color="auto"/>
              <w:left w:val="nil"/>
              <w:bottom w:val="nil"/>
              <w:right w:val="single" w:sz="8" w:space="0" w:color="auto"/>
            </w:tcBorders>
            <w:shd w:val="clear" w:color="auto" w:fill="FFFFFF"/>
            <w:vAlign w:val="center"/>
            <w:hideMark/>
          </w:tcPr>
          <w:p w14:paraId="1CB8ABAB"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Year</w:t>
            </w:r>
          </w:p>
        </w:tc>
        <w:tc>
          <w:tcPr>
            <w:tcW w:w="965" w:type="dxa"/>
            <w:tcBorders>
              <w:top w:val="double" w:sz="6" w:space="0" w:color="auto"/>
              <w:left w:val="nil"/>
              <w:bottom w:val="nil"/>
              <w:right w:val="dotted" w:sz="4" w:space="0" w:color="auto"/>
            </w:tcBorders>
            <w:shd w:val="clear" w:color="auto" w:fill="FFFFFF"/>
            <w:vAlign w:val="center"/>
            <w:hideMark/>
          </w:tcPr>
          <w:p w14:paraId="739E7DA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Year</w:t>
            </w:r>
          </w:p>
        </w:tc>
        <w:tc>
          <w:tcPr>
            <w:tcW w:w="965" w:type="dxa"/>
            <w:tcBorders>
              <w:top w:val="double" w:sz="6" w:space="0" w:color="auto"/>
              <w:left w:val="nil"/>
              <w:bottom w:val="nil"/>
              <w:right w:val="dotted" w:sz="4" w:space="0" w:color="auto"/>
            </w:tcBorders>
            <w:shd w:val="clear" w:color="auto" w:fill="FFFFFF"/>
            <w:vAlign w:val="center"/>
            <w:hideMark/>
          </w:tcPr>
          <w:p w14:paraId="2248961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Year</w:t>
            </w:r>
          </w:p>
        </w:tc>
        <w:tc>
          <w:tcPr>
            <w:tcW w:w="965" w:type="dxa"/>
            <w:tcBorders>
              <w:top w:val="double" w:sz="6" w:space="0" w:color="auto"/>
              <w:left w:val="nil"/>
              <w:bottom w:val="nil"/>
              <w:right w:val="dotted" w:sz="4" w:space="0" w:color="auto"/>
            </w:tcBorders>
            <w:shd w:val="clear" w:color="auto" w:fill="FFFFFF"/>
            <w:vAlign w:val="center"/>
            <w:hideMark/>
          </w:tcPr>
          <w:p w14:paraId="55B3B3F8"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Year</w:t>
            </w:r>
          </w:p>
        </w:tc>
        <w:tc>
          <w:tcPr>
            <w:tcW w:w="965" w:type="dxa"/>
            <w:tcBorders>
              <w:top w:val="double" w:sz="6" w:space="0" w:color="auto"/>
              <w:left w:val="nil"/>
              <w:bottom w:val="nil"/>
              <w:right w:val="dotted" w:sz="4" w:space="0" w:color="auto"/>
            </w:tcBorders>
            <w:shd w:val="clear" w:color="auto" w:fill="FFFFFF"/>
            <w:vAlign w:val="center"/>
            <w:hideMark/>
          </w:tcPr>
          <w:p w14:paraId="6A0C1E5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Year</w:t>
            </w:r>
          </w:p>
        </w:tc>
        <w:tc>
          <w:tcPr>
            <w:tcW w:w="969" w:type="dxa"/>
            <w:tcBorders>
              <w:top w:val="double" w:sz="6" w:space="0" w:color="auto"/>
              <w:left w:val="nil"/>
              <w:bottom w:val="nil"/>
              <w:right w:val="double" w:sz="6" w:space="0" w:color="auto"/>
            </w:tcBorders>
            <w:shd w:val="clear" w:color="auto" w:fill="FFFFFF"/>
            <w:vAlign w:val="center"/>
            <w:hideMark/>
          </w:tcPr>
          <w:p w14:paraId="6DF4C30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Year</w:t>
            </w:r>
          </w:p>
        </w:tc>
      </w:tr>
      <w:tr w:rsidR="00FA29AB" w:rsidRPr="00050FA4" w14:paraId="765DE6DC" w14:textId="77777777" w:rsidTr="00617B60">
        <w:trPr>
          <w:trHeight w:val="207"/>
          <w:jc w:val="center"/>
        </w:trPr>
        <w:tc>
          <w:tcPr>
            <w:tcW w:w="0" w:type="auto"/>
            <w:vMerge/>
            <w:tcBorders>
              <w:top w:val="double" w:sz="6" w:space="0" w:color="auto"/>
              <w:left w:val="double" w:sz="6" w:space="0" w:color="auto"/>
              <w:bottom w:val="dotted" w:sz="4" w:space="0" w:color="000000"/>
              <w:right w:val="dotted" w:sz="4" w:space="0" w:color="auto"/>
            </w:tcBorders>
            <w:vAlign w:val="center"/>
            <w:hideMark/>
          </w:tcPr>
          <w:p w14:paraId="5E264EC8"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0" w:type="auto"/>
            <w:vMerge/>
            <w:tcBorders>
              <w:top w:val="double" w:sz="6" w:space="0" w:color="auto"/>
              <w:left w:val="dotted" w:sz="4" w:space="0" w:color="auto"/>
              <w:bottom w:val="dotted" w:sz="4" w:space="0" w:color="000000"/>
              <w:right w:val="single" w:sz="8" w:space="0" w:color="auto"/>
            </w:tcBorders>
            <w:vAlign w:val="center"/>
            <w:hideMark/>
          </w:tcPr>
          <w:p w14:paraId="7EA94963"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929" w:type="dxa"/>
            <w:tcBorders>
              <w:top w:val="nil"/>
              <w:left w:val="nil"/>
              <w:bottom w:val="double" w:sz="6" w:space="0" w:color="auto"/>
              <w:right w:val="single" w:sz="8" w:space="0" w:color="auto"/>
            </w:tcBorders>
            <w:shd w:val="clear" w:color="auto" w:fill="FFFFFF"/>
            <w:vAlign w:val="center"/>
            <w:hideMark/>
          </w:tcPr>
          <w:p w14:paraId="3F71490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65" w:type="dxa"/>
            <w:tcBorders>
              <w:top w:val="nil"/>
              <w:left w:val="nil"/>
              <w:bottom w:val="double" w:sz="6" w:space="0" w:color="auto"/>
              <w:right w:val="dotted" w:sz="4" w:space="0" w:color="auto"/>
            </w:tcBorders>
            <w:shd w:val="clear" w:color="auto" w:fill="FFFFFF"/>
            <w:vAlign w:val="center"/>
            <w:hideMark/>
          </w:tcPr>
          <w:p w14:paraId="780BB1A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65" w:type="dxa"/>
            <w:tcBorders>
              <w:top w:val="nil"/>
              <w:left w:val="nil"/>
              <w:bottom w:val="double" w:sz="6" w:space="0" w:color="auto"/>
              <w:right w:val="dotted" w:sz="4" w:space="0" w:color="auto"/>
            </w:tcBorders>
            <w:shd w:val="clear" w:color="auto" w:fill="FFFFFF"/>
            <w:vAlign w:val="center"/>
            <w:hideMark/>
          </w:tcPr>
          <w:p w14:paraId="73ABA6F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965" w:type="dxa"/>
            <w:tcBorders>
              <w:top w:val="nil"/>
              <w:left w:val="nil"/>
              <w:bottom w:val="double" w:sz="6" w:space="0" w:color="auto"/>
              <w:right w:val="dotted" w:sz="4" w:space="0" w:color="auto"/>
            </w:tcBorders>
            <w:shd w:val="clear" w:color="auto" w:fill="FFFFFF"/>
            <w:vAlign w:val="center"/>
            <w:hideMark/>
          </w:tcPr>
          <w:p w14:paraId="1B313444"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965" w:type="dxa"/>
            <w:tcBorders>
              <w:top w:val="nil"/>
              <w:left w:val="nil"/>
              <w:bottom w:val="double" w:sz="6" w:space="0" w:color="auto"/>
              <w:right w:val="dotted" w:sz="4" w:space="0" w:color="auto"/>
            </w:tcBorders>
            <w:shd w:val="clear" w:color="auto" w:fill="FFFFFF"/>
            <w:vAlign w:val="center"/>
            <w:hideMark/>
          </w:tcPr>
          <w:p w14:paraId="49AEC2C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969" w:type="dxa"/>
            <w:tcBorders>
              <w:top w:val="nil"/>
              <w:left w:val="nil"/>
              <w:bottom w:val="double" w:sz="6" w:space="0" w:color="auto"/>
              <w:right w:val="double" w:sz="6" w:space="0" w:color="auto"/>
            </w:tcBorders>
            <w:shd w:val="clear" w:color="auto" w:fill="FFFFFF"/>
            <w:vAlign w:val="center"/>
            <w:hideMark/>
          </w:tcPr>
          <w:p w14:paraId="507367B2"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2DA428B8" w14:textId="77777777" w:rsidTr="00617B60">
        <w:trPr>
          <w:trHeight w:val="350"/>
          <w:jc w:val="center"/>
        </w:trPr>
        <w:tc>
          <w:tcPr>
            <w:tcW w:w="3382" w:type="dxa"/>
            <w:tcBorders>
              <w:top w:val="nil"/>
              <w:left w:val="double" w:sz="6" w:space="0" w:color="auto"/>
              <w:bottom w:val="single" w:sz="8" w:space="0" w:color="auto"/>
              <w:right w:val="dotted" w:sz="4" w:space="0" w:color="auto"/>
            </w:tcBorders>
            <w:shd w:val="clear" w:color="auto" w:fill="FFFFFF"/>
            <w:vAlign w:val="center"/>
            <w:hideMark/>
          </w:tcPr>
          <w:p w14:paraId="0B6E85E7" w14:textId="77777777" w:rsidR="00094A26" w:rsidRPr="00050FA4" w:rsidRDefault="00094A26" w:rsidP="00617B60">
            <w:pPr>
              <w:jc w:val="center"/>
              <w:rPr>
                <w:rFonts w:ascii="Garamond" w:eastAsia="Times New Roman" w:hAnsi="Garamond"/>
                <w:color w:val="0D0D0D" w:themeColor="text1" w:themeTint="F2"/>
                <w:sz w:val="18"/>
                <w:szCs w:val="18"/>
              </w:rPr>
            </w:pPr>
          </w:p>
        </w:tc>
        <w:tc>
          <w:tcPr>
            <w:tcW w:w="957" w:type="dxa"/>
            <w:tcBorders>
              <w:top w:val="nil"/>
              <w:left w:val="nil"/>
              <w:bottom w:val="single" w:sz="8" w:space="0" w:color="auto"/>
              <w:right w:val="single" w:sz="8" w:space="0" w:color="auto"/>
            </w:tcBorders>
            <w:shd w:val="clear" w:color="auto" w:fill="FFFFFF"/>
            <w:vAlign w:val="center"/>
            <w:hideMark/>
          </w:tcPr>
          <w:p w14:paraId="2A13ABB0" w14:textId="77777777" w:rsidR="00094A26" w:rsidRPr="00050FA4" w:rsidRDefault="00094A26" w:rsidP="00617B60">
            <w:pPr>
              <w:jc w:val="center"/>
              <w:rPr>
                <w:rFonts w:ascii="Garamond" w:hAnsi="Garamond" w:cs="Calibri"/>
                <w:color w:val="0D0D0D" w:themeColor="text1" w:themeTint="F2"/>
                <w:sz w:val="18"/>
                <w:szCs w:val="18"/>
                <w:lang w:eastAsia="sq-AL" w:bidi="he-IL"/>
              </w:rPr>
            </w:pPr>
          </w:p>
        </w:tc>
        <w:tc>
          <w:tcPr>
            <w:tcW w:w="929" w:type="dxa"/>
            <w:tcBorders>
              <w:top w:val="nil"/>
              <w:left w:val="nil"/>
              <w:bottom w:val="single" w:sz="8" w:space="0" w:color="auto"/>
              <w:right w:val="single" w:sz="8" w:space="0" w:color="auto"/>
            </w:tcBorders>
            <w:shd w:val="clear" w:color="auto" w:fill="FFFFFF"/>
            <w:vAlign w:val="center"/>
            <w:hideMark/>
          </w:tcPr>
          <w:p w14:paraId="4FAE3E54" w14:textId="1AA36A0E" w:rsidR="00094A26" w:rsidRPr="00050FA4" w:rsidRDefault="00094A26" w:rsidP="00617B60">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Level</w:t>
            </w:r>
            <w:r w:rsidR="009B1D6B" w:rsidRPr="00050FA4">
              <w:rPr>
                <w:rFonts w:ascii="Garamond" w:eastAsia="Times New Roman" w:hAnsi="Garamond"/>
                <w:b/>
                <w:bCs/>
                <w:color w:val="0D0D0D" w:themeColor="text1" w:themeTint="F2"/>
                <w:sz w:val="18"/>
                <w:szCs w:val="18"/>
              </w:rPr>
              <w:t xml:space="preserve"> </w:t>
            </w:r>
            <w:r w:rsidRPr="00050FA4">
              <w:rPr>
                <w:rFonts w:ascii="Garamond" w:eastAsia="Times New Roman" w:hAnsi="Garamond"/>
                <w:b/>
                <w:bCs/>
                <w:color w:val="0D0D0D" w:themeColor="text1" w:themeTint="F2"/>
                <w:sz w:val="18"/>
                <w:szCs w:val="18"/>
              </w:rPr>
              <w:t>(bn EUR)</w:t>
            </w:r>
          </w:p>
        </w:tc>
        <w:tc>
          <w:tcPr>
            <w:tcW w:w="4829" w:type="dxa"/>
            <w:gridSpan w:val="5"/>
            <w:tcBorders>
              <w:top w:val="double" w:sz="6" w:space="0" w:color="auto"/>
              <w:left w:val="nil"/>
              <w:bottom w:val="single" w:sz="8" w:space="0" w:color="auto"/>
              <w:right w:val="double" w:sz="6" w:space="0" w:color="000000"/>
            </w:tcBorders>
            <w:shd w:val="clear" w:color="auto" w:fill="FFFFFF"/>
            <w:vAlign w:val="center"/>
            <w:hideMark/>
          </w:tcPr>
          <w:p w14:paraId="6A99E99D" w14:textId="77777777" w:rsidR="00094A26" w:rsidRPr="00050FA4" w:rsidRDefault="00094A26" w:rsidP="00617B60">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Rate of change</w:t>
            </w:r>
          </w:p>
        </w:tc>
      </w:tr>
      <w:tr w:rsidR="00FA29AB" w:rsidRPr="00050FA4" w14:paraId="621D6FE5" w14:textId="77777777" w:rsidTr="00617B60">
        <w:trPr>
          <w:trHeight w:val="207"/>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0DBAD7EA"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 Real GDP at market prices</w:t>
            </w:r>
          </w:p>
        </w:tc>
        <w:tc>
          <w:tcPr>
            <w:tcW w:w="957" w:type="dxa"/>
            <w:tcBorders>
              <w:top w:val="nil"/>
              <w:left w:val="nil"/>
              <w:bottom w:val="dotted" w:sz="4" w:space="0" w:color="auto"/>
              <w:right w:val="single" w:sz="8" w:space="0" w:color="auto"/>
            </w:tcBorders>
            <w:shd w:val="clear" w:color="auto" w:fill="FFFFFF"/>
            <w:vAlign w:val="center"/>
            <w:hideMark/>
          </w:tcPr>
          <w:p w14:paraId="53F9E0E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B1*g</w:t>
            </w:r>
          </w:p>
        </w:tc>
        <w:tc>
          <w:tcPr>
            <w:tcW w:w="929" w:type="dxa"/>
            <w:tcBorders>
              <w:top w:val="nil"/>
              <w:left w:val="nil"/>
              <w:bottom w:val="dotted" w:sz="4" w:space="0" w:color="auto"/>
              <w:right w:val="single" w:sz="8" w:space="0" w:color="auto"/>
            </w:tcBorders>
            <w:shd w:val="clear" w:color="auto" w:fill="FFFFFF"/>
            <w:hideMark/>
          </w:tcPr>
          <w:p w14:paraId="3436074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13.128</w:t>
            </w:r>
          </w:p>
        </w:tc>
        <w:tc>
          <w:tcPr>
            <w:tcW w:w="965" w:type="dxa"/>
            <w:tcBorders>
              <w:top w:val="nil"/>
              <w:left w:val="nil"/>
              <w:bottom w:val="dotted" w:sz="4" w:space="0" w:color="auto"/>
              <w:right w:val="dotted" w:sz="4" w:space="0" w:color="auto"/>
            </w:tcBorders>
            <w:shd w:val="clear" w:color="auto" w:fill="FFFFFF"/>
            <w:hideMark/>
          </w:tcPr>
          <w:p w14:paraId="17C16D2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-4.0</w:t>
            </w:r>
          </w:p>
        </w:tc>
        <w:tc>
          <w:tcPr>
            <w:tcW w:w="965" w:type="dxa"/>
            <w:tcBorders>
              <w:top w:val="nil"/>
              <w:left w:val="nil"/>
              <w:bottom w:val="dotted" w:sz="4" w:space="0" w:color="auto"/>
              <w:right w:val="dotted" w:sz="4" w:space="0" w:color="auto"/>
            </w:tcBorders>
            <w:shd w:val="clear" w:color="auto" w:fill="FFFFFF"/>
            <w:hideMark/>
          </w:tcPr>
          <w:p w14:paraId="72856CD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8.7</w:t>
            </w:r>
          </w:p>
        </w:tc>
        <w:tc>
          <w:tcPr>
            <w:tcW w:w="965" w:type="dxa"/>
            <w:tcBorders>
              <w:top w:val="nil"/>
              <w:left w:val="nil"/>
              <w:bottom w:val="dotted" w:sz="4" w:space="0" w:color="auto"/>
              <w:right w:val="dotted" w:sz="4" w:space="0" w:color="auto"/>
            </w:tcBorders>
            <w:shd w:val="clear" w:color="auto" w:fill="FFFFFF"/>
            <w:hideMark/>
          </w:tcPr>
          <w:p w14:paraId="03AEA2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4.1</w:t>
            </w:r>
          </w:p>
        </w:tc>
        <w:tc>
          <w:tcPr>
            <w:tcW w:w="965" w:type="dxa"/>
            <w:tcBorders>
              <w:top w:val="nil"/>
              <w:left w:val="nil"/>
              <w:bottom w:val="dotted" w:sz="4" w:space="0" w:color="auto"/>
              <w:right w:val="dotted" w:sz="4" w:space="0" w:color="auto"/>
            </w:tcBorders>
            <w:shd w:val="clear" w:color="auto" w:fill="FFFFFF"/>
            <w:hideMark/>
          </w:tcPr>
          <w:p w14:paraId="5DADE22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w:t>
            </w:r>
          </w:p>
        </w:tc>
        <w:tc>
          <w:tcPr>
            <w:tcW w:w="969" w:type="dxa"/>
            <w:tcBorders>
              <w:top w:val="nil"/>
              <w:left w:val="nil"/>
              <w:bottom w:val="dotted" w:sz="4" w:space="0" w:color="auto"/>
              <w:right w:val="double" w:sz="6" w:space="0" w:color="auto"/>
            </w:tcBorders>
            <w:shd w:val="clear" w:color="auto" w:fill="FFFFFF"/>
            <w:hideMark/>
          </w:tcPr>
          <w:p w14:paraId="72CA9E0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3.9</w:t>
            </w:r>
          </w:p>
        </w:tc>
      </w:tr>
      <w:tr w:rsidR="00FA29AB" w:rsidRPr="00050FA4" w14:paraId="5CD266AC" w14:textId="77777777" w:rsidTr="00617B60">
        <w:trPr>
          <w:trHeight w:val="207"/>
          <w:jc w:val="center"/>
        </w:trPr>
        <w:tc>
          <w:tcPr>
            <w:tcW w:w="3382" w:type="dxa"/>
            <w:tcBorders>
              <w:top w:val="nil"/>
              <w:left w:val="double" w:sz="6" w:space="0" w:color="auto"/>
              <w:bottom w:val="single" w:sz="8" w:space="0" w:color="auto"/>
              <w:right w:val="dotted" w:sz="4" w:space="0" w:color="auto"/>
            </w:tcBorders>
            <w:shd w:val="clear" w:color="auto" w:fill="FFFFFF"/>
            <w:vAlign w:val="center"/>
            <w:hideMark/>
          </w:tcPr>
          <w:p w14:paraId="1E5AA00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Current GDP at</w:t>
            </w:r>
            <w:r w:rsidRPr="00050FA4">
              <w:rPr>
                <w:rFonts w:ascii="Garamond" w:eastAsia="Times New Roman" w:hAnsi="Garamond"/>
                <w:i/>
                <w:iCs/>
                <w:color w:val="0D0D0D" w:themeColor="text1" w:themeTint="F2"/>
                <w:sz w:val="18"/>
                <w:szCs w:val="18"/>
              </w:rPr>
              <w:t xml:space="preserve"> </w:t>
            </w:r>
            <w:r w:rsidRPr="00050FA4">
              <w:rPr>
                <w:rFonts w:ascii="Garamond" w:eastAsia="Times New Roman" w:hAnsi="Garamond"/>
                <w:color w:val="0D0D0D" w:themeColor="text1" w:themeTint="F2"/>
                <w:sz w:val="18"/>
                <w:szCs w:val="18"/>
              </w:rPr>
              <w:t>market prices</w:t>
            </w:r>
          </w:p>
        </w:tc>
        <w:tc>
          <w:tcPr>
            <w:tcW w:w="957" w:type="dxa"/>
            <w:tcBorders>
              <w:top w:val="nil"/>
              <w:left w:val="nil"/>
              <w:bottom w:val="single" w:sz="8" w:space="0" w:color="auto"/>
              <w:right w:val="single" w:sz="8" w:space="0" w:color="auto"/>
            </w:tcBorders>
            <w:shd w:val="clear" w:color="auto" w:fill="FFFFFF"/>
            <w:vAlign w:val="center"/>
            <w:hideMark/>
          </w:tcPr>
          <w:p w14:paraId="15BACFD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B1*g</w:t>
            </w:r>
          </w:p>
        </w:tc>
        <w:tc>
          <w:tcPr>
            <w:tcW w:w="929" w:type="dxa"/>
            <w:tcBorders>
              <w:top w:val="nil"/>
              <w:left w:val="nil"/>
              <w:bottom w:val="single" w:sz="8" w:space="0" w:color="auto"/>
              <w:right w:val="single" w:sz="8" w:space="0" w:color="auto"/>
            </w:tcBorders>
            <w:shd w:val="clear" w:color="auto" w:fill="FFFFFF"/>
            <w:hideMark/>
          </w:tcPr>
          <w:p w14:paraId="3AC5338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13.069</w:t>
            </w:r>
          </w:p>
        </w:tc>
        <w:tc>
          <w:tcPr>
            <w:tcW w:w="965" w:type="dxa"/>
            <w:tcBorders>
              <w:top w:val="nil"/>
              <w:left w:val="nil"/>
              <w:bottom w:val="single" w:sz="8" w:space="0" w:color="auto"/>
              <w:right w:val="dotted" w:sz="4" w:space="0" w:color="auto"/>
            </w:tcBorders>
            <w:shd w:val="clear" w:color="auto" w:fill="FFFFFF"/>
            <w:hideMark/>
          </w:tcPr>
          <w:p w14:paraId="3A562DD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-4.4</w:t>
            </w:r>
          </w:p>
        </w:tc>
        <w:tc>
          <w:tcPr>
            <w:tcW w:w="965" w:type="dxa"/>
            <w:tcBorders>
              <w:top w:val="nil"/>
              <w:left w:val="nil"/>
              <w:bottom w:val="single" w:sz="8" w:space="0" w:color="auto"/>
              <w:right w:val="dotted" w:sz="4" w:space="0" w:color="auto"/>
            </w:tcBorders>
            <w:shd w:val="clear" w:color="auto" w:fill="FFFFFF"/>
            <w:hideMark/>
          </w:tcPr>
          <w:p w14:paraId="17285CC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9.4</w:t>
            </w:r>
          </w:p>
        </w:tc>
        <w:tc>
          <w:tcPr>
            <w:tcW w:w="965" w:type="dxa"/>
            <w:tcBorders>
              <w:top w:val="nil"/>
              <w:left w:val="nil"/>
              <w:bottom w:val="single" w:sz="8" w:space="0" w:color="auto"/>
              <w:right w:val="dotted" w:sz="4" w:space="0" w:color="auto"/>
            </w:tcBorders>
            <w:shd w:val="clear" w:color="auto" w:fill="FFFFFF"/>
            <w:hideMark/>
          </w:tcPr>
          <w:p w14:paraId="027B29F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5.5</w:t>
            </w:r>
          </w:p>
        </w:tc>
        <w:tc>
          <w:tcPr>
            <w:tcW w:w="965" w:type="dxa"/>
            <w:tcBorders>
              <w:top w:val="nil"/>
              <w:left w:val="nil"/>
              <w:bottom w:val="single" w:sz="8" w:space="0" w:color="auto"/>
              <w:right w:val="dotted" w:sz="4" w:space="0" w:color="auto"/>
            </w:tcBorders>
            <w:shd w:val="clear" w:color="auto" w:fill="FFFFFF"/>
            <w:hideMark/>
          </w:tcPr>
          <w:p w14:paraId="4A049D2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5.2</w:t>
            </w:r>
          </w:p>
        </w:tc>
        <w:tc>
          <w:tcPr>
            <w:tcW w:w="969" w:type="dxa"/>
            <w:tcBorders>
              <w:top w:val="nil"/>
              <w:left w:val="nil"/>
              <w:bottom w:val="single" w:sz="8" w:space="0" w:color="auto"/>
              <w:right w:val="double" w:sz="6" w:space="0" w:color="auto"/>
            </w:tcBorders>
            <w:shd w:val="clear" w:color="auto" w:fill="FFFFFF"/>
            <w:hideMark/>
          </w:tcPr>
          <w:p w14:paraId="2E0DA72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5.4</w:t>
            </w:r>
          </w:p>
        </w:tc>
      </w:tr>
      <w:tr w:rsidR="00FA29AB" w:rsidRPr="00050FA4" w14:paraId="05A36958" w14:textId="77777777" w:rsidTr="00617B60">
        <w:trPr>
          <w:trHeight w:val="207"/>
          <w:jc w:val="center"/>
        </w:trPr>
        <w:tc>
          <w:tcPr>
            <w:tcW w:w="10097" w:type="dxa"/>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0EB9B6B8"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Components of real GDP</w:t>
            </w:r>
          </w:p>
        </w:tc>
      </w:tr>
      <w:tr w:rsidR="00FA29AB" w:rsidRPr="00050FA4" w14:paraId="3145334E" w14:textId="77777777" w:rsidTr="00617B60">
        <w:trPr>
          <w:trHeight w:val="207"/>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690D06C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 Private consumption expenditure</w:t>
            </w:r>
          </w:p>
        </w:tc>
        <w:tc>
          <w:tcPr>
            <w:tcW w:w="957" w:type="dxa"/>
            <w:tcBorders>
              <w:top w:val="nil"/>
              <w:left w:val="nil"/>
              <w:bottom w:val="dotted" w:sz="4" w:space="0" w:color="auto"/>
              <w:right w:val="single" w:sz="8" w:space="0" w:color="auto"/>
            </w:tcBorders>
            <w:shd w:val="clear" w:color="auto" w:fill="FFFFFF"/>
            <w:vAlign w:val="center"/>
            <w:hideMark/>
          </w:tcPr>
          <w:p w14:paraId="33CA91E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P3</w:t>
            </w:r>
          </w:p>
        </w:tc>
        <w:tc>
          <w:tcPr>
            <w:tcW w:w="929" w:type="dxa"/>
            <w:tcBorders>
              <w:top w:val="nil"/>
              <w:left w:val="nil"/>
              <w:bottom w:val="dotted" w:sz="4" w:space="0" w:color="auto"/>
              <w:right w:val="single" w:sz="8" w:space="0" w:color="auto"/>
            </w:tcBorders>
            <w:shd w:val="clear" w:color="auto" w:fill="FFFFFF"/>
            <w:hideMark/>
          </w:tcPr>
          <w:p w14:paraId="7D4D3EC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10.661</w:t>
            </w:r>
          </w:p>
        </w:tc>
        <w:tc>
          <w:tcPr>
            <w:tcW w:w="965" w:type="dxa"/>
            <w:tcBorders>
              <w:top w:val="nil"/>
              <w:left w:val="nil"/>
              <w:bottom w:val="dotted" w:sz="4" w:space="0" w:color="auto"/>
              <w:right w:val="dotted" w:sz="4" w:space="0" w:color="auto"/>
            </w:tcBorders>
            <w:shd w:val="clear" w:color="auto" w:fill="FFFFFF"/>
            <w:hideMark/>
          </w:tcPr>
          <w:p w14:paraId="176E91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w:t>
            </w:r>
          </w:p>
        </w:tc>
        <w:tc>
          <w:tcPr>
            <w:tcW w:w="965" w:type="dxa"/>
            <w:tcBorders>
              <w:top w:val="nil"/>
              <w:left w:val="nil"/>
              <w:bottom w:val="dotted" w:sz="4" w:space="0" w:color="auto"/>
              <w:right w:val="dotted" w:sz="4" w:space="0" w:color="auto"/>
            </w:tcBorders>
            <w:shd w:val="clear" w:color="auto" w:fill="FFFFFF"/>
            <w:hideMark/>
          </w:tcPr>
          <w:p w14:paraId="07CB8FC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w:t>
            </w:r>
          </w:p>
        </w:tc>
        <w:tc>
          <w:tcPr>
            <w:tcW w:w="965" w:type="dxa"/>
            <w:tcBorders>
              <w:top w:val="nil"/>
              <w:left w:val="nil"/>
              <w:bottom w:val="dotted" w:sz="4" w:space="0" w:color="auto"/>
              <w:right w:val="dotted" w:sz="4" w:space="0" w:color="auto"/>
            </w:tcBorders>
            <w:shd w:val="clear" w:color="auto" w:fill="FFFFFF"/>
            <w:hideMark/>
          </w:tcPr>
          <w:p w14:paraId="27587E5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c>
          <w:tcPr>
            <w:tcW w:w="965" w:type="dxa"/>
            <w:tcBorders>
              <w:top w:val="nil"/>
              <w:left w:val="nil"/>
              <w:bottom w:val="dotted" w:sz="4" w:space="0" w:color="auto"/>
              <w:right w:val="dotted" w:sz="4" w:space="0" w:color="auto"/>
            </w:tcBorders>
            <w:shd w:val="clear" w:color="auto" w:fill="FFFFFF"/>
            <w:hideMark/>
          </w:tcPr>
          <w:p w14:paraId="08F3CBC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3.6</w:t>
            </w:r>
          </w:p>
        </w:tc>
        <w:tc>
          <w:tcPr>
            <w:tcW w:w="969" w:type="dxa"/>
            <w:tcBorders>
              <w:top w:val="nil"/>
              <w:left w:val="nil"/>
              <w:bottom w:val="dotted" w:sz="4" w:space="0" w:color="auto"/>
              <w:right w:val="double" w:sz="6" w:space="0" w:color="auto"/>
            </w:tcBorders>
            <w:shd w:val="clear" w:color="auto" w:fill="FFFFFF"/>
            <w:hideMark/>
          </w:tcPr>
          <w:p w14:paraId="0BDCD0D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r>
      <w:tr w:rsidR="00FA29AB" w:rsidRPr="00050FA4" w14:paraId="0758A224" w14:textId="77777777" w:rsidTr="00617B60">
        <w:trPr>
          <w:trHeight w:val="207"/>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46CE17B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Government consumption expenditure</w:t>
            </w:r>
          </w:p>
        </w:tc>
        <w:tc>
          <w:tcPr>
            <w:tcW w:w="957" w:type="dxa"/>
            <w:tcBorders>
              <w:top w:val="nil"/>
              <w:left w:val="nil"/>
              <w:bottom w:val="dotted" w:sz="4" w:space="0" w:color="auto"/>
              <w:right w:val="single" w:sz="8" w:space="0" w:color="auto"/>
            </w:tcBorders>
            <w:shd w:val="clear" w:color="auto" w:fill="FFFFFF"/>
            <w:vAlign w:val="center"/>
            <w:hideMark/>
          </w:tcPr>
          <w:p w14:paraId="6B6FD1C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P3</w:t>
            </w:r>
          </w:p>
        </w:tc>
        <w:tc>
          <w:tcPr>
            <w:tcW w:w="929" w:type="dxa"/>
            <w:tcBorders>
              <w:top w:val="nil"/>
              <w:left w:val="nil"/>
              <w:bottom w:val="dotted" w:sz="4" w:space="0" w:color="auto"/>
              <w:right w:val="single" w:sz="8" w:space="0" w:color="auto"/>
            </w:tcBorders>
            <w:shd w:val="clear" w:color="auto" w:fill="FFFFFF"/>
            <w:hideMark/>
          </w:tcPr>
          <w:p w14:paraId="3BCF3EB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1.576</w:t>
            </w:r>
          </w:p>
        </w:tc>
        <w:tc>
          <w:tcPr>
            <w:tcW w:w="965" w:type="dxa"/>
            <w:tcBorders>
              <w:top w:val="nil"/>
              <w:left w:val="nil"/>
              <w:bottom w:val="dotted" w:sz="4" w:space="0" w:color="auto"/>
              <w:right w:val="dotted" w:sz="4" w:space="0" w:color="auto"/>
            </w:tcBorders>
            <w:shd w:val="clear" w:color="auto" w:fill="FFFFFF"/>
            <w:hideMark/>
          </w:tcPr>
          <w:p w14:paraId="18A4FB1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965" w:type="dxa"/>
            <w:tcBorders>
              <w:top w:val="nil"/>
              <w:left w:val="nil"/>
              <w:bottom w:val="dotted" w:sz="4" w:space="0" w:color="auto"/>
              <w:right w:val="dotted" w:sz="4" w:space="0" w:color="auto"/>
            </w:tcBorders>
            <w:shd w:val="clear" w:color="auto" w:fill="FFFFFF"/>
            <w:hideMark/>
          </w:tcPr>
          <w:p w14:paraId="0C42A08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-6.1</w:t>
            </w:r>
          </w:p>
        </w:tc>
        <w:tc>
          <w:tcPr>
            <w:tcW w:w="965" w:type="dxa"/>
            <w:tcBorders>
              <w:top w:val="nil"/>
              <w:left w:val="nil"/>
              <w:bottom w:val="dotted" w:sz="4" w:space="0" w:color="auto"/>
              <w:right w:val="dotted" w:sz="4" w:space="0" w:color="auto"/>
            </w:tcBorders>
            <w:shd w:val="clear" w:color="auto" w:fill="FFFFFF"/>
            <w:hideMark/>
          </w:tcPr>
          <w:p w14:paraId="7315A48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965" w:type="dxa"/>
            <w:tcBorders>
              <w:top w:val="nil"/>
              <w:left w:val="nil"/>
              <w:bottom w:val="dotted" w:sz="4" w:space="0" w:color="auto"/>
              <w:right w:val="dotted" w:sz="4" w:space="0" w:color="auto"/>
            </w:tcBorders>
            <w:shd w:val="clear" w:color="auto" w:fill="FFFFFF"/>
            <w:hideMark/>
          </w:tcPr>
          <w:p w14:paraId="2055931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969" w:type="dxa"/>
            <w:tcBorders>
              <w:top w:val="nil"/>
              <w:left w:val="nil"/>
              <w:bottom w:val="dotted" w:sz="4" w:space="0" w:color="auto"/>
              <w:right w:val="double" w:sz="6" w:space="0" w:color="auto"/>
            </w:tcBorders>
            <w:shd w:val="clear" w:color="auto" w:fill="FFFFFF"/>
            <w:hideMark/>
          </w:tcPr>
          <w:p w14:paraId="0DF83D6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0.9</w:t>
            </w:r>
          </w:p>
        </w:tc>
      </w:tr>
      <w:tr w:rsidR="00FA29AB" w:rsidRPr="00050FA4" w14:paraId="16219290" w14:textId="77777777" w:rsidTr="00617B60">
        <w:trPr>
          <w:trHeight w:val="207"/>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6E50ED0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Gross fixed capital formation</w:t>
            </w:r>
          </w:p>
        </w:tc>
        <w:tc>
          <w:tcPr>
            <w:tcW w:w="957" w:type="dxa"/>
            <w:tcBorders>
              <w:top w:val="nil"/>
              <w:left w:val="nil"/>
              <w:bottom w:val="dotted" w:sz="4" w:space="0" w:color="auto"/>
              <w:right w:val="single" w:sz="8" w:space="0" w:color="auto"/>
            </w:tcBorders>
            <w:shd w:val="clear" w:color="auto" w:fill="FFFFFF"/>
            <w:vAlign w:val="center"/>
            <w:hideMark/>
          </w:tcPr>
          <w:p w14:paraId="31A14CD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P51</w:t>
            </w:r>
          </w:p>
        </w:tc>
        <w:tc>
          <w:tcPr>
            <w:tcW w:w="929" w:type="dxa"/>
            <w:tcBorders>
              <w:top w:val="nil"/>
              <w:left w:val="nil"/>
              <w:bottom w:val="dotted" w:sz="4" w:space="0" w:color="auto"/>
              <w:right w:val="single" w:sz="8" w:space="0" w:color="auto"/>
            </w:tcBorders>
            <w:shd w:val="clear" w:color="auto" w:fill="FFFFFF"/>
            <w:hideMark/>
          </w:tcPr>
          <w:p w14:paraId="140D387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2.985</w:t>
            </w:r>
          </w:p>
        </w:tc>
        <w:tc>
          <w:tcPr>
            <w:tcW w:w="965" w:type="dxa"/>
            <w:tcBorders>
              <w:top w:val="nil"/>
              <w:left w:val="nil"/>
              <w:bottom w:val="dotted" w:sz="4" w:space="0" w:color="auto"/>
              <w:right w:val="dotted" w:sz="4" w:space="0" w:color="auto"/>
            </w:tcBorders>
            <w:shd w:val="clear" w:color="auto" w:fill="FFFFFF"/>
            <w:hideMark/>
          </w:tcPr>
          <w:p w14:paraId="5A3BB9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w:t>
            </w:r>
          </w:p>
        </w:tc>
        <w:tc>
          <w:tcPr>
            <w:tcW w:w="965" w:type="dxa"/>
            <w:tcBorders>
              <w:top w:val="nil"/>
              <w:left w:val="nil"/>
              <w:bottom w:val="dotted" w:sz="4" w:space="0" w:color="auto"/>
              <w:right w:val="dotted" w:sz="4" w:space="0" w:color="auto"/>
            </w:tcBorders>
            <w:shd w:val="clear" w:color="auto" w:fill="FFFFFF"/>
            <w:hideMark/>
          </w:tcPr>
          <w:p w14:paraId="4043355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19.9</w:t>
            </w:r>
          </w:p>
        </w:tc>
        <w:tc>
          <w:tcPr>
            <w:tcW w:w="965" w:type="dxa"/>
            <w:tcBorders>
              <w:top w:val="nil"/>
              <w:left w:val="nil"/>
              <w:bottom w:val="dotted" w:sz="4" w:space="0" w:color="auto"/>
              <w:right w:val="dotted" w:sz="4" w:space="0" w:color="auto"/>
            </w:tcBorders>
            <w:shd w:val="clear" w:color="auto" w:fill="FFFFFF"/>
            <w:hideMark/>
          </w:tcPr>
          <w:p w14:paraId="6D61736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2.5</w:t>
            </w:r>
          </w:p>
        </w:tc>
        <w:tc>
          <w:tcPr>
            <w:tcW w:w="965" w:type="dxa"/>
            <w:tcBorders>
              <w:top w:val="nil"/>
              <w:left w:val="nil"/>
              <w:bottom w:val="dotted" w:sz="4" w:space="0" w:color="auto"/>
              <w:right w:val="dotted" w:sz="4" w:space="0" w:color="auto"/>
            </w:tcBorders>
            <w:shd w:val="clear" w:color="auto" w:fill="FFFFFF"/>
            <w:hideMark/>
          </w:tcPr>
          <w:p w14:paraId="4E948CA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w:t>
            </w:r>
          </w:p>
        </w:tc>
        <w:tc>
          <w:tcPr>
            <w:tcW w:w="969" w:type="dxa"/>
            <w:tcBorders>
              <w:top w:val="nil"/>
              <w:left w:val="nil"/>
              <w:bottom w:val="dotted" w:sz="4" w:space="0" w:color="auto"/>
              <w:right w:val="double" w:sz="6" w:space="0" w:color="auto"/>
            </w:tcBorders>
            <w:shd w:val="clear" w:color="auto" w:fill="FFFFFF"/>
            <w:hideMark/>
          </w:tcPr>
          <w:p w14:paraId="33E5E8D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w:t>
            </w:r>
          </w:p>
        </w:tc>
      </w:tr>
      <w:tr w:rsidR="00FA29AB" w:rsidRPr="00050FA4" w14:paraId="5B8062A4" w14:textId="77777777" w:rsidTr="00617B60">
        <w:trPr>
          <w:trHeight w:val="311"/>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210062B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 Changes in inventories and net acquisition of valuables (% of GDP)</w:t>
            </w:r>
          </w:p>
        </w:tc>
        <w:tc>
          <w:tcPr>
            <w:tcW w:w="957" w:type="dxa"/>
            <w:tcBorders>
              <w:top w:val="nil"/>
              <w:left w:val="nil"/>
              <w:bottom w:val="dotted" w:sz="4" w:space="0" w:color="auto"/>
              <w:right w:val="single" w:sz="8" w:space="0" w:color="auto"/>
            </w:tcBorders>
            <w:shd w:val="clear" w:color="auto" w:fill="FFFFFF"/>
            <w:vAlign w:val="center"/>
            <w:hideMark/>
          </w:tcPr>
          <w:p w14:paraId="26D826D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P52+P53</w:t>
            </w:r>
          </w:p>
        </w:tc>
        <w:tc>
          <w:tcPr>
            <w:tcW w:w="929" w:type="dxa"/>
            <w:tcBorders>
              <w:top w:val="nil"/>
              <w:left w:val="nil"/>
              <w:bottom w:val="dotted" w:sz="4" w:space="0" w:color="auto"/>
              <w:right w:val="single" w:sz="8" w:space="0" w:color="auto"/>
            </w:tcBorders>
            <w:shd w:val="clear" w:color="auto" w:fill="FFFFFF"/>
            <w:hideMark/>
          </w:tcPr>
          <w:p w14:paraId="4D5661C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-0.192</w:t>
            </w:r>
          </w:p>
        </w:tc>
        <w:tc>
          <w:tcPr>
            <w:tcW w:w="965" w:type="dxa"/>
            <w:tcBorders>
              <w:top w:val="nil"/>
              <w:left w:val="nil"/>
              <w:bottom w:val="dotted" w:sz="4" w:space="0" w:color="auto"/>
              <w:right w:val="dotted" w:sz="4" w:space="0" w:color="auto"/>
            </w:tcBorders>
            <w:shd w:val="clear" w:color="auto" w:fill="FFFFFF"/>
            <w:hideMark/>
          </w:tcPr>
          <w:p w14:paraId="05F1726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c>
          <w:tcPr>
            <w:tcW w:w="965" w:type="dxa"/>
            <w:tcBorders>
              <w:top w:val="nil"/>
              <w:left w:val="nil"/>
              <w:bottom w:val="dotted" w:sz="4" w:space="0" w:color="auto"/>
              <w:right w:val="dotted" w:sz="4" w:space="0" w:color="auto"/>
            </w:tcBorders>
            <w:hideMark/>
          </w:tcPr>
          <w:p w14:paraId="1ABD7C0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965" w:type="dxa"/>
            <w:tcBorders>
              <w:top w:val="nil"/>
              <w:left w:val="nil"/>
              <w:bottom w:val="dotted" w:sz="4" w:space="0" w:color="auto"/>
              <w:right w:val="dotted" w:sz="4" w:space="0" w:color="auto"/>
            </w:tcBorders>
            <w:hideMark/>
          </w:tcPr>
          <w:p w14:paraId="724B15D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c>
          <w:tcPr>
            <w:tcW w:w="965" w:type="dxa"/>
            <w:tcBorders>
              <w:top w:val="nil"/>
              <w:left w:val="nil"/>
              <w:bottom w:val="dotted" w:sz="4" w:space="0" w:color="auto"/>
              <w:right w:val="dotted" w:sz="4" w:space="0" w:color="auto"/>
            </w:tcBorders>
            <w:shd w:val="clear" w:color="auto" w:fill="FFFFFF"/>
            <w:hideMark/>
          </w:tcPr>
          <w:p w14:paraId="4592C7E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w:t>
            </w:r>
          </w:p>
        </w:tc>
        <w:tc>
          <w:tcPr>
            <w:tcW w:w="969" w:type="dxa"/>
            <w:tcBorders>
              <w:top w:val="nil"/>
              <w:left w:val="nil"/>
              <w:bottom w:val="dotted" w:sz="4" w:space="0" w:color="auto"/>
              <w:right w:val="double" w:sz="6" w:space="0" w:color="auto"/>
            </w:tcBorders>
            <w:shd w:val="clear" w:color="auto" w:fill="FFFFFF"/>
            <w:hideMark/>
          </w:tcPr>
          <w:p w14:paraId="2B0AE1A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-2.5</w:t>
            </w:r>
          </w:p>
        </w:tc>
      </w:tr>
      <w:tr w:rsidR="00FA29AB" w:rsidRPr="00050FA4" w14:paraId="728E9E0C" w14:textId="77777777" w:rsidTr="00617B60">
        <w:trPr>
          <w:trHeight w:val="207"/>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675521A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Exports of goods and services</w:t>
            </w:r>
          </w:p>
        </w:tc>
        <w:tc>
          <w:tcPr>
            <w:tcW w:w="957" w:type="dxa"/>
            <w:tcBorders>
              <w:top w:val="nil"/>
              <w:left w:val="nil"/>
              <w:bottom w:val="dotted" w:sz="4" w:space="0" w:color="auto"/>
              <w:right w:val="single" w:sz="8" w:space="0" w:color="auto"/>
            </w:tcBorders>
            <w:shd w:val="clear" w:color="auto" w:fill="FFFFFF"/>
            <w:vAlign w:val="center"/>
            <w:hideMark/>
          </w:tcPr>
          <w:p w14:paraId="47F8784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P6</w:t>
            </w:r>
          </w:p>
        </w:tc>
        <w:tc>
          <w:tcPr>
            <w:tcW w:w="929" w:type="dxa"/>
            <w:tcBorders>
              <w:top w:val="nil"/>
              <w:left w:val="nil"/>
              <w:bottom w:val="dotted" w:sz="4" w:space="0" w:color="auto"/>
              <w:right w:val="single" w:sz="8" w:space="0" w:color="auto"/>
            </w:tcBorders>
            <w:shd w:val="clear" w:color="auto" w:fill="FFFFFF"/>
            <w:hideMark/>
          </w:tcPr>
          <w:p w14:paraId="222B249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3.072</w:t>
            </w:r>
          </w:p>
        </w:tc>
        <w:tc>
          <w:tcPr>
            <w:tcW w:w="965" w:type="dxa"/>
            <w:tcBorders>
              <w:top w:val="nil"/>
              <w:left w:val="nil"/>
              <w:bottom w:val="dotted" w:sz="4" w:space="0" w:color="auto"/>
              <w:right w:val="dotted" w:sz="4" w:space="0" w:color="auto"/>
            </w:tcBorders>
            <w:shd w:val="clear" w:color="auto" w:fill="FFFFFF"/>
            <w:hideMark/>
          </w:tcPr>
          <w:p w14:paraId="6C289FA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-28.2</w:t>
            </w:r>
          </w:p>
        </w:tc>
        <w:tc>
          <w:tcPr>
            <w:tcW w:w="965" w:type="dxa"/>
            <w:tcBorders>
              <w:top w:val="nil"/>
              <w:left w:val="nil"/>
              <w:bottom w:val="dotted" w:sz="4" w:space="0" w:color="auto"/>
              <w:right w:val="dotted" w:sz="4" w:space="0" w:color="auto"/>
            </w:tcBorders>
            <w:shd w:val="clear" w:color="auto" w:fill="FFFFFF"/>
            <w:hideMark/>
          </w:tcPr>
          <w:p w14:paraId="6D81DD3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31.7</w:t>
            </w:r>
          </w:p>
        </w:tc>
        <w:tc>
          <w:tcPr>
            <w:tcW w:w="965" w:type="dxa"/>
            <w:tcBorders>
              <w:top w:val="nil"/>
              <w:left w:val="nil"/>
              <w:bottom w:val="dotted" w:sz="4" w:space="0" w:color="auto"/>
              <w:right w:val="dotted" w:sz="4" w:space="0" w:color="auto"/>
            </w:tcBorders>
            <w:shd w:val="clear" w:color="auto" w:fill="FFFFFF"/>
            <w:hideMark/>
          </w:tcPr>
          <w:p w14:paraId="2A0FE06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965" w:type="dxa"/>
            <w:tcBorders>
              <w:top w:val="nil"/>
              <w:left w:val="nil"/>
              <w:bottom w:val="dotted" w:sz="4" w:space="0" w:color="auto"/>
              <w:right w:val="dotted" w:sz="4" w:space="0" w:color="auto"/>
            </w:tcBorders>
            <w:shd w:val="clear" w:color="auto" w:fill="FFFFFF"/>
            <w:hideMark/>
          </w:tcPr>
          <w:p w14:paraId="3E2047B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6.5</w:t>
            </w:r>
          </w:p>
        </w:tc>
        <w:tc>
          <w:tcPr>
            <w:tcW w:w="969" w:type="dxa"/>
            <w:tcBorders>
              <w:top w:val="nil"/>
              <w:left w:val="nil"/>
              <w:bottom w:val="dotted" w:sz="4" w:space="0" w:color="auto"/>
              <w:right w:val="double" w:sz="6" w:space="0" w:color="auto"/>
            </w:tcBorders>
            <w:shd w:val="clear" w:color="auto" w:fill="FFFFFF"/>
            <w:hideMark/>
          </w:tcPr>
          <w:p w14:paraId="776B830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6.1</w:t>
            </w:r>
          </w:p>
        </w:tc>
      </w:tr>
      <w:tr w:rsidR="00FA29AB" w:rsidRPr="00050FA4" w14:paraId="701107D2" w14:textId="77777777" w:rsidTr="00617B60">
        <w:trPr>
          <w:trHeight w:val="207"/>
          <w:jc w:val="center"/>
        </w:trPr>
        <w:tc>
          <w:tcPr>
            <w:tcW w:w="3382" w:type="dxa"/>
            <w:tcBorders>
              <w:top w:val="nil"/>
              <w:left w:val="double" w:sz="6" w:space="0" w:color="auto"/>
              <w:bottom w:val="single" w:sz="8" w:space="0" w:color="auto"/>
              <w:right w:val="dotted" w:sz="4" w:space="0" w:color="auto"/>
            </w:tcBorders>
            <w:shd w:val="clear" w:color="auto" w:fill="FFFFFF"/>
            <w:vAlign w:val="center"/>
            <w:hideMark/>
          </w:tcPr>
          <w:p w14:paraId="645231F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8. Imports of goods and services</w:t>
            </w:r>
          </w:p>
        </w:tc>
        <w:tc>
          <w:tcPr>
            <w:tcW w:w="957" w:type="dxa"/>
            <w:tcBorders>
              <w:top w:val="nil"/>
              <w:left w:val="nil"/>
              <w:bottom w:val="single" w:sz="8" w:space="0" w:color="auto"/>
              <w:right w:val="single" w:sz="8" w:space="0" w:color="auto"/>
            </w:tcBorders>
            <w:shd w:val="clear" w:color="auto" w:fill="FFFFFF"/>
            <w:vAlign w:val="center"/>
            <w:hideMark/>
          </w:tcPr>
          <w:p w14:paraId="4053911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P7</w:t>
            </w:r>
          </w:p>
        </w:tc>
        <w:tc>
          <w:tcPr>
            <w:tcW w:w="929" w:type="dxa"/>
            <w:tcBorders>
              <w:top w:val="nil"/>
              <w:left w:val="nil"/>
              <w:bottom w:val="single" w:sz="8" w:space="0" w:color="auto"/>
              <w:right w:val="single" w:sz="8" w:space="0" w:color="auto"/>
            </w:tcBorders>
            <w:shd w:val="clear" w:color="auto" w:fill="FFFFFF"/>
            <w:hideMark/>
          </w:tcPr>
          <w:p w14:paraId="60F220A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4.973</w:t>
            </w:r>
          </w:p>
        </w:tc>
        <w:tc>
          <w:tcPr>
            <w:tcW w:w="965" w:type="dxa"/>
            <w:tcBorders>
              <w:top w:val="nil"/>
              <w:left w:val="nil"/>
              <w:bottom w:val="single" w:sz="8" w:space="0" w:color="auto"/>
              <w:right w:val="dotted" w:sz="4" w:space="0" w:color="auto"/>
            </w:tcBorders>
            <w:shd w:val="clear" w:color="auto" w:fill="FFFFFF"/>
            <w:hideMark/>
          </w:tcPr>
          <w:p w14:paraId="43DCA0A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-19.1</w:t>
            </w:r>
          </w:p>
        </w:tc>
        <w:tc>
          <w:tcPr>
            <w:tcW w:w="965" w:type="dxa"/>
            <w:tcBorders>
              <w:top w:val="nil"/>
              <w:left w:val="nil"/>
              <w:bottom w:val="single" w:sz="8" w:space="0" w:color="auto"/>
              <w:right w:val="dotted" w:sz="4" w:space="0" w:color="auto"/>
            </w:tcBorders>
            <w:shd w:val="clear" w:color="auto" w:fill="FFFFFF"/>
            <w:hideMark/>
          </w:tcPr>
          <w:p w14:paraId="020D1B8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18.7</w:t>
            </w:r>
          </w:p>
        </w:tc>
        <w:tc>
          <w:tcPr>
            <w:tcW w:w="965" w:type="dxa"/>
            <w:tcBorders>
              <w:top w:val="nil"/>
              <w:left w:val="nil"/>
              <w:bottom w:val="single" w:sz="8" w:space="0" w:color="auto"/>
              <w:right w:val="dotted" w:sz="4" w:space="0" w:color="auto"/>
            </w:tcBorders>
            <w:shd w:val="clear" w:color="auto" w:fill="FFFFFF"/>
            <w:hideMark/>
          </w:tcPr>
          <w:p w14:paraId="4BE544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965" w:type="dxa"/>
            <w:tcBorders>
              <w:top w:val="nil"/>
              <w:left w:val="nil"/>
              <w:bottom w:val="single" w:sz="8" w:space="0" w:color="auto"/>
              <w:right w:val="dotted" w:sz="4" w:space="0" w:color="auto"/>
            </w:tcBorders>
            <w:shd w:val="clear" w:color="auto" w:fill="FFFFFF"/>
            <w:hideMark/>
          </w:tcPr>
          <w:p w14:paraId="357F39F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w:t>
            </w:r>
          </w:p>
        </w:tc>
        <w:tc>
          <w:tcPr>
            <w:tcW w:w="969" w:type="dxa"/>
            <w:tcBorders>
              <w:top w:val="nil"/>
              <w:left w:val="nil"/>
              <w:bottom w:val="single" w:sz="8" w:space="0" w:color="auto"/>
              <w:right w:val="double" w:sz="6" w:space="0" w:color="auto"/>
            </w:tcBorders>
            <w:shd w:val="clear" w:color="auto" w:fill="FFFFFF"/>
            <w:hideMark/>
          </w:tcPr>
          <w:p w14:paraId="6CE032F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3.2</w:t>
            </w:r>
          </w:p>
        </w:tc>
      </w:tr>
      <w:tr w:rsidR="00FA29AB" w:rsidRPr="00050FA4" w14:paraId="5CA0CA85" w14:textId="77777777" w:rsidTr="00617B60">
        <w:trPr>
          <w:trHeight w:val="207"/>
          <w:jc w:val="center"/>
        </w:trPr>
        <w:tc>
          <w:tcPr>
            <w:tcW w:w="10097" w:type="dxa"/>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5866037D"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Contribution to real GDP growth</w:t>
            </w:r>
          </w:p>
        </w:tc>
      </w:tr>
      <w:tr w:rsidR="00FA29AB" w:rsidRPr="00050FA4" w14:paraId="7AEAFC4B" w14:textId="77777777" w:rsidTr="00617B60">
        <w:trPr>
          <w:trHeight w:val="207"/>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1F8630A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9. Final domestic demand</w:t>
            </w:r>
          </w:p>
        </w:tc>
        <w:tc>
          <w:tcPr>
            <w:tcW w:w="957" w:type="dxa"/>
            <w:tcBorders>
              <w:top w:val="nil"/>
              <w:left w:val="nil"/>
              <w:bottom w:val="dotted" w:sz="4" w:space="0" w:color="auto"/>
              <w:right w:val="single" w:sz="8" w:space="0" w:color="auto"/>
            </w:tcBorders>
            <w:shd w:val="clear" w:color="auto" w:fill="FFFFFF"/>
            <w:vAlign w:val="center"/>
            <w:hideMark/>
          </w:tcPr>
          <w:p w14:paraId="7A0626F3" w14:textId="77777777" w:rsidR="00094A26" w:rsidRPr="00050FA4" w:rsidRDefault="00094A26" w:rsidP="00617B60">
            <w:pPr>
              <w:jc w:val="right"/>
              <w:rPr>
                <w:rFonts w:ascii="Garamond" w:eastAsia="Times New Roman" w:hAnsi="Garamond"/>
                <w:color w:val="0D0D0D" w:themeColor="text1" w:themeTint="F2"/>
                <w:sz w:val="18"/>
                <w:szCs w:val="18"/>
              </w:rPr>
            </w:pPr>
          </w:p>
        </w:tc>
        <w:tc>
          <w:tcPr>
            <w:tcW w:w="929" w:type="dxa"/>
            <w:tcBorders>
              <w:top w:val="nil"/>
              <w:left w:val="nil"/>
              <w:bottom w:val="dotted" w:sz="4" w:space="0" w:color="auto"/>
              <w:right w:val="single" w:sz="8" w:space="0" w:color="auto"/>
            </w:tcBorders>
            <w:shd w:val="clear" w:color="auto" w:fill="FFFFFF"/>
            <w:hideMark/>
          </w:tcPr>
          <w:p w14:paraId="59112AC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15.2</w:t>
            </w:r>
          </w:p>
        </w:tc>
        <w:tc>
          <w:tcPr>
            <w:tcW w:w="965" w:type="dxa"/>
            <w:tcBorders>
              <w:top w:val="nil"/>
              <w:left w:val="nil"/>
              <w:bottom w:val="dotted" w:sz="4" w:space="0" w:color="auto"/>
              <w:right w:val="dotted" w:sz="4" w:space="0" w:color="auto"/>
            </w:tcBorders>
            <w:shd w:val="clear" w:color="auto" w:fill="FFFFFF"/>
            <w:hideMark/>
          </w:tcPr>
          <w:p w14:paraId="02A2900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-2.2</w:t>
            </w:r>
          </w:p>
        </w:tc>
        <w:tc>
          <w:tcPr>
            <w:tcW w:w="965" w:type="dxa"/>
            <w:tcBorders>
              <w:top w:val="nil"/>
              <w:left w:val="nil"/>
              <w:bottom w:val="dotted" w:sz="4" w:space="0" w:color="auto"/>
              <w:right w:val="dotted" w:sz="4" w:space="0" w:color="auto"/>
            </w:tcBorders>
            <w:shd w:val="clear" w:color="auto" w:fill="FFFFFF"/>
            <w:hideMark/>
          </w:tcPr>
          <w:p w14:paraId="317C027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8.5</w:t>
            </w:r>
          </w:p>
        </w:tc>
        <w:tc>
          <w:tcPr>
            <w:tcW w:w="965" w:type="dxa"/>
            <w:tcBorders>
              <w:top w:val="nil"/>
              <w:left w:val="nil"/>
              <w:bottom w:val="dotted" w:sz="4" w:space="0" w:color="auto"/>
              <w:right w:val="dotted" w:sz="4" w:space="0" w:color="auto"/>
            </w:tcBorders>
            <w:shd w:val="clear" w:color="auto" w:fill="FFFFFF"/>
            <w:hideMark/>
          </w:tcPr>
          <w:p w14:paraId="7D7718E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w:t>
            </w:r>
          </w:p>
        </w:tc>
        <w:tc>
          <w:tcPr>
            <w:tcW w:w="965" w:type="dxa"/>
            <w:tcBorders>
              <w:top w:val="nil"/>
              <w:left w:val="nil"/>
              <w:bottom w:val="dotted" w:sz="4" w:space="0" w:color="auto"/>
              <w:right w:val="dotted" w:sz="4" w:space="0" w:color="auto"/>
            </w:tcBorders>
            <w:shd w:val="clear" w:color="auto" w:fill="FFFFFF"/>
            <w:hideMark/>
          </w:tcPr>
          <w:p w14:paraId="5D030A9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w:t>
            </w:r>
          </w:p>
        </w:tc>
        <w:tc>
          <w:tcPr>
            <w:tcW w:w="969" w:type="dxa"/>
            <w:tcBorders>
              <w:top w:val="nil"/>
              <w:left w:val="nil"/>
              <w:bottom w:val="dotted" w:sz="4" w:space="0" w:color="auto"/>
              <w:right w:val="double" w:sz="6" w:space="0" w:color="auto"/>
            </w:tcBorders>
            <w:shd w:val="clear" w:color="auto" w:fill="FFFFFF"/>
            <w:hideMark/>
          </w:tcPr>
          <w:p w14:paraId="58BA37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w:t>
            </w:r>
          </w:p>
        </w:tc>
      </w:tr>
      <w:tr w:rsidR="00FA29AB" w:rsidRPr="00050FA4" w14:paraId="753C8366" w14:textId="77777777" w:rsidTr="00617B60">
        <w:trPr>
          <w:trHeight w:val="398"/>
          <w:jc w:val="center"/>
        </w:trPr>
        <w:tc>
          <w:tcPr>
            <w:tcW w:w="3382" w:type="dxa"/>
            <w:tcBorders>
              <w:top w:val="nil"/>
              <w:left w:val="double" w:sz="6" w:space="0" w:color="auto"/>
              <w:bottom w:val="dotted" w:sz="4" w:space="0" w:color="auto"/>
              <w:right w:val="dotted" w:sz="4" w:space="0" w:color="auto"/>
            </w:tcBorders>
            <w:shd w:val="clear" w:color="auto" w:fill="FFFFFF"/>
            <w:vAlign w:val="center"/>
            <w:hideMark/>
          </w:tcPr>
          <w:p w14:paraId="23DDBFB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10. Change in inventories and net acquisition of valuables</w:t>
            </w:r>
          </w:p>
        </w:tc>
        <w:tc>
          <w:tcPr>
            <w:tcW w:w="957" w:type="dxa"/>
            <w:tcBorders>
              <w:top w:val="nil"/>
              <w:left w:val="nil"/>
              <w:bottom w:val="dotted" w:sz="4" w:space="0" w:color="auto"/>
              <w:right w:val="single" w:sz="8" w:space="0" w:color="auto"/>
            </w:tcBorders>
            <w:shd w:val="clear" w:color="auto" w:fill="FFFFFF"/>
            <w:vAlign w:val="center"/>
            <w:hideMark/>
          </w:tcPr>
          <w:p w14:paraId="0D10635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P52+P53</w:t>
            </w:r>
          </w:p>
        </w:tc>
        <w:tc>
          <w:tcPr>
            <w:tcW w:w="929" w:type="dxa"/>
            <w:tcBorders>
              <w:top w:val="nil"/>
              <w:left w:val="nil"/>
              <w:bottom w:val="dotted" w:sz="4" w:space="0" w:color="auto"/>
              <w:right w:val="single" w:sz="8" w:space="0" w:color="auto"/>
            </w:tcBorders>
            <w:shd w:val="clear" w:color="auto" w:fill="FFFFFF"/>
            <w:hideMark/>
          </w:tcPr>
          <w:p w14:paraId="48BFB94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965" w:type="dxa"/>
            <w:tcBorders>
              <w:top w:val="nil"/>
              <w:left w:val="nil"/>
              <w:bottom w:val="dotted" w:sz="4" w:space="0" w:color="auto"/>
              <w:right w:val="dotted" w:sz="4" w:space="0" w:color="auto"/>
            </w:tcBorders>
            <w:shd w:val="clear" w:color="auto" w:fill="FFFFFF"/>
            <w:hideMark/>
          </w:tcPr>
          <w:p w14:paraId="7E32B26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c>
          <w:tcPr>
            <w:tcW w:w="965" w:type="dxa"/>
            <w:tcBorders>
              <w:top w:val="nil"/>
              <w:left w:val="nil"/>
              <w:bottom w:val="dotted" w:sz="4" w:space="0" w:color="auto"/>
              <w:right w:val="dotted" w:sz="4" w:space="0" w:color="auto"/>
            </w:tcBorders>
            <w:shd w:val="clear" w:color="auto" w:fill="FFFFFF"/>
            <w:hideMark/>
          </w:tcPr>
          <w:p w14:paraId="79F1FCD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65" w:type="dxa"/>
            <w:tcBorders>
              <w:top w:val="nil"/>
              <w:left w:val="nil"/>
              <w:bottom w:val="dotted" w:sz="4" w:space="0" w:color="auto"/>
              <w:right w:val="dotted" w:sz="4" w:space="0" w:color="auto"/>
            </w:tcBorders>
            <w:shd w:val="clear" w:color="auto" w:fill="FFFFFF"/>
            <w:hideMark/>
          </w:tcPr>
          <w:p w14:paraId="537CC62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65" w:type="dxa"/>
            <w:tcBorders>
              <w:top w:val="nil"/>
              <w:left w:val="nil"/>
              <w:bottom w:val="dotted" w:sz="4" w:space="0" w:color="auto"/>
              <w:right w:val="dotted" w:sz="4" w:space="0" w:color="auto"/>
            </w:tcBorders>
            <w:shd w:val="clear" w:color="auto" w:fill="FFFFFF"/>
            <w:hideMark/>
          </w:tcPr>
          <w:p w14:paraId="74CA931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69" w:type="dxa"/>
            <w:tcBorders>
              <w:top w:val="nil"/>
              <w:left w:val="nil"/>
              <w:bottom w:val="dotted" w:sz="4" w:space="0" w:color="auto"/>
              <w:right w:val="double" w:sz="6" w:space="0" w:color="auto"/>
            </w:tcBorders>
            <w:shd w:val="clear" w:color="auto" w:fill="FFFFFF"/>
            <w:hideMark/>
          </w:tcPr>
          <w:p w14:paraId="1A7AD4A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r>
      <w:tr w:rsidR="00FA29AB" w:rsidRPr="00050FA4" w14:paraId="4DA2213C" w14:textId="77777777" w:rsidTr="00617B60">
        <w:trPr>
          <w:trHeight w:val="207"/>
          <w:jc w:val="center"/>
        </w:trPr>
        <w:tc>
          <w:tcPr>
            <w:tcW w:w="3382" w:type="dxa"/>
            <w:tcBorders>
              <w:top w:val="nil"/>
              <w:left w:val="double" w:sz="6" w:space="0" w:color="auto"/>
              <w:bottom w:val="double" w:sz="6" w:space="0" w:color="auto"/>
              <w:right w:val="dotted" w:sz="4" w:space="0" w:color="auto"/>
            </w:tcBorders>
            <w:shd w:val="clear" w:color="auto" w:fill="FFFFFF"/>
            <w:vAlign w:val="center"/>
            <w:hideMark/>
          </w:tcPr>
          <w:p w14:paraId="2D89C88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 External balance of goods/services</w:t>
            </w:r>
          </w:p>
        </w:tc>
        <w:tc>
          <w:tcPr>
            <w:tcW w:w="957" w:type="dxa"/>
            <w:tcBorders>
              <w:top w:val="nil"/>
              <w:left w:val="nil"/>
              <w:bottom w:val="double" w:sz="6" w:space="0" w:color="auto"/>
              <w:right w:val="single" w:sz="8" w:space="0" w:color="auto"/>
            </w:tcBorders>
            <w:shd w:val="clear" w:color="auto" w:fill="FFFFFF"/>
            <w:vAlign w:val="center"/>
            <w:hideMark/>
          </w:tcPr>
          <w:p w14:paraId="19DDDEC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B11</w:t>
            </w:r>
          </w:p>
        </w:tc>
        <w:tc>
          <w:tcPr>
            <w:tcW w:w="929" w:type="dxa"/>
            <w:tcBorders>
              <w:top w:val="nil"/>
              <w:left w:val="nil"/>
              <w:bottom w:val="double" w:sz="6" w:space="0" w:color="auto"/>
              <w:right w:val="single" w:sz="8" w:space="0" w:color="auto"/>
            </w:tcBorders>
            <w:shd w:val="clear" w:color="auto" w:fill="FFFFFF"/>
            <w:hideMark/>
          </w:tcPr>
          <w:p w14:paraId="6FB8FB1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c>
          <w:tcPr>
            <w:tcW w:w="965" w:type="dxa"/>
            <w:tcBorders>
              <w:top w:val="nil"/>
              <w:left w:val="nil"/>
              <w:bottom w:val="double" w:sz="6" w:space="0" w:color="auto"/>
              <w:right w:val="dotted" w:sz="4" w:space="0" w:color="auto"/>
            </w:tcBorders>
            <w:shd w:val="clear" w:color="auto" w:fill="FFFFFF"/>
            <w:hideMark/>
          </w:tcPr>
          <w:p w14:paraId="2685B06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965" w:type="dxa"/>
            <w:tcBorders>
              <w:top w:val="nil"/>
              <w:left w:val="nil"/>
              <w:bottom w:val="double" w:sz="6" w:space="0" w:color="auto"/>
              <w:right w:val="dotted" w:sz="4" w:space="0" w:color="auto"/>
            </w:tcBorders>
            <w:shd w:val="clear" w:color="auto" w:fill="FFFFFF"/>
            <w:hideMark/>
          </w:tcPr>
          <w:p w14:paraId="71CCE31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965" w:type="dxa"/>
            <w:tcBorders>
              <w:top w:val="nil"/>
              <w:left w:val="nil"/>
              <w:bottom w:val="double" w:sz="6" w:space="0" w:color="auto"/>
              <w:right w:val="dotted" w:sz="4" w:space="0" w:color="auto"/>
            </w:tcBorders>
            <w:shd w:val="clear" w:color="auto" w:fill="FFFFFF"/>
            <w:hideMark/>
          </w:tcPr>
          <w:p w14:paraId="5C30BF5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965" w:type="dxa"/>
            <w:tcBorders>
              <w:top w:val="nil"/>
              <w:left w:val="nil"/>
              <w:bottom w:val="double" w:sz="6" w:space="0" w:color="auto"/>
              <w:right w:val="dotted" w:sz="4" w:space="0" w:color="auto"/>
            </w:tcBorders>
            <w:shd w:val="clear" w:color="auto" w:fill="FFFFFF"/>
            <w:hideMark/>
          </w:tcPr>
          <w:p w14:paraId="552A8D6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c>
          <w:tcPr>
            <w:tcW w:w="969" w:type="dxa"/>
            <w:tcBorders>
              <w:top w:val="nil"/>
              <w:left w:val="nil"/>
              <w:bottom w:val="double" w:sz="6" w:space="0" w:color="auto"/>
              <w:right w:val="double" w:sz="6" w:space="0" w:color="auto"/>
            </w:tcBorders>
            <w:shd w:val="clear" w:color="auto" w:fill="FFFFFF"/>
            <w:hideMark/>
          </w:tcPr>
          <w:p w14:paraId="5C80A0B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0.5</w:t>
            </w:r>
          </w:p>
        </w:tc>
      </w:tr>
    </w:tbl>
    <w:p w14:paraId="77760E10" w14:textId="77777777" w:rsidR="00094A26" w:rsidRPr="00050FA4" w:rsidRDefault="00094A26" w:rsidP="003F1DA7">
      <w:pPr>
        <w:ind w:firstLine="284"/>
        <w:rPr>
          <w:rFonts w:ascii="Garamond" w:hAnsi="Garamond"/>
          <w:color w:val="0D0D0D" w:themeColor="text1" w:themeTint="F2"/>
          <w:sz w:val="20"/>
          <w:szCs w:val="20"/>
        </w:rPr>
      </w:pPr>
    </w:p>
    <w:p w14:paraId="07067041" w14:textId="487084E2" w:rsidR="00094A26" w:rsidRPr="00050FA4" w:rsidRDefault="00094A26" w:rsidP="003F1DA7">
      <w:pPr>
        <w:pStyle w:val="Heading2"/>
        <w:ind w:left="0" w:firstLine="284"/>
        <w:rPr>
          <w:rFonts w:ascii="Garamond" w:hAnsi="Garamond"/>
          <w:color w:val="0D0D0D" w:themeColor="text1" w:themeTint="F2"/>
          <w:sz w:val="20"/>
          <w:szCs w:val="20"/>
        </w:rPr>
      </w:pPr>
      <w:bookmarkStart w:id="80" w:name="_Toc536784307"/>
      <w:bookmarkStart w:id="81" w:name="_Toc30661242"/>
      <w:bookmarkStart w:id="82" w:name="_Toc93325784"/>
      <w:r w:rsidRPr="00050FA4">
        <w:rPr>
          <w:rFonts w:ascii="Garamond" w:hAnsi="Garamond"/>
          <w:color w:val="0D0D0D" w:themeColor="text1" w:themeTint="F2"/>
          <w:sz w:val="20"/>
          <w:szCs w:val="20"/>
        </w:rPr>
        <w:t xml:space="preserve">Tabela 1b: </w:t>
      </w:r>
      <w:bookmarkEnd w:id="80"/>
      <w:r w:rsidRPr="00050FA4">
        <w:rPr>
          <w:rFonts w:ascii="Garamond" w:hAnsi="Garamond"/>
          <w:color w:val="0D0D0D" w:themeColor="text1" w:themeTint="F2"/>
          <w:sz w:val="20"/>
          <w:szCs w:val="20"/>
        </w:rPr>
        <w:t>Zhvillimet e çmimeve</w:t>
      </w:r>
      <w:bookmarkEnd w:id="81"/>
      <w:bookmarkEnd w:id="82"/>
    </w:p>
    <w:tbl>
      <w:tblPr>
        <w:tblW w:w="10176" w:type="dxa"/>
        <w:jc w:val="center"/>
        <w:tblLook w:val="04A0" w:firstRow="1" w:lastRow="0" w:firstColumn="1" w:lastColumn="0" w:noHBand="0" w:noVBand="1"/>
      </w:tblPr>
      <w:tblGrid>
        <w:gridCol w:w="3850"/>
        <w:gridCol w:w="992"/>
        <w:gridCol w:w="1206"/>
        <w:gridCol w:w="1032"/>
        <w:gridCol w:w="1032"/>
        <w:gridCol w:w="1032"/>
        <w:gridCol w:w="1032"/>
      </w:tblGrid>
      <w:tr w:rsidR="00FA29AB" w:rsidRPr="00050FA4" w14:paraId="104C8E88" w14:textId="77777777" w:rsidTr="00617B60">
        <w:trPr>
          <w:trHeight w:val="20"/>
          <w:jc w:val="center"/>
        </w:trPr>
        <w:tc>
          <w:tcPr>
            <w:tcW w:w="3850" w:type="dxa"/>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1D0D2B95" w14:textId="5E42FF91"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Percentage changes, annual averages</w:t>
            </w:r>
          </w:p>
        </w:tc>
        <w:tc>
          <w:tcPr>
            <w:tcW w:w="992" w:type="dxa"/>
            <w:tcBorders>
              <w:top w:val="double" w:sz="6" w:space="0" w:color="auto"/>
              <w:left w:val="nil"/>
              <w:bottom w:val="nil"/>
              <w:right w:val="single" w:sz="8" w:space="0" w:color="auto"/>
            </w:tcBorders>
            <w:shd w:val="clear" w:color="auto" w:fill="FFFFFF"/>
            <w:vAlign w:val="center"/>
            <w:hideMark/>
          </w:tcPr>
          <w:p w14:paraId="1D4DAEE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1206" w:type="dxa"/>
            <w:tcBorders>
              <w:top w:val="double" w:sz="6" w:space="0" w:color="auto"/>
              <w:left w:val="nil"/>
              <w:bottom w:val="nil"/>
              <w:right w:val="dotted" w:sz="4" w:space="0" w:color="auto"/>
            </w:tcBorders>
            <w:shd w:val="clear" w:color="auto" w:fill="FFFFFF"/>
            <w:vAlign w:val="center"/>
            <w:hideMark/>
          </w:tcPr>
          <w:p w14:paraId="483C6BA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32" w:type="dxa"/>
            <w:tcBorders>
              <w:top w:val="double" w:sz="6" w:space="0" w:color="auto"/>
              <w:left w:val="nil"/>
              <w:bottom w:val="nil"/>
              <w:right w:val="dotted" w:sz="4" w:space="0" w:color="auto"/>
            </w:tcBorders>
            <w:shd w:val="clear" w:color="auto" w:fill="FFFFFF"/>
            <w:vAlign w:val="center"/>
            <w:hideMark/>
          </w:tcPr>
          <w:p w14:paraId="50F9B57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32" w:type="dxa"/>
            <w:tcBorders>
              <w:top w:val="double" w:sz="6" w:space="0" w:color="auto"/>
              <w:left w:val="nil"/>
              <w:bottom w:val="nil"/>
              <w:right w:val="dotted" w:sz="4" w:space="0" w:color="auto"/>
            </w:tcBorders>
            <w:shd w:val="clear" w:color="auto" w:fill="FFFFFF"/>
            <w:vAlign w:val="center"/>
            <w:hideMark/>
          </w:tcPr>
          <w:p w14:paraId="16B25B2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32" w:type="dxa"/>
            <w:tcBorders>
              <w:top w:val="double" w:sz="6" w:space="0" w:color="auto"/>
              <w:left w:val="nil"/>
              <w:bottom w:val="nil"/>
              <w:right w:val="dotted" w:sz="4" w:space="0" w:color="auto"/>
            </w:tcBorders>
            <w:shd w:val="clear" w:color="auto" w:fill="FFFFFF"/>
            <w:vAlign w:val="center"/>
            <w:hideMark/>
          </w:tcPr>
          <w:p w14:paraId="535F123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32" w:type="dxa"/>
            <w:tcBorders>
              <w:top w:val="double" w:sz="6" w:space="0" w:color="auto"/>
              <w:left w:val="nil"/>
              <w:bottom w:val="nil"/>
              <w:right w:val="double" w:sz="6" w:space="0" w:color="auto"/>
            </w:tcBorders>
            <w:shd w:val="clear" w:color="auto" w:fill="FFFFFF"/>
            <w:vAlign w:val="center"/>
            <w:hideMark/>
          </w:tcPr>
          <w:p w14:paraId="014A091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40A7215E" w14:textId="77777777" w:rsidTr="00617B60">
        <w:trPr>
          <w:trHeight w:val="20"/>
          <w:jc w:val="center"/>
        </w:trPr>
        <w:tc>
          <w:tcPr>
            <w:tcW w:w="0" w:type="auto"/>
            <w:vMerge/>
            <w:tcBorders>
              <w:top w:val="double" w:sz="6" w:space="0" w:color="auto"/>
              <w:left w:val="double" w:sz="6" w:space="0" w:color="auto"/>
              <w:bottom w:val="single" w:sz="8" w:space="0" w:color="000000"/>
              <w:right w:val="dotted" w:sz="4" w:space="0" w:color="auto"/>
            </w:tcBorders>
            <w:vAlign w:val="center"/>
            <w:hideMark/>
          </w:tcPr>
          <w:p w14:paraId="6404A796"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992" w:type="dxa"/>
            <w:tcBorders>
              <w:top w:val="nil"/>
              <w:left w:val="nil"/>
              <w:bottom w:val="single" w:sz="8" w:space="0" w:color="auto"/>
              <w:right w:val="single" w:sz="8" w:space="0" w:color="auto"/>
            </w:tcBorders>
            <w:shd w:val="clear" w:color="auto" w:fill="FFFFFF"/>
            <w:vAlign w:val="center"/>
            <w:hideMark/>
          </w:tcPr>
          <w:p w14:paraId="219E02F8" w14:textId="4B5335A4" w:rsidR="00094A26" w:rsidRPr="00050FA4" w:rsidRDefault="00094A26" w:rsidP="00617B60">
            <w:pPr>
              <w:jc w:val="center"/>
              <w:rPr>
                <w:rFonts w:ascii="Garamond" w:eastAsia="Times New Roman" w:hAnsi="Garamond"/>
                <w:b/>
                <w:color w:val="0D0D0D" w:themeColor="text1" w:themeTint="F2"/>
                <w:sz w:val="18"/>
                <w:szCs w:val="18"/>
              </w:rPr>
            </w:pPr>
          </w:p>
        </w:tc>
        <w:tc>
          <w:tcPr>
            <w:tcW w:w="1206" w:type="dxa"/>
            <w:tcBorders>
              <w:top w:val="nil"/>
              <w:left w:val="nil"/>
              <w:bottom w:val="single" w:sz="8" w:space="0" w:color="auto"/>
              <w:right w:val="dotted" w:sz="4" w:space="0" w:color="auto"/>
            </w:tcBorders>
            <w:shd w:val="clear" w:color="auto" w:fill="FFFFFF"/>
            <w:vAlign w:val="center"/>
            <w:hideMark/>
          </w:tcPr>
          <w:p w14:paraId="45E49B3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1032" w:type="dxa"/>
            <w:tcBorders>
              <w:top w:val="nil"/>
              <w:left w:val="nil"/>
              <w:bottom w:val="single" w:sz="8" w:space="0" w:color="auto"/>
              <w:right w:val="dotted" w:sz="4" w:space="0" w:color="auto"/>
            </w:tcBorders>
            <w:shd w:val="clear" w:color="auto" w:fill="FFFFFF"/>
            <w:vAlign w:val="center"/>
            <w:hideMark/>
          </w:tcPr>
          <w:p w14:paraId="6E24675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1032" w:type="dxa"/>
            <w:tcBorders>
              <w:top w:val="nil"/>
              <w:left w:val="nil"/>
              <w:bottom w:val="single" w:sz="8" w:space="0" w:color="auto"/>
              <w:right w:val="dotted" w:sz="4" w:space="0" w:color="auto"/>
            </w:tcBorders>
            <w:shd w:val="clear" w:color="auto" w:fill="FFFFFF"/>
            <w:vAlign w:val="center"/>
            <w:hideMark/>
          </w:tcPr>
          <w:p w14:paraId="059E9D2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1032" w:type="dxa"/>
            <w:tcBorders>
              <w:top w:val="nil"/>
              <w:left w:val="nil"/>
              <w:bottom w:val="single" w:sz="8" w:space="0" w:color="auto"/>
              <w:right w:val="dotted" w:sz="4" w:space="0" w:color="auto"/>
            </w:tcBorders>
            <w:shd w:val="clear" w:color="auto" w:fill="FFFFFF"/>
            <w:vAlign w:val="center"/>
            <w:hideMark/>
          </w:tcPr>
          <w:p w14:paraId="30FF9B8A"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1032" w:type="dxa"/>
            <w:tcBorders>
              <w:top w:val="nil"/>
              <w:left w:val="nil"/>
              <w:bottom w:val="single" w:sz="8" w:space="0" w:color="auto"/>
              <w:right w:val="double" w:sz="6" w:space="0" w:color="auto"/>
            </w:tcBorders>
            <w:shd w:val="clear" w:color="auto" w:fill="FFFFFF"/>
            <w:vAlign w:val="center"/>
            <w:hideMark/>
          </w:tcPr>
          <w:p w14:paraId="58FEC3B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5AFEBDF2"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66B7DD7A"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 GDP deflator</w:t>
            </w:r>
          </w:p>
        </w:tc>
        <w:tc>
          <w:tcPr>
            <w:tcW w:w="992" w:type="dxa"/>
            <w:tcBorders>
              <w:top w:val="nil"/>
              <w:left w:val="nil"/>
              <w:bottom w:val="dotted" w:sz="4" w:space="0" w:color="auto"/>
              <w:right w:val="single" w:sz="8" w:space="0" w:color="auto"/>
            </w:tcBorders>
            <w:shd w:val="clear" w:color="auto" w:fill="FFFFFF"/>
            <w:vAlign w:val="center"/>
            <w:hideMark/>
          </w:tcPr>
          <w:p w14:paraId="36B8725A"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5D07C92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-0.4</w:t>
            </w:r>
          </w:p>
        </w:tc>
        <w:tc>
          <w:tcPr>
            <w:tcW w:w="1032" w:type="dxa"/>
            <w:tcBorders>
              <w:top w:val="nil"/>
              <w:left w:val="nil"/>
              <w:bottom w:val="dotted" w:sz="4" w:space="0" w:color="auto"/>
              <w:right w:val="dotted" w:sz="4" w:space="0" w:color="auto"/>
            </w:tcBorders>
            <w:shd w:val="clear" w:color="auto" w:fill="FFFFFF"/>
            <w:vAlign w:val="center"/>
            <w:hideMark/>
          </w:tcPr>
          <w:p w14:paraId="0EBCAA9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0.6</w:t>
            </w:r>
          </w:p>
        </w:tc>
        <w:tc>
          <w:tcPr>
            <w:tcW w:w="1032" w:type="dxa"/>
            <w:tcBorders>
              <w:top w:val="nil"/>
              <w:left w:val="nil"/>
              <w:bottom w:val="dotted" w:sz="4" w:space="0" w:color="auto"/>
              <w:right w:val="dotted" w:sz="4" w:space="0" w:color="auto"/>
            </w:tcBorders>
            <w:shd w:val="clear" w:color="auto" w:fill="FFFFFF"/>
            <w:vAlign w:val="center"/>
            <w:hideMark/>
          </w:tcPr>
          <w:p w14:paraId="76E86ED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1.4061</w:t>
            </w:r>
          </w:p>
        </w:tc>
        <w:tc>
          <w:tcPr>
            <w:tcW w:w="1032" w:type="dxa"/>
            <w:tcBorders>
              <w:top w:val="nil"/>
              <w:left w:val="nil"/>
              <w:bottom w:val="dotted" w:sz="4" w:space="0" w:color="auto"/>
              <w:right w:val="dotted" w:sz="4" w:space="0" w:color="auto"/>
            </w:tcBorders>
            <w:shd w:val="clear" w:color="auto" w:fill="FFFFFF"/>
            <w:vAlign w:val="center"/>
            <w:hideMark/>
          </w:tcPr>
          <w:p w14:paraId="4DF20D9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1032" w:type="dxa"/>
            <w:tcBorders>
              <w:top w:val="nil"/>
              <w:left w:val="nil"/>
              <w:bottom w:val="dotted" w:sz="4" w:space="0" w:color="auto"/>
              <w:right w:val="double" w:sz="6" w:space="0" w:color="auto"/>
            </w:tcBorders>
            <w:shd w:val="clear" w:color="auto" w:fill="FFFFFF"/>
            <w:vAlign w:val="center"/>
            <w:hideMark/>
          </w:tcPr>
          <w:p w14:paraId="5A005D0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r>
      <w:tr w:rsidR="00FA29AB" w:rsidRPr="00050FA4" w14:paraId="3798C96D"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79C9E14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Private consumption deflator</w:t>
            </w:r>
          </w:p>
        </w:tc>
        <w:tc>
          <w:tcPr>
            <w:tcW w:w="992" w:type="dxa"/>
            <w:tcBorders>
              <w:top w:val="nil"/>
              <w:left w:val="nil"/>
              <w:bottom w:val="dotted" w:sz="4" w:space="0" w:color="auto"/>
              <w:right w:val="single" w:sz="8" w:space="0" w:color="auto"/>
            </w:tcBorders>
            <w:shd w:val="clear" w:color="auto" w:fill="FFFFFF"/>
            <w:vAlign w:val="center"/>
            <w:hideMark/>
          </w:tcPr>
          <w:p w14:paraId="50D43E0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795B84B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1032" w:type="dxa"/>
            <w:tcBorders>
              <w:top w:val="nil"/>
              <w:left w:val="nil"/>
              <w:bottom w:val="dotted" w:sz="4" w:space="0" w:color="auto"/>
              <w:right w:val="dotted" w:sz="4" w:space="0" w:color="auto"/>
            </w:tcBorders>
            <w:shd w:val="clear" w:color="auto" w:fill="FFFFFF"/>
            <w:vAlign w:val="center"/>
            <w:hideMark/>
          </w:tcPr>
          <w:p w14:paraId="46FECD2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1032" w:type="dxa"/>
            <w:tcBorders>
              <w:top w:val="nil"/>
              <w:left w:val="nil"/>
              <w:bottom w:val="dotted" w:sz="4" w:space="0" w:color="auto"/>
              <w:right w:val="dotted" w:sz="4" w:space="0" w:color="auto"/>
            </w:tcBorders>
            <w:shd w:val="clear" w:color="auto" w:fill="FFFFFF"/>
            <w:vAlign w:val="center"/>
            <w:hideMark/>
          </w:tcPr>
          <w:p w14:paraId="38110A0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1032" w:type="dxa"/>
            <w:tcBorders>
              <w:top w:val="nil"/>
              <w:left w:val="nil"/>
              <w:bottom w:val="dotted" w:sz="4" w:space="0" w:color="auto"/>
              <w:right w:val="dotted" w:sz="4" w:space="0" w:color="auto"/>
            </w:tcBorders>
            <w:shd w:val="clear" w:color="auto" w:fill="FFFFFF"/>
            <w:vAlign w:val="center"/>
            <w:hideMark/>
          </w:tcPr>
          <w:p w14:paraId="00BAF64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c>
          <w:tcPr>
            <w:tcW w:w="1032" w:type="dxa"/>
            <w:tcBorders>
              <w:top w:val="nil"/>
              <w:left w:val="nil"/>
              <w:bottom w:val="dotted" w:sz="4" w:space="0" w:color="auto"/>
              <w:right w:val="double" w:sz="6" w:space="0" w:color="auto"/>
            </w:tcBorders>
            <w:shd w:val="clear" w:color="auto" w:fill="FFFFFF"/>
            <w:vAlign w:val="center"/>
            <w:hideMark/>
          </w:tcPr>
          <w:p w14:paraId="1F87CB8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w:t>
            </w:r>
          </w:p>
        </w:tc>
      </w:tr>
      <w:tr w:rsidR="00FA29AB" w:rsidRPr="00050FA4" w14:paraId="75FF9EC6"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7B741A7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 HICP</w:t>
            </w:r>
          </w:p>
        </w:tc>
        <w:tc>
          <w:tcPr>
            <w:tcW w:w="992" w:type="dxa"/>
            <w:tcBorders>
              <w:top w:val="nil"/>
              <w:left w:val="nil"/>
              <w:bottom w:val="dotted" w:sz="4" w:space="0" w:color="auto"/>
              <w:right w:val="single" w:sz="8" w:space="0" w:color="auto"/>
            </w:tcBorders>
            <w:shd w:val="clear" w:color="auto" w:fill="FFFFFF"/>
            <w:vAlign w:val="center"/>
            <w:hideMark/>
          </w:tcPr>
          <w:p w14:paraId="30287B3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1C0B85C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1032" w:type="dxa"/>
            <w:tcBorders>
              <w:top w:val="nil"/>
              <w:left w:val="nil"/>
              <w:bottom w:val="dotted" w:sz="4" w:space="0" w:color="auto"/>
              <w:right w:val="dotted" w:sz="4" w:space="0" w:color="auto"/>
            </w:tcBorders>
            <w:shd w:val="clear" w:color="auto" w:fill="FFFFFF"/>
            <w:vAlign w:val="center"/>
            <w:hideMark/>
          </w:tcPr>
          <w:p w14:paraId="0118283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w:t>
            </w:r>
          </w:p>
        </w:tc>
        <w:tc>
          <w:tcPr>
            <w:tcW w:w="1032" w:type="dxa"/>
            <w:tcBorders>
              <w:top w:val="nil"/>
              <w:left w:val="nil"/>
              <w:bottom w:val="dotted" w:sz="4" w:space="0" w:color="auto"/>
              <w:right w:val="dotted" w:sz="4" w:space="0" w:color="auto"/>
            </w:tcBorders>
            <w:shd w:val="clear" w:color="auto" w:fill="FFFFFF"/>
            <w:vAlign w:val="center"/>
            <w:hideMark/>
          </w:tcPr>
          <w:p w14:paraId="16CBA8A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c>
          <w:tcPr>
            <w:tcW w:w="1032" w:type="dxa"/>
            <w:tcBorders>
              <w:top w:val="nil"/>
              <w:left w:val="nil"/>
              <w:bottom w:val="dotted" w:sz="4" w:space="0" w:color="auto"/>
              <w:right w:val="dotted" w:sz="4" w:space="0" w:color="auto"/>
            </w:tcBorders>
            <w:shd w:val="clear" w:color="auto" w:fill="FFFFFF"/>
            <w:vAlign w:val="center"/>
            <w:hideMark/>
          </w:tcPr>
          <w:p w14:paraId="1E123DB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c>
          <w:tcPr>
            <w:tcW w:w="1032" w:type="dxa"/>
            <w:tcBorders>
              <w:top w:val="nil"/>
              <w:left w:val="nil"/>
              <w:bottom w:val="dotted" w:sz="4" w:space="0" w:color="auto"/>
              <w:right w:val="double" w:sz="6" w:space="0" w:color="auto"/>
            </w:tcBorders>
            <w:shd w:val="clear" w:color="auto" w:fill="FFFFFF"/>
            <w:vAlign w:val="center"/>
            <w:hideMark/>
          </w:tcPr>
          <w:p w14:paraId="3CD5ED5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r>
      <w:tr w:rsidR="00FA29AB" w:rsidRPr="00050FA4" w14:paraId="18DA22F7"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6A7B0AD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National CPI change</w:t>
            </w:r>
          </w:p>
        </w:tc>
        <w:tc>
          <w:tcPr>
            <w:tcW w:w="992" w:type="dxa"/>
            <w:tcBorders>
              <w:top w:val="nil"/>
              <w:left w:val="nil"/>
              <w:bottom w:val="dotted" w:sz="4" w:space="0" w:color="auto"/>
              <w:right w:val="single" w:sz="8" w:space="0" w:color="auto"/>
            </w:tcBorders>
            <w:shd w:val="clear" w:color="auto" w:fill="FFFFFF"/>
            <w:vAlign w:val="center"/>
            <w:hideMark/>
          </w:tcPr>
          <w:p w14:paraId="0D5CA0B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358E83E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1032" w:type="dxa"/>
            <w:tcBorders>
              <w:top w:val="nil"/>
              <w:left w:val="nil"/>
              <w:bottom w:val="dotted" w:sz="4" w:space="0" w:color="auto"/>
              <w:right w:val="dotted" w:sz="4" w:space="0" w:color="auto"/>
            </w:tcBorders>
            <w:shd w:val="clear" w:color="auto" w:fill="FFFFFF"/>
            <w:vAlign w:val="center"/>
            <w:hideMark/>
          </w:tcPr>
          <w:p w14:paraId="3767966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w:t>
            </w:r>
          </w:p>
        </w:tc>
        <w:tc>
          <w:tcPr>
            <w:tcW w:w="1032" w:type="dxa"/>
            <w:tcBorders>
              <w:top w:val="nil"/>
              <w:left w:val="nil"/>
              <w:bottom w:val="dotted" w:sz="4" w:space="0" w:color="auto"/>
              <w:right w:val="dotted" w:sz="4" w:space="0" w:color="auto"/>
            </w:tcBorders>
            <w:shd w:val="clear" w:color="auto" w:fill="FFFFFF"/>
            <w:vAlign w:val="center"/>
            <w:hideMark/>
          </w:tcPr>
          <w:p w14:paraId="1C00D01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c>
          <w:tcPr>
            <w:tcW w:w="1032" w:type="dxa"/>
            <w:tcBorders>
              <w:top w:val="nil"/>
              <w:left w:val="nil"/>
              <w:bottom w:val="dotted" w:sz="4" w:space="0" w:color="auto"/>
              <w:right w:val="dotted" w:sz="4" w:space="0" w:color="auto"/>
            </w:tcBorders>
            <w:shd w:val="clear" w:color="auto" w:fill="FFFFFF"/>
            <w:vAlign w:val="center"/>
            <w:hideMark/>
          </w:tcPr>
          <w:p w14:paraId="663B0B4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c>
          <w:tcPr>
            <w:tcW w:w="1032" w:type="dxa"/>
            <w:tcBorders>
              <w:top w:val="nil"/>
              <w:left w:val="nil"/>
              <w:bottom w:val="dotted" w:sz="4" w:space="0" w:color="auto"/>
              <w:right w:val="double" w:sz="6" w:space="0" w:color="auto"/>
            </w:tcBorders>
            <w:shd w:val="clear" w:color="auto" w:fill="FFFFFF"/>
            <w:vAlign w:val="center"/>
            <w:hideMark/>
          </w:tcPr>
          <w:p w14:paraId="022D24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r>
      <w:tr w:rsidR="00FA29AB" w:rsidRPr="00050FA4" w14:paraId="47912BB7"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037C234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Public consumption deflator</w:t>
            </w:r>
          </w:p>
        </w:tc>
        <w:tc>
          <w:tcPr>
            <w:tcW w:w="992" w:type="dxa"/>
            <w:tcBorders>
              <w:top w:val="nil"/>
              <w:left w:val="nil"/>
              <w:bottom w:val="dotted" w:sz="4" w:space="0" w:color="auto"/>
              <w:right w:val="single" w:sz="8" w:space="0" w:color="auto"/>
            </w:tcBorders>
            <w:shd w:val="clear" w:color="auto" w:fill="FFFFFF"/>
            <w:vAlign w:val="center"/>
            <w:hideMark/>
          </w:tcPr>
          <w:p w14:paraId="4C61C7C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5E3958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1032" w:type="dxa"/>
            <w:tcBorders>
              <w:top w:val="nil"/>
              <w:left w:val="nil"/>
              <w:bottom w:val="dotted" w:sz="4" w:space="0" w:color="auto"/>
              <w:right w:val="dotted" w:sz="4" w:space="0" w:color="auto"/>
            </w:tcBorders>
            <w:shd w:val="clear" w:color="auto" w:fill="FFFFFF"/>
            <w:vAlign w:val="center"/>
            <w:hideMark/>
          </w:tcPr>
          <w:p w14:paraId="590276E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1032" w:type="dxa"/>
            <w:tcBorders>
              <w:top w:val="nil"/>
              <w:left w:val="nil"/>
              <w:bottom w:val="dotted" w:sz="4" w:space="0" w:color="auto"/>
              <w:right w:val="dotted" w:sz="4" w:space="0" w:color="auto"/>
            </w:tcBorders>
            <w:shd w:val="clear" w:color="auto" w:fill="FFFFFF"/>
            <w:vAlign w:val="center"/>
            <w:hideMark/>
          </w:tcPr>
          <w:p w14:paraId="4E999C2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1032" w:type="dxa"/>
            <w:tcBorders>
              <w:top w:val="nil"/>
              <w:left w:val="nil"/>
              <w:bottom w:val="dotted" w:sz="4" w:space="0" w:color="auto"/>
              <w:right w:val="dotted" w:sz="4" w:space="0" w:color="auto"/>
            </w:tcBorders>
            <w:shd w:val="clear" w:color="auto" w:fill="FFFFFF"/>
            <w:vAlign w:val="center"/>
            <w:hideMark/>
          </w:tcPr>
          <w:p w14:paraId="760811C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1032" w:type="dxa"/>
            <w:tcBorders>
              <w:top w:val="nil"/>
              <w:left w:val="nil"/>
              <w:bottom w:val="dotted" w:sz="4" w:space="0" w:color="auto"/>
              <w:right w:val="double" w:sz="6" w:space="0" w:color="auto"/>
            </w:tcBorders>
            <w:shd w:val="clear" w:color="auto" w:fill="FFFFFF"/>
            <w:vAlign w:val="center"/>
            <w:hideMark/>
          </w:tcPr>
          <w:p w14:paraId="2E9FE7E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r>
      <w:tr w:rsidR="00FA29AB" w:rsidRPr="00050FA4" w14:paraId="53DE0E35"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2746E34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 Investment deflator</w:t>
            </w:r>
          </w:p>
        </w:tc>
        <w:tc>
          <w:tcPr>
            <w:tcW w:w="992" w:type="dxa"/>
            <w:tcBorders>
              <w:top w:val="nil"/>
              <w:left w:val="nil"/>
              <w:bottom w:val="dotted" w:sz="4" w:space="0" w:color="auto"/>
              <w:right w:val="single" w:sz="8" w:space="0" w:color="auto"/>
            </w:tcBorders>
            <w:shd w:val="clear" w:color="auto" w:fill="FFFFFF"/>
            <w:vAlign w:val="center"/>
            <w:hideMark/>
          </w:tcPr>
          <w:p w14:paraId="658AAFF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148CF93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0.6</w:t>
            </w:r>
          </w:p>
        </w:tc>
        <w:tc>
          <w:tcPr>
            <w:tcW w:w="1032" w:type="dxa"/>
            <w:tcBorders>
              <w:top w:val="nil"/>
              <w:left w:val="nil"/>
              <w:bottom w:val="dotted" w:sz="4" w:space="0" w:color="auto"/>
              <w:right w:val="dotted" w:sz="4" w:space="0" w:color="auto"/>
            </w:tcBorders>
            <w:shd w:val="clear" w:color="auto" w:fill="FFFFFF"/>
            <w:vAlign w:val="center"/>
            <w:hideMark/>
          </w:tcPr>
          <w:p w14:paraId="7F4150B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1032" w:type="dxa"/>
            <w:tcBorders>
              <w:top w:val="nil"/>
              <w:left w:val="nil"/>
              <w:bottom w:val="dotted" w:sz="4" w:space="0" w:color="auto"/>
              <w:right w:val="dotted" w:sz="4" w:space="0" w:color="auto"/>
            </w:tcBorders>
            <w:shd w:val="clear" w:color="auto" w:fill="FFFFFF"/>
            <w:vAlign w:val="center"/>
            <w:hideMark/>
          </w:tcPr>
          <w:p w14:paraId="07C2CDA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1032" w:type="dxa"/>
            <w:tcBorders>
              <w:top w:val="nil"/>
              <w:left w:val="nil"/>
              <w:bottom w:val="dotted" w:sz="4" w:space="0" w:color="auto"/>
              <w:right w:val="dotted" w:sz="4" w:space="0" w:color="auto"/>
            </w:tcBorders>
            <w:shd w:val="clear" w:color="auto" w:fill="FFFFFF"/>
            <w:vAlign w:val="center"/>
            <w:hideMark/>
          </w:tcPr>
          <w:p w14:paraId="57596B7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1032" w:type="dxa"/>
            <w:tcBorders>
              <w:top w:val="nil"/>
              <w:left w:val="nil"/>
              <w:bottom w:val="dotted" w:sz="4" w:space="0" w:color="auto"/>
              <w:right w:val="double" w:sz="6" w:space="0" w:color="auto"/>
            </w:tcBorders>
            <w:shd w:val="clear" w:color="auto" w:fill="FFFFFF"/>
            <w:vAlign w:val="center"/>
            <w:hideMark/>
          </w:tcPr>
          <w:p w14:paraId="1C7BC91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r>
      <w:tr w:rsidR="00FA29AB" w:rsidRPr="00050FA4" w14:paraId="7555859C" w14:textId="77777777" w:rsidTr="00617B60">
        <w:trPr>
          <w:trHeight w:val="246"/>
          <w:jc w:val="center"/>
        </w:trPr>
        <w:tc>
          <w:tcPr>
            <w:tcW w:w="3850" w:type="dxa"/>
            <w:tcBorders>
              <w:top w:val="nil"/>
              <w:left w:val="double" w:sz="6" w:space="0" w:color="auto"/>
              <w:bottom w:val="dotted" w:sz="4" w:space="0" w:color="auto"/>
              <w:right w:val="dotted" w:sz="4" w:space="0" w:color="auto"/>
            </w:tcBorders>
            <w:shd w:val="clear" w:color="auto" w:fill="FFFFFF"/>
            <w:vAlign w:val="center"/>
            <w:hideMark/>
          </w:tcPr>
          <w:p w14:paraId="08D3F07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Export price deflator (goods &amp; services)</w:t>
            </w:r>
          </w:p>
        </w:tc>
        <w:tc>
          <w:tcPr>
            <w:tcW w:w="992" w:type="dxa"/>
            <w:tcBorders>
              <w:top w:val="nil"/>
              <w:left w:val="nil"/>
              <w:bottom w:val="dotted" w:sz="4" w:space="0" w:color="auto"/>
              <w:right w:val="single" w:sz="8" w:space="0" w:color="auto"/>
            </w:tcBorders>
            <w:shd w:val="clear" w:color="auto" w:fill="FFFFFF"/>
            <w:vAlign w:val="center"/>
            <w:hideMark/>
          </w:tcPr>
          <w:p w14:paraId="45BC6CE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tted" w:sz="4" w:space="0" w:color="auto"/>
              <w:right w:val="dotted" w:sz="4" w:space="0" w:color="auto"/>
            </w:tcBorders>
            <w:shd w:val="clear" w:color="auto" w:fill="FFFFFF"/>
            <w:vAlign w:val="center"/>
            <w:hideMark/>
          </w:tcPr>
          <w:p w14:paraId="68A9CC4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1032" w:type="dxa"/>
            <w:tcBorders>
              <w:top w:val="nil"/>
              <w:left w:val="nil"/>
              <w:bottom w:val="dotted" w:sz="4" w:space="0" w:color="auto"/>
              <w:right w:val="dotted" w:sz="4" w:space="0" w:color="auto"/>
            </w:tcBorders>
            <w:shd w:val="clear" w:color="auto" w:fill="FFFFFF"/>
            <w:vAlign w:val="center"/>
            <w:hideMark/>
          </w:tcPr>
          <w:p w14:paraId="550F9AA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0.6</w:t>
            </w:r>
          </w:p>
        </w:tc>
        <w:tc>
          <w:tcPr>
            <w:tcW w:w="1032" w:type="dxa"/>
            <w:tcBorders>
              <w:top w:val="nil"/>
              <w:left w:val="nil"/>
              <w:bottom w:val="dotted" w:sz="4" w:space="0" w:color="auto"/>
              <w:right w:val="dotted" w:sz="4" w:space="0" w:color="auto"/>
            </w:tcBorders>
            <w:shd w:val="clear" w:color="auto" w:fill="FFFFFF"/>
            <w:vAlign w:val="center"/>
            <w:hideMark/>
          </w:tcPr>
          <w:p w14:paraId="52AC31E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1032" w:type="dxa"/>
            <w:tcBorders>
              <w:top w:val="nil"/>
              <w:left w:val="nil"/>
              <w:bottom w:val="dotted" w:sz="4" w:space="0" w:color="auto"/>
              <w:right w:val="dotted" w:sz="4" w:space="0" w:color="auto"/>
            </w:tcBorders>
            <w:shd w:val="clear" w:color="auto" w:fill="FFFFFF"/>
            <w:vAlign w:val="center"/>
            <w:hideMark/>
          </w:tcPr>
          <w:p w14:paraId="33048C0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1032" w:type="dxa"/>
            <w:tcBorders>
              <w:top w:val="nil"/>
              <w:left w:val="nil"/>
              <w:bottom w:val="dotted" w:sz="4" w:space="0" w:color="auto"/>
              <w:right w:val="double" w:sz="6" w:space="0" w:color="auto"/>
            </w:tcBorders>
            <w:shd w:val="clear" w:color="auto" w:fill="FFFFFF"/>
            <w:vAlign w:val="center"/>
            <w:hideMark/>
          </w:tcPr>
          <w:p w14:paraId="507D634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r>
      <w:tr w:rsidR="00FA29AB" w:rsidRPr="00050FA4" w14:paraId="08F39225" w14:textId="77777777" w:rsidTr="00617B60">
        <w:trPr>
          <w:trHeight w:val="246"/>
          <w:jc w:val="center"/>
        </w:trPr>
        <w:tc>
          <w:tcPr>
            <w:tcW w:w="3850" w:type="dxa"/>
            <w:tcBorders>
              <w:top w:val="nil"/>
              <w:left w:val="double" w:sz="6" w:space="0" w:color="auto"/>
              <w:bottom w:val="double" w:sz="6" w:space="0" w:color="auto"/>
              <w:right w:val="dotted" w:sz="4" w:space="0" w:color="auto"/>
            </w:tcBorders>
            <w:shd w:val="clear" w:color="auto" w:fill="FFFFFF"/>
            <w:vAlign w:val="center"/>
            <w:hideMark/>
          </w:tcPr>
          <w:p w14:paraId="6CF3991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8. Import price deflator (goods &amp; services)</w:t>
            </w:r>
          </w:p>
        </w:tc>
        <w:tc>
          <w:tcPr>
            <w:tcW w:w="992" w:type="dxa"/>
            <w:tcBorders>
              <w:top w:val="nil"/>
              <w:left w:val="nil"/>
              <w:bottom w:val="double" w:sz="6" w:space="0" w:color="auto"/>
              <w:right w:val="single" w:sz="8" w:space="0" w:color="auto"/>
            </w:tcBorders>
            <w:shd w:val="clear" w:color="auto" w:fill="FFFFFF"/>
            <w:vAlign w:val="center"/>
            <w:hideMark/>
          </w:tcPr>
          <w:p w14:paraId="58443ADA"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06" w:type="dxa"/>
            <w:tcBorders>
              <w:top w:val="nil"/>
              <w:left w:val="nil"/>
              <w:bottom w:val="double" w:sz="6" w:space="0" w:color="auto"/>
              <w:right w:val="dotted" w:sz="4" w:space="0" w:color="auto"/>
            </w:tcBorders>
            <w:shd w:val="clear" w:color="auto" w:fill="FFFFFF"/>
            <w:vAlign w:val="center"/>
            <w:hideMark/>
          </w:tcPr>
          <w:p w14:paraId="4C92AC0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-0.5</w:t>
            </w:r>
          </w:p>
        </w:tc>
        <w:tc>
          <w:tcPr>
            <w:tcW w:w="1032" w:type="dxa"/>
            <w:tcBorders>
              <w:top w:val="nil"/>
              <w:left w:val="nil"/>
              <w:bottom w:val="double" w:sz="6" w:space="0" w:color="auto"/>
              <w:right w:val="dotted" w:sz="4" w:space="0" w:color="auto"/>
            </w:tcBorders>
            <w:shd w:val="clear" w:color="auto" w:fill="FFFFFF"/>
            <w:vAlign w:val="center"/>
            <w:hideMark/>
          </w:tcPr>
          <w:p w14:paraId="31DDE1B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c>
          <w:tcPr>
            <w:tcW w:w="1032" w:type="dxa"/>
            <w:tcBorders>
              <w:top w:val="nil"/>
              <w:left w:val="nil"/>
              <w:bottom w:val="double" w:sz="6" w:space="0" w:color="auto"/>
              <w:right w:val="dotted" w:sz="4" w:space="0" w:color="auto"/>
            </w:tcBorders>
            <w:shd w:val="clear" w:color="auto" w:fill="FFFFFF"/>
            <w:vAlign w:val="center"/>
            <w:hideMark/>
          </w:tcPr>
          <w:p w14:paraId="2829995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1032" w:type="dxa"/>
            <w:tcBorders>
              <w:top w:val="nil"/>
              <w:left w:val="nil"/>
              <w:bottom w:val="double" w:sz="6" w:space="0" w:color="auto"/>
              <w:right w:val="dotted" w:sz="4" w:space="0" w:color="auto"/>
            </w:tcBorders>
            <w:shd w:val="clear" w:color="auto" w:fill="FFFFFF"/>
            <w:vAlign w:val="center"/>
            <w:hideMark/>
          </w:tcPr>
          <w:p w14:paraId="5EEBEF8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2.5</w:t>
            </w:r>
          </w:p>
        </w:tc>
        <w:tc>
          <w:tcPr>
            <w:tcW w:w="1032" w:type="dxa"/>
            <w:tcBorders>
              <w:top w:val="nil"/>
              <w:left w:val="nil"/>
              <w:bottom w:val="double" w:sz="6" w:space="0" w:color="auto"/>
              <w:right w:val="double" w:sz="6" w:space="0" w:color="auto"/>
            </w:tcBorders>
            <w:shd w:val="clear" w:color="auto" w:fill="FFFFFF"/>
            <w:vAlign w:val="center"/>
            <w:hideMark/>
          </w:tcPr>
          <w:p w14:paraId="1C51CB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r>
    </w:tbl>
    <w:p w14:paraId="6D377A9C" w14:textId="77777777" w:rsidR="00094A26" w:rsidRPr="00050FA4" w:rsidRDefault="00094A26" w:rsidP="003F1DA7">
      <w:pPr>
        <w:ind w:firstLine="284"/>
        <w:rPr>
          <w:rFonts w:ascii="Garamond" w:hAnsi="Garamond"/>
          <w:color w:val="0D0D0D" w:themeColor="text1" w:themeTint="F2"/>
          <w:sz w:val="20"/>
          <w:szCs w:val="20"/>
        </w:rPr>
      </w:pPr>
    </w:p>
    <w:p w14:paraId="0467B07C" w14:textId="4D015D99" w:rsidR="00094A26" w:rsidRPr="00050FA4" w:rsidRDefault="00094A26" w:rsidP="003F1DA7">
      <w:pPr>
        <w:pStyle w:val="Heading2"/>
        <w:ind w:left="0" w:firstLine="284"/>
        <w:rPr>
          <w:rFonts w:ascii="Garamond" w:hAnsi="Garamond"/>
          <w:color w:val="0D0D0D" w:themeColor="text1" w:themeTint="F2"/>
          <w:sz w:val="20"/>
          <w:szCs w:val="20"/>
        </w:rPr>
      </w:pPr>
      <w:bookmarkStart w:id="83" w:name="_Toc536784308"/>
      <w:bookmarkStart w:id="84" w:name="_Toc30661243"/>
      <w:bookmarkStart w:id="85" w:name="_Toc93325785"/>
      <w:r w:rsidRPr="00050FA4">
        <w:rPr>
          <w:rFonts w:ascii="Garamond" w:hAnsi="Garamond"/>
          <w:color w:val="0D0D0D" w:themeColor="text1" w:themeTint="F2"/>
          <w:sz w:val="20"/>
          <w:szCs w:val="20"/>
        </w:rPr>
        <w:t xml:space="preserve">Tabela 1c: </w:t>
      </w:r>
      <w:bookmarkEnd w:id="83"/>
      <w:r w:rsidRPr="00050FA4">
        <w:rPr>
          <w:rFonts w:ascii="Garamond" w:hAnsi="Garamond"/>
          <w:color w:val="0D0D0D" w:themeColor="text1" w:themeTint="F2"/>
          <w:sz w:val="20"/>
          <w:szCs w:val="20"/>
        </w:rPr>
        <w:t>Zhvillimet në tregun e punës</w:t>
      </w:r>
      <w:bookmarkEnd w:id="84"/>
      <w:bookmarkEnd w:id="85"/>
    </w:p>
    <w:tbl>
      <w:tblPr>
        <w:tblW w:w="10130" w:type="dxa"/>
        <w:jc w:val="center"/>
        <w:tblLook w:val="04A0" w:firstRow="1" w:lastRow="0" w:firstColumn="1" w:lastColumn="0" w:noHBand="0" w:noVBand="1"/>
      </w:tblPr>
      <w:tblGrid>
        <w:gridCol w:w="3739"/>
        <w:gridCol w:w="791"/>
        <w:gridCol w:w="842"/>
        <w:gridCol w:w="924"/>
        <w:gridCol w:w="924"/>
        <w:gridCol w:w="898"/>
        <w:gridCol w:w="898"/>
        <w:gridCol w:w="1114"/>
      </w:tblGrid>
      <w:tr w:rsidR="00FA29AB" w:rsidRPr="00050FA4" w14:paraId="5A83B0C5" w14:textId="77777777" w:rsidTr="00617B60">
        <w:trPr>
          <w:trHeight w:val="172"/>
          <w:jc w:val="center"/>
        </w:trPr>
        <w:tc>
          <w:tcPr>
            <w:tcW w:w="3739" w:type="dxa"/>
            <w:vMerge w:val="restart"/>
            <w:tcBorders>
              <w:top w:val="double" w:sz="6" w:space="0" w:color="auto"/>
              <w:left w:val="double" w:sz="6" w:space="0" w:color="auto"/>
              <w:bottom w:val="nil"/>
              <w:right w:val="nil"/>
            </w:tcBorders>
            <w:shd w:val="clear" w:color="auto" w:fill="FFFFFF"/>
            <w:vAlign w:val="center"/>
            <w:hideMark/>
          </w:tcPr>
          <w:p w14:paraId="18EA2831" w14:textId="57CCF8F2" w:rsidR="00094A26" w:rsidRPr="00050FA4" w:rsidRDefault="00094A26" w:rsidP="00617B60">
            <w:pPr>
              <w:jc w:val="center"/>
              <w:rPr>
                <w:rFonts w:ascii="Garamond" w:eastAsia="Times New Roman" w:hAnsi="Garamond"/>
                <w:b/>
                <w:color w:val="0D0D0D" w:themeColor="text1" w:themeTint="F2"/>
                <w:sz w:val="18"/>
                <w:szCs w:val="18"/>
              </w:rPr>
            </w:pPr>
          </w:p>
        </w:tc>
        <w:tc>
          <w:tcPr>
            <w:tcW w:w="791" w:type="dxa"/>
            <w:tcBorders>
              <w:top w:val="double" w:sz="6" w:space="0" w:color="auto"/>
              <w:left w:val="single" w:sz="4" w:space="0" w:color="auto"/>
              <w:bottom w:val="nil"/>
              <w:right w:val="single" w:sz="4" w:space="0" w:color="auto"/>
            </w:tcBorders>
            <w:shd w:val="clear" w:color="auto" w:fill="FFFFFF"/>
            <w:vAlign w:val="center"/>
            <w:hideMark/>
          </w:tcPr>
          <w:p w14:paraId="6A149A8B"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w:t>
            </w:r>
          </w:p>
        </w:tc>
        <w:tc>
          <w:tcPr>
            <w:tcW w:w="842" w:type="dxa"/>
            <w:tcBorders>
              <w:top w:val="double" w:sz="6" w:space="0" w:color="auto"/>
              <w:left w:val="nil"/>
              <w:bottom w:val="nil"/>
              <w:right w:val="single" w:sz="4" w:space="0" w:color="auto"/>
            </w:tcBorders>
            <w:shd w:val="clear" w:color="auto" w:fill="FFFFFF"/>
            <w:vAlign w:val="center"/>
            <w:hideMark/>
          </w:tcPr>
          <w:p w14:paraId="3379AFEC"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24" w:type="dxa"/>
            <w:tcBorders>
              <w:top w:val="double" w:sz="6" w:space="0" w:color="auto"/>
              <w:left w:val="nil"/>
              <w:bottom w:val="nil"/>
              <w:right w:val="dotted" w:sz="4" w:space="0" w:color="auto"/>
            </w:tcBorders>
            <w:shd w:val="clear" w:color="auto" w:fill="FFFFFF"/>
            <w:vAlign w:val="center"/>
            <w:hideMark/>
          </w:tcPr>
          <w:p w14:paraId="5E5EBA0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24" w:type="dxa"/>
            <w:tcBorders>
              <w:top w:val="double" w:sz="6" w:space="0" w:color="auto"/>
              <w:left w:val="nil"/>
              <w:bottom w:val="nil"/>
              <w:right w:val="dotted" w:sz="4" w:space="0" w:color="auto"/>
            </w:tcBorders>
            <w:shd w:val="clear" w:color="auto" w:fill="FFFFFF"/>
            <w:vAlign w:val="center"/>
            <w:hideMark/>
          </w:tcPr>
          <w:p w14:paraId="7312F7A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98" w:type="dxa"/>
            <w:tcBorders>
              <w:top w:val="double" w:sz="6" w:space="0" w:color="auto"/>
              <w:left w:val="nil"/>
              <w:bottom w:val="nil"/>
              <w:right w:val="dotted" w:sz="4" w:space="0" w:color="auto"/>
            </w:tcBorders>
            <w:shd w:val="clear" w:color="auto" w:fill="FFFFFF"/>
            <w:vAlign w:val="center"/>
            <w:hideMark/>
          </w:tcPr>
          <w:p w14:paraId="39B3B77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98" w:type="dxa"/>
            <w:tcBorders>
              <w:top w:val="double" w:sz="6" w:space="0" w:color="auto"/>
              <w:left w:val="nil"/>
              <w:bottom w:val="nil"/>
              <w:right w:val="dotted" w:sz="4" w:space="0" w:color="auto"/>
            </w:tcBorders>
            <w:shd w:val="clear" w:color="auto" w:fill="FFFFFF"/>
            <w:vAlign w:val="center"/>
            <w:hideMark/>
          </w:tcPr>
          <w:p w14:paraId="3E91CBA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114" w:type="dxa"/>
            <w:tcBorders>
              <w:top w:val="double" w:sz="6" w:space="0" w:color="auto"/>
              <w:left w:val="nil"/>
              <w:bottom w:val="nil"/>
              <w:right w:val="double" w:sz="6" w:space="0" w:color="auto"/>
            </w:tcBorders>
            <w:shd w:val="clear" w:color="auto" w:fill="FFFFFF"/>
            <w:vAlign w:val="center"/>
            <w:hideMark/>
          </w:tcPr>
          <w:p w14:paraId="7A3EE92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36BF1832" w14:textId="77777777" w:rsidTr="00617B60">
        <w:trPr>
          <w:trHeight w:val="165"/>
          <w:jc w:val="center"/>
        </w:trPr>
        <w:tc>
          <w:tcPr>
            <w:tcW w:w="0" w:type="auto"/>
            <w:vMerge/>
            <w:tcBorders>
              <w:top w:val="double" w:sz="6" w:space="0" w:color="auto"/>
              <w:left w:val="double" w:sz="6" w:space="0" w:color="auto"/>
              <w:bottom w:val="nil"/>
              <w:right w:val="nil"/>
            </w:tcBorders>
            <w:vAlign w:val="center"/>
            <w:hideMark/>
          </w:tcPr>
          <w:p w14:paraId="09215E8B"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791" w:type="dxa"/>
            <w:tcBorders>
              <w:top w:val="nil"/>
              <w:left w:val="single" w:sz="4" w:space="0" w:color="auto"/>
              <w:bottom w:val="nil"/>
              <w:right w:val="single" w:sz="4" w:space="0" w:color="auto"/>
            </w:tcBorders>
            <w:shd w:val="clear" w:color="auto" w:fill="FFFFFF"/>
            <w:vAlign w:val="center"/>
            <w:hideMark/>
          </w:tcPr>
          <w:p w14:paraId="6034C054"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Code</w:t>
            </w:r>
          </w:p>
        </w:tc>
        <w:tc>
          <w:tcPr>
            <w:tcW w:w="842" w:type="dxa"/>
            <w:tcBorders>
              <w:top w:val="nil"/>
              <w:left w:val="single" w:sz="4" w:space="0" w:color="auto"/>
              <w:bottom w:val="dotted" w:sz="4" w:space="0" w:color="auto"/>
              <w:right w:val="single" w:sz="4" w:space="0" w:color="auto"/>
            </w:tcBorders>
            <w:shd w:val="clear" w:color="auto" w:fill="FFFFFF"/>
            <w:vAlign w:val="center"/>
            <w:hideMark/>
          </w:tcPr>
          <w:p w14:paraId="62C33B7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24" w:type="dxa"/>
            <w:tcBorders>
              <w:top w:val="nil"/>
              <w:left w:val="nil"/>
              <w:bottom w:val="dotted" w:sz="4" w:space="0" w:color="auto"/>
              <w:right w:val="dotted" w:sz="4" w:space="0" w:color="auto"/>
            </w:tcBorders>
            <w:shd w:val="clear" w:color="auto" w:fill="FFFFFF"/>
            <w:vAlign w:val="center"/>
            <w:hideMark/>
          </w:tcPr>
          <w:p w14:paraId="76CC519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24" w:type="dxa"/>
            <w:tcBorders>
              <w:top w:val="nil"/>
              <w:left w:val="nil"/>
              <w:bottom w:val="dotted" w:sz="4" w:space="0" w:color="auto"/>
              <w:right w:val="dotted" w:sz="4" w:space="0" w:color="auto"/>
            </w:tcBorders>
            <w:shd w:val="clear" w:color="auto" w:fill="FFFFFF"/>
            <w:vAlign w:val="center"/>
            <w:hideMark/>
          </w:tcPr>
          <w:p w14:paraId="1762EB2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898" w:type="dxa"/>
            <w:tcBorders>
              <w:top w:val="nil"/>
              <w:left w:val="nil"/>
              <w:bottom w:val="dotted" w:sz="4" w:space="0" w:color="auto"/>
              <w:right w:val="dotted" w:sz="4" w:space="0" w:color="auto"/>
            </w:tcBorders>
            <w:shd w:val="clear" w:color="auto" w:fill="FFFFFF"/>
            <w:vAlign w:val="center"/>
            <w:hideMark/>
          </w:tcPr>
          <w:p w14:paraId="48E3A37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898" w:type="dxa"/>
            <w:tcBorders>
              <w:top w:val="nil"/>
              <w:left w:val="nil"/>
              <w:bottom w:val="dotted" w:sz="4" w:space="0" w:color="auto"/>
              <w:right w:val="dotted" w:sz="4" w:space="0" w:color="auto"/>
            </w:tcBorders>
            <w:shd w:val="clear" w:color="auto" w:fill="FFFFFF"/>
            <w:vAlign w:val="center"/>
            <w:hideMark/>
          </w:tcPr>
          <w:p w14:paraId="6002C87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1114" w:type="dxa"/>
            <w:tcBorders>
              <w:top w:val="nil"/>
              <w:left w:val="nil"/>
              <w:bottom w:val="dotted" w:sz="4" w:space="0" w:color="auto"/>
              <w:right w:val="double" w:sz="6" w:space="0" w:color="auto"/>
            </w:tcBorders>
            <w:shd w:val="clear" w:color="auto" w:fill="FFFFFF"/>
            <w:vAlign w:val="center"/>
            <w:hideMark/>
          </w:tcPr>
          <w:p w14:paraId="65D1A54B"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38FFAA21" w14:textId="77777777" w:rsidTr="00617B60">
        <w:trPr>
          <w:trHeight w:val="204"/>
          <w:jc w:val="center"/>
        </w:trPr>
        <w:tc>
          <w:tcPr>
            <w:tcW w:w="3739" w:type="dxa"/>
            <w:tcBorders>
              <w:top w:val="nil"/>
              <w:left w:val="double" w:sz="6" w:space="0" w:color="auto"/>
              <w:bottom w:val="single" w:sz="8" w:space="0" w:color="auto"/>
              <w:right w:val="nil"/>
            </w:tcBorders>
            <w:shd w:val="clear" w:color="auto" w:fill="FFFFFF"/>
            <w:vAlign w:val="center"/>
            <w:hideMark/>
          </w:tcPr>
          <w:p w14:paraId="5C1009DC" w14:textId="6D7737B3" w:rsidR="00094A26" w:rsidRPr="00050FA4" w:rsidRDefault="00094A26" w:rsidP="00617B60">
            <w:pPr>
              <w:jc w:val="center"/>
              <w:rPr>
                <w:rFonts w:ascii="Garamond" w:eastAsia="Times New Roman" w:hAnsi="Garamond"/>
                <w:b/>
                <w:color w:val="0D0D0D" w:themeColor="text1" w:themeTint="F2"/>
                <w:sz w:val="18"/>
                <w:szCs w:val="18"/>
              </w:rPr>
            </w:pPr>
          </w:p>
        </w:tc>
        <w:tc>
          <w:tcPr>
            <w:tcW w:w="791" w:type="dxa"/>
            <w:tcBorders>
              <w:top w:val="nil"/>
              <w:left w:val="single" w:sz="4" w:space="0" w:color="auto"/>
              <w:bottom w:val="single" w:sz="8" w:space="0" w:color="auto"/>
              <w:right w:val="single" w:sz="4" w:space="0" w:color="auto"/>
            </w:tcBorders>
            <w:shd w:val="clear" w:color="auto" w:fill="FFFFFF"/>
            <w:vAlign w:val="center"/>
            <w:hideMark/>
          </w:tcPr>
          <w:p w14:paraId="6E5712A3" w14:textId="11A0BB6D" w:rsidR="00094A26" w:rsidRPr="00050FA4" w:rsidRDefault="00094A26" w:rsidP="00617B60">
            <w:pPr>
              <w:jc w:val="center"/>
              <w:rPr>
                <w:rFonts w:ascii="Garamond" w:eastAsia="Times New Roman" w:hAnsi="Garamond"/>
                <w:b/>
                <w:color w:val="0D0D0D" w:themeColor="text1" w:themeTint="F2"/>
                <w:sz w:val="18"/>
                <w:szCs w:val="18"/>
              </w:rPr>
            </w:pPr>
          </w:p>
        </w:tc>
        <w:tc>
          <w:tcPr>
            <w:tcW w:w="842" w:type="dxa"/>
            <w:tcBorders>
              <w:top w:val="nil"/>
              <w:left w:val="nil"/>
              <w:bottom w:val="single" w:sz="8" w:space="0" w:color="auto"/>
              <w:right w:val="single" w:sz="4" w:space="0" w:color="auto"/>
            </w:tcBorders>
            <w:shd w:val="clear" w:color="auto" w:fill="FFFFFF"/>
            <w:vAlign w:val="center"/>
            <w:hideMark/>
          </w:tcPr>
          <w:p w14:paraId="1D72EFA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Level</w:t>
            </w:r>
          </w:p>
        </w:tc>
        <w:tc>
          <w:tcPr>
            <w:tcW w:w="4758" w:type="dxa"/>
            <w:gridSpan w:val="5"/>
            <w:tcBorders>
              <w:top w:val="dotted" w:sz="4" w:space="0" w:color="auto"/>
              <w:left w:val="nil"/>
              <w:bottom w:val="single" w:sz="8" w:space="0" w:color="auto"/>
              <w:right w:val="double" w:sz="6" w:space="0" w:color="000000"/>
            </w:tcBorders>
            <w:shd w:val="clear" w:color="auto" w:fill="FFFFFF"/>
            <w:vAlign w:val="center"/>
            <w:hideMark/>
          </w:tcPr>
          <w:p w14:paraId="5D5FA31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Level/Rate of change</w:t>
            </w:r>
          </w:p>
        </w:tc>
      </w:tr>
      <w:tr w:rsidR="00FA29AB" w:rsidRPr="00050FA4" w14:paraId="6BD8ADE2"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432E7D7E" w14:textId="77777777" w:rsidR="00094A26" w:rsidRPr="00050FA4" w:rsidRDefault="00094A26" w:rsidP="00A95D23">
            <w:pPr>
              <w:rPr>
                <w:rFonts w:ascii="Garamond" w:eastAsia="Times New Roman" w:hAnsi="Garamond"/>
                <w:color w:val="0D0D0D" w:themeColor="text1" w:themeTint="F2"/>
                <w:sz w:val="18"/>
                <w:szCs w:val="18"/>
              </w:rPr>
            </w:pPr>
            <w:bookmarkStart w:id="86" w:name="RANGE!B7"/>
            <w:r w:rsidRPr="00050FA4">
              <w:rPr>
                <w:rFonts w:ascii="Garamond" w:eastAsia="Times New Roman" w:hAnsi="Garamond"/>
                <w:color w:val="0D0D0D" w:themeColor="text1" w:themeTint="F2"/>
                <w:sz w:val="18"/>
                <w:szCs w:val="18"/>
              </w:rPr>
              <w:t>1. Population (thousands)</w:t>
            </w:r>
            <w:bookmarkEnd w:id="86"/>
          </w:p>
        </w:tc>
        <w:tc>
          <w:tcPr>
            <w:tcW w:w="791" w:type="dxa"/>
            <w:tcBorders>
              <w:top w:val="nil"/>
              <w:left w:val="single" w:sz="4" w:space="0" w:color="auto"/>
              <w:bottom w:val="dotted" w:sz="4" w:space="0" w:color="auto"/>
              <w:right w:val="single" w:sz="4" w:space="0" w:color="auto"/>
            </w:tcBorders>
            <w:shd w:val="clear" w:color="auto" w:fill="FFFFFF"/>
            <w:hideMark/>
          </w:tcPr>
          <w:p w14:paraId="69912BE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single" w:sz="8" w:space="0" w:color="auto"/>
              <w:left w:val="single" w:sz="4" w:space="0" w:color="auto"/>
              <w:bottom w:val="dotted" w:sz="4" w:space="0" w:color="auto"/>
              <w:right w:val="single" w:sz="4" w:space="0" w:color="auto"/>
            </w:tcBorders>
            <w:shd w:val="clear" w:color="auto" w:fill="FFFFFF"/>
            <w:hideMark/>
          </w:tcPr>
          <w:p w14:paraId="014D40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single" w:sz="8" w:space="0" w:color="auto"/>
              <w:left w:val="nil"/>
              <w:bottom w:val="dotted" w:sz="4" w:space="0" w:color="auto"/>
              <w:right w:val="dotted" w:sz="4" w:space="0" w:color="auto"/>
            </w:tcBorders>
            <w:noWrap/>
            <w:vAlign w:val="center"/>
            <w:hideMark/>
          </w:tcPr>
          <w:p w14:paraId="0BA3548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2,837.8</w:t>
            </w:r>
          </w:p>
        </w:tc>
        <w:tc>
          <w:tcPr>
            <w:tcW w:w="924" w:type="dxa"/>
            <w:tcBorders>
              <w:top w:val="single" w:sz="8" w:space="0" w:color="auto"/>
              <w:left w:val="nil"/>
              <w:bottom w:val="dotted" w:sz="4" w:space="0" w:color="auto"/>
              <w:right w:val="dotted" w:sz="4" w:space="0" w:color="auto"/>
            </w:tcBorders>
            <w:noWrap/>
            <w:vAlign w:val="center"/>
            <w:hideMark/>
          </w:tcPr>
          <w:p w14:paraId="13EEFE5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2,831.6</w:t>
            </w:r>
          </w:p>
        </w:tc>
        <w:tc>
          <w:tcPr>
            <w:tcW w:w="898" w:type="dxa"/>
            <w:tcBorders>
              <w:top w:val="single" w:sz="8" w:space="0" w:color="auto"/>
              <w:left w:val="nil"/>
              <w:bottom w:val="dotted" w:sz="4" w:space="0" w:color="auto"/>
              <w:right w:val="dotted" w:sz="4" w:space="0" w:color="auto"/>
            </w:tcBorders>
            <w:noWrap/>
            <w:vAlign w:val="center"/>
            <w:hideMark/>
          </w:tcPr>
          <w:p w14:paraId="52A004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2,824.7</w:t>
            </w:r>
          </w:p>
        </w:tc>
        <w:tc>
          <w:tcPr>
            <w:tcW w:w="898" w:type="dxa"/>
            <w:tcBorders>
              <w:top w:val="single" w:sz="8" w:space="0" w:color="auto"/>
              <w:left w:val="nil"/>
              <w:bottom w:val="dotted" w:sz="4" w:space="0" w:color="auto"/>
              <w:right w:val="dotted" w:sz="4" w:space="0" w:color="auto"/>
            </w:tcBorders>
            <w:noWrap/>
            <w:vAlign w:val="center"/>
            <w:hideMark/>
          </w:tcPr>
          <w:p w14:paraId="5FCCBC6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2,816.8</w:t>
            </w:r>
          </w:p>
        </w:tc>
        <w:tc>
          <w:tcPr>
            <w:tcW w:w="1114" w:type="dxa"/>
            <w:tcBorders>
              <w:top w:val="single" w:sz="8" w:space="0" w:color="auto"/>
              <w:left w:val="nil"/>
              <w:bottom w:val="dotted" w:sz="4" w:space="0" w:color="auto"/>
              <w:right w:val="double" w:sz="6" w:space="0" w:color="auto"/>
            </w:tcBorders>
            <w:noWrap/>
            <w:vAlign w:val="center"/>
            <w:hideMark/>
          </w:tcPr>
          <w:p w14:paraId="4C6578D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2,808.0</w:t>
            </w:r>
          </w:p>
        </w:tc>
      </w:tr>
      <w:tr w:rsidR="00FA29AB" w:rsidRPr="00050FA4" w14:paraId="161D2A90"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7293ADA3" w14:textId="77777777" w:rsidR="00094A26" w:rsidRPr="00050FA4" w:rsidRDefault="00094A26" w:rsidP="00A95D23">
            <w:pPr>
              <w:rPr>
                <w:rFonts w:ascii="Garamond" w:eastAsia="Times New Roman" w:hAnsi="Garamond"/>
                <w:color w:val="0D0D0D" w:themeColor="text1" w:themeTint="F2"/>
                <w:sz w:val="18"/>
                <w:szCs w:val="18"/>
              </w:rPr>
            </w:pPr>
            <w:bookmarkStart w:id="87" w:name="RANGE!B8"/>
            <w:r w:rsidRPr="00050FA4">
              <w:rPr>
                <w:rFonts w:ascii="Garamond" w:eastAsia="Times New Roman" w:hAnsi="Garamond"/>
                <w:color w:val="0D0D0D" w:themeColor="text1" w:themeTint="F2"/>
                <w:sz w:val="18"/>
                <w:szCs w:val="18"/>
              </w:rPr>
              <w:t>2. Population (growth rate in %)</w:t>
            </w:r>
            <w:bookmarkEnd w:id="87"/>
          </w:p>
        </w:tc>
        <w:tc>
          <w:tcPr>
            <w:tcW w:w="791" w:type="dxa"/>
            <w:tcBorders>
              <w:top w:val="nil"/>
              <w:left w:val="single" w:sz="4" w:space="0" w:color="auto"/>
              <w:bottom w:val="dotted" w:sz="4" w:space="0" w:color="auto"/>
              <w:right w:val="single" w:sz="4" w:space="0" w:color="auto"/>
            </w:tcBorders>
            <w:shd w:val="clear" w:color="auto" w:fill="FFFFFF"/>
            <w:hideMark/>
          </w:tcPr>
          <w:p w14:paraId="26792DD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11E0730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noWrap/>
            <w:vAlign w:val="center"/>
            <w:hideMark/>
          </w:tcPr>
          <w:p w14:paraId="6AAA099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-0.6</w:t>
            </w:r>
          </w:p>
        </w:tc>
        <w:tc>
          <w:tcPr>
            <w:tcW w:w="924" w:type="dxa"/>
            <w:tcBorders>
              <w:top w:val="nil"/>
              <w:left w:val="nil"/>
              <w:bottom w:val="dotted" w:sz="4" w:space="0" w:color="auto"/>
              <w:right w:val="dotted" w:sz="4" w:space="0" w:color="auto"/>
            </w:tcBorders>
            <w:noWrap/>
            <w:vAlign w:val="center"/>
            <w:hideMark/>
          </w:tcPr>
          <w:p w14:paraId="183FDB1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898" w:type="dxa"/>
            <w:tcBorders>
              <w:top w:val="nil"/>
              <w:left w:val="nil"/>
              <w:bottom w:val="dotted" w:sz="4" w:space="0" w:color="auto"/>
              <w:right w:val="dotted" w:sz="4" w:space="0" w:color="auto"/>
            </w:tcBorders>
            <w:noWrap/>
            <w:vAlign w:val="center"/>
            <w:hideMark/>
          </w:tcPr>
          <w:p w14:paraId="64C4383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898" w:type="dxa"/>
            <w:tcBorders>
              <w:top w:val="nil"/>
              <w:left w:val="nil"/>
              <w:bottom w:val="dotted" w:sz="4" w:space="0" w:color="auto"/>
              <w:right w:val="dotted" w:sz="4" w:space="0" w:color="auto"/>
            </w:tcBorders>
            <w:noWrap/>
            <w:vAlign w:val="center"/>
            <w:hideMark/>
          </w:tcPr>
          <w:p w14:paraId="56ADD81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1114" w:type="dxa"/>
            <w:tcBorders>
              <w:top w:val="nil"/>
              <w:left w:val="nil"/>
              <w:bottom w:val="dotted" w:sz="4" w:space="0" w:color="auto"/>
              <w:right w:val="double" w:sz="6" w:space="0" w:color="auto"/>
            </w:tcBorders>
            <w:noWrap/>
            <w:vAlign w:val="center"/>
            <w:hideMark/>
          </w:tcPr>
          <w:p w14:paraId="6648E8F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r>
      <w:bookmarkStart w:id="88" w:name="RANGE!B9"/>
      <w:tr w:rsidR="00FA29AB" w:rsidRPr="00050FA4" w14:paraId="77FC0B3B"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77F694F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fldChar w:fldCharType="begin"/>
            </w:r>
            <w:r w:rsidRPr="00050FA4">
              <w:rPr>
                <w:rFonts w:ascii="Garamond" w:hAnsi="Garamond"/>
                <w:color w:val="0D0D0D" w:themeColor="text1" w:themeTint="F2"/>
                <w:sz w:val="18"/>
                <w:szCs w:val="18"/>
              </w:rPr>
              <w:instrText xml:space="preserve"> HYPERLINK "file:///C:\\Users\\xx\\Desktop\\ERP%202021-2023\\2021_ERP%20Annex%20tables_ALB_completed_9.01.2021.xlsx" \l "RANGE!B21" </w:instrText>
            </w:r>
            <w:r w:rsidRPr="00050FA4">
              <w:rPr>
                <w:rFonts w:ascii="Garamond" w:hAnsi="Garamond"/>
                <w:color w:val="0D0D0D" w:themeColor="text1" w:themeTint="F2"/>
                <w:sz w:val="18"/>
                <w:szCs w:val="18"/>
              </w:rPr>
              <w:fldChar w:fldCharType="separate"/>
            </w:r>
            <w:r w:rsidRPr="00050FA4">
              <w:rPr>
                <w:rStyle w:val="Hyperlink"/>
                <w:rFonts w:ascii="Garamond" w:hAnsi="Garamond"/>
                <w:color w:val="0D0D0D" w:themeColor="text1" w:themeTint="F2"/>
                <w:sz w:val="18"/>
                <w:szCs w:val="18"/>
              </w:rPr>
              <w:t>3. Working-age population (persons)[1]</w:t>
            </w:r>
            <w:bookmarkEnd w:id="88"/>
            <w:r w:rsidRPr="00050FA4">
              <w:rPr>
                <w:rFonts w:ascii="Garamond" w:hAnsi="Garamond"/>
                <w:color w:val="0D0D0D" w:themeColor="text1" w:themeTint="F2"/>
                <w:sz w:val="18"/>
                <w:szCs w:val="18"/>
              </w:rPr>
              <w:fldChar w:fldCharType="end"/>
            </w:r>
          </w:p>
        </w:tc>
        <w:tc>
          <w:tcPr>
            <w:tcW w:w="791" w:type="dxa"/>
            <w:tcBorders>
              <w:top w:val="nil"/>
              <w:left w:val="single" w:sz="4" w:space="0" w:color="auto"/>
              <w:bottom w:val="dotted" w:sz="4" w:space="0" w:color="auto"/>
              <w:right w:val="single" w:sz="4" w:space="0" w:color="auto"/>
            </w:tcBorders>
            <w:shd w:val="clear" w:color="auto" w:fill="FFFFFF"/>
            <w:hideMark/>
          </w:tcPr>
          <w:p w14:paraId="49BD28C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78D2804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noWrap/>
            <w:vAlign w:val="center"/>
            <w:hideMark/>
          </w:tcPr>
          <w:p w14:paraId="3E8F4AA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1,947</w:t>
            </w:r>
          </w:p>
        </w:tc>
        <w:tc>
          <w:tcPr>
            <w:tcW w:w="924" w:type="dxa"/>
            <w:tcBorders>
              <w:top w:val="nil"/>
              <w:left w:val="nil"/>
              <w:bottom w:val="dotted" w:sz="4" w:space="0" w:color="auto"/>
              <w:right w:val="dotted" w:sz="4" w:space="0" w:color="auto"/>
            </w:tcBorders>
            <w:noWrap/>
            <w:vAlign w:val="center"/>
            <w:hideMark/>
          </w:tcPr>
          <w:p w14:paraId="1A2ED6A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1,929</w:t>
            </w:r>
          </w:p>
        </w:tc>
        <w:tc>
          <w:tcPr>
            <w:tcW w:w="898" w:type="dxa"/>
            <w:tcBorders>
              <w:top w:val="nil"/>
              <w:left w:val="nil"/>
              <w:bottom w:val="dotted" w:sz="4" w:space="0" w:color="auto"/>
              <w:right w:val="dotted" w:sz="4" w:space="0" w:color="auto"/>
            </w:tcBorders>
            <w:noWrap/>
            <w:vAlign w:val="center"/>
            <w:hideMark/>
          </w:tcPr>
          <w:p w14:paraId="11ECDE0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1,924</w:t>
            </w:r>
          </w:p>
        </w:tc>
        <w:tc>
          <w:tcPr>
            <w:tcW w:w="898" w:type="dxa"/>
            <w:tcBorders>
              <w:top w:val="nil"/>
              <w:left w:val="nil"/>
              <w:bottom w:val="dotted" w:sz="4" w:space="0" w:color="auto"/>
              <w:right w:val="dotted" w:sz="4" w:space="0" w:color="auto"/>
            </w:tcBorders>
            <w:noWrap/>
            <w:vAlign w:val="center"/>
            <w:hideMark/>
          </w:tcPr>
          <w:p w14:paraId="470E1F2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1,919</w:t>
            </w:r>
          </w:p>
        </w:tc>
        <w:tc>
          <w:tcPr>
            <w:tcW w:w="1114" w:type="dxa"/>
            <w:tcBorders>
              <w:top w:val="nil"/>
              <w:left w:val="nil"/>
              <w:bottom w:val="dotted" w:sz="4" w:space="0" w:color="auto"/>
              <w:right w:val="double" w:sz="6" w:space="0" w:color="auto"/>
            </w:tcBorders>
            <w:noWrap/>
            <w:vAlign w:val="center"/>
            <w:hideMark/>
          </w:tcPr>
          <w:p w14:paraId="03CD59D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1,913</w:t>
            </w:r>
          </w:p>
        </w:tc>
      </w:tr>
      <w:tr w:rsidR="00FA29AB" w:rsidRPr="00050FA4" w14:paraId="4897FCDC"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1B47C1E2" w14:textId="77777777" w:rsidR="00094A26" w:rsidRPr="00050FA4" w:rsidRDefault="00094A26" w:rsidP="00A95D23">
            <w:pPr>
              <w:rPr>
                <w:rFonts w:ascii="Garamond" w:eastAsia="Times New Roman" w:hAnsi="Garamond"/>
                <w:color w:val="0D0D0D" w:themeColor="text1" w:themeTint="F2"/>
                <w:sz w:val="18"/>
                <w:szCs w:val="18"/>
              </w:rPr>
            </w:pPr>
            <w:bookmarkStart w:id="89" w:name="RANGE!B10"/>
            <w:r w:rsidRPr="00050FA4">
              <w:rPr>
                <w:rFonts w:ascii="Garamond" w:eastAsia="Times New Roman" w:hAnsi="Garamond"/>
                <w:color w:val="0D0D0D" w:themeColor="text1" w:themeTint="F2"/>
                <w:sz w:val="18"/>
                <w:szCs w:val="18"/>
              </w:rPr>
              <w:t xml:space="preserve">4. Participation rate </w:t>
            </w:r>
            <w:bookmarkEnd w:id="89"/>
          </w:p>
        </w:tc>
        <w:tc>
          <w:tcPr>
            <w:tcW w:w="791" w:type="dxa"/>
            <w:tcBorders>
              <w:top w:val="nil"/>
              <w:left w:val="single" w:sz="4" w:space="0" w:color="auto"/>
              <w:bottom w:val="dotted" w:sz="4" w:space="0" w:color="auto"/>
              <w:right w:val="single" w:sz="4" w:space="0" w:color="auto"/>
            </w:tcBorders>
            <w:shd w:val="clear" w:color="auto" w:fill="FFFFFF"/>
            <w:hideMark/>
          </w:tcPr>
          <w:p w14:paraId="2AE5C0D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4B2495E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noWrap/>
            <w:vAlign w:val="center"/>
            <w:hideMark/>
          </w:tcPr>
          <w:p w14:paraId="5596D06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69.0</w:t>
            </w:r>
          </w:p>
        </w:tc>
        <w:tc>
          <w:tcPr>
            <w:tcW w:w="924" w:type="dxa"/>
            <w:tcBorders>
              <w:top w:val="nil"/>
              <w:left w:val="nil"/>
              <w:bottom w:val="dotted" w:sz="4" w:space="0" w:color="auto"/>
              <w:right w:val="dotted" w:sz="4" w:space="0" w:color="auto"/>
            </w:tcBorders>
            <w:shd w:val="clear" w:color="auto" w:fill="FFFFFF"/>
            <w:noWrap/>
            <w:vAlign w:val="center"/>
            <w:hideMark/>
          </w:tcPr>
          <w:p w14:paraId="15C5B5F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69.7</w:t>
            </w:r>
          </w:p>
        </w:tc>
        <w:tc>
          <w:tcPr>
            <w:tcW w:w="898" w:type="dxa"/>
            <w:tcBorders>
              <w:top w:val="nil"/>
              <w:left w:val="nil"/>
              <w:bottom w:val="dotted" w:sz="4" w:space="0" w:color="auto"/>
              <w:right w:val="dotted" w:sz="4" w:space="0" w:color="auto"/>
            </w:tcBorders>
            <w:shd w:val="clear" w:color="auto" w:fill="FFFFFF"/>
            <w:noWrap/>
            <w:vAlign w:val="center"/>
            <w:hideMark/>
          </w:tcPr>
          <w:p w14:paraId="5CE2A78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70.2</w:t>
            </w:r>
          </w:p>
        </w:tc>
        <w:tc>
          <w:tcPr>
            <w:tcW w:w="898" w:type="dxa"/>
            <w:tcBorders>
              <w:top w:val="nil"/>
              <w:left w:val="nil"/>
              <w:bottom w:val="dotted" w:sz="4" w:space="0" w:color="auto"/>
              <w:right w:val="dotted" w:sz="4" w:space="0" w:color="auto"/>
            </w:tcBorders>
            <w:shd w:val="clear" w:color="auto" w:fill="FFFFFF"/>
            <w:noWrap/>
            <w:vAlign w:val="center"/>
            <w:hideMark/>
          </w:tcPr>
          <w:p w14:paraId="7E43093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70.6</w:t>
            </w:r>
          </w:p>
        </w:tc>
        <w:tc>
          <w:tcPr>
            <w:tcW w:w="1114" w:type="dxa"/>
            <w:tcBorders>
              <w:top w:val="nil"/>
              <w:left w:val="nil"/>
              <w:bottom w:val="dotted" w:sz="4" w:space="0" w:color="auto"/>
              <w:right w:val="double" w:sz="6" w:space="0" w:color="auto"/>
            </w:tcBorders>
            <w:shd w:val="clear" w:color="auto" w:fill="FFFFFF"/>
            <w:noWrap/>
            <w:vAlign w:val="center"/>
            <w:hideMark/>
          </w:tcPr>
          <w:p w14:paraId="6CC47A6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71.0</w:t>
            </w:r>
          </w:p>
        </w:tc>
      </w:tr>
      <w:bookmarkStart w:id="90" w:name="RANGE!B11"/>
      <w:tr w:rsidR="00FA29AB" w:rsidRPr="00050FA4" w14:paraId="4FDBF797"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09CC561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fldChar w:fldCharType="begin"/>
            </w:r>
            <w:r w:rsidRPr="00050FA4">
              <w:rPr>
                <w:rFonts w:ascii="Garamond" w:hAnsi="Garamond"/>
                <w:color w:val="0D0D0D" w:themeColor="text1" w:themeTint="F2"/>
                <w:sz w:val="18"/>
                <w:szCs w:val="18"/>
              </w:rPr>
              <w:instrText xml:space="preserve"> HYPERLINK "file:///C:\\Users\\xx\\Desktop\\ERP%202021-2023\\2021_ERP%20Annex%20tables_ALB_completed_9.01.2021.xlsx" \l "RANGE!B22" </w:instrText>
            </w:r>
            <w:r w:rsidRPr="00050FA4">
              <w:rPr>
                <w:rFonts w:ascii="Garamond" w:hAnsi="Garamond"/>
                <w:color w:val="0D0D0D" w:themeColor="text1" w:themeTint="F2"/>
                <w:sz w:val="18"/>
                <w:szCs w:val="18"/>
              </w:rPr>
              <w:fldChar w:fldCharType="separate"/>
            </w:r>
            <w:r w:rsidRPr="00050FA4">
              <w:rPr>
                <w:rStyle w:val="Hyperlink"/>
                <w:rFonts w:ascii="Garamond" w:hAnsi="Garamond"/>
                <w:color w:val="0D0D0D" w:themeColor="text1" w:themeTint="F2"/>
                <w:sz w:val="18"/>
                <w:szCs w:val="18"/>
              </w:rPr>
              <w:t>5. Employment, persons [2]</w:t>
            </w:r>
            <w:bookmarkEnd w:id="90"/>
            <w:r w:rsidRPr="00050FA4">
              <w:rPr>
                <w:rFonts w:ascii="Garamond" w:hAnsi="Garamond"/>
                <w:color w:val="0D0D0D" w:themeColor="text1" w:themeTint="F2"/>
                <w:sz w:val="18"/>
                <w:szCs w:val="18"/>
              </w:rPr>
              <w:fldChar w:fldCharType="end"/>
            </w:r>
          </w:p>
        </w:tc>
        <w:tc>
          <w:tcPr>
            <w:tcW w:w="791" w:type="dxa"/>
            <w:tcBorders>
              <w:top w:val="nil"/>
              <w:left w:val="single" w:sz="4" w:space="0" w:color="auto"/>
              <w:bottom w:val="dotted" w:sz="4" w:space="0" w:color="auto"/>
              <w:right w:val="single" w:sz="4" w:space="0" w:color="auto"/>
            </w:tcBorders>
            <w:shd w:val="clear" w:color="auto" w:fill="FFFFFF"/>
            <w:hideMark/>
          </w:tcPr>
          <w:p w14:paraId="7F10A0B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3BF1F1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noWrap/>
            <w:vAlign w:val="center"/>
            <w:hideMark/>
          </w:tcPr>
          <w:p w14:paraId="4BBC73C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1,181</w:t>
            </w:r>
          </w:p>
        </w:tc>
        <w:tc>
          <w:tcPr>
            <w:tcW w:w="924" w:type="dxa"/>
            <w:tcBorders>
              <w:top w:val="nil"/>
              <w:left w:val="nil"/>
              <w:bottom w:val="dotted" w:sz="4" w:space="0" w:color="auto"/>
              <w:right w:val="dotted" w:sz="4" w:space="0" w:color="auto"/>
            </w:tcBorders>
            <w:shd w:val="clear" w:color="auto" w:fill="FFFFFF"/>
            <w:noWrap/>
            <w:vAlign w:val="center"/>
            <w:hideMark/>
          </w:tcPr>
          <w:p w14:paraId="17B360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1,190</w:t>
            </w:r>
          </w:p>
        </w:tc>
        <w:tc>
          <w:tcPr>
            <w:tcW w:w="898" w:type="dxa"/>
            <w:tcBorders>
              <w:top w:val="nil"/>
              <w:left w:val="nil"/>
              <w:bottom w:val="dotted" w:sz="4" w:space="0" w:color="auto"/>
              <w:right w:val="dotted" w:sz="4" w:space="0" w:color="auto"/>
            </w:tcBorders>
            <w:shd w:val="clear" w:color="auto" w:fill="FFFFFF"/>
            <w:noWrap/>
            <w:vAlign w:val="center"/>
            <w:hideMark/>
          </w:tcPr>
          <w:p w14:paraId="577BB7F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1,211</w:t>
            </w:r>
          </w:p>
        </w:tc>
        <w:tc>
          <w:tcPr>
            <w:tcW w:w="898" w:type="dxa"/>
            <w:tcBorders>
              <w:top w:val="nil"/>
              <w:left w:val="nil"/>
              <w:bottom w:val="dotted" w:sz="4" w:space="0" w:color="auto"/>
              <w:right w:val="dotted" w:sz="4" w:space="0" w:color="auto"/>
            </w:tcBorders>
            <w:shd w:val="clear" w:color="auto" w:fill="FFFFFF"/>
            <w:noWrap/>
            <w:vAlign w:val="center"/>
            <w:hideMark/>
          </w:tcPr>
          <w:p w14:paraId="404D60B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1,227</w:t>
            </w:r>
          </w:p>
        </w:tc>
        <w:tc>
          <w:tcPr>
            <w:tcW w:w="1114" w:type="dxa"/>
            <w:tcBorders>
              <w:top w:val="nil"/>
              <w:left w:val="nil"/>
              <w:bottom w:val="dotted" w:sz="4" w:space="0" w:color="auto"/>
              <w:right w:val="double" w:sz="6" w:space="0" w:color="auto"/>
            </w:tcBorders>
            <w:shd w:val="clear" w:color="auto" w:fill="FFFFFF"/>
            <w:noWrap/>
            <w:vAlign w:val="center"/>
            <w:hideMark/>
          </w:tcPr>
          <w:p w14:paraId="7384FC9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1,236</w:t>
            </w:r>
          </w:p>
        </w:tc>
      </w:tr>
      <w:tr w:rsidR="00FA29AB" w:rsidRPr="00050FA4" w14:paraId="2F4701A2"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44B62CB4" w14:textId="77777777" w:rsidR="00094A26" w:rsidRPr="00050FA4" w:rsidRDefault="00467F1F" w:rsidP="00A95D23">
            <w:pPr>
              <w:rPr>
                <w:rFonts w:ascii="Garamond" w:eastAsia="Times New Roman" w:hAnsi="Garamond"/>
                <w:color w:val="0D0D0D" w:themeColor="text1" w:themeTint="F2"/>
                <w:sz w:val="18"/>
                <w:szCs w:val="18"/>
              </w:rPr>
            </w:pPr>
            <w:hyperlink r:id="rId71" w:anchor="RANGE!B23" w:history="1">
              <w:r w:rsidR="00094A26" w:rsidRPr="00050FA4">
                <w:rPr>
                  <w:rStyle w:val="Hyperlink"/>
                  <w:rFonts w:ascii="Garamond" w:hAnsi="Garamond"/>
                  <w:color w:val="0D0D0D" w:themeColor="text1" w:themeTint="F2"/>
                  <w:sz w:val="18"/>
                  <w:szCs w:val="18"/>
                </w:rPr>
                <w:t>6. Employment, hours worked[3]</w:t>
              </w:r>
            </w:hyperlink>
          </w:p>
        </w:tc>
        <w:tc>
          <w:tcPr>
            <w:tcW w:w="791" w:type="dxa"/>
            <w:tcBorders>
              <w:top w:val="nil"/>
              <w:left w:val="single" w:sz="4" w:space="0" w:color="auto"/>
              <w:bottom w:val="dotted" w:sz="4" w:space="0" w:color="auto"/>
              <w:right w:val="single" w:sz="4" w:space="0" w:color="auto"/>
            </w:tcBorders>
            <w:shd w:val="clear" w:color="auto" w:fill="FFFFFF"/>
            <w:hideMark/>
          </w:tcPr>
          <w:p w14:paraId="1BDDCED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27557CC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hideMark/>
          </w:tcPr>
          <w:p w14:paraId="159FBFB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hideMark/>
          </w:tcPr>
          <w:p w14:paraId="2C8BCEB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98" w:type="dxa"/>
            <w:tcBorders>
              <w:top w:val="nil"/>
              <w:left w:val="nil"/>
              <w:bottom w:val="dotted" w:sz="4" w:space="0" w:color="auto"/>
              <w:right w:val="dotted" w:sz="4" w:space="0" w:color="auto"/>
            </w:tcBorders>
            <w:shd w:val="clear" w:color="auto" w:fill="FFFFFF"/>
            <w:hideMark/>
          </w:tcPr>
          <w:p w14:paraId="0A87060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98" w:type="dxa"/>
            <w:tcBorders>
              <w:top w:val="nil"/>
              <w:left w:val="nil"/>
              <w:bottom w:val="dotted" w:sz="4" w:space="0" w:color="auto"/>
              <w:right w:val="dotted" w:sz="4" w:space="0" w:color="auto"/>
            </w:tcBorders>
            <w:shd w:val="clear" w:color="auto" w:fill="FFFFFF"/>
            <w:hideMark/>
          </w:tcPr>
          <w:p w14:paraId="78FED41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114" w:type="dxa"/>
            <w:tcBorders>
              <w:top w:val="nil"/>
              <w:left w:val="nil"/>
              <w:bottom w:val="dotted" w:sz="4" w:space="0" w:color="auto"/>
              <w:right w:val="double" w:sz="6" w:space="0" w:color="auto"/>
            </w:tcBorders>
            <w:shd w:val="clear" w:color="auto" w:fill="FFFFFF"/>
            <w:hideMark/>
          </w:tcPr>
          <w:p w14:paraId="631B743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7320E14C" w14:textId="77777777" w:rsidTr="00617B60">
        <w:trPr>
          <w:trHeight w:val="204"/>
          <w:jc w:val="center"/>
        </w:trPr>
        <w:tc>
          <w:tcPr>
            <w:tcW w:w="3739" w:type="dxa"/>
            <w:tcBorders>
              <w:top w:val="nil"/>
              <w:left w:val="double" w:sz="6" w:space="0" w:color="auto"/>
              <w:bottom w:val="dotted" w:sz="4" w:space="0" w:color="auto"/>
              <w:right w:val="nil"/>
            </w:tcBorders>
            <w:shd w:val="clear" w:color="auto" w:fill="FFFFFF"/>
            <w:hideMark/>
          </w:tcPr>
          <w:p w14:paraId="5216638A"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Employment (growth rate in %)</w:t>
            </w:r>
          </w:p>
        </w:tc>
        <w:tc>
          <w:tcPr>
            <w:tcW w:w="791" w:type="dxa"/>
            <w:tcBorders>
              <w:top w:val="nil"/>
              <w:left w:val="single" w:sz="4" w:space="0" w:color="auto"/>
              <w:bottom w:val="dotted" w:sz="4" w:space="0" w:color="auto"/>
              <w:right w:val="single" w:sz="4" w:space="0" w:color="auto"/>
            </w:tcBorders>
            <w:shd w:val="clear" w:color="auto" w:fill="FFFFFF"/>
            <w:hideMark/>
          </w:tcPr>
          <w:p w14:paraId="3FF58E1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4A598E0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noWrap/>
            <w:vAlign w:val="center"/>
            <w:hideMark/>
          </w:tcPr>
          <w:p w14:paraId="68A9A14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c>
          <w:tcPr>
            <w:tcW w:w="924" w:type="dxa"/>
            <w:tcBorders>
              <w:top w:val="nil"/>
              <w:left w:val="nil"/>
              <w:bottom w:val="dotted" w:sz="4" w:space="0" w:color="auto"/>
              <w:right w:val="dotted" w:sz="4" w:space="0" w:color="auto"/>
            </w:tcBorders>
            <w:shd w:val="clear" w:color="auto" w:fill="FFFFFF"/>
            <w:noWrap/>
            <w:vAlign w:val="center"/>
            <w:hideMark/>
          </w:tcPr>
          <w:p w14:paraId="4E9D876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c>
          <w:tcPr>
            <w:tcW w:w="898" w:type="dxa"/>
            <w:tcBorders>
              <w:top w:val="nil"/>
              <w:left w:val="nil"/>
              <w:bottom w:val="dotted" w:sz="4" w:space="0" w:color="auto"/>
              <w:right w:val="dotted" w:sz="4" w:space="0" w:color="auto"/>
            </w:tcBorders>
            <w:shd w:val="clear" w:color="auto" w:fill="FFFFFF"/>
            <w:noWrap/>
            <w:vAlign w:val="center"/>
            <w:hideMark/>
          </w:tcPr>
          <w:p w14:paraId="0C61178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898" w:type="dxa"/>
            <w:tcBorders>
              <w:top w:val="nil"/>
              <w:left w:val="nil"/>
              <w:bottom w:val="dotted" w:sz="4" w:space="0" w:color="auto"/>
              <w:right w:val="dotted" w:sz="4" w:space="0" w:color="auto"/>
            </w:tcBorders>
            <w:shd w:val="clear" w:color="auto" w:fill="FFFFFF"/>
            <w:noWrap/>
            <w:vAlign w:val="center"/>
            <w:hideMark/>
          </w:tcPr>
          <w:p w14:paraId="03D028A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w:t>
            </w:r>
          </w:p>
        </w:tc>
        <w:tc>
          <w:tcPr>
            <w:tcW w:w="1114" w:type="dxa"/>
            <w:tcBorders>
              <w:top w:val="nil"/>
              <w:left w:val="nil"/>
              <w:bottom w:val="dotted" w:sz="4" w:space="0" w:color="auto"/>
              <w:right w:val="double" w:sz="6" w:space="0" w:color="auto"/>
            </w:tcBorders>
            <w:shd w:val="clear" w:color="auto" w:fill="FFFFFF"/>
            <w:noWrap/>
            <w:vAlign w:val="center"/>
            <w:hideMark/>
          </w:tcPr>
          <w:p w14:paraId="63B35DC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r>
      <w:tr w:rsidR="00FA29AB" w:rsidRPr="00050FA4" w14:paraId="2BAB3475" w14:textId="77777777" w:rsidTr="00617B60">
        <w:trPr>
          <w:trHeight w:val="133"/>
          <w:jc w:val="center"/>
        </w:trPr>
        <w:tc>
          <w:tcPr>
            <w:tcW w:w="3739" w:type="dxa"/>
            <w:tcBorders>
              <w:top w:val="nil"/>
              <w:left w:val="double" w:sz="6" w:space="0" w:color="auto"/>
              <w:bottom w:val="dotted" w:sz="4" w:space="0" w:color="auto"/>
              <w:right w:val="nil"/>
            </w:tcBorders>
            <w:shd w:val="clear" w:color="auto" w:fill="FFFFFF"/>
            <w:hideMark/>
          </w:tcPr>
          <w:p w14:paraId="4F700A2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8. Public sector employment (persons)</w:t>
            </w:r>
          </w:p>
        </w:tc>
        <w:tc>
          <w:tcPr>
            <w:tcW w:w="791" w:type="dxa"/>
            <w:tcBorders>
              <w:top w:val="nil"/>
              <w:left w:val="single" w:sz="4" w:space="0" w:color="auto"/>
              <w:bottom w:val="dotted" w:sz="4" w:space="0" w:color="auto"/>
              <w:right w:val="single" w:sz="4" w:space="0" w:color="auto"/>
            </w:tcBorders>
            <w:shd w:val="clear" w:color="auto" w:fill="FFFFFF"/>
            <w:hideMark/>
          </w:tcPr>
          <w:p w14:paraId="184384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7139D51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hideMark/>
          </w:tcPr>
          <w:p w14:paraId="52B02C5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175.4</w:t>
            </w:r>
          </w:p>
        </w:tc>
        <w:tc>
          <w:tcPr>
            <w:tcW w:w="924" w:type="dxa"/>
            <w:tcBorders>
              <w:top w:val="nil"/>
              <w:left w:val="nil"/>
              <w:bottom w:val="dotted" w:sz="4" w:space="0" w:color="auto"/>
              <w:right w:val="dotted" w:sz="4" w:space="0" w:color="auto"/>
            </w:tcBorders>
            <w:shd w:val="clear" w:color="auto" w:fill="FFFFFF"/>
            <w:hideMark/>
          </w:tcPr>
          <w:p w14:paraId="4BA1075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175.4</w:t>
            </w:r>
          </w:p>
        </w:tc>
        <w:tc>
          <w:tcPr>
            <w:tcW w:w="898" w:type="dxa"/>
            <w:tcBorders>
              <w:top w:val="nil"/>
              <w:left w:val="nil"/>
              <w:bottom w:val="dotted" w:sz="4" w:space="0" w:color="auto"/>
              <w:right w:val="dotted" w:sz="4" w:space="0" w:color="auto"/>
            </w:tcBorders>
            <w:shd w:val="clear" w:color="auto" w:fill="FFFFFF"/>
            <w:hideMark/>
          </w:tcPr>
          <w:p w14:paraId="7BA3DF0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175.4</w:t>
            </w:r>
          </w:p>
        </w:tc>
        <w:tc>
          <w:tcPr>
            <w:tcW w:w="898" w:type="dxa"/>
            <w:tcBorders>
              <w:top w:val="nil"/>
              <w:left w:val="nil"/>
              <w:bottom w:val="dotted" w:sz="4" w:space="0" w:color="auto"/>
              <w:right w:val="dotted" w:sz="4" w:space="0" w:color="auto"/>
            </w:tcBorders>
            <w:shd w:val="clear" w:color="auto" w:fill="FFFFFF"/>
            <w:hideMark/>
          </w:tcPr>
          <w:p w14:paraId="58B13AB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175.4</w:t>
            </w:r>
          </w:p>
        </w:tc>
        <w:tc>
          <w:tcPr>
            <w:tcW w:w="1114" w:type="dxa"/>
            <w:tcBorders>
              <w:top w:val="nil"/>
              <w:left w:val="nil"/>
              <w:bottom w:val="dotted" w:sz="4" w:space="0" w:color="auto"/>
              <w:right w:val="double" w:sz="6" w:space="0" w:color="auto"/>
            </w:tcBorders>
            <w:shd w:val="clear" w:color="auto" w:fill="FFFFFF"/>
            <w:hideMark/>
          </w:tcPr>
          <w:p w14:paraId="2226202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175.4</w:t>
            </w:r>
          </w:p>
        </w:tc>
      </w:tr>
      <w:tr w:rsidR="00FA29AB" w:rsidRPr="00050FA4" w14:paraId="42DADAC5" w14:textId="77777777" w:rsidTr="00617B60">
        <w:trPr>
          <w:trHeight w:val="133"/>
          <w:jc w:val="center"/>
        </w:trPr>
        <w:tc>
          <w:tcPr>
            <w:tcW w:w="3739" w:type="dxa"/>
            <w:tcBorders>
              <w:top w:val="nil"/>
              <w:left w:val="double" w:sz="6" w:space="0" w:color="auto"/>
              <w:bottom w:val="dotted" w:sz="4" w:space="0" w:color="auto"/>
              <w:right w:val="nil"/>
            </w:tcBorders>
            <w:shd w:val="clear" w:color="auto" w:fill="FFFFFF"/>
            <w:hideMark/>
          </w:tcPr>
          <w:p w14:paraId="6208354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9. Public sector employment (growth in %)</w:t>
            </w:r>
          </w:p>
        </w:tc>
        <w:tc>
          <w:tcPr>
            <w:tcW w:w="791" w:type="dxa"/>
            <w:tcBorders>
              <w:top w:val="nil"/>
              <w:left w:val="single" w:sz="4" w:space="0" w:color="auto"/>
              <w:bottom w:val="dotted" w:sz="4" w:space="0" w:color="auto"/>
              <w:right w:val="single" w:sz="4" w:space="0" w:color="auto"/>
            </w:tcBorders>
            <w:shd w:val="clear" w:color="auto" w:fill="FFFFFF"/>
            <w:hideMark/>
          </w:tcPr>
          <w:p w14:paraId="6FF00D2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673470E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noWrap/>
            <w:vAlign w:val="center"/>
            <w:hideMark/>
          </w:tcPr>
          <w:p w14:paraId="61DBED2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924" w:type="dxa"/>
            <w:tcBorders>
              <w:top w:val="nil"/>
              <w:left w:val="nil"/>
              <w:bottom w:val="dotted" w:sz="4" w:space="0" w:color="auto"/>
              <w:right w:val="dotted" w:sz="4" w:space="0" w:color="auto"/>
            </w:tcBorders>
            <w:shd w:val="clear" w:color="auto" w:fill="FFFFFF"/>
            <w:noWrap/>
            <w:vAlign w:val="center"/>
            <w:hideMark/>
          </w:tcPr>
          <w:p w14:paraId="4D26344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98" w:type="dxa"/>
            <w:tcBorders>
              <w:top w:val="nil"/>
              <w:left w:val="nil"/>
              <w:bottom w:val="dotted" w:sz="4" w:space="0" w:color="auto"/>
              <w:right w:val="dotted" w:sz="4" w:space="0" w:color="auto"/>
            </w:tcBorders>
            <w:shd w:val="clear" w:color="auto" w:fill="FFFFFF"/>
            <w:hideMark/>
          </w:tcPr>
          <w:p w14:paraId="4DB087B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98" w:type="dxa"/>
            <w:tcBorders>
              <w:top w:val="nil"/>
              <w:left w:val="nil"/>
              <w:bottom w:val="dotted" w:sz="4" w:space="0" w:color="auto"/>
              <w:right w:val="dotted" w:sz="4" w:space="0" w:color="auto"/>
            </w:tcBorders>
            <w:shd w:val="clear" w:color="auto" w:fill="FFFFFF"/>
            <w:hideMark/>
          </w:tcPr>
          <w:p w14:paraId="085293D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1114" w:type="dxa"/>
            <w:tcBorders>
              <w:top w:val="nil"/>
              <w:left w:val="nil"/>
              <w:bottom w:val="dotted" w:sz="4" w:space="0" w:color="auto"/>
              <w:right w:val="double" w:sz="6" w:space="0" w:color="auto"/>
            </w:tcBorders>
            <w:shd w:val="clear" w:color="auto" w:fill="FFFFFF"/>
            <w:hideMark/>
          </w:tcPr>
          <w:p w14:paraId="62FDEF8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r>
      <w:tr w:rsidR="00FA29AB" w:rsidRPr="00050FA4" w14:paraId="4410F97A" w14:textId="77777777" w:rsidTr="00617B60">
        <w:trPr>
          <w:trHeight w:val="133"/>
          <w:jc w:val="center"/>
        </w:trPr>
        <w:tc>
          <w:tcPr>
            <w:tcW w:w="3739" w:type="dxa"/>
            <w:tcBorders>
              <w:top w:val="nil"/>
              <w:left w:val="double" w:sz="6" w:space="0" w:color="auto"/>
              <w:bottom w:val="dotted" w:sz="4" w:space="0" w:color="auto"/>
              <w:right w:val="nil"/>
            </w:tcBorders>
            <w:shd w:val="clear" w:color="auto" w:fill="FFFFFF"/>
            <w:hideMark/>
          </w:tcPr>
          <w:p w14:paraId="61079167" w14:textId="77777777" w:rsidR="00094A26" w:rsidRPr="00050FA4" w:rsidRDefault="00467F1F" w:rsidP="00A95D23">
            <w:pPr>
              <w:rPr>
                <w:rFonts w:ascii="Garamond" w:eastAsia="Times New Roman" w:hAnsi="Garamond"/>
                <w:color w:val="0D0D0D" w:themeColor="text1" w:themeTint="F2"/>
                <w:sz w:val="18"/>
                <w:szCs w:val="18"/>
              </w:rPr>
            </w:pPr>
            <w:hyperlink r:id="rId72" w:anchor="RANGE!B24" w:history="1">
              <w:r w:rsidR="00094A26" w:rsidRPr="00050FA4">
                <w:rPr>
                  <w:rStyle w:val="Hyperlink"/>
                  <w:rFonts w:ascii="Garamond" w:hAnsi="Garamond"/>
                  <w:color w:val="0D0D0D" w:themeColor="text1" w:themeTint="F2"/>
                  <w:sz w:val="18"/>
                  <w:szCs w:val="18"/>
                </w:rPr>
                <w:t>10. Unemployment rate [4]</w:t>
              </w:r>
            </w:hyperlink>
          </w:p>
        </w:tc>
        <w:tc>
          <w:tcPr>
            <w:tcW w:w="791" w:type="dxa"/>
            <w:tcBorders>
              <w:top w:val="nil"/>
              <w:left w:val="single" w:sz="4" w:space="0" w:color="auto"/>
              <w:bottom w:val="dotted" w:sz="4" w:space="0" w:color="auto"/>
              <w:right w:val="single" w:sz="4" w:space="0" w:color="auto"/>
            </w:tcBorders>
            <w:shd w:val="clear" w:color="auto" w:fill="FFFFFF"/>
            <w:hideMark/>
          </w:tcPr>
          <w:p w14:paraId="7A62147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1FB77F8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noWrap/>
            <w:vAlign w:val="center"/>
            <w:hideMark/>
          </w:tcPr>
          <w:p w14:paraId="5DA452B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w:t>
            </w:r>
          </w:p>
        </w:tc>
        <w:tc>
          <w:tcPr>
            <w:tcW w:w="924" w:type="dxa"/>
            <w:tcBorders>
              <w:top w:val="nil"/>
              <w:left w:val="nil"/>
              <w:bottom w:val="dotted" w:sz="4" w:space="0" w:color="auto"/>
              <w:right w:val="dotted" w:sz="4" w:space="0" w:color="auto"/>
            </w:tcBorders>
            <w:shd w:val="clear" w:color="auto" w:fill="FFFFFF"/>
            <w:noWrap/>
            <w:vAlign w:val="center"/>
            <w:hideMark/>
          </w:tcPr>
          <w:p w14:paraId="0405BC7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11.4</w:t>
            </w:r>
          </w:p>
        </w:tc>
        <w:tc>
          <w:tcPr>
            <w:tcW w:w="898" w:type="dxa"/>
            <w:tcBorders>
              <w:top w:val="nil"/>
              <w:left w:val="nil"/>
              <w:bottom w:val="dotted" w:sz="4" w:space="0" w:color="auto"/>
              <w:right w:val="dotted" w:sz="4" w:space="0" w:color="auto"/>
            </w:tcBorders>
            <w:shd w:val="clear" w:color="auto" w:fill="FFFFFF"/>
            <w:noWrap/>
            <w:vAlign w:val="center"/>
            <w:hideMark/>
          </w:tcPr>
          <w:p w14:paraId="6B1C5C2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10.3</w:t>
            </w:r>
          </w:p>
        </w:tc>
        <w:tc>
          <w:tcPr>
            <w:tcW w:w="898" w:type="dxa"/>
            <w:tcBorders>
              <w:top w:val="nil"/>
              <w:left w:val="nil"/>
              <w:bottom w:val="dotted" w:sz="4" w:space="0" w:color="auto"/>
              <w:right w:val="dotted" w:sz="4" w:space="0" w:color="auto"/>
            </w:tcBorders>
            <w:shd w:val="clear" w:color="auto" w:fill="FFFFFF"/>
            <w:noWrap/>
            <w:vAlign w:val="center"/>
            <w:hideMark/>
          </w:tcPr>
          <w:p w14:paraId="3A090B9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9.4</w:t>
            </w:r>
          </w:p>
        </w:tc>
        <w:tc>
          <w:tcPr>
            <w:tcW w:w="1114" w:type="dxa"/>
            <w:tcBorders>
              <w:top w:val="nil"/>
              <w:left w:val="nil"/>
              <w:bottom w:val="dotted" w:sz="4" w:space="0" w:color="auto"/>
              <w:right w:val="double" w:sz="6" w:space="0" w:color="auto"/>
            </w:tcBorders>
            <w:shd w:val="clear" w:color="auto" w:fill="FFFFFF"/>
            <w:noWrap/>
            <w:vAlign w:val="center"/>
            <w:hideMark/>
          </w:tcPr>
          <w:p w14:paraId="080F0A7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8.9</w:t>
            </w:r>
          </w:p>
        </w:tc>
      </w:tr>
      <w:tr w:rsidR="00FA29AB" w:rsidRPr="00050FA4" w14:paraId="3F4AE2DC" w14:textId="77777777" w:rsidTr="00617B60">
        <w:trPr>
          <w:trHeight w:val="133"/>
          <w:jc w:val="center"/>
        </w:trPr>
        <w:tc>
          <w:tcPr>
            <w:tcW w:w="3739" w:type="dxa"/>
            <w:tcBorders>
              <w:top w:val="nil"/>
              <w:left w:val="double" w:sz="6" w:space="0" w:color="auto"/>
              <w:bottom w:val="dotted" w:sz="4" w:space="0" w:color="auto"/>
              <w:right w:val="nil"/>
            </w:tcBorders>
            <w:shd w:val="clear" w:color="auto" w:fill="FFFFFF"/>
            <w:hideMark/>
          </w:tcPr>
          <w:p w14:paraId="5A3FA864" w14:textId="77777777" w:rsidR="00094A26" w:rsidRPr="00050FA4" w:rsidRDefault="00467F1F" w:rsidP="00A95D23">
            <w:pPr>
              <w:rPr>
                <w:rFonts w:ascii="Garamond" w:eastAsia="Times New Roman" w:hAnsi="Garamond"/>
                <w:color w:val="0D0D0D" w:themeColor="text1" w:themeTint="F2"/>
                <w:sz w:val="18"/>
                <w:szCs w:val="18"/>
              </w:rPr>
            </w:pPr>
            <w:hyperlink r:id="rId73" w:anchor="RANGE!B25" w:history="1">
              <w:r w:rsidR="00094A26" w:rsidRPr="00050FA4">
                <w:rPr>
                  <w:rStyle w:val="Hyperlink"/>
                  <w:rFonts w:ascii="Garamond" w:hAnsi="Garamond"/>
                  <w:color w:val="0D0D0D" w:themeColor="text1" w:themeTint="F2"/>
                  <w:sz w:val="18"/>
                  <w:szCs w:val="18"/>
                </w:rPr>
                <w:t xml:space="preserve">11. Labour productivity, persons[5] </w:t>
              </w:r>
            </w:hyperlink>
          </w:p>
        </w:tc>
        <w:tc>
          <w:tcPr>
            <w:tcW w:w="791" w:type="dxa"/>
            <w:tcBorders>
              <w:top w:val="nil"/>
              <w:left w:val="single" w:sz="4" w:space="0" w:color="auto"/>
              <w:bottom w:val="dotted" w:sz="4" w:space="0" w:color="auto"/>
              <w:right w:val="single" w:sz="4" w:space="0" w:color="auto"/>
            </w:tcBorders>
            <w:shd w:val="clear" w:color="auto" w:fill="FFFFFF"/>
            <w:hideMark/>
          </w:tcPr>
          <w:p w14:paraId="572BF3D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noWrap/>
            <w:vAlign w:val="center"/>
            <w:hideMark/>
          </w:tcPr>
          <w:p w14:paraId="4C35A3E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1376.2</w:t>
            </w:r>
          </w:p>
        </w:tc>
        <w:tc>
          <w:tcPr>
            <w:tcW w:w="924" w:type="dxa"/>
            <w:tcBorders>
              <w:top w:val="nil"/>
              <w:left w:val="nil"/>
              <w:bottom w:val="dotted" w:sz="4" w:space="0" w:color="auto"/>
              <w:right w:val="dotted" w:sz="4" w:space="0" w:color="auto"/>
            </w:tcBorders>
            <w:shd w:val="clear" w:color="auto" w:fill="FFFFFF"/>
            <w:noWrap/>
            <w:vAlign w:val="center"/>
            <w:hideMark/>
          </w:tcPr>
          <w:p w14:paraId="40DE460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24" w:type="dxa"/>
            <w:tcBorders>
              <w:top w:val="nil"/>
              <w:left w:val="nil"/>
              <w:bottom w:val="dotted" w:sz="4" w:space="0" w:color="auto"/>
              <w:right w:val="dotted" w:sz="4" w:space="0" w:color="auto"/>
            </w:tcBorders>
            <w:shd w:val="clear" w:color="auto" w:fill="FFFFFF"/>
            <w:noWrap/>
            <w:vAlign w:val="center"/>
            <w:hideMark/>
          </w:tcPr>
          <w:p w14:paraId="2A31B50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7.8</w:t>
            </w:r>
          </w:p>
        </w:tc>
        <w:tc>
          <w:tcPr>
            <w:tcW w:w="898" w:type="dxa"/>
            <w:tcBorders>
              <w:top w:val="nil"/>
              <w:left w:val="nil"/>
              <w:bottom w:val="dotted" w:sz="4" w:space="0" w:color="auto"/>
              <w:right w:val="dotted" w:sz="4" w:space="0" w:color="auto"/>
            </w:tcBorders>
            <w:shd w:val="clear" w:color="auto" w:fill="FFFFFF"/>
            <w:noWrap/>
            <w:vAlign w:val="center"/>
            <w:hideMark/>
          </w:tcPr>
          <w:p w14:paraId="4FFB1E7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w:t>
            </w:r>
          </w:p>
        </w:tc>
        <w:tc>
          <w:tcPr>
            <w:tcW w:w="898" w:type="dxa"/>
            <w:tcBorders>
              <w:top w:val="nil"/>
              <w:left w:val="nil"/>
              <w:bottom w:val="dotted" w:sz="4" w:space="0" w:color="auto"/>
              <w:right w:val="dotted" w:sz="4" w:space="0" w:color="auto"/>
            </w:tcBorders>
            <w:shd w:val="clear" w:color="auto" w:fill="FFFFFF"/>
            <w:noWrap/>
            <w:vAlign w:val="center"/>
            <w:hideMark/>
          </w:tcPr>
          <w:p w14:paraId="6FCBBEC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1114" w:type="dxa"/>
            <w:tcBorders>
              <w:top w:val="nil"/>
              <w:left w:val="nil"/>
              <w:bottom w:val="dotted" w:sz="4" w:space="0" w:color="auto"/>
              <w:right w:val="double" w:sz="6" w:space="0" w:color="auto"/>
            </w:tcBorders>
            <w:shd w:val="clear" w:color="auto" w:fill="FFFFFF"/>
            <w:noWrap/>
            <w:vAlign w:val="center"/>
            <w:hideMark/>
          </w:tcPr>
          <w:p w14:paraId="7662971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w:t>
            </w:r>
          </w:p>
        </w:tc>
      </w:tr>
      <w:tr w:rsidR="00FA29AB" w:rsidRPr="00050FA4" w14:paraId="45137C2F" w14:textId="77777777" w:rsidTr="00617B60">
        <w:trPr>
          <w:trHeight w:val="133"/>
          <w:jc w:val="center"/>
        </w:trPr>
        <w:tc>
          <w:tcPr>
            <w:tcW w:w="3739" w:type="dxa"/>
            <w:tcBorders>
              <w:top w:val="nil"/>
              <w:left w:val="double" w:sz="6" w:space="0" w:color="auto"/>
              <w:bottom w:val="dotted" w:sz="4" w:space="0" w:color="auto"/>
              <w:right w:val="nil"/>
            </w:tcBorders>
            <w:shd w:val="clear" w:color="auto" w:fill="FFFFFF"/>
            <w:hideMark/>
          </w:tcPr>
          <w:p w14:paraId="36EDF0DB" w14:textId="77777777" w:rsidR="00094A26" w:rsidRPr="00050FA4" w:rsidRDefault="00467F1F" w:rsidP="00A95D23">
            <w:pPr>
              <w:rPr>
                <w:rFonts w:ascii="Garamond" w:eastAsia="Times New Roman" w:hAnsi="Garamond"/>
                <w:color w:val="0D0D0D" w:themeColor="text1" w:themeTint="F2"/>
                <w:sz w:val="18"/>
                <w:szCs w:val="18"/>
              </w:rPr>
            </w:pPr>
            <w:hyperlink r:id="rId74" w:anchor="RANGE!B26" w:history="1">
              <w:r w:rsidR="00094A26" w:rsidRPr="00050FA4">
                <w:rPr>
                  <w:rStyle w:val="Hyperlink"/>
                  <w:rFonts w:ascii="Garamond" w:hAnsi="Garamond"/>
                  <w:color w:val="0D0D0D" w:themeColor="text1" w:themeTint="F2"/>
                  <w:sz w:val="18"/>
                  <w:szCs w:val="18"/>
                </w:rPr>
                <w:t>12. Labour productivity, hours worked[6]</w:t>
              </w:r>
            </w:hyperlink>
          </w:p>
        </w:tc>
        <w:tc>
          <w:tcPr>
            <w:tcW w:w="791" w:type="dxa"/>
            <w:tcBorders>
              <w:top w:val="nil"/>
              <w:left w:val="single" w:sz="4" w:space="0" w:color="auto"/>
              <w:bottom w:val="dotted" w:sz="4" w:space="0" w:color="auto"/>
              <w:right w:val="single" w:sz="4" w:space="0" w:color="auto"/>
            </w:tcBorders>
            <w:shd w:val="clear" w:color="auto" w:fill="FFFFFF"/>
            <w:hideMark/>
          </w:tcPr>
          <w:p w14:paraId="613DE0B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42" w:type="dxa"/>
            <w:tcBorders>
              <w:top w:val="nil"/>
              <w:left w:val="single" w:sz="4" w:space="0" w:color="auto"/>
              <w:bottom w:val="dotted" w:sz="4" w:space="0" w:color="auto"/>
              <w:right w:val="single" w:sz="4" w:space="0" w:color="auto"/>
            </w:tcBorders>
            <w:shd w:val="clear" w:color="auto" w:fill="FFFFFF"/>
            <w:hideMark/>
          </w:tcPr>
          <w:p w14:paraId="1DE2C08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24" w:type="dxa"/>
            <w:tcBorders>
              <w:top w:val="nil"/>
              <w:left w:val="nil"/>
              <w:bottom w:val="dotted" w:sz="4" w:space="0" w:color="auto"/>
              <w:right w:val="dotted" w:sz="4" w:space="0" w:color="auto"/>
            </w:tcBorders>
            <w:shd w:val="clear" w:color="auto" w:fill="FFFFFF"/>
            <w:hideMark/>
          </w:tcPr>
          <w:p w14:paraId="1F017C3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hideMark/>
          </w:tcPr>
          <w:p w14:paraId="170672F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98" w:type="dxa"/>
            <w:tcBorders>
              <w:top w:val="nil"/>
              <w:left w:val="nil"/>
              <w:bottom w:val="dotted" w:sz="4" w:space="0" w:color="auto"/>
              <w:right w:val="dotted" w:sz="4" w:space="0" w:color="auto"/>
            </w:tcBorders>
            <w:shd w:val="clear" w:color="auto" w:fill="FFFFFF"/>
            <w:hideMark/>
          </w:tcPr>
          <w:p w14:paraId="6D7632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98" w:type="dxa"/>
            <w:tcBorders>
              <w:top w:val="nil"/>
              <w:left w:val="nil"/>
              <w:bottom w:val="dotted" w:sz="4" w:space="0" w:color="auto"/>
              <w:right w:val="dotted" w:sz="4" w:space="0" w:color="auto"/>
            </w:tcBorders>
            <w:shd w:val="clear" w:color="auto" w:fill="FFFFFF"/>
            <w:hideMark/>
          </w:tcPr>
          <w:p w14:paraId="6A6F88C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114" w:type="dxa"/>
            <w:tcBorders>
              <w:top w:val="nil"/>
              <w:left w:val="nil"/>
              <w:bottom w:val="dotted" w:sz="4" w:space="0" w:color="auto"/>
              <w:right w:val="double" w:sz="6" w:space="0" w:color="auto"/>
            </w:tcBorders>
            <w:shd w:val="clear" w:color="auto" w:fill="FFFFFF"/>
            <w:hideMark/>
          </w:tcPr>
          <w:p w14:paraId="53DFA03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5CF3F8C6" w14:textId="77777777" w:rsidTr="00617B60">
        <w:trPr>
          <w:trHeight w:val="141"/>
          <w:jc w:val="center"/>
        </w:trPr>
        <w:tc>
          <w:tcPr>
            <w:tcW w:w="3739" w:type="dxa"/>
            <w:tcBorders>
              <w:top w:val="nil"/>
              <w:left w:val="double" w:sz="6" w:space="0" w:color="auto"/>
              <w:bottom w:val="double" w:sz="6" w:space="0" w:color="auto"/>
              <w:right w:val="nil"/>
            </w:tcBorders>
            <w:shd w:val="clear" w:color="auto" w:fill="FFFFFF"/>
            <w:hideMark/>
          </w:tcPr>
          <w:p w14:paraId="178FF51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13. Compensation of employees</w:t>
            </w:r>
          </w:p>
        </w:tc>
        <w:tc>
          <w:tcPr>
            <w:tcW w:w="791" w:type="dxa"/>
            <w:tcBorders>
              <w:top w:val="nil"/>
              <w:left w:val="single" w:sz="4" w:space="0" w:color="auto"/>
              <w:bottom w:val="double" w:sz="6" w:space="0" w:color="auto"/>
              <w:right w:val="single" w:sz="4" w:space="0" w:color="auto"/>
            </w:tcBorders>
            <w:shd w:val="clear" w:color="auto" w:fill="FFFFFF"/>
            <w:hideMark/>
          </w:tcPr>
          <w:p w14:paraId="08BB0B7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D1</w:t>
            </w:r>
          </w:p>
        </w:tc>
        <w:tc>
          <w:tcPr>
            <w:tcW w:w="842" w:type="dxa"/>
            <w:tcBorders>
              <w:top w:val="nil"/>
              <w:left w:val="single" w:sz="4" w:space="0" w:color="auto"/>
              <w:bottom w:val="double" w:sz="6" w:space="0" w:color="auto"/>
              <w:right w:val="single" w:sz="4" w:space="0" w:color="auto"/>
            </w:tcBorders>
            <w:shd w:val="clear" w:color="auto" w:fill="FFFFFF"/>
            <w:noWrap/>
            <w:vAlign w:val="center"/>
            <w:hideMark/>
          </w:tcPr>
          <w:p w14:paraId="0AB2A07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uble" w:sz="6" w:space="0" w:color="auto"/>
              <w:right w:val="dotted" w:sz="4" w:space="0" w:color="auto"/>
            </w:tcBorders>
            <w:shd w:val="clear" w:color="auto" w:fill="FFFFFF"/>
            <w:noWrap/>
            <w:vAlign w:val="center"/>
            <w:hideMark/>
          </w:tcPr>
          <w:p w14:paraId="01C34B8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uble" w:sz="6" w:space="0" w:color="auto"/>
              <w:right w:val="dotted" w:sz="4" w:space="0" w:color="auto"/>
            </w:tcBorders>
            <w:shd w:val="clear" w:color="auto" w:fill="FFFFFF"/>
            <w:noWrap/>
            <w:vAlign w:val="center"/>
            <w:hideMark/>
          </w:tcPr>
          <w:p w14:paraId="3C3540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98" w:type="dxa"/>
            <w:tcBorders>
              <w:top w:val="nil"/>
              <w:left w:val="nil"/>
              <w:bottom w:val="double" w:sz="6" w:space="0" w:color="auto"/>
              <w:right w:val="dotted" w:sz="4" w:space="0" w:color="auto"/>
            </w:tcBorders>
            <w:shd w:val="clear" w:color="auto" w:fill="FFFFFF"/>
            <w:noWrap/>
            <w:vAlign w:val="center"/>
            <w:hideMark/>
          </w:tcPr>
          <w:p w14:paraId="61F4786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98" w:type="dxa"/>
            <w:tcBorders>
              <w:top w:val="nil"/>
              <w:left w:val="nil"/>
              <w:bottom w:val="double" w:sz="6" w:space="0" w:color="auto"/>
              <w:right w:val="dotted" w:sz="4" w:space="0" w:color="auto"/>
            </w:tcBorders>
            <w:shd w:val="clear" w:color="auto" w:fill="FFFFFF"/>
            <w:noWrap/>
            <w:vAlign w:val="center"/>
            <w:hideMark/>
          </w:tcPr>
          <w:p w14:paraId="7ABBCEB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114" w:type="dxa"/>
            <w:tcBorders>
              <w:top w:val="nil"/>
              <w:left w:val="nil"/>
              <w:bottom w:val="double" w:sz="6" w:space="0" w:color="auto"/>
              <w:right w:val="double" w:sz="6" w:space="0" w:color="auto"/>
            </w:tcBorders>
            <w:shd w:val="clear" w:color="auto" w:fill="FFFFFF"/>
            <w:noWrap/>
            <w:vAlign w:val="center"/>
            <w:hideMark/>
          </w:tcPr>
          <w:p w14:paraId="11F7729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bl>
    <w:p w14:paraId="169BAFAE" w14:textId="77777777" w:rsidR="00094A26" w:rsidRPr="00050FA4" w:rsidRDefault="00094A26" w:rsidP="003F1DA7">
      <w:pPr>
        <w:ind w:firstLine="284"/>
        <w:rPr>
          <w:rFonts w:ascii="Garamond" w:hAnsi="Garamond"/>
          <w:b/>
          <w:color w:val="0D0D0D" w:themeColor="text1" w:themeTint="F2"/>
          <w:sz w:val="20"/>
          <w:szCs w:val="20"/>
        </w:rPr>
      </w:pPr>
    </w:p>
    <w:p w14:paraId="6DAF6154"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91" w:name="_Toc30661244"/>
      <w:bookmarkStart w:id="92" w:name="_Toc536784309"/>
      <w:bookmarkStart w:id="93" w:name="_Toc93325786"/>
      <w:r w:rsidRPr="00050FA4">
        <w:rPr>
          <w:rFonts w:ascii="Garamond" w:hAnsi="Garamond"/>
          <w:color w:val="0D0D0D" w:themeColor="text1" w:themeTint="F2"/>
          <w:sz w:val="20"/>
          <w:szCs w:val="20"/>
        </w:rPr>
        <w:t>Tabela 1d: Bilancet sektoriale</w:t>
      </w:r>
      <w:bookmarkEnd w:id="91"/>
      <w:bookmarkEnd w:id="92"/>
      <w:bookmarkEnd w:id="93"/>
    </w:p>
    <w:tbl>
      <w:tblPr>
        <w:tblW w:w="10131" w:type="dxa"/>
        <w:jc w:val="center"/>
        <w:tblLook w:val="04A0" w:firstRow="1" w:lastRow="0" w:firstColumn="1" w:lastColumn="0" w:noHBand="0" w:noVBand="1"/>
      </w:tblPr>
      <w:tblGrid>
        <w:gridCol w:w="4747"/>
        <w:gridCol w:w="899"/>
        <w:gridCol w:w="897"/>
        <w:gridCol w:w="897"/>
        <w:gridCol w:w="897"/>
        <w:gridCol w:w="897"/>
        <w:gridCol w:w="897"/>
      </w:tblGrid>
      <w:tr w:rsidR="00FA29AB" w:rsidRPr="00050FA4" w14:paraId="4D7788B1" w14:textId="77777777" w:rsidTr="00617B60">
        <w:trPr>
          <w:trHeight w:val="167"/>
          <w:jc w:val="center"/>
        </w:trPr>
        <w:tc>
          <w:tcPr>
            <w:tcW w:w="4749" w:type="dxa"/>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7C35B96A"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Percentages of GDP</w:t>
            </w:r>
          </w:p>
        </w:tc>
        <w:tc>
          <w:tcPr>
            <w:tcW w:w="897" w:type="dxa"/>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341718E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897" w:type="dxa"/>
            <w:tcBorders>
              <w:top w:val="double" w:sz="6" w:space="0" w:color="auto"/>
              <w:left w:val="nil"/>
              <w:bottom w:val="nil"/>
              <w:right w:val="dotted" w:sz="4" w:space="0" w:color="auto"/>
            </w:tcBorders>
            <w:shd w:val="clear" w:color="auto" w:fill="FFFFFF"/>
            <w:vAlign w:val="center"/>
            <w:hideMark/>
          </w:tcPr>
          <w:p w14:paraId="752370CB"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97" w:type="dxa"/>
            <w:tcBorders>
              <w:top w:val="double" w:sz="6" w:space="0" w:color="auto"/>
              <w:left w:val="nil"/>
              <w:bottom w:val="nil"/>
              <w:right w:val="dotted" w:sz="4" w:space="0" w:color="auto"/>
            </w:tcBorders>
            <w:shd w:val="clear" w:color="auto" w:fill="FFFFFF"/>
            <w:vAlign w:val="center"/>
            <w:hideMark/>
          </w:tcPr>
          <w:p w14:paraId="6BAB06E4"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97" w:type="dxa"/>
            <w:tcBorders>
              <w:top w:val="double" w:sz="6" w:space="0" w:color="auto"/>
              <w:left w:val="nil"/>
              <w:bottom w:val="nil"/>
              <w:right w:val="dotted" w:sz="4" w:space="0" w:color="auto"/>
            </w:tcBorders>
            <w:shd w:val="clear" w:color="auto" w:fill="FFFFFF"/>
            <w:vAlign w:val="center"/>
            <w:hideMark/>
          </w:tcPr>
          <w:p w14:paraId="1B344F7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97" w:type="dxa"/>
            <w:tcBorders>
              <w:top w:val="double" w:sz="6" w:space="0" w:color="auto"/>
              <w:left w:val="nil"/>
              <w:bottom w:val="nil"/>
              <w:right w:val="dotted" w:sz="4" w:space="0" w:color="auto"/>
            </w:tcBorders>
            <w:shd w:val="clear" w:color="auto" w:fill="FFFFFF"/>
            <w:vAlign w:val="center"/>
            <w:hideMark/>
          </w:tcPr>
          <w:p w14:paraId="40D86A3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97" w:type="dxa"/>
            <w:tcBorders>
              <w:top w:val="double" w:sz="6" w:space="0" w:color="auto"/>
              <w:left w:val="nil"/>
              <w:bottom w:val="nil"/>
              <w:right w:val="double" w:sz="6" w:space="0" w:color="auto"/>
            </w:tcBorders>
            <w:shd w:val="clear" w:color="auto" w:fill="FFFFFF"/>
            <w:vAlign w:val="center"/>
            <w:hideMark/>
          </w:tcPr>
          <w:p w14:paraId="496F4A0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11BE26B4" w14:textId="77777777" w:rsidTr="00617B60">
        <w:trPr>
          <w:trHeight w:val="167"/>
          <w:jc w:val="center"/>
        </w:trPr>
        <w:tc>
          <w:tcPr>
            <w:tcW w:w="0" w:type="auto"/>
            <w:vMerge/>
            <w:tcBorders>
              <w:top w:val="double" w:sz="6" w:space="0" w:color="auto"/>
              <w:left w:val="double" w:sz="6" w:space="0" w:color="auto"/>
              <w:bottom w:val="single" w:sz="8" w:space="0" w:color="000000"/>
              <w:right w:val="dotted" w:sz="4" w:space="0" w:color="auto"/>
            </w:tcBorders>
            <w:vAlign w:val="center"/>
            <w:hideMark/>
          </w:tcPr>
          <w:p w14:paraId="7DC3D732"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5D23A4C1"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897" w:type="dxa"/>
            <w:tcBorders>
              <w:top w:val="nil"/>
              <w:left w:val="nil"/>
              <w:bottom w:val="single" w:sz="8" w:space="0" w:color="auto"/>
              <w:right w:val="dotted" w:sz="4" w:space="0" w:color="auto"/>
            </w:tcBorders>
            <w:shd w:val="clear" w:color="auto" w:fill="FFFFFF"/>
            <w:vAlign w:val="center"/>
            <w:hideMark/>
          </w:tcPr>
          <w:p w14:paraId="3B74693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897" w:type="dxa"/>
            <w:tcBorders>
              <w:top w:val="nil"/>
              <w:left w:val="nil"/>
              <w:bottom w:val="single" w:sz="8" w:space="0" w:color="auto"/>
              <w:right w:val="dotted" w:sz="4" w:space="0" w:color="auto"/>
            </w:tcBorders>
            <w:shd w:val="clear" w:color="auto" w:fill="FFFFFF"/>
            <w:vAlign w:val="center"/>
            <w:hideMark/>
          </w:tcPr>
          <w:p w14:paraId="7BF61CE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897" w:type="dxa"/>
            <w:tcBorders>
              <w:top w:val="nil"/>
              <w:left w:val="nil"/>
              <w:bottom w:val="single" w:sz="8" w:space="0" w:color="auto"/>
              <w:right w:val="dotted" w:sz="4" w:space="0" w:color="auto"/>
            </w:tcBorders>
            <w:shd w:val="clear" w:color="auto" w:fill="FFFFFF"/>
            <w:vAlign w:val="center"/>
            <w:hideMark/>
          </w:tcPr>
          <w:p w14:paraId="2BC0B32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897" w:type="dxa"/>
            <w:tcBorders>
              <w:top w:val="nil"/>
              <w:left w:val="nil"/>
              <w:bottom w:val="single" w:sz="8" w:space="0" w:color="auto"/>
              <w:right w:val="dotted" w:sz="4" w:space="0" w:color="auto"/>
            </w:tcBorders>
            <w:shd w:val="clear" w:color="auto" w:fill="FFFFFF"/>
            <w:vAlign w:val="center"/>
            <w:hideMark/>
          </w:tcPr>
          <w:p w14:paraId="1AA586C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897" w:type="dxa"/>
            <w:tcBorders>
              <w:top w:val="nil"/>
              <w:left w:val="nil"/>
              <w:bottom w:val="single" w:sz="8" w:space="0" w:color="auto"/>
              <w:right w:val="double" w:sz="6" w:space="0" w:color="auto"/>
            </w:tcBorders>
            <w:shd w:val="clear" w:color="auto" w:fill="FFFFFF"/>
            <w:vAlign w:val="center"/>
            <w:hideMark/>
          </w:tcPr>
          <w:p w14:paraId="5B316A0C"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7F92E454" w14:textId="77777777" w:rsidTr="00617B60">
        <w:trPr>
          <w:trHeight w:val="274"/>
          <w:jc w:val="center"/>
        </w:trPr>
        <w:tc>
          <w:tcPr>
            <w:tcW w:w="4749" w:type="dxa"/>
            <w:tcBorders>
              <w:top w:val="nil"/>
              <w:left w:val="double" w:sz="6" w:space="0" w:color="auto"/>
              <w:bottom w:val="nil"/>
              <w:right w:val="dotted" w:sz="4" w:space="0" w:color="auto"/>
            </w:tcBorders>
            <w:shd w:val="clear" w:color="auto" w:fill="FFFFFF"/>
            <w:vAlign w:val="center"/>
            <w:hideMark/>
          </w:tcPr>
          <w:p w14:paraId="46DF80C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 Net lending/borrowing vis-à-vis the rest of the world</w:t>
            </w:r>
          </w:p>
        </w:tc>
        <w:tc>
          <w:tcPr>
            <w:tcW w:w="897" w:type="dxa"/>
            <w:tcBorders>
              <w:top w:val="nil"/>
              <w:left w:val="nil"/>
              <w:bottom w:val="nil"/>
              <w:right w:val="single" w:sz="8" w:space="0" w:color="auto"/>
            </w:tcBorders>
            <w:shd w:val="clear" w:color="auto" w:fill="FFFFFF"/>
            <w:vAlign w:val="center"/>
            <w:hideMark/>
          </w:tcPr>
          <w:p w14:paraId="075C7E1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B.9</w:t>
            </w:r>
          </w:p>
        </w:tc>
        <w:tc>
          <w:tcPr>
            <w:tcW w:w="897" w:type="dxa"/>
            <w:tcBorders>
              <w:top w:val="nil"/>
              <w:left w:val="nil"/>
              <w:bottom w:val="nil"/>
              <w:right w:val="dotted" w:sz="4" w:space="0" w:color="auto"/>
            </w:tcBorders>
            <w:shd w:val="clear" w:color="auto" w:fill="FFFFFF"/>
            <w:vAlign w:val="center"/>
            <w:hideMark/>
          </w:tcPr>
          <w:p w14:paraId="025E988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-8.8</w:t>
            </w:r>
          </w:p>
        </w:tc>
        <w:tc>
          <w:tcPr>
            <w:tcW w:w="897" w:type="dxa"/>
            <w:tcBorders>
              <w:top w:val="nil"/>
              <w:left w:val="nil"/>
              <w:bottom w:val="single" w:sz="4" w:space="0" w:color="auto"/>
              <w:right w:val="dotted" w:sz="4" w:space="0" w:color="auto"/>
            </w:tcBorders>
            <w:shd w:val="clear" w:color="auto" w:fill="FFFFFF"/>
            <w:vAlign w:val="center"/>
            <w:hideMark/>
          </w:tcPr>
          <w:p w14:paraId="020ED1F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w:t>
            </w:r>
          </w:p>
        </w:tc>
        <w:tc>
          <w:tcPr>
            <w:tcW w:w="897" w:type="dxa"/>
            <w:tcBorders>
              <w:top w:val="nil"/>
              <w:left w:val="nil"/>
              <w:bottom w:val="single" w:sz="4" w:space="0" w:color="auto"/>
              <w:right w:val="dotted" w:sz="4" w:space="0" w:color="auto"/>
            </w:tcBorders>
            <w:shd w:val="clear" w:color="auto" w:fill="FFFFFF"/>
            <w:vAlign w:val="center"/>
            <w:hideMark/>
          </w:tcPr>
          <w:p w14:paraId="0D99661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-7.3</w:t>
            </w:r>
          </w:p>
        </w:tc>
        <w:tc>
          <w:tcPr>
            <w:tcW w:w="897" w:type="dxa"/>
            <w:tcBorders>
              <w:top w:val="nil"/>
              <w:left w:val="nil"/>
              <w:bottom w:val="single" w:sz="4" w:space="0" w:color="auto"/>
              <w:right w:val="dotted" w:sz="4" w:space="0" w:color="auto"/>
            </w:tcBorders>
            <w:shd w:val="clear" w:color="auto" w:fill="FFFFFF"/>
            <w:vAlign w:val="center"/>
            <w:hideMark/>
          </w:tcPr>
          <w:p w14:paraId="50EE79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-6.9</w:t>
            </w:r>
          </w:p>
        </w:tc>
        <w:tc>
          <w:tcPr>
            <w:tcW w:w="897" w:type="dxa"/>
            <w:tcBorders>
              <w:top w:val="nil"/>
              <w:left w:val="nil"/>
              <w:bottom w:val="single" w:sz="4" w:space="0" w:color="auto"/>
              <w:right w:val="double" w:sz="6" w:space="0" w:color="auto"/>
            </w:tcBorders>
            <w:shd w:val="clear" w:color="auto" w:fill="FFFFFF"/>
            <w:vAlign w:val="center"/>
            <w:hideMark/>
          </w:tcPr>
          <w:p w14:paraId="67A9FE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-6.2</w:t>
            </w:r>
          </w:p>
        </w:tc>
      </w:tr>
      <w:tr w:rsidR="00FA29AB" w:rsidRPr="00050FA4" w14:paraId="7CA8D3B1" w14:textId="77777777" w:rsidTr="00617B60">
        <w:trPr>
          <w:trHeight w:val="167"/>
          <w:jc w:val="center"/>
        </w:trPr>
        <w:tc>
          <w:tcPr>
            <w:tcW w:w="4749" w:type="dxa"/>
            <w:tcBorders>
              <w:top w:val="single" w:sz="4" w:space="0" w:color="auto"/>
              <w:left w:val="double" w:sz="6" w:space="0" w:color="auto"/>
              <w:bottom w:val="dotted" w:sz="4" w:space="0" w:color="auto"/>
              <w:right w:val="dotted" w:sz="4" w:space="0" w:color="auto"/>
            </w:tcBorders>
            <w:shd w:val="clear" w:color="auto" w:fill="FFFFFF"/>
            <w:vAlign w:val="center"/>
            <w:hideMark/>
          </w:tcPr>
          <w:p w14:paraId="414E5BF5" w14:textId="77777777" w:rsidR="00094A26" w:rsidRPr="00050FA4" w:rsidRDefault="00094A26" w:rsidP="00A95D23">
            <w:pPr>
              <w:rPr>
                <w:rFonts w:ascii="Garamond" w:eastAsia="Times New Roman" w:hAnsi="Garamond"/>
                <w:i/>
                <w:iCs/>
                <w:color w:val="0D0D0D" w:themeColor="text1" w:themeTint="F2"/>
                <w:sz w:val="18"/>
                <w:szCs w:val="18"/>
              </w:rPr>
            </w:pPr>
            <w:bookmarkStart w:id="94" w:name="RANGE!C7"/>
            <w:r w:rsidRPr="00050FA4">
              <w:rPr>
                <w:rFonts w:ascii="Garamond" w:eastAsia="Times New Roman" w:hAnsi="Garamond"/>
                <w:i/>
                <w:iCs/>
                <w:color w:val="0D0D0D" w:themeColor="text1" w:themeTint="F2"/>
                <w:sz w:val="18"/>
                <w:szCs w:val="18"/>
              </w:rPr>
              <w:t xml:space="preserve">of which: </w:t>
            </w:r>
            <w:bookmarkEnd w:id="94"/>
          </w:p>
        </w:tc>
        <w:tc>
          <w:tcPr>
            <w:tcW w:w="897" w:type="dxa"/>
            <w:tcBorders>
              <w:top w:val="single" w:sz="4" w:space="0" w:color="auto"/>
              <w:left w:val="nil"/>
              <w:bottom w:val="dotted" w:sz="4" w:space="0" w:color="auto"/>
              <w:right w:val="single" w:sz="8" w:space="0" w:color="auto"/>
            </w:tcBorders>
            <w:shd w:val="clear" w:color="auto" w:fill="FFFFFF"/>
            <w:vAlign w:val="center"/>
            <w:hideMark/>
          </w:tcPr>
          <w:p w14:paraId="762AA02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97" w:type="dxa"/>
            <w:tcBorders>
              <w:top w:val="single" w:sz="4" w:space="0" w:color="auto"/>
              <w:left w:val="nil"/>
              <w:bottom w:val="dotted" w:sz="4" w:space="0" w:color="auto"/>
              <w:right w:val="dotted" w:sz="4" w:space="0" w:color="auto"/>
            </w:tcBorders>
            <w:shd w:val="clear" w:color="auto" w:fill="FFFFFF"/>
            <w:vAlign w:val="center"/>
            <w:hideMark/>
          </w:tcPr>
          <w:p w14:paraId="5C4E729F" w14:textId="77777777" w:rsidR="00094A26" w:rsidRPr="00050FA4" w:rsidRDefault="00094A26" w:rsidP="00617B60">
            <w:pPr>
              <w:jc w:val="right"/>
              <w:rPr>
                <w:rFonts w:ascii="Garamond" w:eastAsia="Times New Roman" w:hAnsi="Garamond"/>
                <w:color w:val="0D0D0D" w:themeColor="text1" w:themeTint="F2"/>
                <w:sz w:val="18"/>
                <w:szCs w:val="18"/>
              </w:rPr>
            </w:pPr>
          </w:p>
        </w:tc>
        <w:tc>
          <w:tcPr>
            <w:tcW w:w="897" w:type="dxa"/>
            <w:tcBorders>
              <w:top w:val="nil"/>
              <w:left w:val="nil"/>
              <w:bottom w:val="dotted" w:sz="4" w:space="0" w:color="auto"/>
              <w:right w:val="dotted" w:sz="4" w:space="0" w:color="auto"/>
            </w:tcBorders>
            <w:noWrap/>
            <w:vAlign w:val="center"/>
            <w:hideMark/>
          </w:tcPr>
          <w:p w14:paraId="48902D2E"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897" w:type="dxa"/>
            <w:tcBorders>
              <w:top w:val="nil"/>
              <w:left w:val="nil"/>
              <w:bottom w:val="dotted" w:sz="4" w:space="0" w:color="auto"/>
              <w:right w:val="dotted" w:sz="4" w:space="0" w:color="auto"/>
            </w:tcBorders>
            <w:noWrap/>
            <w:vAlign w:val="center"/>
            <w:hideMark/>
          </w:tcPr>
          <w:p w14:paraId="5E221B5F"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897" w:type="dxa"/>
            <w:tcBorders>
              <w:top w:val="nil"/>
              <w:left w:val="nil"/>
              <w:bottom w:val="dotted" w:sz="4" w:space="0" w:color="auto"/>
              <w:right w:val="dotted" w:sz="4" w:space="0" w:color="auto"/>
            </w:tcBorders>
            <w:noWrap/>
            <w:vAlign w:val="center"/>
            <w:hideMark/>
          </w:tcPr>
          <w:p w14:paraId="5D80E74C"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897" w:type="dxa"/>
            <w:tcBorders>
              <w:top w:val="nil"/>
              <w:left w:val="nil"/>
              <w:bottom w:val="dotted" w:sz="4" w:space="0" w:color="auto"/>
              <w:right w:val="double" w:sz="6" w:space="0" w:color="auto"/>
            </w:tcBorders>
            <w:shd w:val="clear" w:color="auto" w:fill="FFFFFF"/>
            <w:vAlign w:val="center"/>
            <w:hideMark/>
          </w:tcPr>
          <w:p w14:paraId="35363C01"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r>
      <w:tr w:rsidR="00FA29AB" w:rsidRPr="00050FA4" w14:paraId="4D6C9820" w14:textId="77777777" w:rsidTr="00617B60">
        <w:trPr>
          <w:trHeight w:val="274"/>
          <w:jc w:val="center"/>
        </w:trPr>
        <w:tc>
          <w:tcPr>
            <w:tcW w:w="4749" w:type="dxa"/>
            <w:tcBorders>
              <w:top w:val="nil"/>
              <w:left w:val="double" w:sz="6" w:space="0" w:color="auto"/>
              <w:bottom w:val="dotted" w:sz="4" w:space="0" w:color="auto"/>
              <w:right w:val="dotted" w:sz="4" w:space="0" w:color="auto"/>
            </w:tcBorders>
            <w:shd w:val="clear" w:color="auto" w:fill="FFFFFF"/>
            <w:vAlign w:val="center"/>
            <w:hideMark/>
          </w:tcPr>
          <w:p w14:paraId="73CE2BA1" w14:textId="77777777" w:rsidR="00094A26" w:rsidRPr="00050FA4" w:rsidRDefault="00094A26" w:rsidP="00A95D23">
            <w:pPr>
              <w:rPr>
                <w:rFonts w:ascii="Garamond" w:eastAsia="Times New Roman" w:hAnsi="Garamond"/>
                <w:i/>
                <w:iCs/>
                <w:color w:val="0D0D0D" w:themeColor="text1" w:themeTint="F2"/>
                <w:sz w:val="18"/>
                <w:szCs w:val="18"/>
              </w:rPr>
            </w:pPr>
            <w:bookmarkStart w:id="95" w:name="RANGE!C8"/>
            <w:r w:rsidRPr="00050FA4">
              <w:rPr>
                <w:rFonts w:ascii="Garamond" w:eastAsia="Times New Roman" w:hAnsi="Garamond"/>
                <w:i/>
                <w:iCs/>
                <w:color w:val="0D0D0D" w:themeColor="text1" w:themeTint="F2"/>
                <w:sz w:val="18"/>
                <w:szCs w:val="18"/>
              </w:rPr>
              <w:t>- Balance of goods and services</w:t>
            </w:r>
            <w:bookmarkEnd w:id="95"/>
          </w:p>
        </w:tc>
        <w:tc>
          <w:tcPr>
            <w:tcW w:w="897" w:type="dxa"/>
            <w:tcBorders>
              <w:top w:val="nil"/>
              <w:left w:val="nil"/>
              <w:bottom w:val="dotted" w:sz="4" w:space="0" w:color="auto"/>
              <w:right w:val="single" w:sz="8" w:space="0" w:color="auto"/>
            </w:tcBorders>
            <w:shd w:val="clear" w:color="auto" w:fill="FFFFFF"/>
            <w:vAlign w:val="center"/>
            <w:hideMark/>
          </w:tcPr>
          <w:p w14:paraId="476CA2EB"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w:t>
            </w:r>
          </w:p>
        </w:tc>
        <w:tc>
          <w:tcPr>
            <w:tcW w:w="897" w:type="dxa"/>
            <w:tcBorders>
              <w:top w:val="nil"/>
              <w:left w:val="single" w:sz="8" w:space="0" w:color="auto"/>
              <w:bottom w:val="dotted" w:sz="4" w:space="0" w:color="auto"/>
              <w:right w:val="dotted" w:sz="4" w:space="0" w:color="auto"/>
            </w:tcBorders>
            <w:shd w:val="clear" w:color="auto" w:fill="FFFFFF"/>
            <w:vAlign w:val="center"/>
            <w:hideMark/>
          </w:tcPr>
          <w:p w14:paraId="2DB2ECB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-14.8</w:t>
            </w:r>
          </w:p>
        </w:tc>
        <w:tc>
          <w:tcPr>
            <w:tcW w:w="897" w:type="dxa"/>
            <w:tcBorders>
              <w:top w:val="nil"/>
              <w:left w:val="nil"/>
              <w:bottom w:val="dotted" w:sz="4" w:space="0" w:color="auto"/>
              <w:right w:val="dotted" w:sz="4" w:space="0" w:color="auto"/>
            </w:tcBorders>
            <w:shd w:val="clear" w:color="auto" w:fill="FFFFFF"/>
            <w:vAlign w:val="center"/>
            <w:hideMark/>
          </w:tcPr>
          <w:p w14:paraId="442FC5B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-13.7</w:t>
            </w:r>
          </w:p>
        </w:tc>
        <w:tc>
          <w:tcPr>
            <w:tcW w:w="897" w:type="dxa"/>
            <w:tcBorders>
              <w:top w:val="nil"/>
              <w:left w:val="nil"/>
              <w:bottom w:val="dotted" w:sz="4" w:space="0" w:color="auto"/>
              <w:right w:val="dotted" w:sz="4" w:space="0" w:color="auto"/>
            </w:tcBorders>
            <w:shd w:val="clear" w:color="auto" w:fill="FFFFFF"/>
            <w:vAlign w:val="center"/>
            <w:hideMark/>
          </w:tcPr>
          <w:p w14:paraId="77C05E1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-12.5</w:t>
            </w:r>
          </w:p>
        </w:tc>
        <w:tc>
          <w:tcPr>
            <w:tcW w:w="897" w:type="dxa"/>
            <w:tcBorders>
              <w:top w:val="nil"/>
              <w:left w:val="nil"/>
              <w:bottom w:val="dotted" w:sz="4" w:space="0" w:color="auto"/>
              <w:right w:val="dotted" w:sz="4" w:space="0" w:color="auto"/>
            </w:tcBorders>
            <w:shd w:val="clear" w:color="auto" w:fill="FFFFFF"/>
            <w:vAlign w:val="center"/>
            <w:hideMark/>
          </w:tcPr>
          <w:p w14:paraId="29E647B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-11.9</w:t>
            </w:r>
          </w:p>
        </w:tc>
        <w:tc>
          <w:tcPr>
            <w:tcW w:w="897" w:type="dxa"/>
            <w:tcBorders>
              <w:top w:val="nil"/>
              <w:left w:val="nil"/>
              <w:bottom w:val="dotted" w:sz="4" w:space="0" w:color="auto"/>
              <w:right w:val="double" w:sz="6" w:space="0" w:color="auto"/>
            </w:tcBorders>
            <w:shd w:val="clear" w:color="auto" w:fill="FFFFFF"/>
            <w:vAlign w:val="center"/>
            <w:hideMark/>
          </w:tcPr>
          <w:p w14:paraId="0259E3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-11.0</w:t>
            </w:r>
          </w:p>
        </w:tc>
      </w:tr>
      <w:tr w:rsidR="00FA29AB" w:rsidRPr="00050FA4" w14:paraId="2AA79305" w14:textId="77777777" w:rsidTr="00617B60">
        <w:trPr>
          <w:trHeight w:val="274"/>
          <w:jc w:val="center"/>
        </w:trPr>
        <w:tc>
          <w:tcPr>
            <w:tcW w:w="4749" w:type="dxa"/>
            <w:tcBorders>
              <w:top w:val="nil"/>
              <w:left w:val="double" w:sz="6" w:space="0" w:color="auto"/>
              <w:bottom w:val="dotted" w:sz="4" w:space="0" w:color="auto"/>
              <w:right w:val="dotted" w:sz="4" w:space="0" w:color="auto"/>
            </w:tcBorders>
            <w:shd w:val="clear" w:color="auto" w:fill="FFFFFF"/>
            <w:vAlign w:val="center"/>
            <w:hideMark/>
          </w:tcPr>
          <w:p w14:paraId="5A14E39C" w14:textId="77777777" w:rsidR="00094A26" w:rsidRPr="00050FA4" w:rsidRDefault="00094A26" w:rsidP="00A95D23">
            <w:pPr>
              <w:rPr>
                <w:rFonts w:ascii="Garamond" w:eastAsia="Times New Roman" w:hAnsi="Garamond"/>
                <w:i/>
                <w:iCs/>
                <w:color w:val="0D0D0D" w:themeColor="text1" w:themeTint="F2"/>
                <w:sz w:val="18"/>
                <w:szCs w:val="18"/>
              </w:rPr>
            </w:pPr>
            <w:bookmarkStart w:id="96" w:name="RANGE!C9"/>
            <w:r w:rsidRPr="00050FA4">
              <w:rPr>
                <w:rFonts w:ascii="Garamond" w:eastAsia="Times New Roman" w:hAnsi="Garamond"/>
                <w:i/>
                <w:iCs/>
                <w:color w:val="0D0D0D" w:themeColor="text1" w:themeTint="F2"/>
                <w:sz w:val="18"/>
                <w:szCs w:val="18"/>
              </w:rPr>
              <w:t>- Balance of primary incomes and transfers</w:t>
            </w:r>
            <w:bookmarkEnd w:id="96"/>
          </w:p>
        </w:tc>
        <w:tc>
          <w:tcPr>
            <w:tcW w:w="897" w:type="dxa"/>
            <w:tcBorders>
              <w:top w:val="nil"/>
              <w:left w:val="nil"/>
              <w:bottom w:val="dotted" w:sz="4" w:space="0" w:color="auto"/>
              <w:right w:val="single" w:sz="8" w:space="0" w:color="auto"/>
            </w:tcBorders>
            <w:shd w:val="clear" w:color="auto" w:fill="FFFFFF"/>
            <w:vAlign w:val="center"/>
            <w:hideMark/>
          </w:tcPr>
          <w:p w14:paraId="6E6CBC4C"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w:t>
            </w:r>
          </w:p>
        </w:tc>
        <w:tc>
          <w:tcPr>
            <w:tcW w:w="897" w:type="dxa"/>
            <w:tcBorders>
              <w:top w:val="nil"/>
              <w:left w:val="nil"/>
              <w:bottom w:val="dotted" w:sz="4" w:space="0" w:color="auto"/>
              <w:right w:val="dotted" w:sz="4" w:space="0" w:color="auto"/>
            </w:tcBorders>
            <w:shd w:val="clear" w:color="auto" w:fill="FFFFFF"/>
            <w:vAlign w:val="center"/>
            <w:hideMark/>
          </w:tcPr>
          <w:p w14:paraId="5C80ADA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w:t>
            </w:r>
          </w:p>
        </w:tc>
        <w:tc>
          <w:tcPr>
            <w:tcW w:w="897" w:type="dxa"/>
            <w:tcBorders>
              <w:top w:val="nil"/>
              <w:left w:val="nil"/>
              <w:bottom w:val="dotted" w:sz="4" w:space="0" w:color="auto"/>
              <w:right w:val="dotted" w:sz="4" w:space="0" w:color="auto"/>
            </w:tcBorders>
            <w:shd w:val="clear" w:color="auto" w:fill="FFFFFF"/>
            <w:vAlign w:val="center"/>
            <w:hideMark/>
          </w:tcPr>
          <w:p w14:paraId="4F9234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w:t>
            </w:r>
          </w:p>
        </w:tc>
        <w:tc>
          <w:tcPr>
            <w:tcW w:w="897" w:type="dxa"/>
            <w:tcBorders>
              <w:top w:val="nil"/>
              <w:left w:val="nil"/>
              <w:bottom w:val="dotted" w:sz="4" w:space="0" w:color="auto"/>
              <w:right w:val="dotted" w:sz="4" w:space="0" w:color="auto"/>
            </w:tcBorders>
            <w:shd w:val="clear" w:color="auto" w:fill="FFFFFF"/>
            <w:vAlign w:val="center"/>
            <w:hideMark/>
          </w:tcPr>
          <w:p w14:paraId="36E6E81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4.5</w:t>
            </w:r>
          </w:p>
        </w:tc>
        <w:tc>
          <w:tcPr>
            <w:tcW w:w="897" w:type="dxa"/>
            <w:tcBorders>
              <w:top w:val="nil"/>
              <w:left w:val="nil"/>
              <w:bottom w:val="dotted" w:sz="4" w:space="0" w:color="auto"/>
              <w:right w:val="dotted" w:sz="4" w:space="0" w:color="auto"/>
            </w:tcBorders>
            <w:shd w:val="clear" w:color="auto" w:fill="FFFFFF"/>
            <w:vAlign w:val="center"/>
            <w:hideMark/>
          </w:tcPr>
          <w:p w14:paraId="5362E89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w:t>
            </w:r>
          </w:p>
        </w:tc>
        <w:tc>
          <w:tcPr>
            <w:tcW w:w="897" w:type="dxa"/>
            <w:tcBorders>
              <w:top w:val="nil"/>
              <w:left w:val="nil"/>
              <w:bottom w:val="dotted" w:sz="4" w:space="0" w:color="auto"/>
              <w:right w:val="double" w:sz="6" w:space="0" w:color="auto"/>
            </w:tcBorders>
            <w:shd w:val="clear" w:color="auto" w:fill="FFFFFF"/>
            <w:vAlign w:val="center"/>
            <w:hideMark/>
          </w:tcPr>
          <w:p w14:paraId="1480C23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4.1</w:t>
            </w:r>
          </w:p>
        </w:tc>
      </w:tr>
      <w:tr w:rsidR="00FA29AB" w:rsidRPr="00050FA4" w14:paraId="12AD492B" w14:textId="77777777" w:rsidTr="00617B60">
        <w:trPr>
          <w:trHeight w:val="274"/>
          <w:jc w:val="center"/>
        </w:trPr>
        <w:tc>
          <w:tcPr>
            <w:tcW w:w="4749" w:type="dxa"/>
            <w:tcBorders>
              <w:top w:val="nil"/>
              <w:left w:val="double" w:sz="6" w:space="0" w:color="auto"/>
              <w:bottom w:val="nil"/>
              <w:right w:val="dotted" w:sz="4" w:space="0" w:color="auto"/>
            </w:tcBorders>
            <w:shd w:val="clear" w:color="auto" w:fill="FFFFFF"/>
            <w:vAlign w:val="center"/>
            <w:hideMark/>
          </w:tcPr>
          <w:p w14:paraId="79BFF4E3" w14:textId="77777777" w:rsidR="00094A26" w:rsidRPr="00050FA4" w:rsidRDefault="00094A26" w:rsidP="00A95D23">
            <w:pPr>
              <w:rPr>
                <w:rFonts w:ascii="Garamond" w:eastAsia="Times New Roman" w:hAnsi="Garamond"/>
                <w:i/>
                <w:iCs/>
                <w:color w:val="0D0D0D" w:themeColor="text1" w:themeTint="F2"/>
                <w:sz w:val="18"/>
                <w:szCs w:val="18"/>
              </w:rPr>
            </w:pPr>
            <w:bookmarkStart w:id="97" w:name="RANGE!C10"/>
            <w:r w:rsidRPr="00050FA4">
              <w:rPr>
                <w:rFonts w:ascii="Garamond" w:eastAsia="Times New Roman" w:hAnsi="Garamond"/>
                <w:i/>
                <w:iCs/>
                <w:color w:val="0D0D0D" w:themeColor="text1" w:themeTint="F2"/>
                <w:sz w:val="18"/>
                <w:szCs w:val="18"/>
              </w:rPr>
              <w:lastRenderedPageBreak/>
              <w:t>- Capital account</w:t>
            </w:r>
            <w:bookmarkEnd w:id="97"/>
          </w:p>
        </w:tc>
        <w:tc>
          <w:tcPr>
            <w:tcW w:w="897" w:type="dxa"/>
            <w:tcBorders>
              <w:top w:val="nil"/>
              <w:left w:val="nil"/>
              <w:bottom w:val="nil"/>
              <w:right w:val="single" w:sz="8" w:space="0" w:color="auto"/>
            </w:tcBorders>
            <w:shd w:val="clear" w:color="auto" w:fill="FFFFFF"/>
            <w:vAlign w:val="center"/>
            <w:hideMark/>
          </w:tcPr>
          <w:p w14:paraId="5422B302"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w:t>
            </w:r>
          </w:p>
        </w:tc>
        <w:tc>
          <w:tcPr>
            <w:tcW w:w="897" w:type="dxa"/>
            <w:tcBorders>
              <w:top w:val="nil"/>
              <w:left w:val="single" w:sz="8" w:space="0" w:color="auto"/>
              <w:bottom w:val="single" w:sz="4" w:space="0" w:color="auto"/>
              <w:right w:val="dotted" w:sz="4" w:space="0" w:color="auto"/>
            </w:tcBorders>
            <w:shd w:val="clear" w:color="auto" w:fill="FFFFFF"/>
            <w:vAlign w:val="center"/>
            <w:hideMark/>
          </w:tcPr>
          <w:p w14:paraId="523A280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897" w:type="dxa"/>
            <w:tcBorders>
              <w:top w:val="nil"/>
              <w:left w:val="nil"/>
              <w:bottom w:val="single" w:sz="4" w:space="0" w:color="auto"/>
              <w:right w:val="dotted" w:sz="4" w:space="0" w:color="auto"/>
            </w:tcBorders>
            <w:shd w:val="clear" w:color="auto" w:fill="FFFFFF"/>
            <w:vAlign w:val="center"/>
            <w:hideMark/>
          </w:tcPr>
          <w:p w14:paraId="1C1E2EE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c>
          <w:tcPr>
            <w:tcW w:w="897" w:type="dxa"/>
            <w:tcBorders>
              <w:top w:val="nil"/>
              <w:left w:val="nil"/>
              <w:bottom w:val="single" w:sz="4" w:space="0" w:color="auto"/>
              <w:right w:val="dotted" w:sz="4" w:space="0" w:color="auto"/>
            </w:tcBorders>
            <w:shd w:val="clear" w:color="auto" w:fill="FFFFFF"/>
            <w:vAlign w:val="center"/>
            <w:hideMark/>
          </w:tcPr>
          <w:p w14:paraId="4CFAC4D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897" w:type="dxa"/>
            <w:tcBorders>
              <w:top w:val="nil"/>
              <w:left w:val="nil"/>
              <w:bottom w:val="single" w:sz="4" w:space="0" w:color="auto"/>
              <w:right w:val="dotted" w:sz="4" w:space="0" w:color="auto"/>
            </w:tcBorders>
            <w:shd w:val="clear" w:color="auto" w:fill="FFFFFF"/>
            <w:vAlign w:val="center"/>
            <w:hideMark/>
          </w:tcPr>
          <w:p w14:paraId="4B5D386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c>
          <w:tcPr>
            <w:tcW w:w="897" w:type="dxa"/>
            <w:tcBorders>
              <w:top w:val="nil"/>
              <w:left w:val="nil"/>
              <w:bottom w:val="single" w:sz="4" w:space="0" w:color="auto"/>
              <w:right w:val="double" w:sz="6" w:space="0" w:color="auto"/>
            </w:tcBorders>
            <w:shd w:val="clear" w:color="auto" w:fill="FFFFFF"/>
            <w:vAlign w:val="center"/>
            <w:hideMark/>
          </w:tcPr>
          <w:p w14:paraId="524A97C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r>
      <w:tr w:rsidR="00FA29AB" w:rsidRPr="00050FA4" w14:paraId="6A2F7FE4" w14:textId="77777777" w:rsidTr="00617B60">
        <w:trPr>
          <w:trHeight w:val="274"/>
          <w:jc w:val="center"/>
        </w:trPr>
        <w:tc>
          <w:tcPr>
            <w:tcW w:w="4749" w:type="dxa"/>
            <w:tcBorders>
              <w:top w:val="single" w:sz="4" w:space="0" w:color="auto"/>
              <w:left w:val="double" w:sz="6" w:space="0" w:color="auto"/>
              <w:bottom w:val="dotted" w:sz="4" w:space="0" w:color="auto"/>
              <w:right w:val="dotted" w:sz="4" w:space="0" w:color="auto"/>
            </w:tcBorders>
            <w:shd w:val="clear" w:color="auto" w:fill="FFFFFF"/>
            <w:vAlign w:val="center"/>
            <w:hideMark/>
          </w:tcPr>
          <w:p w14:paraId="1CDCBFFA" w14:textId="77777777" w:rsidR="00094A26" w:rsidRPr="00050FA4" w:rsidRDefault="00094A26" w:rsidP="00A95D23">
            <w:pPr>
              <w:rPr>
                <w:rFonts w:ascii="Garamond" w:eastAsia="Times New Roman" w:hAnsi="Garamond"/>
                <w:color w:val="0D0D0D" w:themeColor="text1" w:themeTint="F2"/>
                <w:sz w:val="18"/>
                <w:szCs w:val="18"/>
              </w:rPr>
            </w:pPr>
            <w:bookmarkStart w:id="98" w:name="RANGE!C11"/>
            <w:r w:rsidRPr="00050FA4">
              <w:rPr>
                <w:rFonts w:ascii="Garamond" w:eastAsia="Times New Roman" w:hAnsi="Garamond"/>
                <w:color w:val="0D0D0D" w:themeColor="text1" w:themeTint="F2"/>
                <w:sz w:val="18"/>
                <w:szCs w:val="18"/>
              </w:rPr>
              <w:t xml:space="preserve">2. Net lending/borrowing of the private sector </w:t>
            </w:r>
            <w:bookmarkEnd w:id="98"/>
          </w:p>
        </w:tc>
        <w:tc>
          <w:tcPr>
            <w:tcW w:w="897" w:type="dxa"/>
            <w:tcBorders>
              <w:top w:val="single" w:sz="4" w:space="0" w:color="auto"/>
              <w:left w:val="nil"/>
              <w:bottom w:val="dotted" w:sz="4" w:space="0" w:color="auto"/>
              <w:right w:val="single" w:sz="8" w:space="0" w:color="auto"/>
            </w:tcBorders>
            <w:shd w:val="clear" w:color="auto" w:fill="FFFFFF"/>
            <w:vAlign w:val="center"/>
            <w:hideMark/>
          </w:tcPr>
          <w:p w14:paraId="5BBDACFD" w14:textId="424EFBCD"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B.9</w:t>
            </w:r>
            <w:r w:rsidR="00535FB4" w:rsidRPr="00050FA4">
              <w:rPr>
                <w:rFonts w:ascii="Garamond" w:eastAsia="Times New Roman" w:hAnsi="Garamond"/>
                <w:color w:val="0D0D0D" w:themeColor="text1" w:themeTint="F2"/>
                <w:sz w:val="18"/>
                <w:szCs w:val="18"/>
              </w:rPr>
              <w:t>/</w:t>
            </w:r>
            <w:r w:rsidRPr="00050FA4">
              <w:rPr>
                <w:rFonts w:ascii="Garamond" w:eastAsia="Times New Roman" w:hAnsi="Garamond"/>
                <w:color w:val="0D0D0D" w:themeColor="text1" w:themeTint="F2"/>
                <w:sz w:val="18"/>
                <w:szCs w:val="18"/>
              </w:rPr>
              <w:t>EDP B.9</w:t>
            </w:r>
          </w:p>
        </w:tc>
        <w:tc>
          <w:tcPr>
            <w:tcW w:w="897" w:type="dxa"/>
            <w:tcBorders>
              <w:top w:val="nil"/>
              <w:left w:val="single" w:sz="8" w:space="0" w:color="auto"/>
              <w:bottom w:val="dotted" w:sz="4" w:space="0" w:color="auto"/>
              <w:right w:val="dotted" w:sz="4" w:space="0" w:color="auto"/>
            </w:tcBorders>
            <w:shd w:val="clear" w:color="auto" w:fill="FFFFFF"/>
            <w:vAlign w:val="center"/>
            <w:hideMark/>
          </w:tcPr>
          <w:p w14:paraId="16A2579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w:t>
            </w:r>
          </w:p>
        </w:tc>
        <w:tc>
          <w:tcPr>
            <w:tcW w:w="897" w:type="dxa"/>
            <w:tcBorders>
              <w:top w:val="nil"/>
              <w:left w:val="nil"/>
              <w:bottom w:val="dotted" w:sz="4" w:space="0" w:color="auto"/>
              <w:right w:val="dotted" w:sz="4" w:space="0" w:color="auto"/>
            </w:tcBorders>
            <w:shd w:val="clear" w:color="auto" w:fill="FFFFFF"/>
            <w:vAlign w:val="center"/>
            <w:hideMark/>
          </w:tcPr>
          <w:p w14:paraId="6D06914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97" w:type="dxa"/>
            <w:tcBorders>
              <w:top w:val="nil"/>
              <w:left w:val="nil"/>
              <w:bottom w:val="dotted" w:sz="4" w:space="0" w:color="auto"/>
              <w:right w:val="dotted" w:sz="4" w:space="0" w:color="auto"/>
            </w:tcBorders>
            <w:shd w:val="clear" w:color="auto" w:fill="FFFFFF"/>
            <w:vAlign w:val="center"/>
            <w:hideMark/>
          </w:tcPr>
          <w:p w14:paraId="3000E3D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w:t>
            </w:r>
          </w:p>
        </w:tc>
        <w:tc>
          <w:tcPr>
            <w:tcW w:w="897" w:type="dxa"/>
            <w:tcBorders>
              <w:top w:val="nil"/>
              <w:left w:val="nil"/>
              <w:bottom w:val="dotted" w:sz="4" w:space="0" w:color="auto"/>
              <w:right w:val="dotted" w:sz="4" w:space="0" w:color="auto"/>
            </w:tcBorders>
            <w:shd w:val="clear" w:color="auto" w:fill="FFFFFF"/>
            <w:vAlign w:val="center"/>
            <w:hideMark/>
          </w:tcPr>
          <w:p w14:paraId="2D321AE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897" w:type="dxa"/>
            <w:tcBorders>
              <w:top w:val="nil"/>
              <w:left w:val="nil"/>
              <w:bottom w:val="dotted" w:sz="4" w:space="0" w:color="auto"/>
              <w:right w:val="double" w:sz="6" w:space="0" w:color="auto"/>
            </w:tcBorders>
            <w:shd w:val="clear" w:color="auto" w:fill="FFFFFF"/>
            <w:vAlign w:val="center"/>
            <w:hideMark/>
          </w:tcPr>
          <w:p w14:paraId="763F01A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-4.1</w:t>
            </w:r>
          </w:p>
        </w:tc>
      </w:tr>
      <w:tr w:rsidR="00FA29AB" w:rsidRPr="00050FA4" w14:paraId="5503C163" w14:textId="77777777" w:rsidTr="00617B60">
        <w:trPr>
          <w:trHeight w:val="274"/>
          <w:jc w:val="center"/>
        </w:trPr>
        <w:tc>
          <w:tcPr>
            <w:tcW w:w="4749" w:type="dxa"/>
            <w:tcBorders>
              <w:top w:val="nil"/>
              <w:left w:val="double" w:sz="6" w:space="0" w:color="auto"/>
              <w:bottom w:val="nil"/>
              <w:right w:val="dotted" w:sz="4" w:space="0" w:color="auto"/>
            </w:tcBorders>
            <w:shd w:val="clear" w:color="auto" w:fill="FFFFFF"/>
            <w:vAlign w:val="center"/>
            <w:hideMark/>
          </w:tcPr>
          <w:p w14:paraId="3B4A436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3. Net lending/borrowing of general government </w:t>
            </w:r>
          </w:p>
        </w:tc>
        <w:tc>
          <w:tcPr>
            <w:tcW w:w="897" w:type="dxa"/>
            <w:tcBorders>
              <w:top w:val="nil"/>
              <w:left w:val="nil"/>
              <w:bottom w:val="nil"/>
              <w:right w:val="single" w:sz="8" w:space="0" w:color="auto"/>
            </w:tcBorders>
            <w:shd w:val="clear" w:color="auto" w:fill="FFFFFF"/>
            <w:vAlign w:val="center"/>
            <w:hideMark/>
          </w:tcPr>
          <w:p w14:paraId="2B082C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97" w:type="dxa"/>
            <w:tcBorders>
              <w:top w:val="nil"/>
              <w:left w:val="single" w:sz="8" w:space="0" w:color="auto"/>
              <w:bottom w:val="single" w:sz="4" w:space="0" w:color="auto"/>
              <w:right w:val="dotted" w:sz="4" w:space="0" w:color="auto"/>
            </w:tcBorders>
            <w:shd w:val="clear" w:color="auto" w:fill="FFFFFF"/>
            <w:vAlign w:val="center"/>
            <w:hideMark/>
          </w:tcPr>
          <w:p w14:paraId="73B0FCA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-6.8</w:t>
            </w:r>
          </w:p>
        </w:tc>
        <w:tc>
          <w:tcPr>
            <w:tcW w:w="897" w:type="dxa"/>
            <w:tcBorders>
              <w:top w:val="nil"/>
              <w:left w:val="nil"/>
              <w:bottom w:val="single" w:sz="4" w:space="0" w:color="auto"/>
              <w:right w:val="dotted" w:sz="4" w:space="0" w:color="auto"/>
            </w:tcBorders>
            <w:shd w:val="clear" w:color="auto" w:fill="FFFFFF"/>
            <w:vAlign w:val="center"/>
            <w:hideMark/>
          </w:tcPr>
          <w:p w14:paraId="67DA84F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897" w:type="dxa"/>
            <w:tcBorders>
              <w:top w:val="nil"/>
              <w:left w:val="nil"/>
              <w:bottom w:val="single" w:sz="4" w:space="0" w:color="auto"/>
              <w:right w:val="dotted" w:sz="4" w:space="0" w:color="auto"/>
            </w:tcBorders>
            <w:shd w:val="clear" w:color="auto" w:fill="FFFFFF"/>
            <w:vAlign w:val="center"/>
            <w:hideMark/>
          </w:tcPr>
          <w:p w14:paraId="452BC4F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-5.4</w:t>
            </w:r>
          </w:p>
        </w:tc>
        <w:tc>
          <w:tcPr>
            <w:tcW w:w="897" w:type="dxa"/>
            <w:tcBorders>
              <w:top w:val="nil"/>
              <w:left w:val="nil"/>
              <w:bottom w:val="single" w:sz="4" w:space="0" w:color="auto"/>
              <w:right w:val="dotted" w:sz="4" w:space="0" w:color="auto"/>
            </w:tcBorders>
            <w:shd w:val="clear" w:color="auto" w:fill="FFFFFF"/>
            <w:vAlign w:val="center"/>
            <w:hideMark/>
          </w:tcPr>
          <w:p w14:paraId="3B30B5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97" w:type="dxa"/>
            <w:tcBorders>
              <w:top w:val="nil"/>
              <w:left w:val="nil"/>
              <w:bottom w:val="single" w:sz="4" w:space="0" w:color="auto"/>
              <w:right w:val="double" w:sz="6" w:space="0" w:color="auto"/>
            </w:tcBorders>
            <w:shd w:val="clear" w:color="auto" w:fill="FFFFFF"/>
            <w:vAlign w:val="center"/>
            <w:hideMark/>
          </w:tcPr>
          <w:p w14:paraId="56AD64E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r>
      <w:tr w:rsidR="00FA29AB" w:rsidRPr="00050FA4" w14:paraId="62AABFE9" w14:textId="77777777" w:rsidTr="00617B60">
        <w:trPr>
          <w:trHeight w:val="274"/>
          <w:jc w:val="center"/>
        </w:trPr>
        <w:tc>
          <w:tcPr>
            <w:tcW w:w="4749" w:type="dxa"/>
            <w:tcBorders>
              <w:top w:val="single" w:sz="4" w:space="0" w:color="auto"/>
              <w:left w:val="double" w:sz="6" w:space="0" w:color="auto"/>
              <w:bottom w:val="double" w:sz="6" w:space="0" w:color="auto"/>
              <w:right w:val="dotted" w:sz="4" w:space="0" w:color="auto"/>
            </w:tcBorders>
            <w:shd w:val="clear" w:color="auto" w:fill="FFFFFF"/>
            <w:vAlign w:val="center"/>
            <w:hideMark/>
          </w:tcPr>
          <w:p w14:paraId="0C1ECEE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4. Statistical discrepancy </w:t>
            </w:r>
          </w:p>
        </w:tc>
        <w:tc>
          <w:tcPr>
            <w:tcW w:w="897" w:type="dxa"/>
            <w:tcBorders>
              <w:top w:val="single" w:sz="4" w:space="0" w:color="auto"/>
              <w:left w:val="nil"/>
              <w:bottom w:val="double" w:sz="6" w:space="0" w:color="auto"/>
              <w:right w:val="single" w:sz="8" w:space="0" w:color="auto"/>
            </w:tcBorders>
            <w:shd w:val="clear" w:color="auto" w:fill="FFFFFF"/>
            <w:vAlign w:val="center"/>
            <w:hideMark/>
          </w:tcPr>
          <w:p w14:paraId="14F448E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897" w:type="dxa"/>
            <w:tcBorders>
              <w:top w:val="nil"/>
              <w:left w:val="nil"/>
              <w:bottom w:val="double" w:sz="6" w:space="0" w:color="auto"/>
              <w:right w:val="dotted" w:sz="4" w:space="0" w:color="auto"/>
            </w:tcBorders>
            <w:shd w:val="clear" w:color="auto" w:fill="FFFFFF"/>
            <w:vAlign w:val="center"/>
            <w:hideMark/>
          </w:tcPr>
          <w:p w14:paraId="7A9D058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97" w:type="dxa"/>
            <w:tcBorders>
              <w:top w:val="nil"/>
              <w:left w:val="nil"/>
              <w:bottom w:val="double" w:sz="6" w:space="0" w:color="auto"/>
              <w:right w:val="dotted" w:sz="4" w:space="0" w:color="auto"/>
            </w:tcBorders>
            <w:shd w:val="clear" w:color="auto" w:fill="FFFFFF"/>
            <w:vAlign w:val="center"/>
            <w:hideMark/>
          </w:tcPr>
          <w:p w14:paraId="74EAF14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97" w:type="dxa"/>
            <w:tcBorders>
              <w:top w:val="nil"/>
              <w:left w:val="nil"/>
              <w:bottom w:val="double" w:sz="6" w:space="0" w:color="auto"/>
              <w:right w:val="dotted" w:sz="4" w:space="0" w:color="auto"/>
            </w:tcBorders>
            <w:shd w:val="clear" w:color="auto" w:fill="FFFFFF"/>
            <w:vAlign w:val="center"/>
            <w:hideMark/>
          </w:tcPr>
          <w:p w14:paraId="7437F33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97" w:type="dxa"/>
            <w:tcBorders>
              <w:top w:val="nil"/>
              <w:left w:val="nil"/>
              <w:bottom w:val="double" w:sz="6" w:space="0" w:color="auto"/>
              <w:right w:val="dotted" w:sz="4" w:space="0" w:color="auto"/>
            </w:tcBorders>
            <w:shd w:val="clear" w:color="auto" w:fill="FFFFFF"/>
            <w:vAlign w:val="center"/>
            <w:hideMark/>
          </w:tcPr>
          <w:p w14:paraId="217A292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97" w:type="dxa"/>
            <w:tcBorders>
              <w:top w:val="nil"/>
              <w:left w:val="nil"/>
              <w:bottom w:val="double" w:sz="6" w:space="0" w:color="auto"/>
              <w:right w:val="double" w:sz="6" w:space="0" w:color="auto"/>
            </w:tcBorders>
            <w:shd w:val="clear" w:color="auto" w:fill="FFFFFF"/>
            <w:vAlign w:val="center"/>
            <w:hideMark/>
          </w:tcPr>
          <w:p w14:paraId="668A4CA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r>
    </w:tbl>
    <w:p w14:paraId="1E142A26" w14:textId="77777777" w:rsidR="00094A26" w:rsidRPr="00050FA4" w:rsidRDefault="00094A26" w:rsidP="003F1DA7">
      <w:pPr>
        <w:ind w:firstLine="284"/>
        <w:rPr>
          <w:rFonts w:ascii="Garamond" w:hAnsi="Garamond"/>
          <w:color w:val="0D0D0D" w:themeColor="text1" w:themeTint="F2"/>
          <w:sz w:val="20"/>
          <w:szCs w:val="20"/>
        </w:rPr>
      </w:pPr>
    </w:p>
    <w:p w14:paraId="06A1ABC8"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99" w:name="_Toc536784310"/>
      <w:bookmarkStart w:id="100" w:name="_Toc30661245"/>
      <w:bookmarkStart w:id="101" w:name="_Toc93325787"/>
      <w:r w:rsidRPr="00050FA4">
        <w:rPr>
          <w:rFonts w:ascii="Garamond" w:hAnsi="Garamond"/>
          <w:color w:val="0D0D0D" w:themeColor="text1" w:themeTint="F2"/>
          <w:sz w:val="20"/>
          <w:szCs w:val="20"/>
        </w:rPr>
        <w:t xml:space="preserve">Tabela 1e: </w:t>
      </w:r>
      <w:bookmarkEnd w:id="99"/>
      <w:r w:rsidRPr="00050FA4">
        <w:rPr>
          <w:rFonts w:ascii="Garamond" w:hAnsi="Garamond"/>
          <w:color w:val="0D0D0D" w:themeColor="text1" w:themeTint="F2"/>
          <w:sz w:val="20"/>
          <w:szCs w:val="20"/>
        </w:rPr>
        <w:t>PBB, investime dhe vlera e shtuar bruto</w:t>
      </w:r>
      <w:bookmarkEnd w:id="100"/>
      <w:bookmarkEnd w:id="101"/>
    </w:p>
    <w:tbl>
      <w:tblPr>
        <w:tblW w:w="10136" w:type="dxa"/>
        <w:jc w:val="center"/>
        <w:tblLook w:val="04A0" w:firstRow="1" w:lastRow="0" w:firstColumn="1" w:lastColumn="0" w:noHBand="0" w:noVBand="1"/>
      </w:tblPr>
      <w:tblGrid>
        <w:gridCol w:w="4558"/>
        <w:gridCol w:w="865"/>
        <w:gridCol w:w="969"/>
        <w:gridCol w:w="936"/>
        <w:gridCol w:w="936"/>
        <w:gridCol w:w="936"/>
        <w:gridCol w:w="936"/>
      </w:tblGrid>
      <w:tr w:rsidR="00FA29AB" w:rsidRPr="00050FA4" w14:paraId="6AB78628" w14:textId="77777777" w:rsidTr="00617B60">
        <w:trPr>
          <w:trHeight w:val="213"/>
          <w:jc w:val="center"/>
        </w:trPr>
        <w:tc>
          <w:tcPr>
            <w:tcW w:w="4558" w:type="dxa"/>
            <w:tcBorders>
              <w:top w:val="double" w:sz="6" w:space="0" w:color="auto"/>
              <w:left w:val="double" w:sz="6" w:space="0" w:color="auto"/>
              <w:bottom w:val="nil"/>
              <w:right w:val="dotted" w:sz="4" w:space="0" w:color="auto"/>
            </w:tcBorders>
            <w:shd w:val="clear" w:color="auto" w:fill="FFFFFF"/>
            <w:vAlign w:val="bottom"/>
            <w:hideMark/>
          </w:tcPr>
          <w:p w14:paraId="0347BF13" w14:textId="77777777" w:rsidR="00094A26" w:rsidRPr="00050FA4" w:rsidRDefault="00094A26" w:rsidP="00A95D23">
            <w:pPr>
              <w:rPr>
                <w:rFonts w:ascii="Garamond" w:eastAsia="Times New Roman" w:hAnsi="Garamond"/>
                <w:b/>
                <w:color w:val="0D0D0D" w:themeColor="text1" w:themeTint="F2"/>
                <w:sz w:val="18"/>
                <w:szCs w:val="18"/>
              </w:rPr>
            </w:pPr>
            <w:bookmarkStart w:id="102" w:name="OLE_LINK1"/>
            <w:r w:rsidRPr="00050FA4">
              <w:rPr>
                <w:rFonts w:ascii="Garamond" w:eastAsia="Times New Roman" w:hAnsi="Garamond"/>
                <w:b/>
                <w:color w:val="0D0D0D" w:themeColor="text1" w:themeTint="F2"/>
                <w:sz w:val="18"/>
                <w:szCs w:val="18"/>
              </w:rPr>
              <w:t> </w:t>
            </w:r>
          </w:p>
        </w:tc>
        <w:tc>
          <w:tcPr>
            <w:tcW w:w="865" w:type="dxa"/>
            <w:tcBorders>
              <w:top w:val="double" w:sz="6" w:space="0" w:color="auto"/>
              <w:left w:val="nil"/>
              <w:bottom w:val="nil"/>
              <w:right w:val="double" w:sz="6" w:space="0" w:color="auto"/>
            </w:tcBorders>
            <w:shd w:val="clear" w:color="auto" w:fill="FFFFFF"/>
            <w:vAlign w:val="center"/>
            <w:hideMark/>
          </w:tcPr>
          <w:p w14:paraId="7279DDD8"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969" w:type="dxa"/>
            <w:tcBorders>
              <w:top w:val="double" w:sz="6" w:space="0" w:color="auto"/>
              <w:left w:val="nil"/>
              <w:bottom w:val="nil"/>
              <w:right w:val="dotted" w:sz="4" w:space="0" w:color="auto"/>
            </w:tcBorders>
            <w:shd w:val="clear" w:color="auto" w:fill="FFFFFF"/>
            <w:vAlign w:val="center"/>
            <w:hideMark/>
          </w:tcPr>
          <w:p w14:paraId="48408C2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36" w:type="dxa"/>
            <w:tcBorders>
              <w:top w:val="double" w:sz="6" w:space="0" w:color="auto"/>
              <w:left w:val="nil"/>
              <w:bottom w:val="nil"/>
              <w:right w:val="dotted" w:sz="4" w:space="0" w:color="auto"/>
            </w:tcBorders>
            <w:shd w:val="clear" w:color="auto" w:fill="FFFFFF"/>
            <w:vAlign w:val="center"/>
            <w:hideMark/>
          </w:tcPr>
          <w:p w14:paraId="6F4E69B2"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36" w:type="dxa"/>
            <w:tcBorders>
              <w:top w:val="double" w:sz="6" w:space="0" w:color="auto"/>
              <w:left w:val="nil"/>
              <w:bottom w:val="nil"/>
              <w:right w:val="dotted" w:sz="4" w:space="0" w:color="auto"/>
            </w:tcBorders>
            <w:shd w:val="clear" w:color="auto" w:fill="FFFFFF"/>
            <w:vAlign w:val="center"/>
            <w:hideMark/>
          </w:tcPr>
          <w:p w14:paraId="2E39B93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36" w:type="dxa"/>
            <w:tcBorders>
              <w:top w:val="double" w:sz="6" w:space="0" w:color="auto"/>
              <w:left w:val="nil"/>
              <w:bottom w:val="nil"/>
              <w:right w:val="dotted" w:sz="4" w:space="0" w:color="auto"/>
            </w:tcBorders>
            <w:shd w:val="clear" w:color="auto" w:fill="FFFFFF"/>
            <w:vAlign w:val="center"/>
            <w:hideMark/>
          </w:tcPr>
          <w:p w14:paraId="77834E04"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36" w:type="dxa"/>
            <w:tcBorders>
              <w:top w:val="double" w:sz="6" w:space="0" w:color="auto"/>
              <w:left w:val="nil"/>
              <w:bottom w:val="nil"/>
              <w:right w:val="double" w:sz="6" w:space="0" w:color="auto"/>
            </w:tcBorders>
            <w:shd w:val="clear" w:color="auto" w:fill="FFFFFF"/>
            <w:vAlign w:val="center"/>
            <w:hideMark/>
          </w:tcPr>
          <w:p w14:paraId="0354E3E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7B63235A" w14:textId="77777777" w:rsidTr="00617B60">
        <w:trPr>
          <w:trHeight w:val="202"/>
          <w:jc w:val="center"/>
        </w:trPr>
        <w:tc>
          <w:tcPr>
            <w:tcW w:w="4558" w:type="dxa"/>
            <w:tcBorders>
              <w:top w:val="nil"/>
              <w:left w:val="double" w:sz="6" w:space="0" w:color="auto"/>
              <w:bottom w:val="nil"/>
              <w:right w:val="dotted" w:sz="4" w:space="0" w:color="auto"/>
            </w:tcBorders>
            <w:shd w:val="clear" w:color="auto" w:fill="FFFFFF"/>
            <w:vAlign w:val="bottom"/>
            <w:hideMark/>
          </w:tcPr>
          <w:p w14:paraId="1DA28EB1" w14:textId="77777777" w:rsidR="00094A26" w:rsidRPr="00050FA4" w:rsidRDefault="00094A26" w:rsidP="00A95D23">
            <w:pP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 </w:t>
            </w:r>
          </w:p>
        </w:tc>
        <w:tc>
          <w:tcPr>
            <w:tcW w:w="865" w:type="dxa"/>
            <w:tcBorders>
              <w:top w:val="nil"/>
              <w:left w:val="nil"/>
              <w:bottom w:val="nil"/>
              <w:right w:val="double" w:sz="6" w:space="0" w:color="auto"/>
            </w:tcBorders>
            <w:shd w:val="clear" w:color="auto" w:fill="FFFFFF"/>
            <w:vAlign w:val="center"/>
            <w:hideMark/>
          </w:tcPr>
          <w:p w14:paraId="0048E4D6" w14:textId="219121DE" w:rsidR="00094A26" w:rsidRPr="00050FA4" w:rsidRDefault="00094A26" w:rsidP="00617B60">
            <w:pPr>
              <w:jc w:val="center"/>
              <w:rPr>
                <w:rFonts w:ascii="Garamond" w:eastAsia="Times New Roman" w:hAnsi="Garamond"/>
                <w:b/>
                <w:color w:val="0D0D0D" w:themeColor="text1" w:themeTint="F2"/>
                <w:sz w:val="18"/>
                <w:szCs w:val="18"/>
              </w:rPr>
            </w:pPr>
          </w:p>
        </w:tc>
        <w:tc>
          <w:tcPr>
            <w:tcW w:w="969" w:type="dxa"/>
            <w:tcBorders>
              <w:top w:val="nil"/>
              <w:left w:val="nil"/>
              <w:bottom w:val="single" w:sz="8" w:space="0" w:color="auto"/>
              <w:right w:val="dotted" w:sz="4" w:space="0" w:color="auto"/>
            </w:tcBorders>
            <w:shd w:val="clear" w:color="auto" w:fill="FFFFFF"/>
            <w:vAlign w:val="center"/>
            <w:hideMark/>
          </w:tcPr>
          <w:p w14:paraId="077F92A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36" w:type="dxa"/>
            <w:tcBorders>
              <w:top w:val="nil"/>
              <w:left w:val="nil"/>
              <w:bottom w:val="single" w:sz="8" w:space="0" w:color="auto"/>
              <w:right w:val="dotted" w:sz="4" w:space="0" w:color="auto"/>
            </w:tcBorders>
            <w:shd w:val="clear" w:color="auto" w:fill="FFFFFF"/>
            <w:vAlign w:val="center"/>
            <w:hideMark/>
          </w:tcPr>
          <w:p w14:paraId="4428D66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936" w:type="dxa"/>
            <w:tcBorders>
              <w:top w:val="nil"/>
              <w:left w:val="nil"/>
              <w:bottom w:val="single" w:sz="8" w:space="0" w:color="auto"/>
              <w:right w:val="dotted" w:sz="4" w:space="0" w:color="auto"/>
            </w:tcBorders>
            <w:shd w:val="clear" w:color="auto" w:fill="FFFFFF"/>
            <w:vAlign w:val="center"/>
            <w:hideMark/>
          </w:tcPr>
          <w:p w14:paraId="6DB5D9D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936" w:type="dxa"/>
            <w:tcBorders>
              <w:top w:val="nil"/>
              <w:left w:val="nil"/>
              <w:bottom w:val="single" w:sz="8" w:space="0" w:color="auto"/>
              <w:right w:val="dotted" w:sz="4" w:space="0" w:color="auto"/>
            </w:tcBorders>
            <w:shd w:val="clear" w:color="auto" w:fill="FFFFFF"/>
            <w:vAlign w:val="center"/>
            <w:hideMark/>
          </w:tcPr>
          <w:p w14:paraId="7472F30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936" w:type="dxa"/>
            <w:tcBorders>
              <w:top w:val="nil"/>
              <w:left w:val="nil"/>
              <w:bottom w:val="single" w:sz="8" w:space="0" w:color="auto"/>
              <w:right w:val="double" w:sz="6" w:space="0" w:color="auto"/>
            </w:tcBorders>
            <w:shd w:val="clear" w:color="auto" w:fill="FFFFFF"/>
            <w:vAlign w:val="center"/>
            <w:hideMark/>
          </w:tcPr>
          <w:p w14:paraId="78E16EC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0DBEF484" w14:textId="77777777" w:rsidTr="00617B60">
        <w:trPr>
          <w:trHeight w:val="202"/>
          <w:jc w:val="center"/>
        </w:trPr>
        <w:tc>
          <w:tcPr>
            <w:tcW w:w="10136" w:type="dxa"/>
            <w:gridSpan w:val="7"/>
            <w:tcBorders>
              <w:top w:val="single" w:sz="4" w:space="0" w:color="auto"/>
              <w:left w:val="double" w:sz="6" w:space="0" w:color="auto"/>
              <w:bottom w:val="single" w:sz="4" w:space="0" w:color="auto"/>
              <w:right w:val="double" w:sz="6" w:space="0" w:color="000000"/>
            </w:tcBorders>
            <w:shd w:val="clear" w:color="auto" w:fill="FFFFFF"/>
            <w:vAlign w:val="bottom"/>
            <w:hideMark/>
          </w:tcPr>
          <w:p w14:paraId="25501EEB"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GDP and investment</w:t>
            </w:r>
          </w:p>
        </w:tc>
      </w:tr>
      <w:tr w:rsidR="00FA29AB" w:rsidRPr="00050FA4" w14:paraId="0AD5BF93" w14:textId="77777777" w:rsidTr="00617B60">
        <w:trPr>
          <w:trHeight w:val="237"/>
          <w:jc w:val="center"/>
        </w:trPr>
        <w:tc>
          <w:tcPr>
            <w:tcW w:w="4558" w:type="dxa"/>
            <w:tcBorders>
              <w:top w:val="nil"/>
              <w:left w:val="double" w:sz="6" w:space="0" w:color="auto"/>
              <w:bottom w:val="dotted" w:sz="4" w:space="0" w:color="auto"/>
              <w:right w:val="dotted" w:sz="4" w:space="0" w:color="auto"/>
            </w:tcBorders>
            <w:shd w:val="clear" w:color="auto" w:fill="FFFFFF"/>
            <w:vAlign w:val="bottom"/>
            <w:hideMark/>
          </w:tcPr>
          <w:p w14:paraId="71B728F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GDP </w:t>
            </w:r>
            <w:r w:rsidRPr="00050FA4">
              <w:rPr>
                <w:rFonts w:ascii="Garamond" w:eastAsia="Times New Roman" w:hAnsi="Garamond"/>
                <w:i/>
                <w:iCs/>
                <w:color w:val="0D0D0D" w:themeColor="text1" w:themeTint="F2"/>
                <w:sz w:val="18"/>
                <w:szCs w:val="18"/>
              </w:rPr>
              <w:t>level</w:t>
            </w:r>
            <w:r w:rsidRPr="00050FA4">
              <w:rPr>
                <w:rFonts w:ascii="Garamond" w:eastAsia="Times New Roman" w:hAnsi="Garamond"/>
                <w:color w:val="0D0D0D" w:themeColor="text1" w:themeTint="F2"/>
                <w:sz w:val="18"/>
                <w:szCs w:val="18"/>
              </w:rPr>
              <w:t xml:space="preserve"> at </w:t>
            </w:r>
            <w:r w:rsidRPr="00050FA4">
              <w:rPr>
                <w:rFonts w:ascii="Garamond" w:eastAsia="Times New Roman" w:hAnsi="Garamond"/>
                <w:i/>
                <w:iCs/>
                <w:color w:val="0D0D0D" w:themeColor="text1" w:themeTint="F2"/>
                <w:sz w:val="18"/>
                <w:szCs w:val="18"/>
              </w:rPr>
              <w:t xml:space="preserve">current </w:t>
            </w:r>
            <w:r w:rsidRPr="00050FA4">
              <w:rPr>
                <w:rFonts w:ascii="Garamond" w:eastAsia="Times New Roman" w:hAnsi="Garamond"/>
                <w:color w:val="0D0D0D" w:themeColor="text1" w:themeTint="F2"/>
                <w:sz w:val="18"/>
                <w:szCs w:val="18"/>
              </w:rPr>
              <w:t>market prices (in domestic currency)</w:t>
            </w:r>
          </w:p>
        </w:tc>
        <w:tc>
          <w:tcPr>
            <w:tcW w:w="865" w:type="dxa"/>
            <w:tcBorders>
              <w:top w:val="nil"/>
              <w:left w:val="nil"/>
              <w:bottom w:val="dotted" w:sz="4" w:space="0" w:color="auto"/>
              <w:right w:val="nil"/>
            </w:tcBorders>
            <w:shd w:val="clear" w:color="auto" w:fill="FFFFFF"/>
            <w:vAlign w:val="bottom"/>
            <w:hideMark/>
          </w:tcPr>
          <w:p w14:paraId="1AAAA03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B1g</w:t>
            </w:r>
          </w:p>
        </w:tc>
        <w:tc>
          <w:tcPr>
            <w:tcW w:w="969" w:type="dxa"/>
            <w:tcBorders>
              <w:top w:val="nil"/>
              <w:left w:val="double" w:sz="6" w:space="0" w:color="auto"/>
              <w:bottom w:val="dotted" w:sz="4" w:space="0" w:color="auto"/>
              <w:right w:val="dotted" w:sz="4" w:space="0" w:color="auto"/>
            </w:tcBorders>
            <w:shd w:val="clear" w:color="auto" w:fill="FFFFFF"/>
            <w:vAlign w:val="bottom"/>
            <w:hideMark/>
          </w:tcPr>
          <w:p w14:paraId="1ED0F8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1,617.5</w:t>
            </w:r>
          </w:p>
        </w:tc>
        <w:tc>
          <w:tcPr>
            <w:tcW w:w="936" w:type="dxa"/>
            <w:tcBorders>
              <w:top w:val="nil"/>
              <w:left w:val="nil"/>
              <w:bottom w:val="dotted" w:sz="4" w:space="0" w:color="auto"/>
              <w:right w:val="dotted" w:sz="4" w:space="0" w:color="auto"/>
            </w:tcBorders>
            <w:shd w:val="clear" w:color="auto" w:fill="FFFFFF"/>
            <w:vAlign w:val="bottom"/>
            <w:hideMark/>
          </w:tcPr>
          <w:p w14:paraId="51D7725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1,769.3</w:t>
            </w:r>
          </w:p>
        </w:tc>
        <w:tc>
          <w:tcPr>
            <w:tcW w:w="936" w:type="dxa"/>
            <w:tcBorders>
              <w:top w:val="nil"/>
              <w:left w:val="nil"/>
              <w:bottom w:val="dotted" w:sz="4" w:space="0" w:color="auto"/>
              <w:right w:val="dotted" w:sz="4" w:space="0" w:color="auto"/>
            </w:tcBorders>
            <w:shd w:val="clear" w:color="auto" w:fill="FFFFFF"/>
            <w:vAlign w:val="bottom"/>
            <w:hideMark/>
          </w:tcPr>
          <w:p w14:paraId="514B7B4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1,867.4</w:t>
            </w:r>
          </w:p>
        </w:tc>
        <w:tc>
          <w:tcPr>
            <w:tcW w:w="936" w:type="dxa"/>
            <w:tcBorders>
              <w:top w:val="nil"/>
              <w:left w:val="nil"/>
              <w:bottom w:val="dotted" w:sz="4" w:space="0" w:color="auto"/>
              <w:right w:val="dotted" w:sz="4" w:space="0" w:color="auto"/>
            </w:tcBorders>
            <w:shd w:val="clear" w:color="auto" w:fill="FFFFFF"/>
            <w:vAlign w:val="bottom"/>
            <w:hideMark/>
          </w:tcPr>
          <w:p w14:paraId="57C4572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1,964.8</w:t>
            </w:r>
          </w:p>
        </w:tc>
        <w:tc>
          <w:tcPr>
            <w:tcW w:w="936" w:type="dxa"/>
            <w:tcBorders>
              <w:top w:val="nil"/>
              <w:left w:val="nil"/>
              <w:bottom w:val="dotted" w:sz="4" w:space="0" w:color="auto"/>
              <w:right w:val="double" w:sz="6" w:space="0" w:color="auto"/>
            </w:tcBorders>
            <w:shd w:val="clear" w:color="auto" w:fill="FFFFFF"/>
            <w:vAlign w:val="bottom"/>
            <w:hideMark/>
          </w:tcPr>
          <w:p w14:paraId="2250A4F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2,070.9</w:t>
            </w:r>
          </w:p>
        </w:tc>
      </w:tr>
      <w:tr w:rsidR="00FA29AB" w:rsidRPr="00050FA4" w14:paraId="183FAC4E" w14:textId="77777777" w:rsidTr="00617B60">
        <w:trPr>
          <w:trHeight w:val="237"/>
          <w:jc w:val="center"/>
        </w:trPr>
        <w:tc>
          <w:tcPr>
            <w:tcW w:w="4558" w:type="dxa"/>
            <w:tcBorders>
              <w:top w:val="nil"/>
              <w:left w:val="double" w:sz="6" w:space="0" w:color="auto"/>
              <w:bottom w:val="nil"/>
              <w:right w:val="dotted" w:sz="4" w:space="0" w:color="auto"/>
            </w:tcBorders>
            <w:shd w:val="clear" w:color="auto" w:fill="FFFFFF"/>
            <w:vAlign w:val="bottom"/>
            <w:hideMark/>
          </w:tcPr>
          <w:p w14:paraId="4523191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Investment ratio (% of GDP)</w:t>
            </w:r>
          </w:p>
        </w:tc>
        <w:tc>
          <w:tcPr>
            <w:tcW w:w="865" w:type="dxa"/>
            <w:shd w:val="clear" w:color="auto" w:fill="FFFFFF"/>
            <w:vAlign w:val="bottom"/>
            <w:hideMark/>
          </w:tcPr>
          <w:p w14:paraId="6E861AA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969" w:type="dxa"/>
            <w:tcBorders>
              <w:top w:val="nil"/>
              <w:left w:val="double" w:sz="6" w:space="0" w:color="auto"/>
              <w:bottom w:val="nil"/>
              <w:right w:val="dotted" w:sz="4" w:space="0" w:color="auto"/>
            </w:tcBorders>
            <w:shd w:val="clear" w:color="auto" w:fill="FFFFFF"/>
            <w:vAlign w:val="bottom"/>
            <w:hideMark/>
          </w:tcPr>
          <w:p w14:paraId="29BAA68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23.0</w:t>
            </w:r>
          </w:p>
        </w:tc>
        <w:tc>
          <w:tcPr>
            <w:tcW w:w="936" w:type="dxa"/>
            <w:tcBorders>
              <w:top w:val="nil"/>
              <w:left w:val="nil"/>
              <w:bottom w:val="nil"/>
              <w:right w:val="dotted" w:sz="4" w:space="0" w:color="auto"/>
            </w:tcBorders>
            <w:shd w:val="clear" w:color="auto" w:fill="FFFFFF"/>
            <w:vAlign w:val="bottom"/>
            <w:hideMark/>
          </w:tcPr>
          <w:p w14:paraId="78938C1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25.2</w:t>
            </w:r>
          </w:p>
        </w:tc>
        <w:tc>
          <w:tcPr>
            <w:tcW w:w="936" w:type="dxa"/>
            <w:tcBorders>
              <w:top w:val="nil"/>
              <w:left w:val="nil"/>
              <w:bottom w:val="nil"/>
              <w:right w:val="dotted" w:sz="4" w:space="0" w:color="auto"/>
            </w:tcBorders>
            <w:shd w:val="clear" w:color="auto" w:fill="FFFFFF"/>
            <w:vAlign w:val="bottom"/>
            <w:hideMark/>
          </w:tcPr>
          <w:p w14:paraId="4F7242A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24.6</w:t>
            </w:r>
          </w:p>
        </w:tc>
        <w:tc>
          <w:tcPr>
            <w:tcW w:w="936" w:type="dxa"/>
            <w:tcBorders>
              <w:top w:val="nil"/>
              <w:left w:val="nil"/>
              <w:bottom w:val="nil"/>
              <w:right w:val="dotted" w:sz="4" w:space="0" w:color="auto"/>
            </w:tcBorders>
            <w:shd w:val="clear" w:color="auto" w:fill="FFFFFF"/>
            <w:vAlign w:val="bottom"/>
            <w:hideMark/>
          </w:tcPr>
          <w:p w14:paraId="6D738A2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23.9</w:t>
            </w:r>
          </w:p>
        </w:tc>
        <w:tc>
          <w:tcPr>
            <w:tcW w:w="936" w:type="dxa"/>
            <w:tcBorders>
              <w:top w:val="nil"/>
              <w:left w:val="nil"/>
              <w:bottom w:val="nil"/>
              <w:right w:val="double" w:sz="6" w:space="0" w:color="auto"/>
            </w:tcBorders>
            <w:shd w:val="clear" w:color="auto" w:fill="FFFFFF"/>
            <w:vAlign w:val="bottom"/>
            <w:hideMark/>
          </w:tcPr>
          <w:p w14:paraId="0489098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23.9</w:t>
            </w:r>
          </w:p>
        </w:tc>
      </w:tr>
      <w:tr w:rsidR="00FA29AB" w:rsidRPr="00050FA4" w14:paraId="751AF90C" w14:textId="77777777" w:rsidTr="00617B60">
        <w:trPr>
          <w:trHeight w:val="237"/>
          <w:jc w:val="center"/>
        </w:trPr>
        <w:tc>
          <w:tcPr>
            <w:tcW w:w="10136" w:type="dxa"/>
            <w:gridSpan w:val="7"/>
            <w:tcBorders>
              <w:top w:val="single" w:sz="4" w:space="0" w:color="auto"/>
              <w:left w:val="double" w:sz="6" w:space="0" w:color="auto"/>
              <w:bottom w:val="single" w:sz="4" w:space="0" w:color="auto"/>
              <w:right w:val="double" w:sz="6" w:space="0" w:color="000000"/>
            </w:tcBorders>
            <w:shd w:val="clear" w:color="auto" w:fill="FFFFFF"/>
            <w:vAlign w:val="bottom"/>
            <w:hideMark/>
          </w:tcPr>
          <w:p w14:paraId="5DC1F683"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Growth of Gross Value Added, percentage changes at constant prices</w:t>
            </w:r>
          </w:p>
        </w:tc>
      </w:tr>
      <w:tr w:rsidR="00FA29AB" w:rsidRPr="00050FA4" w14:paraId="4DC32170" w14:textId="77777777" w:rsidTr="00617B60">
        <w:trPr>
          <w:trHeight w:val="237"/>
          <w:jc w:val="center"/>
        </w:trPr>
        <w:tc>
          <w:tcPr>
            <w:tcW w:w="4558" w:type="dxa"/>
            <w:tcBorders>
              <w:top w:val="nil"/>
              <w:left w:val="double" w:sz="6" w:space="0" w:color="auto"/>
              <w:bottom w:val="dotted" w:sz="4" w:space="0" w:color="auto"/>
              <w:right w:val="dotted" w:sz="4" w:space="0" w:color="auto"/>
            </w:tcBorders>
            <w:shd w:val="clear" w:color="auto" w:fill="FFFFFF"/>
            <w:vAlign w:val="bottom"/>
            <w:hideMark/>
          </w:tcPr>
          <w:p w14:paraId="26D12C0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 Agriculture </w:t>
            </w:r>
          </w:p>
        </w:tc>
        <w:tc>
          <w:tcPr>
            <w:tcW w:w="865" w:type="dxa"/>
            <w:tcBorders>
              <w:top w:val="nil"/>
              <w:left w:val="nil"/>
              <w:bottom w:val="dotted" w:sz="4" w:space="0" w:color="auto"/>
              <w:right w:val="nil"/>
            </w:tcBorders>
            <w:shd w:val="clear" w:color="auto" w:fill="FFFFFF"/>
            <w:vAlign w:val="bottom"/>
            <w:hideMark/>
          </w:tcPr>
          <w:p w14:paraId="4194081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969" w:type="dxa"/>
            <w:tcBorders>
              <w:top w:val="nil"/>
              <w:left w:val="double" w:sz="6" w:space="0" w:color="auto"/>
              <w:bottom w:val="dotted" w:sz="4" w:space="0" w:color="auto"/>
              <w:right w:val="dotted" w:sz="4" w:space="0" w:color="auto"/>
            </w:tcBorders>
            <w:shd w:val="clear" w:color="auto" w:fill="FFFFFF"/>
            <w:vAlign w:val="bottom"/>
            <w:hideMark/>
          </w:tcPr>
          <w:p w14:paraId="6707A05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936" w:type="dxa"/>
            <w:tcBorders>
              <w:top w:val="nil"/>
              <w:left w:val="nil"/>
              <w:bottom w:val="dotted" w:sz="4" w:space="0" w:color="auto"/>
              <w:right w:val="dotted" w:sz="4" w:space="0" w:color="auto"/>
            </w:tcBorders>
            <w:shd w:val="clear" w:color="auto" w:fill="FFFFFF"/>
            <w:vAlign w:val="bottom"/>
            <w:hideMark/>
          </w:tcPr>
          <w:p w14:paraId="2A9E193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936" w:type="dxa"/>
            <w:tcBorders>
              <w:top w:val="nil"/>
              <w:left w:val="nil"/>
              <w:bottom w:val="dotted" w:sz="4" w:space="0" w:color="auto"/>
              <w:right w:val="dotted" w:sz="4" w:space="0" w:color="auto"/>
            </w:tcBorders>
            <w:shd w:val="clear" w:color="auto" w:fill="FFFFFF"/>
            <w:vAlign w:val="bottom"/>
            <w:hideMark/>
          </w:tcPr>
          <w:p w14:paraId="0E3A525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w:t>
            </w:r>
          </w:p>
        </w:tc>
        <w:tc>
          <w:tcPr>
            <w:tcW w:w="936" w:type="dxa"/>
            <w:tcBorders>
              <w:top w:val="nil"/>
              <w:left w:val="nil"/>
              <w:bottom w:val="dotted" w:sz="4" w:space="0" w:color="auto"/>
              <w:right w:val="dotted" w:sz="4" w:space="0" w:color="auto"/>
            </w:tcBorders>
            <w:shd w:val="clear" w:color="auto" w:fill="FFFFFF"/>
            <w:vAlign w:val="bottom"/>
            <w:hideMark/>
          </w:tcPr>
          <w:p w14:paraId="6E7665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36" w:type="dxa"/>
            <w:tcBorders>
              <w:top w:val="nil"/>
              <w:left w:val="nil"/>
              <w:bottom w:val="dotted" w:sz="4" w:space="0" w:color="auto"/>
              <w:right w:val="double" w:sz="6" w:space="0" w:color="auto"/>
            </w:tcBorders>
            <w:shd w:val="clear" w:color="auto" w:fill="FFFFFF"/>
            <w:vAlign w:val="bottom"/>
            <w:hideMark/>
          </w:tcPr>
          <w:p w14:paraId="4F1402F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w:t>
            </w:r>
          </w:p>
        </w:tc>
      </w:tr>
      <w:tr w:rsidR="00FA29AB" w:rsidRPr="00050FA4" w14:paraId="5D51C707" w14:textId="77777777" w:rsidTr="00617B60">
        <w:trPr>
          <w:trHeight w:val="237"/>
          <w:jc w:val="center"/>
        </w:trPr>
        <w:tc>
          <w:tcPr>
            <w:tcW w:w="4558" w:type="dxa"/>
            <w:tcBorders>
              <w:top w:val="nil"/>
              <w:left w:val="double" w:sz="6" w:space="0" w:color="auto"/>
              <w:bottom w:val="dotted" w:sz="4" w:space="0" w:color="auto"/>
              <w:right w:val="dotted" w:sz="4" w:space="0" w:color="auto"/>
            </w:tcBorders>
            <w:shd w:val="clear" w:color="auto" w:fill="FFFFFF"/>
            <w:vAlign w:val="bottom"/>
            <w:hideMark/>
          </w:tcPr>
          <w:p w14:paraId="51E69FC0"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Industry (excluding construction)</w:t>
            </w:r>
          </w:p>
        </w:tc>
        <w:tc>
          <w:tcPr>
            <w:tcW w:w="865" w:type="dxa"/>
            <w:tcBorders>
              <w:top w:val="nil"/>
              <w:left w:val="nil"/>
              <w:bottom w:val="dotted" w:sz="4" w:space="0" w:color="auto"/>
              <w:right w:val="nil"/>
            </w:tcBorders>
            <w:shd w:val="clear" w:color="auto" w:fill="FFFFFF"/>
            <w:vAlign w:val="bottom"/>
            <w:hideMark/>
          </w:tcPr>
          <w:p w14:paraId="178B6F5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969" w:type="dxa"/>
            <w:tcBorders>
              <w:top w:val="nil"/>
              <w:left w:val="double" w:sz="6" w:space="0" w:color="auto"/>
              <w:bottom w:val="dotted" w:sz="4" w:space="0" w:color="auto"/>
              <w:right w:val="dotted" w:sz="4" w:space="0" w:color="auto"/>
            </w:tcBorders>
            <w:shd w:val="clear" w:color="auto" w:fill="FFFFFF"/>
            <w:vAlign w:val="bottom"/>
            <w:hideMark/>
          </w:tcPr>
          <w:p w14:paraId="5B3AB68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-7.0</w:t>
            </w:r>
          </w:p>
        </w:tc>
        <w:tc>
          <w:tcPr>
            <w:tcW w:w="936" w:type="dxa"/>
            <w:tcBorders>
              <w:top w:val="nil"/>
              <w:left w:val="nil"/>
              <w:bottom w:val="dotted" w:sz="4" w:space="0" w:color="auto"/>
              <w:right w:val="dotted" w:sz="4" w:space="0" w:color="auto"/>
            </w:tcBorders>
            <w:shd w:val="clear" w:color="auto" w:fill="FFFFFF"/>
            <w:vAlign w:val="bottom"/>
            <w:hideMark/>
          </w:tcPr>
          <w:p w14:paraId="7679C1D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19.6</w:t>
            </w:r>
          </w:p>
        </w:tc>
        <w:tc>
          <w:tcPr>
            <w:tcW w:w="936" w:type="dxa"/>
            <w:tcBorders>
              <w:top w:val="nil"/>
              <w:left w:val="nil"/>
              <w:bottom w:val="dotted" w:sz="4" w:space="0" w:color="auto"/>
              <w:right w:val="dotted" w:sz="4" w:space="0" w:color="auto"/>
            </w:tcBorders>
            <w:shd w:val="clear" w:color="auto" w:fill="FFFFFF"/>
            <w:vAlign w:val="bottom"/>
            <w:hideMark/>
          </w:tcPr>
          <w:p w14:paraId="380E630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4.1</w:t>
            </w:r>
          </w:p>
        </w:tc>
        <w:tc>
          <w:tcPr>
            <w:tcW w:w="936" w:type="dxa"/>
            <w:tcBorders>
              <w:top w:val="nil"/>
              <w:left w:val="nil"/>
              <w:bottom w:val="dotted" w:sz="4" w:space="0" w:color="auto"/>
              <w:right w:val="dotted" w:sz="4" w:space="0" w:color="auto"/>
            </w:tcBorders>
            <w:shd w:val="clear" w:color="auto" w:fill="FFFFFF"/>
            <w:vAlign w:val="bottom"/>
            <w:hideMark/>
          </w:tcPr>
          <w:p w14:paraId="1AF991D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w:t>
            </w:r>
          </w:p>
        </w:tc>
        <w:tc>
          <w:tcPr>
            <w:tcW w:w="936" w:type="dxa"/>
            <w:tcBorders>
              <w:top w:val="nil"/>
              <w:left w:val="nil"/>
              <w:bottom w:val="dotted" w:sz="4" w:space="0" w:color="auto"/>
              <w:right w:val="double" w:sz="6" w:space="0" w:color="auto"/>
            </w:tcBorders>
            <w:shd w:val="clear" w:color="auto" w:fill="FFFFFF"/>
            <w:vAlign w:val="bottom"/>
            <w:hideMark/>
          </w:tcPr>
          <w:p w14:paraId="735D4CA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4.0</w:t>
            </w:r>
          </w:p>
        </w:tc>
      </w:tr>
      <w:tr w:rsidR="00FA29AB" w:rsidRPr="00050FA4" w14:paraId="0B5454C5" w14:textId="77777777" w:rsidTr="00617B60">
        <w:trPr>
          <w:trHeight w:val="237"/>
          <w:jc w:val="center"/>
        </w:trPr>
        <w:tc>
          <w:tcPr>
            <w:tcW w:w="4558" w:type="dxa"/>
            <w:tcBorders>
              <w:top w:val="nil"/>
              <w:left w:val="double" w:sz="6" w:space="0" w:color="auto"/>
              <w:bottom w:val="dotted" w:sz="4" w:space="0" w:color="auto"/>
              <w:right w:val="dotted" w:sz="4" w:space="0" w:color="auto"/>
            </w:tcBorders>
            <w:shd w:val="clear" w:color="auto" w:fill="FFFFFF"/>
            <w:vAlign w:val="bottom"/>
            <w:hideMark/>
          </w:tcPr>
          <w:p w14:paraId="254D523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 Construction</w:t>
            </w:r>
          </w:p>
        </w:tc>
        <w:tc>
          <w:tcPr>
            <w:tcW w:w="865" w:type="dxa"/>
            <w:tcBorders>
              <w:top w:val="nil"/>
              <w:left w:val="nil"/>
              <w:bottom w:val="dotted" w:sz="4" w:space="0" w:color="auto"/>
              <w:right w:val="nil"/>
            </w:tcBorders>
            <w:shd w:val="clear" w:color="auto" w:fill="FFFFFF"/>
            <w:vAlign w:val="bottom"/>
            <w:hideMark/>
          </w:tcPr>
          <w:p w14:paraId="225755A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969" w:type="dxa"/>
            <w:tcBorders>
              <w:top w:val="nil"/>
              <w:left w:val="double" w:sz="6" w:space="0" w:color="auto"/>
              <w:bottom w:val="dotted" w:sz="4" w:space="0" w:color="auto"/>
              <w:right w:val="dotted" w:sz="4" w:space="0" w:color="auto"/>
            </w:tcBorders>
            <w:shd w:val="clear" w:color="auto" w:fill="FFFFFF"/>
            <w:vAlign w:val="bottom"/>
            <w:hideMark/>
          </w:tcPr>
          <w:p w14:paraId="0B7CD8E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c>
          <w:tcPr>
            <w:tcW w:w="936" w:type="dxa"/>
            <w:tcBorders>
              <w:top w:val="nil"/>
              <w:left w:val="nil"/>
              <w:bottom w:val="dotted" w:sz="4" w:space="0" w:color="auto"/>
              <w:right w:val="dotted" w:sz="4" w:space="0" w:color="auto"/>
            </w:tcBorders>
            <w:shd w:val="clear" w:color="auto" w:fill="FFFFFF"/>
            <w:vAlign w:val="bottom"/>
            <w:hideMark/>
          </w:tcPr>
          <w:p w14:paraId="4F9AFB5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16.7</w:t>
            </w:r>
          </w:p>
        </w:tc>
        <w:tc>
          <w:tcPr>
            <w:tcW w:w="936" w:type="dxa"/>
            <w:tcBorders>
              <w:top w:val="nil"/>
              <w:left w:val="nil"/>
              <w:bottom w:val="dotted" w:sz="4" w:space="0" w:color="auto"/>
              <w:right w:val="dotted" w:sz="4" w:space="0" w:color="auto"/>
            </w:tcBorders>
            <w:shd w:val="clear" w:color="auto" w:fill="FFFFFF"/>
            <w:vAlign w:val="bottom"/>
            <w:hideMark/>
          </w:tcPr>
          <w:p w14:paraId="07A8895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36" w:type="dxa"/>
            <w:tcBorders>
              <w:top w:val="nil"/>
              <w:left w:val="nil"/>
              <w:bottom w:val="dotted" w:sz="4" w:space="0" w:color="auto"/>
              <w:right w:val="dotted" w:sz="4" w:space="0" w:color="auto"/>
            </w:tcBorders>
            <w:shd w:val="clear" w:color="auto" w:fill="FFFFFF"/>
            <w:vAlign w:val="bottom"/>
            <w:hideMark/>
          </w:tcPr>
          <w:p w14:paraId="67A91DC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3.3</w:t>
            </w:r>
          </w:p>
        </w:tc>
        <w:tc>
          <w:tcPr>
            <w:tcW w:w="936" w:type="dxa"/>
            <w:tcBorders>
              <w:top w:val="nil"/>
              <w:left w:val="nil"/>
              <w:bottom w:val="dotted" w:sz="4" w:space="0" w:color="auto"/>
              <w:right w:val="double" w:sz="6" w:space="0" w:color="auto"/>
            </w:tcBorders>
            <w:shd w:val="clear" w:color="auto" w:fill="FFFFFF"/>
            <w:vAlign w:val="bottom"/>
            <w:hideMark/>
          </w:tcPr>
          <w:p w14:paraId="5DE73E7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w:t>
            </w:r>
          </w:p>
        </w:tc>
      </w:tr>
      <w:tr w:rsidR="00FA29AB" w:rsidRPr="00050FA4" w14:paraId="7D89094C" w14:textId="77777777" w:rsidTr="00617B60">
        <w:trPr>
          <w:trHeight w:val="63"/>
          <w:jc w:val="center"/>
        </w:trPr>
        <w:tc>
          <w:tcPr>
            <w:tcW w:w="4558" w:type="dxa"/>
            <w:tcBorders>
              <w:top w:val="nil"/>
              <w:left w:val="double" w:sz="6" w:space="0" w:color="auto"/>
              <w:bottom w:val="double" w:sz="6" w:space="0" w:color="auto"/>
              <w:right w:val="dotted" w:sz="4" w:space="0" w:color="auto"/>
            </w:tcBorders>
            <w:shd w:val="clear" w:color="auto" w:fill="FFFFFF"/>
            <w:vAlign w:val="bottom"/>
            <w:hideMark/>
          </w:tcPr>
          <w:p w14:paraId="3D44AE8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Services</w:t>
            </w:r>
          </w:p>
        </w:tc>
        <w:tc>
          <w:tcPr>
            <w:tcW w:w="865" w:type="dxa"/>
            <w:tcBorders>
              <w:top w:val="nil"/>
              <w:left w:val="nil"/>
              <w:bottom w:val="double" w:sz="6" w:space="0" w:color="auto"/>
              <w:right w:val="nil"/>
            </w:tcBorders>
            <w:shd w:val="clear" w:color="auto" w:fill="FFFFFF"/>
            <w:vAlign w:val="bottom"/>
            <w:hideMark/>
          </w:tcPr>
          <w:p w14:paraId="0EE779C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969" w:type="dxa"/>
            <w:tcBorders>
              <w:top w:val="nil"/>
              <w:left w:val="double" w:sz="6" w:space="0" w:color="auto"/>
              <w:bottom w:val="double" w:sz="6" w:space="0" w:color="auto"/>
              <w:right w:val="dotted" w:sz="4" w:space="0" w:color="auto"/>
            </w:tcBorders>
            <w:shd w:val="clear" w:color="auto" w:fill="FFFFFF"/>
            <w:vAlign w:val="bottom"/>
            <w:hideMark/>
          </w:tcPr>
          <w:p w14:paraId="6136DAB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w:t>
            </w:r>
          </w:p>
        </w:tc>
        <w:tc>
          <w:tcPr>
            <w:tcW w:w="936" w:type="dxa"/>
            <w:tcBorders>
              <w:top w:val="nil"/>
              <w:left w:val="nil"/>
              <w:bottom w:val="double" w:sz="6" w:space="0" w:color="auto"/>
              <w:right w:val="dotted" w:sz="4" w:space="0" w:color="auto"/>
            </w:tcBorders>
            <w:shd w:val="clear" w:color="auto" w:fill="FFFFFF"/>
            <w:vAlign w:val="bottom"/>
            <w:hideMark/>
          </w:tcPr>
          <w:p w14:paraId="1071BD7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8.2</w:t>
            </w:r>
          </w:p>
        </w:tc>
        <w:tc>
          <w:tcPr>
            <w:tcW w:w="936" w:type="dxa"/>
            <w:tcBorders>
              <w:top w:val="nil"/>
              <w:left w:val="nil"/>
              <w:bottom w:val="double" w:sz="6" w:space="0" w:color="auto"/>
              <w:right w:val="dotted" w:sz="4" w:space="0" w:color="auto"/>
            </w:tcBorders>
            <w:shd w:val="clear" w:color="auto" w:fill="FFFFFF"/>
            <w:vAlign w:val="bottom"/>
            <w:hideMark/>
          </w:tcPr>
          <w:p w14:paraId="767EDC1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w:t>
            </w:r>
          </w:p>
        </w:tc>
        <w:tc>
          <w:tcPr>
            <w:tcW w:w="936" w:type="dxa"/>
            <w:tcBorders>
              <w:top w:val="nil"/>
              <w:left w:val="nil"/>
              <w:bottom w:val="double" w:sz="6" w:space="0" w:color="auto"/>
              <w:right w:val="dotted" w:sz="4" w:space="0" w:color="auto"/>
            </w:tcBorders>
            <w:shd w:val="clear" w:color="auto" w:fill="FFFFFF"/>
            <w:vAlign w:val="bottom"/>
            <w:hideMark/>
          </w:tcPr>
          <w:p w14:paraId="7BCE585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w:t>
            </w:r>
          </w:p>
        </w:tc>
        <w:tc>
          <w:tcPr>
            <w:tcW w:w="936" w:type="dxa"/>
            <w:tcBorders>
              <w:top w:val="nil"/>
              <w:left w:val="nil"/>
              <w:bottom w:val="double" w:sz="6" w:space="0" w:color="auto"/>
              <w:right w:val="double" w:sz="6" w:space="0" w:color="auto"/>
            </w:tcBorders>
            <w:shd w:val="clear" w:color="auto" w:fill="FFFFFF"/>
            <w:vAlign w:val="bottom"/>
            <w:hideMark/>
          </w:tcPr>
          <w:p w14:paraId="361FD05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4.5</w:t>
            </w:r>
          </w:p>
        </w:tc>
      </w:tr>
    </w:tbl>
    <w:p w14:paraId="055BA0DD" w14:textId="77777777" w:rsidR="00094A26" w:rsidRPr="00050FA4" w:rsidRDefault="00094A26" w:rsidP="003F1DA7">
      <w:pPr>
        <w:ind w:firstLine="284"/>
        <w:rPr>
          <w:rFonts w:ascii="Garamond" w:hAnsi="Garamond"/>
          <w:b/>
          <w:color w:val="0D0D0D" w:themeColor="text1" w:themeTint="F2"/>
          <w:sz w:val="20"/>
          <w:szCs w:val="20"/>
        </w:rPr>
      </w:pPr>
    </w:p>
    <w:p w14:paraId="2736E21A"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103" w:name="_Toc536784311"/>
      <w:bookmarkStart w:id="104" w:name="_Toc30661246"/>
      <w:bookmarkStart w:id="105" w:name="_Toc93325788"/>
      <w:r w:rsidRPr="00050FA4">
        <w:rPr>
          <w:rFonts w:ascii="Garamond" w:eastAsia="Calibri" w:hAnsi="Garamond"/>
          <w:color w:val="0D0D0D" w:themeColor="text1" w:themeTint="F2"/>
          <w:sz w:val="20"/>
          <w:szCs w:val="20"/>
        </w:rPr>
        <w:t>T</w:t>
      </w:r>
      <w:r w:rsidRPr="00050FA4">
        <w:rPr>
          <w:rFonts w:ascii="Garamond" w:hAnsi="Garamond"/>
          <w:color w:val="0D0D0D" w:themeColor="text1" w:themeTint="F2"/>
          <w:sz w:val="20"/>
          <w:szCs w:val="20"/>
        </w:rPr>
        <w:t xml:space="preserve">abela 1f: </w:t>
      </w:r>
      <w:bookmarkEnd w:id="103"/>
      <w:r w:rsidRPr="00050FA4">
        <w:rPr>
          <w:rFonts w:ascii="Garamond" w:hAnsi="Garamond"/>
          <w:color w:val="0D0D0D" w:themeColor="text1" w:themeTint="F2"/>
          <w:sz w:val="20"/>
          <w:szCs w:val="20"/>
        </w:rPr>
        <w:t>Zhvillime të sektorit të jashtëm</w:t>
      </w:r>
      <w:bookmarkEnd w:id="104"/>
      <w:bookmarkEnd w:id="105"/>
    </w:p>
    <w:tbl>
      <w:tblPr>
        <w:tblW w:w="10132" w:type="dxa"/>
        <w:jc w:val="center"/>
        <w:tblLook w:val="04A0" w:firstRow="1" w:lastRow="0" w:firstColumn="1" w:lastColumn="0" w:noHBand="0" w:noVBand="1"/>
      </w:tblPr>
      <w:tblGrid>
        <w:gridCol w:w="4326"/>
        <w:gridCol w:w="1264"/>
        <w:gridCol w:w="1026"/>
        <w:gridCol w:w="879"/>
        <w:gridCol w:w="879"/>
        <w:gridCol w:w="879"/>
        <w:gridCol w:w="879"/>
      </w:tblGrid>
      <w:tr w:rsidR="00FA29AB" w:rsidRPr="00050FA4" w14:paraId="3988BC51" w14:textId="77777777" w:rsidTr="00617B60">
        <w:trPr>
          <w:trHeight w:val="238"/>
          <w:jc w:val="center"/>
        </w:trPr>
        <w:tc>
          <w:tcPr>
            <w:tcW w:w="4326" w:type="dxa"/>
            <w:tcBorders>
              <w:top w:val="double" w:sz="6" w:space="0" w:color="auto"/>
              <w:left w:val="double" w:sz="6" w:space="0" w:color="auto"/>
              <w:bottom w:val="nil"/>
              <w:right w:val="single" w:sz="8" w:space="0" w:color="auto"/>
            </w:tcBorders>
            <w:shd w:val="clear" w:color="auto" w:fill="FFFFFF"/>
            <w:vAlign w:val="center"/>
            <w:hideMark/>
          </w:tcPr>
          <w:bookmarkEnd w:id="102"/>
          <w:p w14:paraId="7F8CD28A" w14:textId="0CE77B91"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 xml:space="preserve">Billion </w:t>
            </w:r>
            <w:r w:rsidR="00617B60" w:rsidRPr="00050FA4">
              <w:rPr>
                <w:rFonts w:ascii="Garamond" w:eastAsia="Times New Roman" w:hAnsi="Garamond"/>
                <w:b/>
                <w:color w:val="0D0D0D" w:themeColor="text1" w:themeTint="F2"/>
                <w:sz w:val="18"/>
                <w:szCs w:val="18"/>
              </w:rPr>
              <w:t xml:space="preserve">euro </w:t>
            </w:r>
            <w:r w:rsidRPr="00050FA4">
              <w:rPr>
                <w:rFonts w:ascii="Garamond" w:eastAsia="Times New Roman" w:hAnsi="Garamond"/>
                <w:b/>
                <w:color w:val="0D0D0D" w:themeColor="text1" w:themeTint="F2"/>
                <w:sz w:val="18"/>
                <w:szCs w:val="18"/>
              </w:rPr>
              <w:t>unless otherwise indicated</w:t>
            </w:r>
          </w:p>
        </w:tc>
        <w:tc>
          <w:tcPr>
            <w:tcW w:w="1264" w:type="dxa"/>
            <w:tcBorders>
              <w:top w:val="double" w:sz="6" w:space="0" w:color="auto"/>
              <w:left w:val="nil"/>
              <w:bottom w:val="nil"/>
              <w:right w:val="single" w:sz="8" w:space="0" w:color="auto"/>
            </w:tcBorders>
            <w:shd w:val="clear" w:color="auto" w:fill="FFFFFF"/>
            <w:vAlign w:val="center"/>
            <w:hideMark/>
          </w:tcPr>
          <w:p w14:paraId="5875E2D4" w14:textId="277C1B94" w:rsidR="00094A26" w:rsidRPr="00050FA4" w:rsidRDefault="00094A26" w:rsidP="00617B60">
            <w:pPr>
              <w:jc w:val="center"/>
              <w:rPr>
                <w:rFonts w:ascii="Garamond" w:eastAsia="Times New Roman" w:hAnsi="Garamond"/>
                <w:b/>
                <w:color w:val="0D0D0D" w:themeColor="text1" w:themeTint="F2"/>
                <w:sz w:val="18"/>
                <w:szCs w:val="18"/>
              </w:rPr>
            </w:pPr>
          </w:p>
        </w:tc>
        <w:tc>
          <w:tcPr>
            <w:tcW w:w="1026" w:type="dxa"/>
            <w:tcBorders>
              <w:top w:val="double" w:sz="6" w:space="0" w:color="auto"/>
              <w:left w:val="nil"/>
              <w:bottom w:val="nil"/>
              <w:right w:val="dotted" w:sz="4" w:space="0" w:color="auto"/>
            </w:tcBorders>
            <w:shd w:val="clear" w:color="auto" w:fill="FFFFFF"/>
            <w:vAlign w:val="center"/>
            <w:hideMark/>
          </w:tcPr>
          <w:p w14:paraId="3D8BD208"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79" w:type="dxa"/>
            <w:tcBorders>
              <w:top w:val="double" w:sz="6" w:space="0" w:color="auto"/>
              <w:left w:val="nil"/>
              <w:bottom w:val="nil"/>
              <w:right w:val="dotted" w:sz="4" w:space="0" w:color="auto"/>
            </w:tcBorders>
            <w:shd w:val="clear" w:color="auto" w:fill="FFFFFF"/>
            <w:vAlign w:val="center"/>
            <w:hideMark/>
          </w:tcPr>
          <w:p w14:paraId="38054FC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79" w:type="dxa"/>
            <w:tcBorders>
              <w:top w:val="double" w:sz="6" w:space="0" w:color="auto"/>
              <w:left w:val="nil"/>
              <w:bottom w:val="nil"/>
              <w:right w:val="dotted" w:sz="4" w:space="0" w:color="auto"/>
            </w:tcBorders>
            <w:shd w:val="clear" w:color="auto" w:fill="FFFFFF"/>
            <w:vAlign w:val="center"/>
            <w:hideMark/>
          </w:tcPr>
          <w:p w14:paraId="3ED25B1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79" w:type="dxa"/>
            <w:tcBorders>
              <w:top w:val="double" w:sz="6" w:space="0" w:color="auto"/>
              <w:left w:val="nil"/>
              <w:bottom w:val="nil"/>
              <w:right w:val="dotted" w:sz="4" w:space="0" w:color="auto"/>
            </w:tcBorders>
            <w:shd w:val="clear" w:color="auto" w:fill="FFFFFF"/>
            <w:vAlign w:val="center"/>
            <w:hideMark/>
          </w:tcPr>
          <w:p w14:paraId="26FD3402"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79" w:type="dxa"/>
            <w:tcBorders>
              <w:top w:val="double" w:sz="6" w:space="0" w:color="auto"/>
              <w:left w:val="nil"/>
              <w:bottom w:val="nil"/>
              <w:right w:val="double" w:sz="6" w:space="0" w:color="auto"/>
            </w:tcBorders>
            <w:shd w:val="clear" w:color="auto" w:fill="FFFFFF"/>
            <w:vAlign w:val="center"/>
            <w:hideMark/>
          </w:tcPr>
          <w:p w14:paraId="5AC1027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25E75222" w14:textId="77777777" w:rsidTr="00617B60">
        <w:trPr>
          <w:trHeight w:val="195"/>
          <w:jc w:val="center"/>
        </w:trPr>
        <w:tc>
          <w:tcPr>
            <w:tcW w:w="4326" w:type="dxa"/>
            <w:tcBorders>
              <w:top w:val="nil"/>
              <w:left w:val="double" w:sz="6" w:space="0" w:color="auto"/>
              <w:bottom w:val="double" w:sz="6" w:space="0" w:color="auto"/>
              <w:right w:val="single" w:sz="8" w:space="0" w:color="auto"/>
            </w:tcBorders>
            <w:shd w:val="clear" w:color="auto" w:fill="FFFFFF"/>
            <w:vAlign w:val="center"/>
            <w:hideMark/>
          </w:tcPr>
          <w:p w14:paraId="4DAD3988" w14:textId="5F3AD58E" w:rsidR="00094A26" w:rsidRPr="00050FA4" w:rsidRDefault="00094A26" w:rsidP="00617B60">
            <w:pPr>
              <w:jc w:val="center"/>
              <w:rPr>
                <w:rFonts w:ascii="Garamond" w:eastAsia="Times New Roman" w:hAnsi="Garamond"/>
                <w:b/>
                <w:color w:val="0D0D0D" w:themeColor="text1" w:themeTint="F2"/>
                <w:sz w:val="18"/>
                <w:szCs w:val="18"/>
              </w:rPr>
            </w:pPr>
          </w:p>
        </w:tc>
        <w:tc>
          <w:tcPr>
            <w:tcW w:w="1264" w:type="dxa"/>
            <w:tcBorders>
              <w:top w:val="nil"/>
              <w:left w:val="nil"/>
              <w:bottom w:val="double" w:sz="6" w:space="0" w:color="auto"/>
              <w:right w:val="single" w:sz="8" w:space="0" w:color="auto"/>
            </w:tcBorders>
            <w:shd w:val="clear" w:color="auto" w:fill="FFFFFF"/>
            <w:vAlign w:val="center"/>
            <w:hideMark/>
          </w:tcPr>
          <w:p w14:paraId="0984E289" w14:textId="6F1F8BCA" w:rsidR="00094A26" w:rsidRPr="00050FA4" w:rsidRDefault="00094A26" w:rsidP="00617B60">
            <w:pPr>
              <w:jc w:val="center"/>
              <w:rPr>
                <w:rFonts w:ascii="Garamond" w:eastAsia="Times New Roman" w:hAnsi="Garamond"/>
                <w:b/>
                <w:color w:val="0D0D0D" w:themeColor="text1" w:themeTint="F2"/>
                <w:sz w:val="18"/>
                <w:szCs w:val="18"/>
              </w:rPr>
            </w:pPr>
          </w:p>
        </w:tc>
        <w:tc>
          <w:tcPr>
            <w:tcW w:w="1026" w:type="dxa"/>
            <w:tcBorders>
              <w:top w:val="nil"/>
              <w:left w:val="nil"/>
              <w:bottom w:val="double" w:sz="6" w:space="0" w:color="auto"/>
              <w:right w:val="dotted" w:sz="4" w:space="0" w:color="auto"/>
            </w:tcBorders>
            <w:shd w:val="clear" w:color="auto" w:fill="FFFFFF"/>
            <w:vAlign w:val="center"/>
            <w:hideMark/>
          </w:tcPr>
          <w:p w14:paraId="49F36A3A"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879" w:type="dxa"/>
            <w:tcBorders>
              <w:top w:val="nil"/>
              <w:left w:val="nil"/>
              <w:bottom w:val="double" w:sz="6" w:space="0" w:color="auto"/>
              <w:right w:val="dotted" w:sz="4" w:space="0" w:color="auto"/>
            </w:tcBorders>
            <w:shd w:val="clear" w:color="auto" w:fill="FFFFFF"/>
            <w:vAlign w:val="center"/>
            <w:hideMark/>
          </w:tcPr>
          <w:p w14:paraId="1A3EFF5A"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879" w:type="dxa"/>
            <w:tcBorders>
              <w:top w:val="nil"/>
              <w:left w:val="nil"/>
              <w:bottom w:val="double" w:sz="6" w:space="0" w:color="auto"/>
              <w:right w:val="dotted" w:sz="4" w:space="0" w:color="auto"/>
            </w:tcBorders>
            <w:shd w:val="clear" w:color="auto" w:fill="FFFFFF"/>
            <w:vAlign w:val="center"/>
            <w:hideMark/>
          </w:tcPr>
          <w:p w14:paraId="7DD6CFB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879" w:type="dxa"/>
            <w:tcBorders>
              <w:top w:val="nil"/>
              <w:left w:val="nil"/>
              <w:bottom w:val="double" w:sz="6" w:space="0" w:color="auto"/>
              <w:right w:val="dotted" w:sz="4" w:space="0" w:color="auto"/>
            </w:tcBorders>
            <w:shd w:val="clear" w:color="auto" w:fill="FFFFFF"/>
            <w:vAlign w:val="center"/>
            <w:hideMark/>
          </w:tcPr>
          <w:p w14:paraId="34EBD69B"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879" w:type="dxa"/>
            <w:tcBorders>
              <w:top w:val="nil"/>
              <w:left w:val="nil"/>
              <w:bottom w:val="double" w:sz="6" w:space="0" w:color="auto"/>
              <w:right w:val="double" w:sz="6" w:space="0" w:color="auto"/>
            </w:tcBorders>
            <w:shd w:val="clear" w:color="auto" w:fill="FFFFFF"/>
            <w:vAlign w:val="center"/>
            <w:hideMark/>
          </w:tcPr>
          <w:p w14:paraId="5694CF7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60C8C030"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3646B6A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 Current account balance</w:t>
            </w:r>
            <w:r w:rsidRPr="00050FA4">
              <w:rPr>
                <w:rFonts w:ascii="Garamond" w:eastAsia="Times New Roman" w:hAnsi="Garamond"/>
                <w:b/>
                <w:bCs/>
                <w:color w:val="0D0D0D" w:themeColor="text1" w:themeTint="F2"/>
                <w:sz w:val="18"/>
                <w:szCs w:val="18"/>
              </w:rPr>
              <w:t xml:space="preserve"> </w:t>
            </w:r>
            <w:r w:rsidRPr="00050FA4">
              <w:rPr>
                <w:rFonts w:ascii="Garamond" w:eastAsia="Times New Roman" w:hAnsi="Garamond"/>
                <w:color w:val="0D0D0D" w:themeColor="text1" w:themeTint="F2"/>
                <w:sz w:val="18"/>
                <w:szCs w:val="18"/>
              </w:rPr>
              <w:t>(% of GDP)</w:t>
            </w:r>
          </w:p>
        </w:tc>
        <w:tc>
          <w:tcPr>
            <w:tcW w:w="1264" w:type="dxa"/>
            <w:tcBorders>
              <w:top w:val="nil"/>
              <w:left w:val="nil"/>
              <w:bottom w:val="dotted" w:sz="4" w:space="0" w:color="auto"/>
              <w:right w:val="single" w:sz="8" w:space="0" w:color="auto"/>
            </w:tcBorders>
            <w:shd w:val="clear" w:color="auto" w:fill="FFFFFF"/>
            <w:hideMark/>
          </w:tcPr>
          <w:p w14:paraId="51D9BF0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26" w:type="dxa"/>
            <w:tcBorders>
              <w:top w:val="nil"/>
              <w:left w:val="nil"/>
              <w:bottom w:val="dotted" w:sz="4" w:space="0" w:color="auto"/>
              <w:right w:val="dotted" w:sz="4" w:space="0" w:color="auto"/>
            </w:tcBorders>
            <w:shd w:val="clear" w:color="auto" w:fill="FFFFFF"/>
            <w:hideMark/>
          </w:tcPr>
          <w:p w14:paraId="2982E0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-8.8</w:t>
            </w:r>
          </w:p>
        </w:tc>
        <w:tc>
          <w:tcPr>
            <w:tcW w:w="879" w:type="dxa"/>
            <w:tcBorders>
              <w:top w:val="nil"/>
              <w:left w:val="nil"/>
              <w:bottom w:val="dotted" w:sz="4" w:space="0" w:color="auto"/>
              <w:right w:val="dotted" w:sz="4" w:space="0" w:color="auto"/>
            </w:tcBorders>
            <w:shd w:val="clear" w:color="auto" w:fill="FFFFFF"/>
            <w:hideMark/>
          </w:tcPr>
          <w:p w14:paraId="1CE9018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w:t>
            </w:r>
          </w:p>
        </w:tc>
        <w:tc>
          <w:tcPr>
            <w:tcW w:w="879" w:type="dxa"/>
            <w:tcBorders>
              <w:top w:val="nil"/>
              <w:left w:val="nil"/>
              <w:bottom w:val="dotted" w:sz="4" w:space="0" w:color="auto"/>
              <w:right w:val="dotted" w:sz="4" w:space="0" w:color="auto"/>
            </w:tcBorders>
            <w:shd w:val="clear" w:color="auto" w:fill="FFFFFF"/>
            <w:hideMark/>
          </w:tcPr>
          <w:p w14:paraId="31ED686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-7.3</w:t>
            </w:r>
          </w:p>
        </w:tc>
        <w:tc>
          <w:tcPr>
            <w:tcW w:w="879" w:type="dxa"/>
            <w:tcBorders>
              <w:top w:val="nil"/>
              <w:left w:val="nil"/>
              <w:bottom w:val="dotted" w:sz="4" w:space="0" w:color="auto"/>
              <w:right w:val="dotted" w:sz="4" w:space="0" w:color="auto"/>
            </w:tcBorders>
            <w:shd w:val="clear" w:color="auto" w:fill="FFFFFF"/>
            <w:hideMark/>
          </w:tcPr>
          <w:p w14:paraId="7BCAD34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-6.9</w:t>
            </w:r>
          </w:p>
        </w:tc>
        <w:tc>
          <w:tcPr>
            <w:tcW w:w="879" w:type="dxa"/>
            <w:tcBorders>
              <w:top w:val="nil"/>
              <w:left w:val="nil"/>
              <w:bottom w:val="dotted" w:sz="4" w:space="0" w:color="auto"/>
              <w:right w:val="double" w:sz="6" w:space="0" w:color="auto"/>
            </w:tcBorders>
            <w:shd w:val="clear" w:color="auto" w:fill="FFFFFF"/>
            <w:hideMark/>
          </w:tcPr>
          <w:p w14:paraId="2F18AD9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-6.2</w:t>
            </w:r>
          </w:p>
        </w:tc>
      </w:tr>
      <w:tr w:rsidR="00FA29AB" w:rsidRPr="00050FA4" w14:paraId="46FB62A0"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1081EA1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Export of goods</w:t>
            </w:r>
          </w:p>
        </w:tc>
        <w:tc>
          <w:tcPr>
            <w:tcW w:w="1264" w:type="dxa"/>
            <w:tcBorders>
              <w:top w:val="nil"/>
              <w:left w:val="nil"/>
              <w:bottom w:val="dotted" w:sz="4" w:space="0" w:color="auto"/>
              <w:right w:val="single" w:sz="8" w:space="0" w:color="auto"/>
            </w:tcBorders>
            <w:shd w:val="clear" w:color="auto" w:fill="FFFFFF"/>
            <w:hideMark/>
          </w:tcPr>
          <w:p w14:paraId="62FD9F4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36D593A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c>
          <w:tcPr>
            <w:tcW w:w="879" w:type="dxa"/>
            <w:tcBorders>
              <w:top w:val="nil"/>
              <w:left w:val="nil"/>
              <w:bottom w:val="dotted" w:sz="4" w:space="0" w:color="auto"/>
              <w:right w:val="dotted" w:sz="4" w:space="0" w:color="auto"/>
            </w:tcBorders>
            <w:shd w:val="clear" w:color="auto" w:fill="FFFFFF"/>
            <w:hideMark/>
          </w:tcPr>
          <w:p w14:paraId="3A8F6F5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879" w:type="dxa"/>
            <w:tcBorders>
              <w:top w:val="nil"/>
              <w:left w:val="nil"/>
              <w:bottom w:val="dotted" w:sz="4" w:space="0" w:color="auto"/>
              <w:right w:val="dotted" w:sz="4" w:space="0" w:color="auto"/>
            </w:tcBorders>
            <w:shd w:val="clear" w:color="auto" w:fill="FFFFFF"/>
            <w:hideMark/>
          </w:tcPr>
          <w:p w14:paraId="2BAE995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879" w:type="dxa"/>
            <w:tcBorders>
              <w:top w:val="nil"/>
              <w:left w:val="nil"/>
              <w:bottom w:val="dotted" w:sz="4" w:space="0" w:color="auto"/>
              <w:right w:val="dotted" w:sz="4" w:space="0" w:color="auto"/>
            </w:tcBorders>
            <w:shd w:val="clear" w:color="auto" w:fill="FFFFFF"/>
            <w:hideMark/>
          </w:tcPr>
          <w:p w14:paraId="643CB44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w:t>
            </w:r>
          </w:p>
        </w:tc>
        <w:tc>
          <w:tcPr>
            <w:tcW w:w="879" w:type="dxa"/>
            <w:tcBorders>
              <w:top w:val="nil"/>
              <w:left w:val="nil"/>
              <w:bottom w:val="dotted" w:sz="4" w:space="0" w:color="auto"/>
              <w:right w:val="double" w:sz="6" w:space="0" w:color="auto"/>
            </w:tcBorders>
            <w:shd w:val="clear" w:color="auto" w:fill="FFFFFF"/>
            <w:hideMark/>
          </w:tcPr>
          <w:p w14:paraId="07DD11A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r>
      <w:tr w:rsidR="00FA29AB" w:rsidRPr="00050FA4" w14:paraId="71C1AD83"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350372F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3. Import of goods </w:t>
            </w:r>
          </w:p>
        </w:tc>
        <w:tc>
          <w:tcPr>
            <w:tcW w:w="1264" w:type="dxa"/>
            <w:tcBorders>
              <w:top w:val="nil"/>
              <w:left w:val="nil"/>
              <w:bottom w:val="dotted" w:sz="4" w:space="0" w:color="auto"/>
              <w:right w:val="single" w:sz="8" w:space="0" w:color="auto"/>
            </w:tcBorders>
            <w:shd w:val="clear" w:color="auto" w:fill="FFFFFF"/>
            <w:hideMark/>
          </w:tcPr>
          <w:p w14:paraId="605F05B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386BF57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w:t>
            </w:r>
          </w:p>
        </w:tc>
        <w:tc>
          <w:tcPr>
            <w:tcW w:w="879" w:type="dxa"/>
            <w:tcBorders>
              <w:top w:val="nil"/>
              <w:left w:val="nil"/>
              <w:bottom w:val="dotted" w:sz="4" w:space="0" w:color="auto"/>
              <w:right w:val="dotted" w:sz="4" w:space="0" w:color="auto"/>
            </w:tcBorders>
            <w:shd w:val="clear" w:color="auto" w:fill="FFFFFF"/>
            <w:hideMark/>
          </w:tcPr>
          <w:p w14:paraId="20B5570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879" w:type="dxa"/>
            <w:tcBorders>
              <w:top w:val="nil"/>
              <w:left w:val="nil"/>
              <w:bottom w:val="dotted" w:sz="4" w:space="0" w:color="auto"/>
              <w:right w:val="dotted" w:sz="4" w:space="0" w:color="auto"/>
            </w:tcBorders>
            <w:shd w:val="clear" w:color="auto" w:fill="FFFFFF"/>
            <w:hideMark/>
          </w:tcPr>
          <w:p w14:paraId="67D7D41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4.8</w:t>
            </w:r>
          </w:p>
        </w:tc>
        <w:tc>
          <w:tcPr>
            <w:tcW w:w="879" w:type="dxa"/>
            <w:tcBorders>
              <w:top w:val="nil"/>
              <w:left w:val="nil"/>
              <w:bottom w:val="dotted" w:sz="4" w:space="0" w:color="auto"/>
              <w:right w:val="dotted" w:sz="4" w:space="0" w:color="auto"/>
            </w:tcBorders>
            <w:shd w:val="clear" w:color="auto" w:fill="FFFFFF"/>
            <w:hideMark/>
          </w:tcPr>
          <w:p w14:paraId="5DEFA9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5.1</w:t>
            </w:r>
          </w:p>
        </w:tc>
        <w:tc>
          <w:tcPr>
            <w:tcW w:w="879" w:type="dxa"/>
            <w:tcBorders>
              <w:top w:val="nil"/>
              <w:left w:val="nil"/>
              <w:bottom w:val="dotted" w:sz="4" w:space="0" w:color="auto"/>
              <w:right w:val="double" w:sz="6" w:space="0" w:color="auto"/>
            </w:tcBorders>
            <w:shd w:val="clear" w:color="auto" w:fill="FFFFFF"/>
            <w:hideMark/>
          </w:tcPr>
          <w:p w14:paraId="4E42BFB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w:t>
            </w:r>
          </w:p>
        </w:tc>
      </w:tr>
      <w:tr w:rsidR="00FA29AB" w:rsidRPr="00050FA4" w14:paraId="78FD862E"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2E2A793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Trade balance</w:t>
            </w:r>
          </w:p>
        </w:tc>
        <w:tc>
          <w:tcPr>
            <w:tcW w:w="1264" w:type="dxa"/>
            <w:tcBorders>
              <w:top w:val="nil"/>
              <w:left w:val="nil"/>
              <w:bottom w:val="dotted" w:sz="4" w:space="0" w:color="auto"/>
              <w:right w:val="single" w:sz="8" w:space="0" w:color="auto"/>
            </w:tcBorders>
            <w:shd w:val="clear" w:color="auto" w:fill="FFFFFF"/>
            <w:hideMark/>
          </w:tcPr>
          <w:p w14:paraId="2E79324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7A8AE54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c>
          <w:tcPr>
            <w:tcW w:w="879" w:type="dxa"/>
            <w:tcBorders>
              <w:top w:val="nil"/>
              <w:left w:val="nil"/>
              <w:bottom w:val="dotted" w:sz="4" w:space="0" w:color="auto"/>
              <w:right w:val="dotted" w:sz="4" w:space="0" w:color="auto"/>
            </w:tcBorders>
            <w:shd w:val="clear" w:color="auto" w:fill="FFFFFF"/>
            <w:hideMark/>
          </w:tcPr>
          <w:p w14:paraId="3D8B791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w:t>
            </w:r>
          </w:p>
        </w:tc>
        <w:tc>
          <w:tcPr>
            <w:tcW w:w="879" w:type="dxa"/>
            <w:tcBorders>
              <w:top w:val="nil"/>
              <w:left w:val="nil"/>
              <w:bottom w:val="dotted" w:sz="4" w:space="0" w:color="auto"/>
              <w:right w:val="dotted" w:sz="4" w:space="0" w:color="auto"/>
            </w:tcBorders>
            <w:shd w:val="clear" w:color="auto" w:fill="FFFFFF"/>
            <w:hideMark/>
          </w:tcPr>
          <w:p w14:paraId="2AB1312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-3.6</w:t>
            </w:r>
          </w:p>
        </w:tc>
        <w:tc>
          <w:tcPr>
            <w:tcW w:w="879" w:type="dxa"/>
            <w:tcBorders>
              <w:top w:val="nil"/>
              <w:left w:val="nil"/>
              <w:bottom w:val="dotted" w:sz="4" w:space="0" w:color="auto"/>
              <w:right w:val="dotted" w:sz="4" w:space="0" w:color="auto"/>
            </w:tcBorders>
            <w:shd w:val="clear" w:color="auto" w:fill="FFFFFF"/>
            <w:hideMark/>
          </w:tcPr>
          <w:p w14:paraId="6AB7C88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w:t>
            </w:r>
          </w:p>
        </w:tc>
        <w:tc>
          <w:tcPr>
            <w:tcW w:w="879" w:type="dxa"/>
            <w:tcBorders>
              <w:top w:val="nil"/>
              <w:left w:val="nil"/>
              <w:bottom w:val="dotted" w:sz="4" w:space="0" w:color="auto"/>
              <w:right w:val="double" w:sz="6" w:space="0" w:color="auto"/>
            </w:tcBorders>
            <w:shd w:val="clear" w:color="auto" w:fill="FFFFFF"/>
            <w:hideMark/>
          </w:tcPr>
          <w:p w14:paraId="2794228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-3.9</w:t>
            </w:r>
          </w:p>
        </w:tc>
      </w:tr>
      <w:tr w:rsidR="00FA29AB" w:rsidRPr="00050FA4" w14:paraId="597E1BD6"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31119D8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Export of services</w:t>
            </w:r>
          </w:p>
        </w:tc>
        <w:tc>
          <w:tcPr>
            <w:tcW w:w="1264" w:type="dxa"/>
            <w:tcBorders>
              <w:top w:val="nil"/>
              <w:left w:val="nil"/>
              <w:bottom w:val="dotted" w:sz="4" w:space="0" w:color="auto"/>
              <w:right w:val="single" w:sz="8" w:space="0" w:color="auto"/>
            </w:tcBorders>
            <w:shd w:val="clear" w:color="auto" w:fill="FFFFFF"/>
            <w:hideMark/>
          </w:tcPr>
          <w:p w14:paraId="0BD61A6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2FBF44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2.2</w:t>
            </w:r>
          </w:p>
        </w:tc>
        <w:tc>
          <w:tcPr>
            <w:tcW w:w="879" w:type="dxa"/>
            <w:tcBorders>
              <w:top w:val="nil"/>
              <w:left w:val="nil"/>
              <w:bottom w:val="dotted" w:sz="4" w:space="0" w:color="auto"/>
              <w:right w:val="dotted" w:sz="4" w:space="0" w:color="auto"/>
            </w:tcBorders>
            <w:shd w:val="clear" w:color="auto" w:fill="FFFFFF"/>
            <w:hideMark/>
          </w:tcPr>
          <w:p w14:paraId="57C4D0D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c>
          <w:tcPr>
            <w:tcW w:w="879" w:type="dxa"/>
            <w:tcBorders>
              <w:top w:val="nil"/>
              <w:left w:val="nil"/>
              <w:bottom w:val="dotted" w:sz="4" w:space="0" w:color="auto"/>
              <w:right w:val="dotted" w:sz="4" w:space="0" w:color="auto"/>
            </w:tcBorders>
            <w:shd w:val="clear" w:color="auto" w:fill="FFFFFF"/>
            <w:hideMark/>
          </w:tcPr>
          <w:p w14:paraId="348D2C5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w:t>
            </w:r>
          </w:p>
        </w:tc>
        <w:tc>
          <w:tcPr>
            <w:tcW w:w="879" w:type="dxa"/>
            <w:tcBorders>
              <w:top w:val="nil"/>
              <w:left w:val="nil"/>
              <w:bottom w:val="dotted" w:sz="4" w:space="0" w:color="auto"/>
              <w:right w:val="dotted" w:sz="4" w:space="0" w:color="auto"/>
            </w:tcBorders>
            <w:shd w:val="clear" w:color="auto" w:fill="FFFFFF"/>
            <w:hideMark/>
          </w:tcPr>
          <w:p w14:paraId="26EAC3B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3.3</w:t>
            </w:r>
          </w:p>
        </w:tc>
        <w:tc>
          <w:tcPr>
            <w:tcW w:w="879" w:type="dxa"/>
            <w:tcBorders>
              <w:top w:val="nil"/>
              <w:left w:val="nil"/>
              <w:bottom w:val="dotted" w:sz="4" w:space="0" w:color="auto"/>
              <w:right w:val="double" w:sz="6" w:space="0" w:color="auto"/>
            </w:tcBorders>
            <w:shd w:val="clear" w:color="auto" w:fill="FFFFFF"/>
            <w:hideMark/>
          </w:tcPr>
          <w:p w14:paraId="176359F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w:t>
            </w:r>
          </w:p>
        </w:tc>
      </w:tr>
      <w:tr w:rsidR="00FA29AB" w:rsidRPr="00050FA4" w14:paraId="468B8252"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55FEBDC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 Import of services</w:t>
            </w:r>
          </w:p>
        </w:tc>
        <w:tc>
          <w:tcPr>
            <w:tcW w:w="1264" w:type="dxa"/>
            <w:tcBorders>
              <w:top w:val="nil"/>
              <w:left w:val="nil"/>
              <w:bottom w:val="dotted" w:sz="4" w:space="0" w:color="auto"/>
              <w:right w:val="single" w:sz="8" w:space="0" w:color="auto"/>
            </w:tcBorders>
            <w:shd w:val="clear" w:color="auto" w:fill="FFFFFF"/>
            <w:hideMark/>
          </w:tcPr>
          <w:p w14:paraId="28C4523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0E93D62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879" w:type="dxa"/>
            <w:tcBorders>
              <w:top w:val="nil"/>
              <w:left w:val="nil"/>
              <w:bottom w:val="dotted" w:sz="4" w:space="0" w:color="auto"/>
              <w:right w:val="dotted" w:sz="4" w:space="0" w:color="auto"/>
            </w:tcBorders>
            <w:shd w:val="clear" w:color="auto" w:fill="FFFFFF"/>
            <w:hideMark/>
          </w:tcPr>
          <w:p w14:paraId="588BC13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w:t>
            </w:r>
          </w:p>
        </w:tc>
        <w:tc>
          <w:tcPr>
            <w:tcW w:w="879" w:type="dxa"/>
            <w:tcBorders>
              <w:top w:val="nil"/>
              <w:left w:val="nil"/>
              <w:bottom w:val="dotted" w:sz="4" w:space="0" w:color="auto"/>
              <w:right w:val="dotted" w:sz="4" w:space="0" w:color="auto"/>
            </w:tcBorders>
            <w:shd w:val="clear" w:color="auto" w:fill="FFFFFF"/>
            <w:hideMark/>
          </w:tcPr>
          <w:p w14:paraId="0480C23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879" w:type="dxa"/>
            <w:tcBorders>
              <w:top w:val="nil"/>
              <w:left w:val="nil"/>
              <w:bottom w:val="dotted" w:sz="4" w:space="0" w:color="auto"/>
              <w:right w:val="dotted" w:sz="4" w:space="0" w:color="auto"/>
            </w:tcBorders>
            <w:shd w:val="clear" w:color="auto" w:fill="FFFFFF"/>
            <w:hideMark/>
          </w:tcPr>
          <w:p w14:paraId="5AA759E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879" w:type="dxa"/>
            <w:tcBorders>
              <w:top w:val="nil"/>
              <w:left w:val="nil"/>
              <w:bottom w:val="dotted" w:sz="4" w:space="0" w:color="auto"/>
              <w:right w:val="double" w:sz="6" w:space="0" w:color="auto"/>
            </w:tcBorders>
            <w:shd w:val="clear" w:color="auto" w:fill="FFFFFF"/>
            <w:hideMark/>
          </w:tcPr>
          <w:p w14:paraId="613197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r>
      <w:tr w:rsidR="00FA29AB" w:rsidRPr="00050FA4" w14:paraId="5A3D545E"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71136D6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Service balance</w:t>
            </w:r>
          </w:p>
        </w:tc>
        <w:tc>
          <w:tcPr>
            <w:tcW w:w="1264" w:type="dxa"/>
            <w:tcBorders>
              <w:top w:val="nil"/>
              <w:left w:val="nil"/>
              <w:bottom w:val="dotted" w:sz="4" w:space="0" w:color="auto"/>
              <w:right w:val="single" w:sz="8" w:space="0" w:color="auto"/>
            </w:tcBorders>
            <w:shd w:val="clear" w:color="auto" w:fill="FFFFFF"/>
            <w:hideMark/>
          </w:tcPr>
          <w:p w14:paraId="115A3FE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4E51344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879" w:type="dxa"/>
            <w:tcBorders>
              <w:top w:val="nil"/>
              <w:left w:val="nil"/>
              <w:bottom w:val="dotted" w:sz="4" w:space="0" w:color="auto"/>
              <w:right w:val="dotted" w:sz="4" w:space="0" w:color="auto"/>
            </w:tcBorders>
            <w:shd w:val="clear" w:color="auto" w:fill="FFFFFF"/>
            <w:hideMark/>
          </w:tcPr>
          <w:p w14:paraId="1C4FD2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c>
          <w:tcPr>
            <w:tcW w:w="879" w:type="dxa"/>
            <w:tcBorders>
              <w:top w:val="nil"/>
              <w:left w:val="nil"/>
              <w:bottom w:val="dotted" w:sz="4" w:space="0" w:color="auto"/>
              <w:right w:val="dotted" w:sz="4" w:space="0" w:color="auto"/>
            </w:tcBorders>
            <w:shd w:val="clear" w:color="auto" w:fill="FFFFFF"/>
            <w:hideMark/>
          </w:tcPr>
          <w:p w14:paraId="3D4772E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879" w:type="dxa"/>
            <w:tcBorders>
              <w:top w:val="nil"/>
              <w:left w:val="nil"/>
              <w:bottom w:val="dotted" w:sz="4" w:space="0" w:color="auto"/>
              <w:right w:val="dotted" w:sz="4" w:space="0" w:color="auto"/>
            </w:tcBorders>
            <w:shd w:val="clear" w:color="auto" w:fill="FFFFFF"/>
            <w:hideMark/>
          </w:tcPr>
          <w:p w14:paraId="790F548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w:t>
            </w:r>
          </w:p>
        </w:tc>
        <w:tc>
          <w:tcPr>
            <w:tcW w:w="879" w:type="dxa"/>
            <w:tcBorders>
              <w:top w:val="nil"/>
              <w:left w:val="nil"/>
              <w:bottom w:val="dotted" w:sz="4" w:space="0" w:color="auto"/>
              <w:right w:val="double" w:sz="6" w:space="0" w:color="auto"/>
            </w:tcBorders>
            <w:shd w:val="clear" w:color="auto" w:fill="FFFFFF"/>
            <w:hideMark/>
          </w:tcPr>
          <w:p w14:paraId="5C2A34E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w:t>
            </w:r>
          </w:p>
        </w:tc>
      </w:tr>
      <w:tr w:rsidR="00FA29AB" w:rsidRPr="00050FA4" w14:paraId="0C4ED18A"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7DDA860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8. Net interest payments from abroad</w:t>
            </w:r>
          </w:p>
        </w:tc>
        <w:tc>
          <w:tcPr>
            <w:tcW w:w="1264" w:type="dxa"/>
            <w:tcBorders>
              <w:top w:val="nil"/>
              <w:left w:val="nil"/>
              <w:bottom w:val="dotted" w:sz="4" w:space="0" w:color="auto"/>
              <w:right w:val="single" w:sz="8" w:space="0" w:color="auto"/>
            </w:tcBorders>
            <w:shd w:val="clear" w:color="auto" w:fill="FFFFFF"/>
            <w:hideMark/>
          </w:tcPr>
          <w:p w14:paraId="4355436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3908173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0670884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2628F51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0C4E6EE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uble" w:sz="6" w:space="0" w:color="auto"/>
            </w:tcBorders>
            <w:shd w:val="clear" w:color="auto" w:fill="FFFFFF"/>
            <w:hideMark/>
          </w:tcPr>
          <w:p w14:paraId="3800A88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6F03D91F"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46C943F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9. Other net factor income from abroad</w:t>
            </w:r>
          </w:p>
        </w:tc>
        <w:tc>
          <w:tcPr>
            <w:tcW w:w="1264" w:type="dxa"/>
            <w:tcBorders>
              <w:top w:val="nil"/>
              <w:left w:val="nil"/>
              <w:bottom w:val="dotted" w:sz="4" w:space="0" w:color="auto"/>
              <w:right w:val="single" w:sz="8" w:space="0" w:color="auto"/>
            </w:tcBorders>
            <w:shd w:val="clear" w:color="auto" w:fill="FFFFFF"/>
            <w:hideMark/>
          </w:tcPr>
          <w:p w14:paraId="32415AB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1041B4E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879" w:type="dxa"/>
            <w:tcBorders>
              <w:top w:val="nil"/>
              <w:left w:val="nil"/>
              <w:bottom w:val="dotted" w:sz="4" w:space="0" w:color="auto"/>
              <w:right w:val="dotted" w:sz="4" w:space="0" w:color="auto"/>
            </w:tcBorders>
            <w:shd w:val="clear" w:color="auto" w:fill="FFFFFF"/>
            <w:hideMark/>
          </w:tcPr>
          <w:p w14:paraId="43C527D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79" w:type="dxa"/>
            <w:tcBorders>
              <w:top w:val="nil"/>
              <w:left w:val="nil"/>
              <w:bottom w:val="dotted" w:sz="4" w:space="0" w:color="auto"/>
              <w:right w:val="dotted" w:sz="4" w:space="0" w:color="auto"/>
            </w:tcBorders>
            <w:shd w:val="clear" w:color="auto" w:fill="FFFFFF"/>
            <w:hideMark/>
          </w:tcPr>
          <w:p w14:paraId="7D96C9A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879" w:type="dxa"/>
            <w:tcBorders>
              <w:top w:val="nil"/>
              <w:left w:val="nil"/>
              <w:bottom w:val="dotted" w:sz="4" w:space="0" w:color="auto"/>
              <w:right w:val="dotted" w:sz="4" w:space="0" w:color="auto"/>
            </w:tcBorders>
            <w:shd w:val="clear" w:color="auto" w:fill="FFFFFF"/>
            <w:hideMark/>
          </w:tcPr>
          <w:p w14:paraId="1CC32EB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879" w:type="dxa"/>
            <w:tcBorders>
              <w:top w:val="nil"/>
              <w:left w:val="nil"/>
              <w:bottom w:val="dotted" w:sz="4" w:space="0" w:color="auto"/>
              <w:right w:val="double" w:sz="6" w:space="0" w:color="auto"/>
            </w:tcBorders>
            <w:shd w:val="clear" w:color="auto" w:fill="FFFFFF"/>
            <w:hideMark/>
          </w:tcPr>
          <w:p w14:paraId="06E3DF8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r>
      <w:tr w:rsidR="00FA29AB" w:rsidRPr="00050FA4" w14:paraId="6E7E6FE7"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01AD5D3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10. Current transfers</w:t>
            </w:r>
          </w:p>
        </w:tc>
        <w:tc>
          <w:tcPr>
            <w:tcW w:w="1264" w:type="dxa"/>
            <w:tcBorders>
              <w:top w:val="nil"/>
              <w:left w:val="nil"/>
              <w:bottom w:val="dotted" w:sz="4" w:space="0" w:color="auto"/>
              <w:right w:val="single" w:sz="8" w:space="0" w:color="auto"/>
            </w:tcBorders>
            <w:shd w:val="clear" w:color="auto" w:fill="FFFFFF"/>
            <w:hideMark/>
          </w:tcPr>
          <w:p w14:paraId="72DEEB6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6CFA1DD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879" w:type="dxa"/>
            <w:tcBorders>
              <w:top w:val="nil"/>
              <w:left w:val="nil"/>
              <w:bottom w:val="dotted" w:sz="4" w:space="0" w:color="auto"/>
              <w:right w:val="dotted" w:sz="4" w:space="0" w:color="auto"/>
            </w:tcBorders>
            <w:shd w:val="clear" w:color="auto" w:fill="FFFFFF"/>
            <w:hideMark/>
          </w:tcPr>
          <w:p w14:paraId="5256E9D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879" w:type="dxa"/>
            <w:tcBorders>
              <w:top w:val="nil"/>
              <w:left w:val="nil"/>
              <w:bottom w:val="dotted" w:sz="4" w:space="0" w:color="auto"/>
              <w:right w:val="dotted" w:sz="4" w:space="0" w:color="auto"/>
            </w:tcBorders>
            <w:shd w:val="clear" w:color="auto" w:fill="FFFFFF"/>
            <w:hideMark/>
          </w:tcPr>
          <w:p w14:paraId="6B54B96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879" w:type="dxa"/>
            <w:tcBorders>
              <w:top w:val="nil"/>
              <w:left w:val="nil"/>
              <w:bottom w:val="dotted" w:sz="4" w:space="0" w:color="auto"/>
              <w:right w:val="dotted" w:sz="4" w:space="0" w:color="auto"/>
            </w:tcBorders>
            <w:shd w:val="clear" w:color="auto" w:fill="FFFFFF"/>
            <w:hideMark/>
          </w:tcPr>
          <w:p w14:paraId="2C58E93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879" w:type="dxa"/>
            <w:tcBorders>
              <w:top w:val="nil"/>
              <w:left w:val="nil"/>
              <w:bottom w:val="dotted" w:sz="4" w:space="0" w:color="auto"/>
              <w:right w:val="double" w:sz="6" w:space="0" w:color="auto"/>
            </w:tcBorders>
            <w:shd w:val="clear" w:color="auto" w:fill="FFFFFF"/>
            <w:hideMark/>
          </w:tcPr>
          <w:p w14:paraId="69F81D0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r>
      <w:tr w:rsidR="00FA29AB" w:rsidRPr="00050FA4" w14:paraId="563A89CC"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0397F35F" w14:textId="77777777" w:rsidR="00094A26" w:rsidRPr="00050FA4" w:rsidRDefault="00094A26"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11. Of which</w:t>
            </w:r>
            <w:r w:rsidRPr="00050FA4">
              <w:rPr>
                <w:rFonts w:ascii="Garamond" w:eastAsia="Times New Roman" w:hAnsi="Garamond"/>
                <w:color w:val="0D0D0D" w:themeColor="text1" w:themeTint="F2"/>
                <w:sz w:val="18"/>
                <w:szCs w:val="18"/>
              </w:rPr>
              <w:t xml:space="preserve"> from EU</w:t>
            </w:r>
          </w:p>
        </w:tc>
        <w:tc>
          <w:tcPr>
            <w:tcW w:w="1264" w:type="dxa"/>
            <w:tcBorders>
              <w:top w:val="nil"/>
              <w:left w:val="nil"/>
              <w:bottom w:val="dotted" w:sz="4" w:space="0" w:color="auto"/>
              <w:right w:val="single" w:sz="8" w:space="0" w:color="auto"/>
            </w:tcBorders>
            <w:shd w:val="clear" w:color="auto" w:fill="FFFFFF"/>
            <w:hideMark/>
          </w:tcPr>
          <w:p w14:paraId="7760402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428909C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1E49F92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16E92F4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0AC7A14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uble" w:sz="6" w:space="0" w:color="auto"/>
            </w:tcBorders>
            <w:shd w:val="clear" w:color="auto" w:fill="FFFFFF"/>
            <w:hideMark/>
          </w:tcPr>
          <w:p w14:paraId="27828BD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637E92A5"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1EC52BC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 Current account balance</w:t>
            </w:r>
          </w:p>
        </w:tc>
        <w:tc>
          <w:tcPr>
            <w:tcW w:w="1264" w:type="dxa"/>
            <w:tcBorders>
              <w:top w:val="nil"/>
              <w:left w:val="nil"/>
              <w:bottom w:val="dotted" w:sz="4" w:space="0" w:color="auto"/>
              <w:right w:val="single" w:sz="8" w:space="0" w:color="auto"/>
            </w:tcBorders>
            <w:shd w:val="clear" w:color="auto" w:fill="FFFFFF"/>
            <w:hideMark/>
          </w:tcPr>
          <w:p w14:paraId="0D2D54E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1F1DD83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879" w:type="dxa"/>
            <w:tcBorders>
              <w:top w:val="nil"/>
              <w:left w:val="nil"/>
              <w:bottom w:val="dotted" w:sz="4" w:space="0" w:color="auto"/>
              <w:right w:val="dotted" w:sz="4" w:space="0" w:color="auto"/>
            </w:tcBorders>
            <w:shd w:val="clear" w:color="auto" w:fill="FFFFFF"/>
            <w:hideMark/>
          </w:tcPr>
          <w:p w14:paraId="56FC6A5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879" w:type="dxa"/>
            <w:tcBorders>
              <w:top w:val="nil"/>
              <w:left w:val="nil"/>
              <w:bottom w:val="dotted" w:sz="4" w:space="0" w:color="auto"/>
              <w:right w:val="dotted" w:sz="4" w:space="0" w:color="auto"/>
            </w:tcBorders>
            <w:shd w:val="clear" w:color="auto" w:fill="FFFFFF"/>
            <w:hideMark/>
          </w:tcPr>
          <w:p w14:paraId="2C88FDA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879" w:type="dxa"/>
            <w:tcBorders>
              <w:top w:val="nil"/>
              <w:left w:val="nil"/>
              <w:bottom w:val="dotted" w:sz="4" w:space="0" w:color="auto"/>
              <w:right w:val="dotted" w:sz="4" w:space="0" w:color="auto"/>
            </w:tcBorders>
            <w:shd w:val="clear" w:color="auto" w:fill="FFFFFF"/>
            <w:hideMark/>
          </w:tcPr>
          <w:p w14:paraId="1E76B16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879" w:type="dxa"/>
            <w:tcBorders>
              <w:top w:val="nil"/>
              <w:left w:val="nil"/>
              <w:bottom w:val="dotted" w:sz="4" w:space="0" w:color="auto"/>
              <w:right w:val="double" w:sz="6" w:space="0" w:color="auto"/>
            </w:tcBorders>
            <w:shd w:val="clear" w:color="auto" w:fill="FFFFFF"/>
            <w:hideMark/>
          </w:tcPr>
          <w:p w14:paraId="4A81755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r>
      <w:tr w:rsidR="00FA29AB" w:rsidRPr="00050FA4" w14:paraId="3F79B633"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09CCA53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13. Capital and financial account</w:t>
            </w:r>
          </w:p>
        </w:tc>
        <w:tc>
          <w:tcPr>
            <w:tcW w:w="1264" w:type="dxa"/>
            <w:tcBorders>
              <w:top w:val="nil"/>
              <w:left w:val="nil"/>
              <w:bottom w:val="dotted" w:sz="4" w:space="0" w:color="auto"/>
              <w:right w:val="single" w:sz="8" w:space="0" w:color="auto"/>
            </w:tcBorders>
            <w:shd w:val="clear" w:color="auto" w:fill="FFFFFF"/>
            <w:hideMark/>
          </w:tcPr>
          <w:p w14:paraId="0AEA668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5D6C0A1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879" w:type="dxa"/>
            <w:tcBorders>
              <w:top w:val="nil"/>
              <w:left w:val="nil"/>
              <w:bottom w:val="dotted" w:sz="4" w:space="0" w:color="auto"/>
              <w:right w:val="dotted" w:sz="4" w:space="0" w:color="auto"/>
            </w:tcBorders>
            <w:shd w:val="clear" w:color="auto" w:fill="FFFFFF"/>
            <w:hideMark/>
          </w:tcPr>
          <w:p w14:paraId="14CB949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879" w:type="dxa"/>
            <w:tcBorders>
              <w:top w:val="nil"/>
              <w:left w:val="nil"/>
              <w:bottom w:val="dotted" w:sz="4" w:space="0" w:color="auto"/>
              <w:right w:val="dotted" w:sz="4" w:space="0" w:color="auto"/>
            </w:tcBorders>
            <w:shd w:val="clear" w:color="auto" w:fill="FFFFFF"/>
            <w:hideMark/>
          </w:tcPr>
          <w:p w14:paraId="610FE08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w:t>
            </w:r>
          </w:p>
        </w:tc>
        <w:tc>
          <w:tcPr>
            <w:tcW w:w="879" w:type="dxa"/>
            <w:tcBorders>
              <w:top w:val="nil"/>
              <w:left w:val="nil"/>
              <w:bottom w:val="dotted" w:sz="4" w:space="0" w:color="auto"/>
              <w:right w:val="dotted" w:sz="4" w:space="0" w:color="auto"/>
            </w:tcBorders>
            <w:shd w:val="clear" w:color="auto" w:fill="FFFFFF"/>
            <w:hideMark/>
          </w:tcPr>
          <w:p w14:paraId="3924C6E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c>
          <w:tcPr>
            <w:tcW w:w="879" w:type="dxa"/>
            <w:tcBorders>
              <w:top w:val="nil"/>
              <w:left w:val="nil"/>
              <w:bottom w:val="dotted" w:sz="4" w:space="0" w:color="auto"/>
              <w:right w:val="double" w:sz="6" w:space="0" w:color="auto"/>
            </w:tcBorders>
            <w:shd w:val="clear" w:color="auto" w:fill="FFFFFF"/>
            <w:hideMark/>
          </w:tcPr>
          <w:p w14:paraId="52EF401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r>
      <w:tr w:rsidR="00FA29AB" w:rsidRPr="00050FA4" w14:paraId="42B1C18C"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3B4F9D3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14. Foreign direct investment</w:t>
            </w:r>
          </w:p>
        </w:tc>
        <w:tc>
          <w:tcPr>
            <w:tcW w:w="1264" w:type="dxa"/>
            <w:tcBorders>
              <w:top w:val="nil"/>
              <w:left w:val="nil"/>
              <w:bottom w:val="dotted" w:sz="4" w:space="0" w:color="auto"/>
              <w:right w:val="single" w:sz="8" w:space="0" w:color="auto"/>
            </w:tcBorders>
            <w:shd w:val="clear" w:color="auto" w:fill="FFFFFF"/>
            <w:hideMark/>
          </w:tcPr>
          <w:p w14:paraId="784E326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6AF0457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0.9</w:t>
            </w:r>
          </w:p>
        </w:tc>
        <w:tc>
          <w:tcPr>
            <w:tcW w:w="879" w:type="dxa"/>
            <w:tcBorders>
              <w:top w:val="nil"/>
              <w:left w:val="nil"/>
              <w:bottom w:val="dotted" w:sz="4" w:space="0" w:color="auto"/>
              <w:right w:val="dotted" w:sz="4" w:space="0" w:color="auto"/>
            </w:tcBorders>
            <w:shd w:val="clear" w:color="auto" w:fill="FFFFFF"/>
            <w:hideMark/>
          </w:tcPr>
          <w:p w14:paraId="1EA62BA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0.9</w:t>
            </w:r>
          </w:p>
        </w:tc>
        <w:tc>
          <w:tcPr>
            <w:tcW w:w="879" w:type="dxa"/>
            <w:tcBorders>
              <w:top w:val="nil"/>
              <w:left w:val="nil"/>
              <w:bottom w:val="dotted" w:sz="4" w:space="0" w:color="auto"/>
              <w:right w:val="dotted" w:sz="4" w:space="0" w:color="auto"/>
            </w:tcBorders>
            <w:shd w:val="clear" w:color="auto" w:fill="FFFFFF"/>
            <w:hideMark/>
          </w:tcPr>
          <w:p w14:paraId="67E60A9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879" w:type="dxa"/>
            <w:tcBorders>
              <w:top w:val="nil"/>
              <w:left w:val="nil"/>
              <w:bottom w:val="dotted" w:sz="4" w:space="0" w:color="auto"/>
              <w:right w:val="dotted" w:sz="4" w:space="0" w:color="auto"/>
            </w:tcBorders>
            <w:shd w:val="clear" w:color="auto" w:fill="FFFFFF"/>
            <w:hideMark/>
          </w:tcPr>
          <w:p w14:paraId="7F307FD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879" w:type="dxa"/>
            <w:tcBorders>
              <w:top w:val="nil"/>
              <w:left w:val="nil"/>
              <w:bottom w:val="dotted" w:sz="4" w:space="0" w:color="auto"/>
              <w:right w:val="double" w:sz="6" w:space="0" w:color="auto"/>
            </w:tcBorders>
            <w:shd w:val="clear" w:color="auto" w:fill="FFFFFF"/>
            <w:hideMark/>
          </w:tcPr>
          <w:p w14:paraId="02A6590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r>
      <w:tr w:rsidR="00FA29AB" w:rsidRPr="00050FA4" w14:paraId="2125A935"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385B028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15. Foreign reserves</w:t>
            </w:r>
          </w:p>
        </w:tc>
        <w:tc>
          <w:tcPr>
            <w:tcW w:w="1264" w:type="dxa"/>
            <w:tcBorders>
              <w:top w:val="nil"/>
              <w:left w:val="nil"/>
              <w:bottom w:val="dotted" w:sz="4" w:space="0" w:color="auto"/>
              <w:right w:val="single" w:sz="8" w:space="0" w:color="auto"/>
            </w:tcBorders>
            <w:shd w:val="clear" w:color="auto" w:fill="FFFFFF"/>
            <w:hideMark/>
          </w:tcPr>
          <w:p w14:paraId="167E0B9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7C90031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879" w:type="dxa"/>
            <w:tcBorders>
              <w:top w:val="nil"/>
              <w:left w:val="nil"/>
              <w:bottom w:val="dotted" w:sz="4" w:space="0" w:color="auto"/>
              <w:right w:val="dotted" w:sz="4" w:space="0" w:color="auto"/>
            </w:tcBorders>
            <w:shd w:val="clear" w:color="auto" w:fill="FFFFFF"/>
            <w:hideMark/>
          </w:tcPr>
          <w:p w14:paraId="3BD4462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79" w:type="dxa"/>
            <w:tcBorders>
              <w:top w:val="nil"/>
              <w:left w:val="nil"/>
              <w:bottom w:val="dotted" w:sz="4" w:space="0" w:color="auto"/>
              <w:right w:val="dotted" w:sz="4" w:space="0" w:color="auto"/>
            </w:tcBorders>
            <w:shd w:val="clear" w:color="auto" w:fill="FFFFFF"/>
            <w:hideMark/>
          </w:tcPr>
          <w:p w14:paraId="59941F1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0.4</w:t>
            </w:r>
          </w:p>
        </w:tc>
        <w:tc>
          <w:tcPr>
            <w:tcW w:w="879" w:type="dxa"/>
            <w:tcBorders>
              <w:top w:val="nil"/>
              <w:left w:val="nil"/>
              <w:bottom w:val="dotted" w:sz="4" w:space="0" w:color="auto"/>
              <w:right w:val="dotted" w:sz="4" w:space="0" w:color="auto"/>
            </w:tcBorders>
            <w:shd w:val="clear" w:color="auto" w:fill="FFFFFF"/>
            <w:hideMark/>
          </w:tcPr>
          <w:p w14:paraId="227A3FF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0.5</w:t>
            </w:r>
          </w:p>
        </w:tc>
        <w:tc>
          <w:tcPr>
            <w:tcW w:w="879" w:type="dxa"/>
            <w:tcBorders>
              <w:top w:val="nil"/>
              <w:left w:val="nil"/>
              <w:bottom w:val="dotted" w:sz="4" w:space="0" w:color="auto"/>
              <w:right w:val="double" w:sz="6" w:space="0" w:color="auto"/>
            </w:tcBorders>
            <w:shd w:val="clear" w:color="auto" w:fill="FFFFFF"/>
            <w:hideMark/>
          </w:tcPr>
          <w:p w14:paraId="46F431C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0.5</w:t>
            </w:r>
          </w:p>
        </w:tc>
      </w:tr>
      <w:tr w:rsidR="00FA29AB" w:rsidRPr="00050FA4" w14:paraId="67E86125"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3CD925E7"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16. Total Foreign debt</w:t>
            </w:r>
          </w:p>
        </w:tc>
        <w:tc>
          <w:tcPr>
            <w:tcW w:w="1264" w:type="dxa"/>
            <w:tcBorders>
              <w:top w:val="nil"/>
              <w:left w:val="nil"/>
              <w:bottom w:val="dotted" w:sz="4" w:space="0" w:color="auto"/>
              <w:right w:val="single" w:sz="8" w:space="0" w:color="auto"/>
            </w:tcBorders>
            <w:shd w:val="clear" w:color="auto" w:fill="FFFFFF"/>
            <w:hideMark/>
          </w:tcPr>
          <w:p w14:paraId="718FEBF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395CC69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373B509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798EAFF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7201F9D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uble" w:sz="6" w:space="0" w:color="auto"/>
            </w:tcBorders>
            <w:shd w:val="clear" w:color="auto" w:fill="FFFFFF"/>
            <w:hideMark/>
          </w:tcPr>
          <w:p w14:paraId="50DA75D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7572B23E"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58E3BBAE" w14:textId="77777777" w:rsidR="00094A26" w:rsidRPr="00050FA4" w:rsidRDefault="00094A26"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16a. Of which</w:t>
            </w:r>
            <w:r w:rsidRPr="00050FA4">
              <w:rPr>
                <w:rFonts w:ascii="Garamond" w:eastAsia="Times New Roman" w:hAnsi="Garamond"/>
                <w:color w:val="0D0D0D" w:themeColor="text1" w:themeTint="F2"/>
                <w:sz w:val="18"/>
                <w:szCs w:val="18"/>
              </w:rPr>
              <w:t>: public external debt</w:t>
            </w:r>
          </w:p>
        </w:tc>
        <w:tc>
          <w:tcPr>
            <w:tcW w:w="1264" w:type="dxa"/>
            <w:tcBorders>
              <w:top w:val="nil"/>
              <w:left w:val="nil"/>
              <w:bottom w:val="dotted" w:sz="4" w:space="0" w:color="auto"/>
              <w:right w:val="single" w:sz="8" w:space="0" w:color="auto"/>
            </w:tcBorders>
            <w:shd w:val="clear" w:color="auto" w:fill="FFFFFF"/>
            <w:hideMark/>
          </w:tcPr>
          <w:p w14:paraId="33A3E9F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3254585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879" w:type="dxa"/>
            <w:tcBorders>
              <w:top w:val="nil"/>
              <w:left w:val="nil"/>
              <w:bottom w:val="dotted" w:sz="4" w:space="0" w:color="auto"/>
              <w:right w:val="dotted" w:sz="4" w:space="0" w:color="auto"/>
            </w:tcBorders>
            <w:shd w:val="clear" w:color="auto" w:fill="FFFFFF"/>
            <w:hideMark/>
          </w:tcPr>
          <w:p w14:paraId="68CDDBB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3C73F59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47A0AA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uble" w:sz="6" w:space="0" w:color="auto"/>
            </w:tcBorders>
            <w:shd w:val="clear" w:color="auto" w:fill="FFFFFF"/>
            <w:hideMark/>
          </w:tcPr>
          <w:p w14:paraId="79CAD5A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491D4955"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4C2CE13E" w14:textId="77777777" w:rsidR="00094A26" w:rsidRPr="00050FA4" w:rsidRDefault="00094A26"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xml:space="preserve">16b.. O/w: </w:t>
            </w:r>
            <w:r w:rsidRPr="00050FA4">
              <w:rPr>
                <w:rFonts w:ascii="Garamond" w:eastAsia="Times New Roman" w:hAnsi="Garamond"/>
                <w:color w:val="0D0D0D" w:themeColor="text1" w:themeTint="F2"/>
                <w:sz w:val="18"/>
                <w:szCs w:val="18"/>
              </w:rPr>
              <w:t>foreign currency denominated</w:t>
            </w:r>
          </w:p>
        </w:tc>
        <w:tc>
          <w:tcPr>
            <w:tcW w:w="1264" w:type="dxa"/>
            <w:tcBorders>
              <w:top w:val="nil"/>
              <w:left w:val="nil"/>
              <w:bottom w:val="dotted" w:sz="4" w:space="0" w:color="auto"/>
              <w:right w:val="single" w:sz="8" w:space="0" w:color="auto"/>
            </w:tcBorders>
            <w:shd w:val="clear" w:color="auto" w:fill="FFFFFF"/>
            <w:hideMark/>
          </w:tcPr>
          <w:p w14:paraId="70C9F6F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nil"/>
              <w:left w:val="nil"/>
              <w:bottom w:val="dotted" w:sz="4" w:space="0" w:color="auto"/>
              <w:right w:val="dotted" w:sz="4" w:space="0" w:color="auto"/>
            </w:tcBorders>
            <w:shd w:val="clear" w:color="auto" w:fill="FFFFFF"/>
            <w:hideMark/>
          </w:tcPr>
          <w:p w14:paraId="0F13593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nil"/>
              <w:left w:val="nil"/>
              <w:bottom w:val="dotted" w:sz="4" w:space="0" w:color="auto"/>
              <w:right w:val="dotted" w:sz="4" w:space="0" w:color="auto"/>
            </w:tcBorders>
            <w:shd w:val="clear" w:color="auto" w:fill="FFFFFF"/>
            <w:hideMark/>
          </w:tcPr>
          <w:p w14:paraId="7452488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879" w:type="dxa"/>
            <w:tcBorders>
              <w:top w:val="nil"/>
              <w:left w:val="nil"/>
              <w:bottom w:val="dotted" w:sz="4" w:space="0" w:color="auto"/>
              <w:right w:val="dotted" w:sz="4" w:space="0" w:color="auto"/>
            </w:tcBorders>
            <w:shd w:val="clear" w:color="auto" w:fill="FFFFFF"/>
            <w:hideMark/>
          </w:tcPr>
          <w:p w14:paraId="13B6448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5.9</w:t>
            </w:r>
          </w:p>
        </w:tc>
        <w:tc>
          <w:tcPr>
            <w:tcW w:w="879" w:type="dxa"/>
            <w:tcBorders>
              <w:top w:val="nil"/>
              <w:left w:val="nil"/>
              <w:bottom w:val="dotted" w:sz="4" w:space="0" w:color="auto"/>
              <w:right w:val="dotted" w:sz="4" w:space="0" w:color="auto"/>
            </w:tcBorders>
            <w:shd w:val="clear" w:color="auto" w:fill="FFFFFF"/>
            <w:hideMark/>
          </w:tcPr>
          <w:p w14:paraId="5270D4D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5.9</w:t>
            </w:r>
          </w:p>
        </w:tc>
        <w:tc>
          <w:tcPr>
            <w:tcW w:w="879" w:type="dxa"/>
            <w:tcBorders>
              <w:top w:val="nil"/>
              <w:left w:val="nil"/>
              <w:bottom w:val="dotted" w:sz="4" w:space="0" w:color="auto"/>
              <w:right w:val="double" w:sz="6" w:space="0" w:color="auto"/>
            </w:tcBorders>
            <w:shd w:val="clear" w:color="auto" w:fill="FFFFFF"/>
            <w:hideMark/>
          </w:tcPr>
          <w:p w14:paraId="4DA1894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r>
      <w:tr w:rsidR="00FA29AB" w:rsidRPr="00050FA4" w14:paraId="319E837F" w14:textId="77777777" w:rsidTr="00617B60">
        <w:trPr>
          <w:trHeight w:val="217"/>
          <w:jc w:val="center"/>
        </w:trPr>
        <w:tc>
          <w:tcPr>
            <w:tcW w:w="4326" w:type="dxa"/>
            <w:tcBorders>
              <w:top w:val="nil"/>
              <w:left w:val="double" w:sz="6" w:space="0" w:color="auto"/>
              <w:bottom w:val="single" w:sz="4" w:space="0" w:color="auto"/>
              <w:right w:val="single" w:sz="8" w:space="0" w:color="auto"/>
            </w:tcBorders>
            <w:shd w:val="clear" w:color="auto" w:fill="FFFFFF"/>
            <w:hideMark/>
          </w:tcPr>
          <w:p w14:paraId="03930D1C" w14:textId="77777777" w:rsidR="00094A26" w:rsidRPr="00050FA4" w:rsidRDefault="00094A26"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xml:space="preserve">16c..O/w: </w:t>
            </w:r>
            <w:r w:rsidRPr="00050FA4">
              <w:rPr>
                <w:rFonts w:ascii="Garamond" w:eastAsia="Times New Roman" w:hAnsi="Garamond"/>
                <w:color w:val="0D0D0D" w:themeColor="text1" w:themeTint="F2"/>
                <w:sz w:val="18"/>
                <w:szCs w:val="18"/>
              </w:rPr>
              <w:t>repayments due</w:t>
            </w:r>
            <w:r w:rsidRPr="00050FA4">
              <w:rPr>
                <w:rFonts w:ascii="Garamond" w:eastAsia="Times New Roman" w:hAnsi="Garamond"/>
                <w:i/>
                <w:iCs/>
                <w:color w:val="0D0D0D" w:themeColor="text1" w:themeTint="F2"/>
                <w:sz w:val="18"/>
                <w:szCs w:val="18"/>
              </w:rPr>
              <w:t xml:space="preserve"> </w:t>
            </w:r>
          </w:p>
        </w:tc>
        <w:tc>
          <w:tcPr>
            <w:tcW w:w="1264" w:type="dxa"/>
            <w:tcBorders>
              <w:top w:val="nil"/>
              <w:left w:val="nil"/>
              <w:bottom w:val="single" w:sz="4" w:space="0" w:color="auto"/>
              <w:right w:val="single" w:sz="8" w:space="0" w:color="auto"/>
            </w:tcBorders>
            <w:shd w:val="clear" w:color="auto" w:fill="FFFFFF"/>
            <w:hideMark/>
          </w:tcPr>
          <w:p w14:paraId="3B6AACB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bn EUR</w:t>
            </w:r>
          </w:p>
        </w:tc>
        <w:tc>
          <w:tcPr>
            <w:tcW w:w="1026" w:type="dxa"/>
            <w:tcBorders>
              <w:top w:val="dotted" w:sz="4" w:space="0" w:color="auto"/>
              <w:left w:val="nil"/>
              <w:bottom w:val="single" w:sz="4" w:space="0" w:color="auto"/>
              <w:right w:val="dotted" w:sz="4" w:space="0" w:color="auto"/>
            </w:tcBorders>
            <w:shd w:val="clear" w:color="auto" w:fill="FFFFFF"/>
            <w:hideMark/>
          </w:tcPr>
          <w:p w14:paraId="06717FA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dotted" w:sz="4" w:space="0" w:color="auto"/>
              <w:left w:val="nil"/>
              <w:bottom w:val="single" w:sz="4" w:space="0" w:color="auto"/>
              <w:right w:val="dotted" w:sz="4" w:space="0" w:color="auto"/>
            </w:tcBorders>
            <w:shd w:val="clear" w:color="auto" w:fill="FFFFFF"/>
            <w:hideMark/>
          </w:tcPr>
          <w:p w14:paraId="4B3B6EA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dotted" w:sz="4" w:space="0" w:color="auto"/>
              <w:left w:val="nil"/>
              <w:bottom w:val="single" w:sz="4" w:space="0" w:color="auto"/>
              <w:right w:val="dotted" w:sz="4" w:space="0" w:color="auto"/>
            </w:tcBorders>
            <w:shd w:val="clear" w:color="auto" w:fill="FFFFFF"/>
            <w:hideMark/>
          </w:tcPr>
          <w:p w14:paraId="4210EAF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dotted" w:sz="4" w:space="0" w:color="auto"/>
              <w:left w:val="nil"/>
              <w:bottom w:val="single" w:sz="4" w:space="0" w:color="auto"/>
              <w:right w:val="dotted" w:sz="4" w:space="0" w:color="auto"/>
            </w:tcBorders>
            <w:shd w:val="clear" w:color="auto" w:fill="FFFFFF"/>
            <w:hideMark/>
          </w:tcPr>
          <w:p w14:paraId="1E12C79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79" w:type="dxa"/>
            <w:tcBorders>
              <w:top w:val="dotted" w:sz="4" w:space="0" w:color="auto"/>
              <w:left w:val="nil"/>
              <w:bottom w:val="single" w:sz="4" w:space="0" w:color="auto"/>
              <w:right w:val="double" w:sz="6" w:space="0" w:color="auto"/>
            </w:tcBorders>
            <w:shd w:val="clear" w:color="auto" w:fill="FFFFFF"/>
            <w:hideMark/>
          </w:tcPr>
          <w:p w14:paraId="517FDF1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391C31A0"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2927689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 Exchange rate vis-à-vis EUR (annual average)</w:t>
            </w:r>
          </w:p>
        </w:tc>
        <w:tc>
          <w:tcPr>
            <w:tcW w:w="1264" w:type="dxa"/>
            <w:tcBorders>
              <w:top w:val="nil"/>
              <w:left w:val="nil"/>
              <w:bottom w:val="dotted" w:sz="4" w:space="0" w:color="auto"/>
              <w:right w:val="single" w:sz="8" w:space="0" w:color="auto"/>
            </w:tcBorders>
            <w:shd w:val="clear" w:color="auto" w:fill="FFFFFF"/>
            <w:hideMark/>
          </w:tcPr>
          <w:p w14:paraId="67E35CD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NCU/EUR</w:t>
            </w:r>
          </w:p>
        </w:tc>
        <w:tc>
          <w:tcPr>
            <w:tcW w:w="1026" w:type="dxa"/>
            <w:tcBorders>
              <w:top w:val="nil"/>
              <w:left w:val="nil"/>
              <w:bottom w:val="dotted" w:sz="4" w:space="0" w:color="auto"/>
              <w:right w:val="dotted" w:sz="4" w:space="0" w:color="auto"/>
            </w:tcBorders>
            <w:shd w:val="clear" w:color="auto" w:fill="FFFFFF"/>
            <w:hideMark/>
          </w:tcPr>
          <w:p w14:paraId="186C851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123.8</w:t>
            </w:r>
          </w:p>
        </w:tc>
        <w:tc>
          <w:tcPr>
            <w:tcW w:w="879" w:type="dxa"/>
            <w:tcBorders>
              <w:top w:val="nil"/>
              <w:left w:val="nil"/>
              <w:bottom w:val="dotted" w:sz="4" w:space="0" w:color="auto"/>
              <w:right w:val="dotted" w:sz="4" w:space="0" w:color="auto"/>
            </w:tcBorders>
            <w:shd w:val="clear" w:color="auto" w:fill="FFFFFF"/>
            <w:hideMark/>
          </w:tcPr>
          <w:p w14:paraId="163B4C1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122.5</w:t>
            </w:r>
          </w:p>
        </w:tc>
        <w:tc>
          <w:tcPr>
            <w:tcW w:w="879" w:type="dxa"/>
            <w:tcBorders>
              <w:top w:val="nil"/>
              <w:left w:val="nil"/>
              <w:bottom w:val="dotted" w:sz="4" w:space="0" w:color="auto"/>
              <w:right w:val="dotted" w:sz="4" w:space="0" w:color="auto"/>
            </w:tcBorders>
            <w:shd w:val="clear" w:color="auto" w:fill="FFFFFF"/>
            <w:hideMark/>
          </w:tcPr>
          <w:p w14:paraId="7BE26AF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122.5</w:t>
            </w:r>
          </w:p>
        </w:tc>
        <w:tc>
          <w:tcPr>
            <w:tcW w:w="879" w:type="dxa"/>
            <w:tcBorders>
              <w:top w:val="nil"/>
              <w:left w:val="nil"/>
              <w:bottom w:val="dotted" w:sz="4" w:space="0" w:color="auto"/>
              <w:right w:val="dotted" w:sz="4" w:space="0" w:color="auto"/>
            </w:tcBorders>
            <w:shd w:val="clear" w:color="auto" w:fill="FFFFFF"/>
            <w:hideMark/>
          </w:tcPr>
          <w:p w14:paraId="382F4FF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122.5</w:t>
            </w:r>
          </w:p>
        </w:tc>
        <w:tc>
          <w:tcPr>
            <w:tcW w:w="879" w:type="dxa"/>
            <w:tcBorders>
              <w:top w:val="nil"/>
              <w:left w:val="nil"/>
              <w:bottom w:val="dotted" w:sz="4" w:space="0" w:color="auto"/>
              <w:right w:val="double" w:sz="6" w:space="0" w:color="auto"/>
            </w:tcBorders>
            <w:shd w:val="clear" w:color="auto" w:fill="FFFFFF"/>
            <w:hideMark/>
          </w:tcPr>
          <w:p w14:paraId="0A1A96E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122.5</w:t>
            </w:r>
          </w:p>
        </w:tc>
      </w:tr>
      <w:tr w:rsidR="00FA29AB" w:rsidRPr="00050FA4" w14:paraId="56A5A5C9"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09A89DD2" w14:textId="30798C3B" w:rsidR="00094A26" w:rsidRPr="00050FA4" w:rsidRDefault="009B1D6B"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xml:space="preserve"> </w:t>
            </w:r>
            <w:r w:rsidR="00094A26" w:rsidRPr="00050FA4">
              <w:rPr>
                <w:rFonts w:ascii="Garamond" w:eastAsia="Times New Roman" w:hAnsi="Garamond"/>
                <w:i/>
                <w:iCs/>
                <w:color w:val="0D0D0D" w:themeColor="text1" w:themeTint="F2"/>
                <w:sz w:val="18"/>
                <w:szCs w:val="18"/>
              </w:rPr>
              <w:t>p.m. Exchange rate vis-à-vis EUR (annual average)</w:t>
            </w:r>
          </w:p>
        </w:tc>
        <w:tc>
          <w:tcPr>
            <w:tcW w:w="1264" w:type="dxa"/>
            <w:tcBorders>
              <w:top w:val="nil"/>
              <w:left w:val="nil"/>
              <w:bottom w:val="dotted" w:sz="4" w:space="0" w:color="auto"/>
              <w:right w:val="single" w:sz="8" w:space="0" w:color="auto"/>
            </w:tcBorders>
            <w:shd w:val="clear" w:color="auto" w:fill="FFFFFF"/>
            <w:hideMark/>
          </w:tcPr>
          <w:p w14:paraId="24BB3AD6" w14:textId="77777777" w:rsidR="00094A26" w:rsidRPr="00050FA4" w:rsidRDefault="00094A26" w:rsidP="00A95D23">
            <w:pPr>
              <w:jc w:val="cente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year-on-year</w:t>
            </w:r>
          </w:p>
        </w:tc>
        <w:tc>
          <w:tcPr>
            <w:tcW w:w="1026" w:type="dxa"/>
            <w:tcBorders>
              <w:top w:val="nil"/>
              <w:left w:val="nil"/>
              <w:bottom w:val="dotted" w:sz="4" w:space="0" w:color="auto"/>
              <w:right w:val="dotted" w:sz="4" w:space="0" w:color="auto"/>
            </w:tcBorders>
            <w:shd w:val="clear" w:color="auto" w:fill="FFFFFF"/>
            <w:hideMark/>
          </w:tcPr>
          <w:p w14:paraId="3DCCEA66"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0.6</w:t>
            </w:r>
          </w:p>
        </w:tc>
        <w:tc>
          <w:tcPr>
            <w:tcW w:w="879" w:type="dxa"/>
            <w:tcBorders>
              <w:top w:val="nil"/>
              <w:left w:val="nil"/>
              <w:bottom w:val="dotted" w:sz="4" w:space="0" w:color="auto"/>
              <w:right w:val="dotted" w:sz="4" w:space="0" w:color="auto"/>
            </w:tcBorders>
            <w:shd w:val="clear" w:color="auto" w:fill="FFFFFF"/>
            <w:hideMark/>
          </w:tcPr>
          <w:p w14:paraId="79492FE8"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-1.0</w:t>
            </w:r>
          </w:p>
        </w:tc>
        <w:tc>
          <w:tcPr>
            <w:tcW w:w="879" w:type="dxa"/>
            <w:tcBorders>
              <w:top w:val="nil"/>
              <w:left w:val="nil"/>
              <w:bottom w:val="dotted" w:sz="4" w:space="0" w:color="auto"/>
              <w:right w:val="dotted" w:sz="4" w:space="0" w:color="auto"/>
            </w:tcBorders>
            <w:shd w:val="clear" w:color="auto" w:fill="FFFFFF"/>
            <w:hideMark/>
          </w:tcPr>
          <w:p w14:paraId="07BFC3DB"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0.0</w:t>
            </w:r>
          </w:p>
        </w:tc>
        <w:tc>
          <w:tcPr>
            <w:tcW w:w="879" w:type="dxa"/>
            <w:tcBorders>
              <w:top w:val="nil"/>
              <w:left w:val="nil"/>
              <w:bottom w:val="dotted" w:sz="4" w:space="0" w:color="auto"/>
              <w:right w:val="dotted" w:sz="4" w:space="0" w:color="auto"/>
            </w:tcBorders>
            <w:shd w:val="clear" w:color="auto" w:fill="FFFFFF"/>
            <w:hideMark/>
          </w:tcPr>
          <w:p w14:paraId="62C963AD"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0.0</w:t>
            </w:r>
          </w:p>
        </w:tc>
        <w:tc>
          <w:tcPr>
            <w:tcW w:w="879" w:type="dxa"/>
            <w:tcBorders>
              <w:top w:val="nil"/>
              <w:left w:val="nil"/>
              <w:bottom w:val="dotted" w:sz="4" w:space="0" w:color="auto"/>
              <w:right w:val="double" w:sz="6" w:space="0" w:color="auto"/>
            </w:tcBorders>
            <w:shd w:val="clear" w:color="auto" w:fill="FFFFFF"/>
            <w:hideMark/>
          </w:tcPr>
          <w:p w14:paraId="6301C9C0"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0.0</w:t>
            </w:r>
          </w:p>
        </w:tc>
      </w:tr>
      <w:tr w:rsidR="00FA29AB" w:rsidRPr="00050FA4" w14:paraId="12F3BFCF"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2BD6047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17a. Exchange rate vis-à-vis EUR (end-year)</w:t>
            </w:r>
          </w:p>
        </w:tc>
        <w:tc>
          <w:tcPr>
            <w:tcW w:w="1264" w:type="dxa"/>
            <w:tcBorders>
              <w:top w:val="nil"/>
              <w:left w:val="nil"/>
              <w:bottom w:val="dotted" w:sz="4" w:space="0" w:color="auto"/>
              <w:right w:val="single" w:sz="8" w:space="0" w:color="auto"/>
            </w:tcBorders>
            <w:shd w:val="clear" w:color="auto" w:fill="FFFFFF"/>
            <w:hideMark/>
          </w:tcPr>
          <w:p w14:paraId="4C75E0A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NCU/EUR</w:t>
            </w:r>
          </w:p>
        </w:tc>
        <w:tc>
          <w:tcPr>
            <w:tcW w:w="1026" w:type="dxa"/>
            <w:tcBorders>
              <w:top w:val="nil"/>
              <w:left w:val="nil"/>
              <w:bottom w:val="dotted" w:sz="4" w:space="0" w:color="auto"/>
              <w:right w:val="dotted" w:sz="4" w:space="0" w:color="auto"/>
            </w:tcBorders>
            <w:shd w:val="clear" w:color="auto" w:fill="FFFFFF"/>
            <w:hideMark/>
          </w:tcPr>
          <w:p w14:paraId="61396DC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123.5</w:t>
            </w:r>
          </w:p>
        </w:tc>
        <w:tc>
          <w:tcPr>
            <w:tcW w:w="879" w:type="dxa"/>
            <w:tcBorders>
              <w:top w:val="nil"/>
              <w:left w:val="nil"/>
              <w:bottom w:val="dotted" w:sz="4" w:space="0" w:color="auto"/>
              <w:right w:val="dotted" w:sz="4" w:space="0" w:color="auto"/>
            </w:tcBorders>
            <w:shd w:val="clear" w:color="auto" w:fill="FFFFFF"/>
            <w:hideMark/>
          </w:tcPr>
          <w:p w14:paraId="7335E4E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121.0</w:t>
            </w:r>
          </w:p>
        </w:tc>
        <w:tc>
          <w:tcPr>
            <w:tcW w:w="879" w:type="dxa"/>
            <w:tcBorders>
              <w:top w:val="nil"/>
              <w:left w:val="nil"/>
              <w:bottom w:val="dotted" w:sz="4" w:space="0" w:color="auto"/>
              <w:right w:val="dotted" w:sz="4" w:space="0" w:color="auto"/>
            </w:tcBorders>
            <w:shd w:val="clear" w:color="auto" w:fill="FFFFFF"/>
            <w:hideMark/>
          </w:tcPr>
          <w:p w14:paraId="759A674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121.0</w:t>
            </w:r>
          </w:p>
        </w:tc>
        <w:tc>
          <w:tcPr>
            <w:tcW w:w="879" w:type="dxa"/>
            <w:tcBorders>
              <w:top w:val="nil"/>
              <w:left w:val="nil"/>
              <w:bottom w:val="dotted" w:sz="4" w:space="0" w:color="auto"/>
              <w:right w:val="dotted" w:sz="4" w:space="0" w:color="auto"/>
            </w:tcBorders>
            <w:shd w:val="clear" w:color="auto" w:fill="FFFFFF"/>
            <w:hideMark/>
          </w:tcPr>
          <w:p w14:paraId="3F79CD9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121.0</w:t>
            </w:r>
          </w:p>
        </w:tc>
        <w:tc>
          <w:tcPr>
            <w:tcW w:w="879" w:type="dxa"/>
            <w:tcBorders>
              <w:top w:val="nil"/>
              <w:left w:val="nil"/>
              <w:bottom w:val="dotted" w:sz="4" w:space="0" w:color="auto"/>
              <w:right w:val="double" w:sz="6" w:space="0" w:color="auto"/>
            </w:tcBorders>
            <w:shd w:val="clear" w:color="auto" w:fill="FFFFFF"/>
            <w:hideMark/>
          </w:tcPr>
          <w:p w14:paraId="3ED1D56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121.0</w:t>
            </w:r>
          </w:p>
        </w:tc>
      </w:tr>
      <w:tr w:rsidR="00FA29AB" w:rsidRPr="00050FA4" w14:paraId="37A76B02"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2C122C50" w14:textId="66F5EB89" w:rsidR="00094A26" w:rsidRPr="00050FA4" w:rsidRDefault="009B1D6B"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xml:space="preserve"> </w:t>
            </w:r>
            <w:r w:rsidR="00094A26" w:rsidRPr="00050FA4">
              <w:rPr>
                <w:rFonts w:ascii="Garamond" w:eastAsia="Times New Roman" w:hAnsi="Garamond"/>
                <w:i/>
                <w:iCs/>
                <w:color w:val="0D0D0D" w:themeColor="text1" w:themeTint="F2"/>
                <w:sz w:val="18"/>
                <w:szCs w:val="18"/>
              </w:rPr>
              <w:t>p.m. Exchange rate vis-à-vis EUR (end-year)</w:t>
            </w:r>
          </w:p>
        </w:tc>
        <w:tc>
          <w:tcPr>
            <w:tcW w:w="1264" w:type="dxa"/>
            <w:tcBorders>
              <w:top w:val="nil"/>
              <w:left w:val="nil"/>
              <w:bottom w:val="single" w:sz="4" w:space="0" w:color="auto"/>
              <w:right w:val="single" w:sz="8" w:space="0" w:color="auto"/>
            </w:tcBorders>
            <w:shd w:val="clear" w:color="auto" w:fill="FFFFFF"/>
            <w:hideMark/>
          </w:tcPr>
          <w:p w14:paraId="503AB0CF" w14:textId="77777777" w:rsidR="00094A26" w:rsidRPr="00050FA4" w:rsidRDefault="00094A26" w:rsidP="00A95D23">
            <w:pPr>
              <w:jc w:val="cente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 year-on-year</w:t>
            </w:r>
          </w:p>
        </w:tc>
        <w:tc>
          <w:tcPr>
            <w:tcW w:w="1026" w:type="dxa"/>
            <w:tcBorders>
              <w:top w:val="nil"/>
              <w:left w:val="nil"/>
              <w:bottom w:val="dotted" w:sz="4" w:space="0" w:color="auto"/>
              <w:right w:val="dotted" w:sz="4" w:space="0" w:color="auto"/>
            </w:tcBorders>
            <w:shd w:val="clear" w:color="auto" w:fill="FFFFFF"/>
            <w:hideMark/>
          </w:tcPr>
          <w:p w14:paraId="769DD46E"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1.1</w:t>
            </w:r>
          </w:p>
        </w:tc>
        <w:tc>
          <w:tcPr>
            <w:tcW w:w="879" w:type="dxa"/>
            <w:tcBorders>
              <w:top w:val="nil"/>
              <w:left w:val="nil"/>
              <w:bottom w:val="dotted" w:sz="4" w:space="0" w:color="auto"/>
              <w:right w:val="dotted" w:sz="4" w:space="0" w:color="auto"/>
            </w:tcBorders>
            <w:shd w:val="clear" w:color="auto" w:fill="FFFFFF"/>
            <w:hideMark/>
          </w:tcPr>
          <w:p w14:paraId="1FEB7AFF"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-2.1</w:t>
            </w:r>
          </w:p>
        </w:tc>
        <w:tc>
          <w:tcPr>
            <w:tcW w:w="879" w:type="dxa"/>
            <w:tcBorders>
              <w:top w:val="nil"/>
              <w:left w:val="nil"/>
              <w:bottom w:val="dotted" w:sz="4" w:space="0" w:color="auto"/>
              <w:right w:val="dotted" w:sz="4" w:space="0" w:color="auto"/>
            </w:tcBorders>
            <w:shd w:val="clear" w:color="auto" w:fill="FFFFFF"/>
            <w:hideMark/>
          </w:tcPr>
          <w:p w14:paraId="27DA4601"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0.0</w:t>
            </w:r>
          </w:p>
        </w:tc>
        <w:tc>
          <w:tcPr>
            <w:tcW w:w="879" w:type="dxa"/>
            <w:tcBorders>
              <w:top w:val="nil"/>
              <w:left w:val="nil"/>
              <w:bottom w:val="dotted" w:sz="4" w:space="0" w:color="auto"/>
              <w:right w:val="dotted" w:sz="4" w:space="0" w:color="auto"/>
            </w:tcBorders>
            <w:shd w:val="clear" w:color="auto" w:fill="FFFFFF"/>
            <w:hideMark/>
          </w:tcPr>
          <w:p w14:paraId="7BBC6522"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0.0</w:t>
            </w:r>
          </w:p>
        </w:tc>
        <w:tc>
          <w:tcPr>
            <w:tcW w:w="879" w:type="dxa"/>
            <w:tcBorders>
              <w:top w:val="nil"/>
              <w:left w:val="nil"/>
              <w:bottom w:val="dotted" w:sz="4" w:space="0" w:color="auto"/>
              <w:right w:val="double" w:sz="6" w:space="0" w:color="auto"/>
            </w:tcBorders>
            <w:shd w:val="clear" w:color="auto" w:fill="FFFFFF"/>
            <w:hideMark/>
          </w:tcPr>
          <w:p w14:paraId="0580C237" w14:textId="77777777" w:rsidR="00094A26" w:rsidRPr="00050FA4" w:rsidRDefault="00094A26" w:rsidP="00617B60">
            <w:pPr>
              <w:jc w:val="right"/>
              <w:rPr>
                <w:rFonts w:ascii="Garamond" w:eastAsia="Times New Roman" w:hAnsi="Garamond"/>
                <w:i/>
                <w:iCs/>
                <w:color w:val="0D0D0D" w:themeColor="text1" w:themeTint="F2"/>
                <w:sz w:val="18"/>
                <w:szCs w:val="18"/>
              </w:rPr>
            </w:pPr>
            <w:r w:rsidRPr="00050FA4">
              <w:rPr>
                <w:rFonts w:ascii="Garamond" w:hAnsi="Garamond"/>
                <w:i/>
                <w:iCs/>
                <w:color w:val="0D0D0D" w:themeColor="text1" w:themeTint="F2"/>
                <w:sz w:val="18"/>
                <w:szCs w:val="18"/>
              </w:rPr>
              <w:t>0.0</w:t>
            </w:r>
          </w:p>
        </w:tc>
      </w:tr>
      <w:tr w:rsidR="00FA29AB" w:rsidRPr="00050FA4" w14:paraId="1A03DC79" w14:textId="77777777" w:rsidTr="00617B60">
        <w:trPr>
          <w:trHeight w:val="217"/>
          <w:jc w:val="center"/>
        </w:trPr>
        <w:tc>
          <w:tcPr>
            <w:tcW w:w="4326" w:type="dxa"/>
            <w:tcBorders>
              <w:top w:val="single" w:sz="4" w:space="0" w:color="auto"/>
              <w:left w:val="double" w:sz="6" w:space="0" w:color="auto"/>
              <w:bottom w:val="dotted" w:sz="4" w:space="0" w:color="auto"/>
              <w:right w:val="single" w:sz="8" w:space="0" w:color="auto"/>
            </w:tcBorders>
            <w:shd w:val="clear" w:color="auto" w:fill="FFFFFF"/>
            <w:hideMark/>
          </w:tcPr>
          <w:p w14:paraId="2CC0F9F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18. Net foreign saving</w:t>
            </w:r>
          </w:p>
        </w:tc>
        <w:tc>
          <w:tcPr>
            <w:tcW w:w="1264" w:type="dxa"/>
            <w:shd w:val="clear" w:color="auto" w:fill="FFFFFF"/>
            <w:hideMark/>
          </w:tcPr>
          <w:p w14:paraId="0241D16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26" w:type="dxa"/>
            <w:tcBorders>
              <w:top w:val="single" w:sz="4" w:space="0" w:color="auto"/>
              <w:left w:val="single" w:sz="8" w:space="0" w:color="auto"/>
              <w:bottom w:val="dotted" w:sz="4" w:space="0" w:color="auto"/>
              <w:right w:val="dotted" w:sz="4" w:space="0" w:color="auto"/>
            </w:tcBorders>
            <w:shd w:val="clear" w:color="auto" w:fill="FFFFFF"/>
            <w:hideMark/>
          </w:tcPr>
          <w:p w14:paraId="320ADBA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8.8</w:t>
            </w:r>
          </w:p>
        </w:tc>
        <w:tc>
          <w:tcPr>
            <w:tcW w:w="879" w:type="dxa"/>
            <w:tcBorders>
              <w:top w:val="single" w:sz="4" w:space="0" w:color="auto"/>
              <w:left w:val="nil"/>
              <w:bottom w:val="dotted" w:sz="4" w:space="0" w:color="auto"/>
              <w:right w:val="dotted" w:sz="4" w:space="0" w:color="auto"/>
            </w:tcBorders>
            <w:shd w:val="clear" w:color="auto" w:fill="FFFFFF"/>
            <w:hideMark/>
          </w:tcPr>
          <w:p w14:paraId="659A100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w:t>
            </w:r>
          </w:p>
        </w:tc>
        <w:tc>
          <w:tcPr>
            <w:tcW w:w="879" w:type="dxa"/>
            <w:tcBorders>
              <w:top w:val="single" w:sz="4" w:space="0" w:color="auto"/>
              <w:left w:val="nil"/>
              <w:bottom w:val="dotted" w:sz="4" w:space="0" w:color="auto"/>
              <w:right w:val="dotted" w:sz="4" w:space="0" w:color="auto"/>
            </w:tcBorders>
            <w:shd w:val="clear" w:color="auto" w:fill="FFFFFF"/>
            <w:hideMark/>
          </w:tcPr>
          <w:p w14:paraId="6264E1E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7.3</w:t>
            </w:r>
          </w:p>
        </w:tc>
        <w:tc>
          <w:tcPr>
            <w:tcW w:w="879" w:type="dxa"/>
            <w:tcBorders>
              <w:top w:val="single" w:sz="4" w:space="0" w:color="auto"/>
              <w:left w:val="nil"/>
              <w:bottom w:val="dotted" w:sz="4" w:space="0" w:color="auto"/>
              <w:right w:val="dotted" w:sz="4" w:space="0" w:color="auto"/>
            </w:tcBorders>
            <w:shd w:val="clear" w:color="auto" w:fill="FFFFFF"/>
            <w:hideMark/>
          </w:tcPr>
          <w:p w14:paraId="533A8E0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6.9</w:t>
            </w:r>
          </w:p>
        </w:tc>
        <w:tc>
          <w:tcPr>
            <w:tcW w:w="879" w:type="dxa"/>
            <w:tcBorders>
              <w:top w:val="single" w:sz="4" w:space="0" w:color="auto"/>
              <w:left w:val="nil"/>
              <w:bottom w:val="dotted" w:sz="4" w:space="0" w:color="auto"/>
              <w:right w:val="double" w:sz="6" w:space="0" w:color="auto"/>
            </w:tcBorders>
            <w:shd w:val="clear" w:color="auto" w:fill="FFFFFF"/>
            <w:hideMark/>
          </w:tcPr>
          <w:p w14:paraId="086807E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6.2</w:t>
            </w:r>
          </w:p>
        </w:tc>
      </w:tr>
      <w:tr w:rsidR="00FA29AB" w:rsidRPr="00050FA4" w14:paraId="05886C1E"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212DC03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19. Domestic private saving</w:t>
            </w:r>
          </w:p>
        </w:tc>
        <w:tc>
          <w:tcPr>
            <w:tcW w:w="1264" w:type="dxa"/>
            <w:tcBorders>
              <w:top w:val="dotted" w:sz="4" w:space="0" w:color="auto"/>
              <w:left w:val="nil"/>
              <w:bottom w:val="dotted" w:sz="4" w:space="0" w:color="auto"/>
              <w:right w:val="single" w:sz="8" w:space="0" w:color="auto"/>
            </w:tcBorders>
            <w:shd w:val="clear" w:color="auto" w:fill="FFFFFF"/>
            <w:hideMark/>
          </w:tcPr>
          <w:p w14:paraId="7334931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26" w:type="dxa"/>
            <w:tcBorders>
              <w:top w:val="nil"/>
              <w:left w:val="nil"/>
              <w:bottom w:val="dotted" w:sz="4" w:space="0" w:color="auto"/>
              <w:right w:val="dotted" w:sz="4" w:space="0" w:color="auto"/>
            </w:tcBorders>
            <w:shd w:val="clear" w:color="auto" w:fill="FFFFFF"/>
            <w:hideMark/>
          </w:tcPr>
          <w:p w14:paraId="42FAC1C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14.4</w:t>
            </w:r>
          </w:p>
        </w:tc>
        <w:tc>
          <w:tcPr>
            <w:tcW w:w="879" w:type="dxa"/>
            <w:tcBorders>
              <w:top w:val="nil"/>
              <w:left w:val="nil"/>
              <w:bottom w:val="dotted" w:sz="4" w:space="0" w:color="auto"/>
              <w:right w:val="dotted" w:sz="4" w:space="0" w:color="auto"/>
            </w:tcBorders>
            <w:shd w:val="clear" w:color="auto" w:fill="FFFFFF"/>
            <w:hideMark/>
          </w:tcPr>
          <w:p w14:paraId="28E8B79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14.4</w:t>
            </w:r>
          </w:p>
        </w:tc>
        <w:tc>
          <w:tcPr>
            <w:tcW w:w="879" w:type="dxa"/>
            <w:tcBorders>
              <w:top w:val="nil"/>
              <w:left w:val="nil"/>
              <w:bottom w:val="dotted" w:sz="4" w:space="0" w:color="auto"/>
              <w:right w:val="dotted" w:sz="4" w:space="0" w:color="auto"/>
            </w:tcBorders>
            <w:shd w:val="clear" w:color="auto" w:fill="FFFFFF"/>
            <w:hideMark/>
          </w:tcPr>
          <w:p w14:paraId="02D84D4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15.9</w:t>
            </w:r>
          </w:p>
        </w:tc>
        <w:tc>
          <w:tcPr>
            <w:tcW w:w="879" w:type="dxa"/>
            <w:tcBorders>
              <w:top w:val="nil"/>
              <w:left w:val="nil"/>
              <w:bottom w:val="dotted" w:sz="4" w:space="0" w:color="auto"/>
              <w:right w:val="dotted" w:sz="4" w:space="0" w:color="auto"/>
            </w:tcBorders>
            <w:shd w:val="clear" w:color="auto" w:fill="FFFFFF"/>
            <w:hideMark/>
          </w:tcPr>
          <w:p w14:paraId="3F19C82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14.6</w:t>
            </w:r>
          </w:p>
        </w:tc>
        <w:tc>
          <w:tcPr>
            <w:tcW w:w="879" w:type="dxa"/>
            <w:tcBorders>
              <w:top w:val="nil"/>
              <w:left w:val="nil"/>
              <w:bottom w:val="dotted" w:sz="4" w:space="0" w:color="auto"/>
              <w:right w:val="double" w:sz="6" w:space="0" w:color="auto"/>
            </w:tcBorders>
            <w:shd w:val="clear" w:color="auto" w:fill="FFFFFF"/>
            <w:hideMark/>
          </w:tcPr>
          <w:p w14:paraId="5B2069D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14.9</w:t>
            </w:r>
          </w:p>
        </w:tc>
      </w:tr>
      <w:tr w:rsidR="00FA29AB" w:rsidRPr="00050FA4" w14:paraId="798853A3"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5DA871A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20. Domestic private investment </w:t>
            </w:r>
          </w:p>
        </w:tc>
        <w:tc>
          <w:tcPr>
            <w:tcW w:w="1264" w:type="dxa"/>
            <w:tcBorders>
              <w:top w:val="nil"/>
              <w:left w:val="nil"/>
              <w:bottom w:val="dotted" w:sz="4" w:space="0" w:color="auto"/>
              <w:right w:val="single" w:sz="8" w:space="0" w:color="auto"/>
            </w:tcBorders>
            <w:shd w:val="clear" w:color="auto" w:fill="FFFFFF"/>
            <w:hideMark/>
          </w:tcPr>
          <w:p w14:paraId="221DA4D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26" w:type="dxa"/>
            <w:tcBorders>
              <w:top w:val="nil"/>
              <w:left w:val="nil"/>
              <w:bottom w:val="dotted" w:sz="4" w:space="0" w:color="auto"/>
              <w:right w:val="dotted" w:sz="4" w:space="0" w:color="auto"/>
            </w:tcBorders>
            <w:shd w:val="clear" w:color="auto" w:fill="FFFFFF"/>
            <w:hideMark/>
          </w:tcPr>
          <w:p w14:paraId="664A49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15.9</w:t>
            </w:r>
          </w:p>
        </w:tc>
        <w:tc>
          <w:tcPr>
            <w:tcW w:w="879" w:type="dxa"/>
            <w:tcBorders>
              <w:top w:val="nil"/>
              <w:left w:val="nil"/>
              <w:bottom w:val="dotted" w:sz="4" w:space="0" w:color="auto"/>
              <w:right w:val="dotted" w:sz="4" w:space="0" w:color="auto"/>
            </w:tcBorders>
            <w:shd w:val="clear" w:color="auto" w:fill="FFFFFF"/>
            <w:hideMark/>
          </w:tcPr>
          <w:p w14:paraId="4AF02C6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16.9</w:t>
            </w:r>
          </w:p>
        </w:tc>
        <w:tc>
          <w:tcPr>
            <w:tcW w:w="879" w:type="dxa"/>
            <w:tcBorders>
              <w:top w:val="nil"/>
              <w:left w:val="nil"/>
              <w:bottom w:val="dotted" w:sz="4" w:space="0" w:color="auto"/>
              <w:right w:val="dotted" w:sz="4" w:space="0" w:color="auto"/>
            </w:tcBorders>
            <w:shd w:val="clear" w:color="auto" w:fill="FFFFFF"/>
            <w:hideMark/>
          </w:tcPr>
          <w:p w14:paraId="7AE40F4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17.4</w:t>
            </w:r>
          </w:p>
        </w:tc>
        <w:tc>
          <w:tcPr>
            <w:tcW w:w="879" w:type="dxa"/>
            <w:tcBorders>
              <w:top w:val="nil"/>
              <w:left w:val="nil"/>
              <w:bottom w:val="dotted" w:sz="4" w:space="0" w:color="auto"/>
              <w:right w:val="dotted" w:sz="4" w:space="0" w:color="auto"/>
            </w:tcBorders>
            <w:shd w:val="clear" w:color="auto" w:fill="FFFFFF"/>
            <w:hideMark/>
          </w:tcPr>
          <w:p w14:paraId="1A2C23C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18.0</w:t>
            </w:r>
          </w:p>
        </w:tc>
        <w:tc>
          <w:tcPr>
            <w:tcW w:w="879" w:type="dxa"/>
            <w:tcBorders>
              <w:top w:val="nil"/>
              <w:left w:val="nil"/>
              <w:bottom w:val="dotted" w:sz="4" w:space="0" w:color="auto"/>
              <w:right w:val="double" w:sz="6" w:space="0" w:color="auto"/>
            </w:tcBorders>
            <w:shd w:val="clear" w:color="auto" w:fill="FFFFFF"/>
            <w:hideMark/>
          </w:tcPr>
          <w:p w14:paraId="2A64D69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17.8</w:t>
            </w:r>
          </w:p>
        </w:tc>
      </w:tr>
      <w:tr w:rsidR="00FA29AB" w:rsidRPr="00050FA4" w14:paraId="1EE2396E" w14:textId="77777777" w:rsidTr="00617B60">
        <w:trPr>
          <w:trHeight w:val="217"/>
          <w:jc w:val="center"/>
        </w:trPr>
        <w:tc>
          <w:tcPr>
            <w:tcW w:w="4326" w:type="dxa"/>
            <w:tcBorders>
              <w:top w:val="nil"/>
              <w:left w:val="double" w:sz="6" w:space="0" w:color="auto"/>
              <w:bottom w:val="dotted" w:sz="4" w:space="0" w:color="auto"/>
              <w:right w:val="single" w:sz="8" w:space="0" w:color="auto"/>
            </w:tcBorders>
            <w:shd w:val="clear" w:color="auto" w:fill="FFFFFF"/>
            <w:hideMark/>
          </w:tcPr>
          <w:p w14:paraId="7DFD81A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21. Domestic public saving </w:t>
            </w:r>
          </w:p>
        </w:tc>
        <w:tc>
          <w:tcPr>
            <w:tcW w:w="1264" w:type="dxa"/>
            <w:tcBorders>
              <w:top w:val="nil"/>
              <w:left w:val="nil"/>
              <w:bottom w:val="dotted" w:sz="4" w:space="0" w:color="auto"/>
              <w:right w:val="single" w:sz="8" w:space="0" w:color="auto"/>
            </w:tcBorders>
            <w:shd w:val="clear" w:color="auto" w:fill="FFFFFF"/>
            <w:hideMark/>
          </w:tcPr>
          <w:p w14:paraId="0164FEF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26" w:type="dxa"/>
            <w:tcBorders>
              <w:top w:val="nil"/>
              <w:left w:val="nil"/>
              <w:bottom w:val="dotted" w:sz="4" w:space="0" w:color="auto"/>
              <w:right w:val="dotted" w:sz="4" w:space="0" w:color="auto"/>
            </w:tcBorders>
            <w:shd w:val="clear" w:color="auto" w:fill="FFFFFF"/>
            <w:hideMark/>
          </w:tcPr>
          <w:p w14:paraId="1A958B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879" w:type="dxa"/>
            <w:tcBorders>
              <w:top w:val="nil"/>
              <w:left w:val="nil"/>
              <w:bottom w:val="dotted" w:sz="4" w:space="0" w:color="auto"/>
              <w:right w:val="dotted" w:sz="4" w:space="0" w:color="auto"/>
            </w:tcBorders>
            <w:shd w:val="clear" w:color="auto" w:fill="FFFFFF"/>
            <w:hideMark/>
          </w:tcPr>
          <w:p w14:paraId="7608B0C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79" w:type="dxa"/>
            <w:tcBorders>
              <w:top w:val="nil"/>
              <w:left w:val="nil"/>
              <w:bottom w:val="dotted" w:sz="4" w:space="0" w:color="auto"/>
              <w:right w:val="dotted" w:sz="4" w:space="0" w:color="auto"/>
            </w:tcBorders>
            <w:shd w:val="clear" w:color="auto" w:fill="FFFFFF"/>
            <w:hideMark/>
          </w:tcPr>
          <w:p w14:paraId="4671FA6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879" w:type="dxa"/>
            <w:tcBorders>
              <w:top w:val="nil"/>
              <w:left w:val="nil"/>
              <w:bottom w:val="dotted" w:sz="4" w:space="0" w:color="auto"/>
              <w:right w:val="dotted" w:sz="4" w:space="0" w:color="auto"/>
            </w:tcBorders>
            <w:shd w:val="clear" w:color="auto" w:fill="FFFFFF"/>
            <w:hideMark/>
          </w:tcPr>
          <w:p w14:paraId="1D9FFD4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2.5</w:t>
            </w:r>
          </w:p>
        </w:tc>
        <w:tc>
          <w:tcPr>
            <w:tcW w:w="879" w:type="dxa"/>
            <w:tcBorders>
              <w:top w:val="nil"/>
              <w:left w:val="nil"/>
              <w:bottom w:val="dotted" w:sz="4" w:space="0" w:color="auto"/>
              <w:right w:val="double" w:sz="6" w:space="0" w:color="auto"/>
            </w:tcBorders>
            <w:shd w:val="clear" w:color="auto" w:fill="FFFFFF"/>
            <w:hideMark/>
          </w:tcPr>
          <w:p w14:paraId="1DC4B86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r>
      <w:tr w:rsidR="00FA29AB" w:rsidRPr="00050FA4" w14:paraId="1A230C74" w14:textId="77777777" w:rsidTr="00617B60">
        <w:trPr>
          <w:trHeight w:val="55"/>
          <w:jc w:val="center"/>
        </w:trPr>
        <w:tc>
          <w:tcPr>
            <w:tcW w:w="4326" w:type="dxa"/>
            <w:tcBorders>
              <w:top w:val="nil"/>
              <w:left w:val="double" w:sz="6" w:space="0" w:color="auto"/>
              <w:bottom w:val="double" w:sz="6" w:space="0" w:color="auto"/>
              <w:right w:val="single" w:sz="8" w:space="0" w:color="auto"/>
            </w:tcBorders>
            <w:shd w:val="clear" w:color="auto" w:fill="FFFFFF"/>
            <w:hideMark/>
          </w:tcPr>
          <w:p w14:paraId="67C202C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22. Domestic public investment </w:t>
            </w:r>
          </w:p>
        </w:tc>
        <w:tc>
          <w:tcPr>
            <w:tcW w:w="1264" w:type="dxa"/>
            <w:tcBorders>
              <w:top w:val="nil"/>
              <w:left w:val="nil"/>
              <w:bottom w:val="double" w:sz="6" w:space="0" w:color="auto"/>
              <w:right w:val="single" w:sz="8" w:space="0" w:color="auto"/>
            </w:tcBorders>
            <w:shd w:val="clear" w:color="auto" w:fill="FFFFFF"/>
            <w:hideMark/>
          </w:tcPr>
          <w:p w14:paraId="18F199F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26" w:type="dxa"/>
            <w:tcBorders>
              <w:top w:val="nil"/>
              <w:left w:val="nil"/>
              <w:bottom w:val="double" w:sz="6" w:space="0" w:color="auto"/>
              <w:right w:val="dotted" w:sz="4" w:space="0" w:color="auto"/>
            </w:tcBorders>
            <w:shd w:val="clear" w:color="auto" w:fill="FFFFFF"/>
            <w:hideMark/>
          </w:tcPr>
          <w:p w14:paraId="07AD1E8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7.1</w:t>
            </w:r>
          </w:p>
        </w:tc>
        <w:tc>
          <w:tcPr>
            <w:tcW w:w="879" w:type="dxa"/>
            <w:tcBorders>
              <w:top w:val="nil"/>
              <w:left w:val="nil"/>
              <w:bottom w:val="double" w:sz="6" w:space="0" w:color="auto"/>
              <w:right w:val="dotted" w:sz="4" w:space="0" w:color="auto"/>
            </w:tcBorders>
            <w:shd w:val="clear" w:color="auto" w:fill="FFFFFF"/>
            <w:hideMark/>
          </w:tcPr>
          <w:p w14:paraId="177913E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8.4</w:t>
            </w:r>
          </w:p>
        </w:tc>
        <w:tc>
          <w:tcPr>
            <w:tcW w:w="879" w:type="dxa"/>
            <w:tcBorders>
              <w:top w:val="nil"/>
              <w:left w:val="nil"/>
              <w:bottom w:val="double" w:sz="6" w:space="0" w:color="auto"/>
              <w:right w:val="dotted" w:sz="4" w:space="0" w:color="auto"/>
            </w:tcBorders>
            <w:shd w:val="clear" w:color="auto" w:fill="FFFFFF"/>
            <w:hideMark/>
          </w:tcPr>
          <w:p w14:paraId="1AFD969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7.2</w:t>
            </w:r>
          </w:p>
        </w:tc>
        <w:tc>
          <w:tcPr>
            <w:tcW w:w="879" w:type="dxa"/>
            <w:tcBorders>
              <w:top w:val="nil"/>
              <w:left w:val="nil"/>
              <w:bottom w:val="double" w:sz="6" w:space="0" w:color="auto"/>
              <w:right w:val="dotted" w:sz="4" w:space="0" w:color="auto"/>
            </w:tcBorders>
            <w:shd w:val="clear" w:color="auto" w:fill="FFFFFF"/>
            <w:hideMark/>
          </w:tcPr>
          <w:p w14:paraId="0D8689C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w:t>
            </w:r>
          </w:p>
        </w:tc>
        <w:tc>
          <w:tcPr>
            <w:tcW w:w="879" w:type="dxa"/>
            <w:tcBorders>
              <w:top w:val="nil"/>
              <w:left w:val="nil"/>
              <w:bottom w:val="double" w:sz="6" w:space="0" w:color="auto"/>
              <w:right w:val="double" w:sz="6" w:space="0" w:color="auto"/>
            </w:tcBorders>
            <w:shd w:val="clear" w:color="auto" w:fill="FFFFFF"/>
            <w:hideMark/>
          </w:tcPr>
          <w:p w14:paraId="7D6155B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w:t>
            </w:r>
          </w:p>
        </w:tc>
      </w:tr>
    </w:tbl>
    <w:p w14:paraId="46FABBC6" w14:textId="77777777" w:rsidR="00094A26" w:rsidRPr="00050FA4" w:rsidRDefault="00094A26" w:rsidP="003F1DA7">
      <w:pPr>
        <w:ind w:firstLine="284"/>
        <w:rPr>
          <w:rFonts w:ascii="Garamond" w:hAnsi="Garamond"/>
          <w:color w:val="0D0D0D" w:themeColor="text1" w:themeTint="F2"/>
          <w:sz w:val="20"/>
          <w:szCs w:val="20"/>
        </w:rPr>
      </w:pPr>
    </w:p>
    <w:p w14:paraId="1C028628"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106" w:name="_Toc93325789"/>
      <w:bookmarkStart w:id="107" w:name="_Toc30661247"/>
      <w:bookmarkStart w:id="108" w:name="_Toc536784312"/>
      <w:r w:rsidRPr="00050FA4">
        <w:rPr>
          <w:rFonts w:ascii="Garamond" w:hAnsi="Garamond"/>
          <w:color w:val="0D0D0D" w:themeColor="text1" w:themeTint="F2"/>
          <w:sz w:val="20"/>
          <w:szCs w:val="20"/>
        </w:rPr>
        <w:t>Tabela 1g: Indikatorët e qëndrueshmërisë</w:t>
      </w:r>
      <w:bookmarkEnd w:id="106"/>
      <w:r w:rsidRPr="00050FA4">
        <w:rPr>
          <w:rFonts w:ascii="Garamond" w:hAnsi="Garamond"/>
          <w:color w:val="0D0D0D" w:themeColor="text1" w:themeTint="F2"/>
          <w:sz w:val="20"/>
          <w:szCs w:val="20"/>
        </w:rPr>
        <w:t xml:space="preserve"> </w:t>
      </w:r>
      <w:bookmarkEnd w:id="107"/>
      <w:bookmarkEnd w:id="108"/>
    </w:p>
    <w:tbl>
      <w:tblPr>
        <w:tblW w:w="10158" w:type="dxa"/>
        <w:jc w:val="center"/>
        <w:tblLook w:val="04A0" w:firstRow="1" w:lastRow="0" w:firstColumn="1" w:lastColumn="0" w:noHBand="0" w:noVBand="1"/>
      </w:tblPr>
      <w:tblGrid>
        <w:gridCol w:w="3731"/>
        <w:gridCol w:w="1207"/>
        <w:gridCol w:w="1044"/>
        <w:gridCol w:w="1044"/>
        <w:gridCol w:w="1044"/>
        <w:gridCol w:w="1044"/>
        <w:gridCol w:w="1044"/>
      </w:tblGrid>
      <w:tr w:rsidR="00FA29AB" w:rsidRPr="00050FA4" w14:paraId="02568133" w14:textId="77777777" w:rsidTr="00617B60">
        <w:trPr>
          <w:trHeight w:val="247"/>
          <w:jc w:val="center"/>
        </w:trPr>
        <w:tc>
          <w:tcPr>
            <w:tcW w:w="3731" w:type="dxa"/>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27E15D3D" w14:textId="2842B11B" w:rsidR="00094A26" w:rsidRPr="00050FA4" w:rsidRDefault="00094A26" w:rsidP="00617B60">
            <w:pPr>
              <w:jc w:val="center"/>
              <w:rPr>
                <w:rFonts w:ascii="Garamond" w:eastAsia="Times New Roman" w:hAnsi="Garamond"/>
                <w:b/>
                <w:color w:val="0D0D0D" w:themeColor="text1" w:themeTint="F2"/>
                <w:sz w:val="18"/>
                <w:szCs w:val="18"/>
              </w:rPr>
            </w:pPr>
          </w:p>
        </w:tc>
        <w:tc>
          <w:tcPr>
            <w:tcW w:w="1207" w:type="dxa"/>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0BC2A33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Dimension</w:t>
            </w:r>
          </w:p>
        </w:tc>
        <w:tc>
          <w:tcPr>
            <w:tcW w:w="1044" w:type="dxa"/>
            <w:tcBorders>
              <w:top w:val="double" w:sz="6" w:space="0" w:color="auto"/>
              <w:left w:val="nil"/>
              <w:bottom w:val="nil"/>
              <w:right w:val="dotted" w:sz="4" w:space="0" w:color="auto"/>
            </w:tcBorders>
            <w:shd w:val="clear" w:color="auto" w:fill="FFFFFF"/>
            <w:vAlign w:val="center"/>
            <w:hideMark/>
          </w:tcPr>
          <w:p w14:paraId="44FB1A7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44" w:type="dxa"/>
            <w:tcBorders>
              <w:top w:val="double" w:sz="6" w:space="0" w:color="auto"/>
              <w:left w:val="nil"/>
              <w:bottom w:val="nil"/>
              <w:right w:val="dotted" w:sz="4" w:space="0" w:color="auto"/>
            </w:tcBorders>
            <w:shd w:val="clear" w:color="auto" w:fill="FFFFFF"/>
            <w:vAlign w:val="center"/>
            <w:hideMark/>
          </w:tcPr>
          <w:p w14:paraId="70341422"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44" w:type="dxa"/>
            <w:tcBorders>
              <w:top w:val="double" w:sz="6" w:space="0" w:color="auto"/>
              <w:left w:val="nil"/>
              <w:bottom w:val="nil"/>
              <w:right w:val="dotted" w:sz="4" w:space="0" w:color="auto"/>
            </w:tcBorders>
            <w:shd w:val="clear" w:color="auto" w:fill="FFFFFF"/>
            <w:vAlign w:val="center"/>
            <w:hideMark/>
          </w:tcPr>
          <w:p w14:paraId="18F55DA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44" w:type="dxa"/>
            <w:tcBorders>
              <w:top w:val="double" w:sz="6" w:space="0" w:color="auto"/>
              <w:left w:val="nil"/>
              <w:bottom w:val="nil"/>
              <w:right w:val="dotted" w:sz="4" w:space="0" w:color="auto"/>
            </w:tcBorders>
            <w:shd w:val="clear" w:color="auto" w:fill="FFFFFF"/>
            <w:vAlign w:val="center"/>
            <w:hideMark/>
          </w:tcPr>
          <w:p w14:paraId="1817A378"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1044" w:type="dxa"/>
            <w:tcBorders>
              <w:top w:val="double" w:sz="6" w:space="0" w:color="auto"/>
              <w:left w:val="nil"/>
              <w:bottom w:val="nil"/>
              <w:right w:val="double" w:sz="6" w:space="0" w:color="auto"/>
            </w:tcBorders>
            <w:shd w:val="clear" w:color="auto" w:fill="FFFFFF"/>
            <w:vAlign w:val="center"/>
            <w:hideMark/>
          </w:tcPr>
          <w:p w14:paraId="5DE7027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7F39C837" w14:textId="77777777" w:rsidTr="00617B60">
        <w:trPr>
          <w:trHeight w:val="247"/>
          <w:jc w:val="center"/>
        </w:trPr>
        <w:tc>
          <w:tcPr>
            <w:tcW w:w="0" w:type="auto"/>
            <w:vMerge/>
            <w:tcBorders>
              <w:top w:val="double" w:sz="6" w:space="0" w:color="auto"/>
              <w:left w:val="double" w:sz="6" w:space="0" w:color="auto"/>
              <w:bottom w:val="single" w:sz="8" w:space="0" w:color="000000"/>
              <w:right w:val="dotted" w:sz="4" w:space="0" w:color="auto"/>
            </w:tcBorders>
            <w:vAlign w:val="center"/>
            <w:hideMark/>
          </w:tcPr>
          <w:p w14:paraId="4BA73F91"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6A3E86CD"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1044" w:type="dxa"/>
            <w:tcBorders>
              <w:top w:val="nil"/>
              <w:left w:val="nil"/>
              <w:bottom w:val="single" w:sz="8" w:space="0" w:color="000000"/>
              <w:right w:val="dotted" w:sz="4" w:space="0" w:color="auto"/>
            </w:tcBorders>
            <w:shd w:val="clear" w:color="auto" w:fill="FFFFFF"/>
            <w:vAlign w:val="center"/>
            <w:hideMark/>
          </w:tcPr>
          <w:p w14:paraId="7BC6513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2017</w:t>
            </w:r>
          </w:p>
        </w:tc>
        <w:tc>
          <w:tcPr>
            <w:tcW w:w="1044" w:type="dxa"/>
            <w:tcBorders>
              <w:top w:val="nil"/>
              <w:left w:val="nil"/>
              <w:bottom w:val="single" w:sz="8" w:space="0" w:color="000000"/>
              <w:right w:val="dotted" w:sz="4" w:space="0" w:color="auto"/>
            </w:tcBorders>
            <w:shd w:val="clear" w:color="auto" w:fill="FFFFFF"/>
            <w:vAlign w:val="center"/>
            <w:hideMark/>
          </w:tcPr>
          <w:p w14:paraId="0227B18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2018</w:t>
            </w:r>
          </w:p>
        </w:tc>
        <w:tc>
          <w:tcPr>
            <w:tcW w:w="1044" w:type="dxa"/>
            <w:tcBorders>
              <w:top w:val="nil"/>
              <w:left w:val="nil"/>
              <w:bottom w:val="single" w:sz="8" w:space="0" w:color="000000"/>
              <w:right w:val="dotted" w:sz="4" w:space="0" w:color="auto"/>
            </w:tcBorders>
            <w:shd w:val="clear" w:color="auto" w:fill="FFFFFF"/>
            <w:vAlign w:val="center"/>
            <w:hideMark/>
          </w:tcPr>
          <w:p w14:paraId="47D196FA"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2019</w:t>
            </w:r>
          </w:p>
        </w:tc>
        <w:tc>
          <w:tcPr>
            <w:tcW w:w="1044" w:type="dxa"/>
            <w:tcBorders>
              <w:top w:val="nil"/>
              <w:left w:val="nil"/>
              <w:bottom w:val="single" w:sz="8" w:space="0" w:color="000000"/>
              <w:right w:val="dotted" w:sz="4" w:space="0" w:color="auto"/>
            </w:tcBorders>
            <w:shd w:val="clear" w:color="auto" w:fill="FFFFFF"/>
            <w:vAlign w:val="center"/>
            <w:hideMark/>
          </w:tcPr>
          <w:p w14:paraId="4E99CAF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1044" w:type="dxa"/>
            <w:tcBorders>
              <w:top w:val="nil"/>
              <w:left w:val="nil"/>
              <w:bottom w:val="single" w:sz="8" w:space="0" w:color="000000"/>
              <w:right w:val="double" w:sz="6" w:space="0" w:color="auto"/>
            </w:tcBorders>
            <w:shd w:val="clear" w:color="auto" w:fill="FFFFFF"/>
            <w:vAlign w:val="center"/>
            <w:hideMark/>
          </w:tcPr>
          <w:p w14:paraId="7D0D386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r>
      <w:tr w:rsidR="00FA29AB" w:rsidRPr="00050FA4" w14:paraId="656E6315"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66C2EF7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 Current Account Balance </w:t>
            </w:r>
          </w:p>
        </w:tc>
        <w:tc>
          <w:tcPr>
            <w:tcW w:w="1207" w:type="dxa"/>
            <w:tcBorders>
              <w:top w:val="nil"/>
              <w:left w:val="nil"/>
              <w:bottom w:val="dotted" w:sz="4" w:space="0" w:color="auto"/>
              <w:right w:val="single" w:sz="8" w:space="0" w:color="auto"/>
            </w:tcBorders>
            <w:shd w:val="clear" w:color="auto" w:fill="FFFFFF"/>
            <w:hideMark/>
          </w:tcPr>
          <w:p w14:paraId="5F69DAC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44" w:type="dxa"/>
            <w:tcBorders>
              <w:top w:val="nil"/>
              <w:left w:val="nil"/>
              <w:bottom w:val="dotted" w:sz="4" w:space="0" w:color="auto"/>
              <w:right w:val="dotted" w:sz="4" w:space="0" w:color="auto"/>
            </w:tcBorders>
            <w:shd w:val="clear" w:color="auto" w:fill="FFFFFF"/>
            <w:vAlign w:val="center"/>
            <w:hideMark/>
          </w:tcPr>
          <w:p w14:paraId="7AFB251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w:t>
            </w:r>
          </w:p>
        </w:tc>
        <w:tc>
          <w:tcPr>
            <w:tcW w:w="1044" w:type="dxa"/>
            <w:tcBorders>
              <w:top w:val="nil"/>
              <w:left w:val="nil"/>
              <w:bottom w:val="dotted" w:sz="4" w:space="0" w:color="auto"/>
              <w:right w:val="dotted" w:sz="4" w:space="0" w:color="auto"/>
            </w:tcBorders>
            <w:shd w:val="clear" w:color="auto" w:fill="FFFFFF"/>
            <w:vAlign w:val="center"/>
            <w:hideMark/>
          </w:tcPr>
          <w:p w14:paraId="0FCAB58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-6.8</w:t>
            </w:r>
          </w:p>
        </w:tc>
        <w:tc>
          <w:tcPr>
            <w:tcW w:w="1044" w:type="dxa"/>
            <w:tcBorders>
              <w:top w:val="nil"/>
              <w:left w:val="nil"/>
              <w:bottom w:val="dotted" w:sz="4" w:space="0" w:color="auto"/>
              <w:right w:val="dotted" w:sz="4" w:space="0" w:color="auto"/>
            </w:tcBorders>
            <w:shd w:val="clear" w:color="auto" w:fill="FFFFFF"/>
            <w:vAlign w:val="center"/>
            <w:hideMark/>
          </w:tcPr>
          <w:p w14:paraId="6EA3C61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-7.9</w:t>
            </w:r>
          </w:p>
        </w:tc>
        <w:tc>
          <w:tcPr>
            <w:tcW w:w="1044" w:type="dxa"/>
            <w:tcBorders>
              <w:top w:val="nil"/>
              <w:left w:val="nil"/>
              <w:bottom w:val="dotted" w:sz="4" w:space="0" w:color="auto"/>
              <w:right w:val="dotted" w:sz="4" w:space="0" w:color="auto"/>
            </w:tcBorders>
            <w:shd w:val="clear" w:color="auto" w:fill="FFFFFF"/>
            <w:vAlign w:val="center"/>
            <w:hideMark/>
          </w:tcPr>
          <w:p w14:paraId="1BF3B22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-8.8</w:t>
            </w:r>
          </w:p>
        </w:tc>
        <w:tc>
          <w:tcPr>
            <w:tcW w:w="1044" w:type="dxa"/>
            <w:tcBorders>
              <w:top w:val="nil"/>
              <w:left w:val="nil"/>
              <w:bottom w:val="dotted" w:sz="4" w:space="0" w:color="auto"/>
              <w:right w:val="double" w:sz="6" w:space="0" w:color="auto"/>
            </w:tcBorders>
            <w:shd w:val="clear" w:color="auto" w:fill="FFFFFF"/>
            <w:vAlign w:val="center"/>
            <w:hideMark/>
          </w:tcPr>
          <w:p w14:paraId="6F0672C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w:t>
            </w:r>
          </w:p>
        </w:tc>
      </w:tr>
      <w:tr w:rsidR="00FA29AB" w:rsidRPr="00050FA4" w14:paraId="3D929C19"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56DC035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Net International Investment Position</w:t>
            </w:r>
          </w:p>
        </w:tc>
        <w:tc>
          <w:tcPr>
            <w:tcW w:w="1207" w:type="dxa"/>
            <w:tcBorders>
              <w:top w:val="nil"/>
              <w:left w:val="nil"/>
              <w:bottom w:val="dotted" w:sz="4" w:space="0" w:color="auto"/>
              <w:right w:val="single" w:sz="8" w:space="0" w:color="auto"/>
            </w:tcBorders>
            <w:shd w:val="clear" w:color="auto" w:fill="FFFFFF"/>
            <w:hideMark/>
          </w:tcPr>
          <w:p w14:paraId="5179950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44" w:type="dxa"/>
            <w:tcBorders>
              <w:top w:val="nil"/>
              <w:left w:val="nil"/>
              <w:bottom w:val="dotted" w:sz="4" w:space="0" w:color="auto"/>
              <w:right w:val="dotted" w:sz="4" w:space="0" w:color="auto"/>
            </w:tcBorders>
            <w:shd w:val="clear" w:color="auto" w:fill="FFFFFF"/>
            <w:vAlign w:val="center"/>
            <w:hideMark/>
          </w:tcPr>
          <w:p w14:paraId="4056CE4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-46.6</w:t>
            </w:r>
          </w:p>
        </w:tc>
        <w:tc>
          <w:tcPr>
            <w:tcW w:w="1044" w:type="dxa"/>
            <w:tcBorders>
              <w:top w:val="nil"/>
              <w:left w:val="nil"/>
              <w:bottom w:val="dotted" w:sz="4" w:space="0" w:color="auto"/>
              <w:right w:val="dotted" w:sz="4" w:space="0" w:color="auto"/>
            </w:tcBorders>
            <w:shd w:val="clear" w:color="auto" w:fill="FFFFFF"/>
            <w:vAlign w:val="center"/>
            <w:hideMark/>
          </w:tcPr>
          <w:p w14:paraId="5D34AED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-49.4</w:t>
            </w:r>
          </w:p>
        </w:tc>
        <w:tc>
          <w:tcPr>
            <w:tcW w:w="1044" w:type="dxa"/>
            <w:tcBorders>
              <w:top w:val="nil"/>
              <w:left w:val="nil"/>
              <w:bottom w:val="dotted" w:sz="4" w:space="0" w:color="auto"/>
              <w:right w:val="dotted" w:sz="4" w:space="0" w:color="auto"/>
            </w:tcBorders>
            <w:shd w:val="clear" w:color="auto" w:fill="FFFFFF"/>
            <w:vAlign w:val="center"/>
            <w:hideMark/>
          </w:tcPr>
          <w:p w14:paraId="492382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-48.5</w:t>
            </w:r>
          </w:p>
        </w:tc>
        <w:tc>
          <w:tcPr>
            <w:tcW w:w="1044" w:type="dxa"/>
            <w:tcBorders>
              <w:top w:val="nil"/>
              <w:left w:val="nil"/>
              <w:bottom w:val="dotted" w:sz="4" w:space="0" w:color="auto"/>
              <w:right w:val="dotted" w:sz="4" w:space="0" w:color="auto"/>
            </w:tcBorders>
            <w:shd w:val="clear" w:color="auto" w:fill="FFFFFF"/>
            <w:vAlign w:val="center"/>
            <w:hideMark/>
          </w:tcPr>
          <w:p w14:paraId="7244360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-55.0</w:t>
            </w:r>
          </w:p>
        </w:tc>
        <w:tc>
          <w:tcPr>
            <w:tcW w:w="1044" w:type="dxa"/>
            <w:tcBorders>
              <w:top w:val="nil"/>
              <w:left w:val="nil"/>
              <w:bottom w:val="dotted" w:sz="4" w:space="0" w:color="auto"/>
              <w:right w:val="double" w:sz="6" w:space="0" w:color="auto"/>
            </w:tcBorders>
            <w:shd w:val="clear" w:color="auto" w:fill="FFFFFF"/>
            <w:vAlign w:val="center"/>
            <w:hideMark/>
          </w:tcPr>
          <w:p w14:paraId="3DD8B48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5C475F89"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3C7B4AF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 Export market shares</w:t>
            </w:r>
          </w:p>
        </w:tc>
        <w:tc>
          <w:tcPr>
            <w:tcW w:w="1207" w:type="dxa"/>
            <w:tcBorders>
              <w:top w:val="nil"/>
              <w:left w:val="nil"/>
              <w:bottom w:val="dotted" w:sz="4" w:space="0" w:color="auto"/>
              <w:right w:val="single" w:sz="8" w:space="0" w:color="auto"/>
            </w:tcBorders>
            <w:shd w:val="clear" w:color="auto" w:fill="FFFFFF"/>
            <w:hideMark/>
          </w:tcPr>
          <w:p w14:paraId="60F8B8E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yoy</w:t>
            </w:r>
          </w:p>
        </w:tc>
        <w:tc>
          <w:tcPr>
            <w:tcW w:w="1044" w:type="dxa"/>
            <w:tcBorders>
              <w:top w:val="nil"/>
              <w:left w:val="nil"/>
              <w:bottom w:val="dotted" w:sz="4" w:space="0" w:color="auto"/>
              <w:right w:val="dotted" w:sz="4" w:space="0" w:color="auto"/>
            </w:tcBorders>
            <w:shd w:val="clear" w:color="auto" w:fill="FFFFFF"/>
            <w:vAlign w:val="center"/>
            <w:hideMark/>
          </w:tcPr>
          <w:p w14:paraId="40DB675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8.3</w:t>
            </w:r>
          </w:p>
        </w:tc>
        <w:tc>
          <w:tcPr>
            <w:tcW w:w="1044" w:type="dxa"/>
            <w:tcBorders>
              <w:top w:val="nil"/>
              <w:left w:val="nil"/>
              <w:bottom w:val="dotted" w:sz="4" w:space="0" w:color="auto"/>
              <w:right w:val="dotted" w:sz="4" w:space="0" w:color="auto"/>
            </w:tcBorders>
            <w:shd w:val="clear" w:color="auto" w:fill="FFFFFF"/>
            <w:vAlign w:val="center"/>
            <w:hideMark/>
          </w:tcPr>
          <w:p w14:paraId="3C1754A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-21.4</w:t>
            </w:r>
          </w:p>
        </w:tc>
        <w:tc>
          <w:tcPr>
            <w:tcW w:w="1044" w:type="dxa"/>
            <w:tcBorders>
              <w:top w:val="nil"/>
              <w:left w:val="nil"/>
              <w:bottom w:val="dotted" w:sz="4" w:space="0" w:color="auto"/>
              <w:right w:val="dotted" w:sz="4" w:space="0" w:color="auto"/>
            </w:tcBorders>
            <w:shd w:val="clear" w:color="auto" w:fill="FFFFFF"/>
            <w:vAlign w:val="center"/>
            <w:hideMark/>
          </w:tcPr>
          <w:p w14:paraId="6616AC4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38.4</w:t>
            </w:r>
          </w:p>
        </w:tc>
        <w:tc>
          <w:tcPr>
            <w:tcW w:w="1044" w:type="dxa"/>
            <w:tcBorders>
              <w:top w:val="nil"/>
              <w:left w:val="nil"/>
              <w:bottom w:val="dotted" w:sz="4" w:space="0" w:color="auto"/>
              <w:right w:val="dotted" w:sz="4" w:space="0" w:color="auto"/>
            </w:tcBorders>
            <w:shd w:val="clear" w:color="auto" w:fill="FFFFFF"/>
            <w:vAlign w:val="center"/>
            <w:hideMark/>
          </w:tcPr>
          <w:p w14:paraId="0EDB3EE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-25.7</w:t>
            </w:r>
          </w:p>
        </w:tc>
        <w:tc>
          <w:tcPr>
            <w:tcW w:w="1044" w:type="dxa"/>
            <w:tcBorders>
              <w:top w:val="nil"/>
              <w:left w:val="nil"/>
              <w:bottom w:val="dotted" w:sz="4" w:space="0" w:color="auto"/>
              <w:right w:val="double" w:sz="6" w:space="0" w:color="auto"/>
            </w:tcBorders>
            <w:shd w:val="clear" w:color="auto" w:fill="FFFFFF"/>
            <w:vAlign w:val="center"/>
            <w:hideMark/>
          </w:tcPr>
          <w:p w14:paraId="0C094FC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3E6CB7B7"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3928F27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Real Effective Exchange Rate [1]</w:t>
            </w:r>
          </w:p>
        </w:tc>
        <w:tc>
          <w:tcPr>
            <w:tcW w:w="1207" w:type="dxa"/>
            <w:tcBorders>
              <w:top w:val="nil"/>
              <w:left w:val="nil"/>
              <w:bottom w:val="dotted" w:sz="4" w:space="0" w:color="auto"/>
              <w:right w:val="single" w:sz="8" w:space="0" w:color="auto"/>
            </w:tcBorders>
            <w:shd w:val="clear" w:color="auto" w:fill="FFFFFF"/>
            <w:hideMark/>
          </w:tcPr>
          <w:p w14:paraId="72EACE6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yoy</w:t>
            </w:r>
          </w:p>
        </w:tc>
        <w:tc>
          <w:tcPr>
            <w:tcW w:w="1044" w:type="dxa"/>
            <w:tcBorders>
              <w:top w:val="nil"/>
              <w:left w:val="nil"/>
              <w:bottom w:val="dotted" w:sz="4" w:space="0" w:color="auto"/>
              <w:right w:val="dotted" w:sz="4" w:space="0" w:color="auto"/>
            </w:tcBorders>
            <w:shd w:val="clear" w:color="auto" w:fill="FFFFFF"/>
            <w:vAlign w:val="center"/>
            <w:hideMark/>
          </w:tcPr>
          <w:p w14:paraId="34FDBD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-4.4</w:t>
            </w:r>
          </w:p>
        </w:tc>
        <w:tc>
          <w:tcPr>
            <w:tcW w:w="1044" w:type="dxa"/>
            <w:tcBorders>
              <w:top w:val="nil"/>
              <w:left w:val="nil"/>
              <w:bottom w:val="dotted" w:sz="4" w:space="0" w:color="auto"/>
              <w:right w:val="dotted" w:sz="4" w:space="0" w:color="auto"/>
            </w:tcBorders>
            <w:shd w:val="clear" w:color="auto" w:fill="FFFFFF"/>
            <w:vAlign w:val="center"/>
            <w:hideMark/>
          </w:tcPr>
          <w:p w14:paraId="054D885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w:t>
            </w:r>
          </w:p>
        </w:tc>
        <w:tc>
          <w:tcPr>
            <w:tcW w:w="1044" w:type="dxa"/>
            <w:tcBorders>
              <w:top w:val="nil"/>
              <w:left w:val="nil"/>
              <w:bottom w:val="dotted" w:sz="4" w:space="0" w:color="auto"/>
              <w:right w:val="dotted" w:sz="4" w:space="0" w:color="auto"/>
            </w:tcBorders>
            <w:shd w:val="clear" w:color="auto" w:fill="FFFFFF"/>
            <w:vAlign w:val="center"/>
            <w:hideMark/>
          </w:tcPr>
          <w:p w14:paraId="0A73191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-3.9</w:t>
            </w:r>
          </w:p>
        </w:tc>
        <w:tc>
          <w:tcPr>
            <w:tcW w:w="1044" w:type="dxa"/>
            <w:tcBorders>
              <w:top w:val="nil"/>
              <w:left w:val="nil"/>
              <w:bottom w:val="dotted" w:sz="4" w:space="0" w:color="auto"/>
              <w:right w:val="dotted" w:sz="4" w:space="0" w:color="auto"/>
            </w:tcBorders>
            <w:shd w:val="clear" w:color="auto" w:fill="FFFFFF"/>
            <w:vAlign w:val="center"/>
            <w:hideMark/>
          </w:tcPr>
          <w:p w14:paraId="7C9556E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w:t>
            </w:r>
          </w:p>
        </w:tc>
        <w:tc>
          <w:tcPr>
            <w:tcW w:w="1044" w:type="dxa"/>
            <w:tcBorders>
              <w:top w:val="nil"/>
              <w:left w:val="nil"/>
              <w:bottom w:val="dotted" w:sz="4" w:space="0" w:color="auto"/>
              <w:right w:val="double" w:sz="6" w:space="0" w:color="auto"/>
            </w:tcBorders>
            <w:shd w:val="clear" w:color="auto" w:fill="FFFFFF"/>
            <w:vAlign w:val="center"/>
            <w:hideMark/>
          </w:tcPr>
          <w:p w14:paraId="0833987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r>
      <w:tr w:rsidR="00FA29AB" w:rsidRPr="00050FA4" w14:paraId="39D5F92A"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6BD0C0F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Nominal Unit Labour Costs</w:t>
            </w:r>
          </w:p>
        </w:tc>
        <w:tc>
          <w:tcPr>
            <w:tcW w:w="1207" w:type="dxa"/>
            <w:tcBorders>
              <w:top w:val="nil"/>
              <w:left w:val="nil"/>
              <w:bottom w:val="dotted" w:sz="4" w:space="0" w:color="auto"/>
              <w:right w:val="single" w:sz="8" w:space="0" w:color="auto"/>
            </w:tcBorders>
            <w:shd w:val="clear" w:color="auto" w:fill="FFFFFF"/>
            <w:hideMark/>
          </w:tcPr>
          <w:p w14:paraId="4286D91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yoy</w:t>
            </w:r>
          </w:p>
        </w:tc>
        <w:tc>
          <w:tcPr>
            <w:tcW w:w="1044" w:type="dxa"/>
            <w:tcBorders>
              <w:top w:val="nil"/>
              <w:left w:val="nil"/>
              <w:bottom w:val="dotted" w:sz="4" w:space="0" w:color="auto"/>
              <w:right w:val="dotted" w:sz="4" w:space="0" w:color="auto"/>
            </w:tcBorders>
            <w:shd w:val="clear" w:color="auto" w:fill="FFFFFF"/>
            <w:vAlign w:val="center"/>
            <w:hideMark/>
          </w:tcPr>
          <w:p w14:paraId="4A43CEE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044" w:type="dxa"/>
            <w:tcBorders>
              <w:top w:val="nil"/>
              <w:left w:val="nil"/>
              <w:bottom w:val="dotted" w:sz="4" w:space="0" w:color="auto"/>
              <w:right w:val="dotted" w:sz="4" w:space="0" w:color="auto"/>
            </w:tcBorders>
            <w:shd w:val="clear" w:color="auto" w:fill="FFFFFF"/>
            <w:vAlign w:val="center"/>
            <w:hideMark/>
          </w:tcPr>
          <w:p w14:paraId="2664610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044" w:type="dxa"/>
            <w:tcBorders>
              <w:top w:val="nil"/>
              <w:left w:val="nil"/>
              <w:bottom w:val="dotted" w:sz="4" w:space="0" w:color="auto"/>
              <w:right w:val="dotted" w:sz="4" w:space="0" w:color="auto"/>
            </w:tcBorders>
            <w:shd w:val="clear" w:color="auto" w:fill="FFFFFF"/>
            <w:vAlign w:val="center"/>
            <w:hideMark/>
          </w:tcPr>
          <w:p w14:paraId="73EC55B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044" w:type="dxa"/>
            <w:tcBorders>
              <w:top w:val="nil"/>
              <w:left w:val="nil"/>
              <w:bottom w:val="dotted" w:sz="4" w:space="0" w:color="auto"/>
              <w:right w:val="dotted" w:sz="4" w:space="0" w:color="auto"/>
            </w:tcBorders>
            <w:shd w:val="clear" w:color="auto" w:fill="FFFFFF"/>
            <w:vAlign w:val="center"/>
            <w:hideMark/>
          </w:tcPr>
          <w:p w14:paraId="4CA0279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1044" w:type="dxa"/>
            <w:tcBorders>
              <w:top w:val="nil"/>
              <w:left w:val="nil"/>
              <w:bottom w:val="dotted" w:sz="4" w:space="0" w:color="auto"/>
              <w:right w:val="double" w:sz="6" w:space="0" w:color="auto"/>
            </w:tcBorders>
            <w:shd w:val="clear" w:color="auto" w:fill="FFFFFF"/>
            <w:vAlign w:val="center"/>
            <w:hideMark/>
          </w:tcPr>
          <w:p w14:paraId="371BA00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6BF8881F"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60C49FF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 Private sector credit flow</w:t>
            </w:r>
          </w:p>
        </w:tc>
        <w:tc>
          <w:tcPr>
            <w:tcW w:w="1207" w:type="dxa"/>
            <w:tcBorders>
              <w:top w:val="nil"/>
              <w:left w:val="nil"/>
              <w:bottom w:val="dotted" w:sz="4" w:space="0" w:color="auto"/>
              <w:right w:val="single" w:sz="8" w:space="0" w:color="auto"/>
            </w:tcBorders>
            <w:shd w:val="clear" w:color="auto" w:fill="FFFFFF"/>
            <w:hideMark/>
          </w:tcPr>
          <w:p w14:paraId="7238B8A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44" w:type="dxa"/>
            <w:tcBorders>
              <w:top w:val="nil"/>
              <w:left w:val="nil"/>
              <w:bottom w:val="dotted" w:sz="4" w:space="0" w:color="auto"/>
              <w:right w:val="dotted" w:sz="4" w:space="0" w:color="auto"/>
            </w:tcBorders>
            <w:shd w:val="clear" w:color="auto" w:fill="FFFFFF"/>
            <w:vAlign w:val="center"/>
            <w:hideMark/>
          </w:tcPr>
          <w:p w14:paraId="051142F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1044" w:type="dxa"/>
            <w:tcBorders>
              <w:top w:val="nil"/>
              <w:left w:val="nil"/>
              <w:bottom w:val="dotted" w:sz="4" w:space="0" w:color="auto"/>
              <w:right w:val="dotted" w:sz="4" w:space="0" w:color="auto"/>
            </w:tcBorders>
            <w:shd w:val="clear" w:color="auto" w:fill="FFFFFF"/>
            <w:vAlign w:val="center"/>
            <w:hideMark/>
          </w:tcPr>
          <w:p w14:paraId="024335F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1044" w:type="dxa"/>
            <w:tcBorders>
              <w:top w:val="nil"/>
              <w:left w:val="nil"/>
              <w:bottom w:val="dotted" w:sz="4" w:space="0" w:color="auto"/>
              <w:right w:val="dotted" w:sz="4" w:space="0" w:color="auto"/>
            </w:tcBorders>
            <w:shd w:val="clear" w:color="auto" w:fill="FFFFFF"/>
            <w:vAlign w:val="center"/>
            <w:hideMark/>
          </w:tcPr>
          <w:p w14:paraId="677AAAC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1044" w:type="dxa"/>
            <w:tcBorders>
              <w:top w:val="nil"/>
              <w:left w:val="nil"/>
              <w:bottom w:val="dotted" w:sz="4" w:space="0" w:color="auto"/>
              <w:right w:val="dotted" w:sz="4" w:space="0" w:color="auto"/>
            </w:tcBorders>
            <w:shd w:val="clear" w:color="auto" w:fill="FFFFFF"/>
            <w:vAlign w:val="center"/>
            <w:hideMark/>
          </w:tcPr>
          <w:p w14:paraId="67F5C6B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2.2</w:t>
            </w:r>
          </w:p>
        </w:tc>
        <w:tc>
          <w:tcPr>
            <w:tcW w:w="1044" w:type="dxa"/>
            <w:tcBorders>
              <w:top w:val="nil"/>
              <w:left w:val="nil"/>
              <w:bottom w:val="dotted" w:sz="4" w:space="0" w:color="auto"/>
              <w:right w:val="double" w:sz="6" w:space="0" w:color="auto"/>
            </w:tcBorders>
            <w:shd w:val="clear" w:color="auto" w:fill="FFFFFF"/>
            <w:vAlign w:val="center"/>
            <w:hideMark/>
          </w:tcPr>
          <w:p w14:paraId="5AD657F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0304FB2C" w14:textId="77777777" w:rsidTr="00617B60">
        <w:trPr>
          <w:trHeight w:val="247"/>
          <w:jc w:val="center"/>
        </w:trPr>
        <w:tc>
          <w:tcPr>
            <w:tcW w:w="3731" w:type="dxa"/>
            <w:tcBorders>
              <w:top w:val="nil"/>
              <w:left w:val="double" w:sz="6" w:space="0" w:color="auto"/>
              <w:bottom w:val="dotted" w:sz="4" w:space="0" w:color="auto"/>
              <w:right w:val="dotted" w:sz="4" w:space="0" w:color="auto"/>
            </w:tcBorders>
            <w:shd w:val="clear" w:color="auto" w:fill="FFFFFF"/>
            <w:hideMark/>
          </w:tcPr>
          <w:p w14:paraId="388B09B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Private sector debt</w:t>
            </w:r>
          </w:p>
        </w:tc>
        <w:tc>
          <w:tcPr>
            <w:tcW w:w="1207" w:type="dxa"/>
            <w:tcBorders>
              <w:top w:val="nil"/>
              <w:left w:val="nil"/>
              <w:bottom w:val="dotted" w:sz="4" w:space="0" w:color="auto"/>
              <w:right w:val="single" w:sz="8" w:space="0" w:color="auto"/>
            </w:tcBorders>
            <w:shd w:val="clear" w:color="auto" w:fill="FFFFFF"/>
            <w:hideMark/>
          </w:tcPr>
          <w:p w14:paraId="4900A67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44" w:type="dxa"/>
            <w:tcBorders>
              <w:top w:val="nil"/>
              <w:left w:val="nil"/>
              <w:bottom w:val="dotted" w:sz="4" w:space="0" w:color="auto"/>
              <w:right w:val="dotted" w:sz="4" w:space="0" w:color="auto"/>
            </w:tcBorders>
            <w:shd w:val="clear" w:color="auto" w:fill="FFFFFF"/>
            <w:vAlign w:val="center"/>
            <w:hideMark/>
          </w:tcPr>
          <w:p w14:paraId="38FE2BA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58.5</w:t>
            </w:r>
          </w:p>
        </w:tc>
        <w:tc>
          <w:tcPr>
            <w:tcW w:w="1044" w:type="dxa"/>
            <w:tcBorders>
              <w:top w:val="nil"/>
              <w:left w:val="nil"/>
              <w:bottom w:val="dotted" w:sz="4" w:space="0" w:color="auto"/>
              <w:right w:val="dotted" w:sz="4" w:space="0" w:color="auto"/>
            </w:tcBorders>
            <w:shd w:val="clear" w:color="auto" w:fill="FFFFFF"/>
            <w:vAlign w:val="center"/>
            <w:hideMark/>
          </w:tcPr>
          <w:p w14:paraId="09DD36A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53.7</w:t>
            </w:r>
          </w:p>
        </w:tc>
        <w:tc>
          <w:tcPr>
            <w:tcW w:w="1044" w:type="dxa"/>
            <w:tcBorders>
              <w:top w:val="nil"/>
              <w:left w:val="nil"/>
              <w:bottom w:val="dotted" w:sz="4" w:space="0" w:color="auto"/>
              <w:right w:val="dotted" w:sz="4" w:space="0" w:color="auto"/>
            </w:tcBorders>
            <w:shd w:val="clear" w:color="auto" w:fill="FFFFFF"/>
            <w:vAlign w:val="center"/>
            <w:hideMark/>
          </w:tcPr>
          <w:p w14:paraId="06876D9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53.8</w:t>
            </w:r>
          </w:p>
        </w:tc>
        <w:tc>
          <w:tcPr>
            <w:tcW w:w="1044" w:type="dxa"/>
            <w:tcBorders>
              <w:top w:val="nil"/>
              <w:left w:val="nil"/>
              <w:bottom w:val="dotted" w:sz="4" w:space="0" w:color="auto"/>
              <w:right w:val="dotted" w:sz="4" w:space="0" w:color="auto"/>
            </w:tcBorders>
            <w:shd w:val="clear" w:color="auto" w:fill="FFFFFF"/>
            <w:vAlign w:val="center"/>
            <w:hideMark/>
          </w:tcPr>
          <w:p w14:paraId="1484963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59.4</w:t>
            </w:r>
          </w:p>
        </w:tc>
        <w:tc>
          <w:tcPr>
            <w:tcW w:w="1044" w:type="dxa"/>
            <w:tcBorders>
              <w:top w:val="nil"/>
              <w:left w:val="nil"/>
              <w:bottom w:val="dotted" w:sz="4" w:space="0" w:color="auto"/>
              <w:right w:val="double" w:sz="6" w:space="0" w:color="auto"/>
            </w:tcBorders>
            <w:shd w:val="clear" w:color="auto" w:fill="FFFFFF"/>
            <w:vAlign w:val="center"/>
            <w:hideMark/>
          </w:tcPr>
          <w:p w14:paraId="3D83C40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273B39D3" w14:textId="77777777" w:rsidTr="00617B60">
        <w:trPr>
          <w:trHeight w:val="247"/>
          <w:jc w:val="center"/>
        </w:trPr>
        <w:tc>
          <w:tcPr>
            <w:tcW w:w="3731" w:type="dxa"/>
            <w:tcBorders>
              <w:top w:val="nil"/>
              <w:left w:val="double" w:sz="6" w:space="0" w:color="auto"/>
              <w:bottom w:val="double" w:sz="6" w:space="0" w:color="auto"/>
              <w:right w:val="dotted" w:sz="4" w:space="0" w:color="auto"/>
            </w:tcBorders>
            <w:shd w:val="clear" w:color="auto" w:fill="FFFFFF"/>
            <w:hideMark/>
          </w:tcPr>
          <w:p w14:paraId="71246F4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lastRenderedPageBreak/>
              <w:t>8. General Government Debt</w:t>
            </w:r>
          </w:p>
        </w:tc>
        <w:tc>
          <w:tcPr>
            <w:tcW w:w="1207" w:type="dxa"/>
            <w:tcBorders>
              <w:top w:val="nil"/>
              <w:left w:val="nil"/>
              <w:bottom w:val="double" w:sz="6" w:space="0" w:color="auto"/>
              <w:right w:val="single" w:sz="8" w:space="0" w:color="auto"/>
            </w:tcBorders>
            <w:shd w:val="clear" w:color="auto" w:fill="FFFFFF"/>
            <w:hideMark/>
          </w:tcPr>
          <w:p w14:paraId="1DCE85D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c>
          <w:tcPr>
            <w:tcW w:w="1044" w:type="dxa"/>
            <w:tcBorders>
              <w:top w:val="nil"/>
              <w:left w:val="nil"/>
              <w:bottom w:val="double" w:sz="6" w:space="0" w:color="auto"/>
              <w:right w:val="dotted" w:sz="4" w:space="0" w:color="auto"/>
            </w:tcBorders>
            <w:shd w:val="clear" w:color="auto" w:fill="FFFFFF"/>
            <w:vAlign w:val="center"/>
            <w:hideMark/>
          </w:tcPr>
          <w:p w14:paraId="16F046D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70.2</w:t>
            </w:r>
          </w:p>
        </w:tc>
        <w:tc>
          <w:tcPr>
            <w:tcW w:w="1044" w:type="dxa"/>
            <w:tcBorders>
              <w:top w:val="nil"/>
              <w:left w:val="nil"/>
              <w:bottom w:val="double" w:sz="6" w:space="0" w:color="auto"/>
              <w:right w:val="dotted" w:sz="4" w:space="0" w:color="auto"/>
            </w:tcBorders>
            <w:shd w:val="clear" w:color="auto" w:fill="FFFFFF"/>
            <w:vAlign w:val="center"/>
            <w:hideMark/>
          </w:tcPr>
          <w:p w14:paraId="1AD999F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67.7</w:t>
            </w:r>
          </w:p>
        </w:tc>
        <w:tc>
          <w:tcPr>
            <w:tcW w:w="1044" w:type="dxa"/>
            <w:tcBorders>
              <w:top w:val="nil"/>
              <w:left w:val="nil"/>
              <w:bottom w:val="double" w:sz="6" w:space="0" w:color="auto"/>
              <w:right w:val="dotted" w:sz="4" w:space="0" w:color="auto"/>
            </w:tcBorders>
            <w:vAlign w:val="center"/>
            <w:hideMark/>
          </w:tcPr>
          <w:p w14:paraId="28F5657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65.8</w:t>
            </w:r>
          </w:p>
        </w:tc>
        <w:tc>
          <w:tcPr>
            <w:tcW w:w="1044" w:type="dxa"/>
            <w:tcBorders>
              <w:top w:val="nil"/>
              <w:left w:val="nil"/>
              <w:bottom w:val="double" w:sz="6" w:space="0" w:color="auto"/>
              <w:right w:val="dotted" w:sz="4" w:space="0" w:color="auto"/>
            </w:tcBorders>
            <w:vAlign w:val="center"/>
            <w:hideMark/>
          </w:tcPr>
          <w:p w14:paraId="694339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75.7</w:t>
            </w:r>
          </w:p>
        </w:tc>
        <w:tc>
          <w:tcPr>
            <w:tcW w:w="1044" w:type="dxa"/>
            <w:tcBorders>
              <w:top w:val="nil"/>
              <w:left w:val="nil"/>
              <w:bottom w:val="double" w:sz="6" w:space="0" w:color="auto"/>
              <w:right w:val="double" w:sz="6" w:space="0" w:color="auto"/>
            </w:tcBorders>
            <w:vAlign w:val="center"/>
            <w:hideMark/>
          </w:tcPr>
          <w:p w14:paraId="52FF4D0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80.1</w:t>
            </w:r>
          </w:p>
        </w:tc>
      </w:tr>
    </w:tbl>
    <w:p w14:paraId="1C148CDA" w14:textId="77777777" w:rsidR="00094A26" w:rsidRPr="00050FA4" w:rsidRDefault="00094A26" w:rsidP="003F1DA7">
      <w:pPr>
        <w:ind w:firstLine="284"/>
        <w:rPr>
          <w:rFonts w:ascii="Garamond" w:hAnsi="Garamond"/>
          <w:color w:val="0D0D0D" w:themeColor="text1" w:themeTint="F2"/>
          <w:sz w:val="20"/>
          <w:szCs w:val="20"/>
        </w:rPr>
      </w:pPr>
    </w:p>
    <w:p w14:paraId="5B6C4D40" w14:textId="2F47CBA3" w:rsidR="00094A26" w:rsidRPr="00050FA4" w:rsidRDefault="00094A26" w:rsidP="003F1DA7">
      <w:pPr>
        <w:pStyle w:val="Heading2"/>
        <w:ind w:left="0" w:firstLine="284"/>
        <w:rPr>
          <w:rFonts w:ascii="Garamond" w:hAnsi="Garamond"/>
          <w:color w:val="0D0D0D" w:themeColor="text1" w:themeTint="F2"/>
          <w:sz w:val="20"/>
          <w:szCs w:val="20"/>
        </w:rPr>
      </w:pPr>
      <w:bookmarkStart w:id="109" w:name="_Toc30661248"/>
      <w:bookmarkStart w:id="110" w:name="_Toc536784313"/>
      <w:bookmarkStart w:id="111" w:name="_Toc93325790"/>
      <w:r w:rsidRPr="00050FA4">
        <w:rPr>
          <w:rFonts w:ascii="Garamond" w:hAnsi="Garamond"/>
          <w:color w:val="0D0D0D" w:themeColor="text1" w:themeTint="F2"/>
          <w:sz w:val="20"/>
          <w:szCs w:val="20"/>
        </w:rPr>
        <w:t xml:space="preserve">Tabela 2a: Perspektivat e </w:t>
      </w:r>
      <w:r w:rsidR="00DF31A1" w:rsidRPr="00050FA4">
        <w:rPr>
          <w:rFonts w:ascii="Garamond" w:hAnsi="Garamond"/>
          <w:color w:val="0D0D0D" w:themeColor="text1" w:themeTint="F2"/>
          <w:sz w:val="20"/>
          <w:szCs w:val="20"/>
        </w:rPr>
        <w:t>përgjithshme</w:t>
      </w:r>
      <w:r w:rsidRPr="00050FA4">
        <w:rPr>
          <w:rFonts w:ascii="Garamond" w:hAnsi="Garamond"/>
          <w:color w:val="0D0D0D" w:themeColor="text1" w:themeTint="F2"/>
          <w:sz w:val="20"/>
          <w:szCs w:val="20"/>
        </w:rPr>
        <w:t xml:space="preserve"> buxhetore të qeverisë</w:t>
      </w:r>
      <w:bookmarkEnd w:id="109"/>
      <w:bookmarkEnd w:id="110"/>
      <w:bookmarkEnd w:id="111"/>
    </w:p>
    <w:tbl>
      <w:tblPr>
        <w:tblW w:w="10173" w:type="dxa"/>
        <w:jc w:val="center"/>
        <w:tblLook w:val="04A0" w:firstRow="1" w:lastRow="0" w:firstColumn="1" w:lastColumn="0" w:noHBand="0" w:noVBand="1"/>
      </w:tblPr>
      <w:tblGrid>
        <w:gridCol w:w="3881"/>
        <w:gridCol w:w="989"/>
        <w:gridCol w:w="1129"/>
        <w:gridCol w:w="833"/>
        <w:gridCol w:w="834"/>
        <w:gridCol w:w="834"/>
        <w:gridCol w:w="834"/>
        <w:gridCol w:w="839"/>
      </w:tblGrid>
      <w:tr w:rsidR="00FA29AB" w:rsidRPr="00050FA4" w14:paraId="241F3090" w14:textId="77777777" w:rsidTr="00617B60">
        <w:trPr>
          <w:trHeight w:val="163"/>
          <w:jc w:val="center"/>
        </w:trPr>
        <w:tc>
          <w:tcPr>
            <w:tcW w:w="3881" w:type="dxa"/>
            <w:vMerge w:val="restart"/>
            <w:tcBorders>
              <w:top w:val="double" w:sz="6" w:space="0" w:color="auto"/>
              <w:left w:val="double" w:sz="6" w:space="0" w:color="auto"/>
              <w:bottom w:val="nil"/>
              <w:right w:val="dotted" w:sz="4" w:space="0" w:color="auto"/>
            </w:tcBorders>
            <w:shd w:val="clear" w:color="auto" w:fill="FFFFFF"/>
            <w:vAlign w:val="center"/>
            <w:hideMark/>
          </w:tcPr>
          <w:p w14:paraId="64DC8A1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989" w:type="dxa"/>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7BAA2EC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ESA code</w:t>
            </w:r>
          </w:p>
        </w:tc>
        <w:tc>
          <w:tcPr>
            <w:tcW w:w="1129" w:type="dxa"/>
            <w:tcBorders>
              <w:top w:val="double" w:sz="6" w:space="0" w:color="auto"/>
              <w:left w:val="nil"/>
              <w:bottom w:val="nil"/>
              <w:right w:val="single" w:sz="8" w:space="0" w:color="auto"/>
            </w:tcBorders>
            <w:shd w:val="clear" w:color="auto" w:fill="FFFFFF"/>
            <w:vAlign w:val="center"/>
            <w:hideMark/>
          </w:tcPr>
          <w:p w14:paraId="4AD2733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Year</w:t>
            </w:r>
          </w:p>
        </w:tc>
        <w:tc>
          <w:tcPr>
            <w:tcW w:w="833" w:type="dxa"/>
            <w:tcBorders>
              <w:top w:val="double" w:sz="6" w:space="0" w:color="auto"/>
              <w:left w:val="nil"/>
              <w:bottom w:val="nil"/>
              <w:right w:val="dotted" w:sz="4" w:space="0" w:color="auto"/>
            </w:tcBorders>
            <w:shd w:val="clear" w:color="auto" w:fill="FFFFFF"/>
            <w:vAlign w:val="center"/>
            <w:hideMark/>
          </w:tcPr>
          <w:p w14:paraId="069C0CA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Year</w:t>
            </w:r>
          </w:p>
        </w:tc>
        <w:tc>
          <w:tcPr>
            <w:tcW w:w="834" w:type="dxa"/>
            <w:tcBorders>
              <w:top w:val="double" w:sz="6" w:space="0" w:color="auto"/>
              <w:left w:val="nil"/>
              <w:bottom w:val="nil"/>
              <w:right w:val="dotted" w:sz="4" w:space="0" w:color="auto"/>
            </w:tcBorders>
            <w:shd w:val="clear" w:color="auto" w:fill="FFFFFF"/>
            <w:vAlign w:val="center"/>
            <w:hideMark/>
          </w:tcPr>
          <w:p w14:paraId="2B9D670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Year</w:t>
            </w:r>
          </w:p>
        </w:tc>
        <w:tc>
          <w:tcPr>
            <w:tcW w:w="834" w:type="dxa"/>
            <w:tcBorders>
              <w:top w:val="double" w:sz="6" w:space="0" w:color="auto"/>
              <w:left w:val="nil"/>
              <w:bottom w:val="nil"/>
              <w:right w:val="dotted" w:sz="4" w:space="0" w:color="auto"/>
            </w:tcBorders>
            <w:shd w:val="clear" w:color="auto" w:fill="FFFFFF"/>
            <w:vAlign w:val="center"/>
            <w:hideMark/>
          </w:tcPr>
          <w:p w14:paraId="5086A95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Year</w:t>
            </w:r>
          </w:p>
        </w:tc>
        <w:tc>
          <w:tcPr>
            <w:tcW w:w="834" w:type="dxa"/>
            <w:tcBorders>
              <w:top w:val="double" w:sz="6" w:space="0" w:color="auto"/>
              <w:left w:val="nil"/>
              <w:bottom w:val="nil"/>
              <w:right w:val="dotted" w:sz="4" w:space="0" w:color="auto"/>
            </w:tcBorders>
            <w:shd w:val="clear" w:color="auto" w:fill="FFFFFF"/>
            <w:vAlign w:val="center"/>
            <w:hideMark/>
          </w:tcPr>
          <w:p w14:paraId="591B967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Year</w:t>
            </w:r>
          </w:p>
        </w:tc>
        <w:tc>
          <w:tcPr>
            <w:tcW w:w="839" w:type="dxa"/>
            <w:tcBorders>
              <w:top w:val="double" w:sz="6" w:space="0" w:color="auto"/>
              <w:left w:val="nil"/>
              <w:bottom w:val="nil"/>
              <w:right w:val="double" w:sz="6" w:space="0" w:color="auto"/>
            </w:tcBorders>
            <w:shd w:val="clear" w:color="auto" w:fill="FFFFFF"/>
            <w:vAlign w:val="center"/>
            <w:hideMark/>
          </w:tcPr>
          <w:p w14:paraId="1267687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Year</w:t>
            </w:r>
          </w:p>
        </w:tc>
      </w:tr>
      <w:tr w:rsidR="00FA29AB" w:rsidRPr="00050FA4" w14:paraId="2BC73BD8" w14:textId="77777777" w:rsidTr="00617B60">
        <w:trPr>
          <w:trHeight w:val="155"/>
          <w:jc w:val="center"/>
        </w:trPr>
        <w:tc>
          <w:tcPr>
            <w:tcW w:w="0" w:type="auto"/>
            <w:vMerge/>
            <w:tcBorders>
              <w:top w:val="double" w:sz="6" w:space="0" w:color="auto"/>
              <w:left w:val="double" w:sz="6" w:space="0" w:color="auto"/>
              <w:bottom w:val="nil"/>
              <w:right w:val="dotted" w:sz="4" w:space="0" w:color="auto"/>
            </w:tcBorders>
            <w:vAlign w:val="center"/>
            <w:hideMark/>
          </w:tcPr>
          <w:p w14:paraId="5B96D8E8" w14:textId="77777777" w:rsidR="00094A26" w:rsidRPr="00050FA4" w:rsidRDefault="00094A26" w:rsidP="00A95D23">
            <w:pPr>
              <w:rPr>
                <w:rFonts w:ascii="Garamond" w:eastAsia="Times New Roman" w:hAnsi="Garamond"/>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450C18E5" w14:textId="77777777" w:rsidR="00094A26" w:rsidRPr="00050FA4" w:rsidRDefault="00094A26" w:rsidP="00A95D23">
            <w:pPr>
              <w:rPr>
                <w:rFonts w:ascii="Garamond" w:eastAsia="Times New Roman" w:hAnsi="Garamond"/>
                <w:color w:val="0D0D0D" w:themeColor="text1" w:themeTint="F2"/>
                <w:sz w:val="18"/>
                <w:szCs w:val="18"/>
              </w:rPr>
            </w:pPr>
          </w:p>
        </w:tc>
        <w:tc>
          <w:tcPr>
            <w:tcW w:w="1129" w:type="dxa"/>
            <w:tcBorders>
              <w:top w:val="nil"/>
              <w:left w:val="single" w:sz="8" w:space="0" w:color="auto"/>
              <w:bottom w:val="dotted" w:sz="4" w:space="0" w:color="auto"/>
              <w:right w:val="single" w:sz="8" w:space="0" w:color="auto"/>
            </w:tcBorders>
            <w:shd w:val="clear" w:color="auto" w:fill="FFFFFF"/>
            <w:vAlign w:val="center"/>
            <w:hideMark/>
          </w:tcPr>
          <w:p w14:paraId="7C23D02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2020</w:t>
            </w:r>
          </w:p>
        </w:tc>
        <w:tc>
          <w:tcPr>
            <w:tcW w:w="833" w:type="dxa"/>
            <w:tcBorders>
              <w:top w:val="nil"/>
              <w:left w:val="nil"/>
              <w:bottom w:val="dotted" w:sz="4" w:space="0" w:color="auto"/>
              <w:right w:val="dotted" w:sz="4" w:space="0" w:color="auto"/>
            </w:tcBorders>
            <w:shd w:val="clear" w:color="auto" w:fill="FFFFFF"/>
            <w:vAlign w:val="center"/>
            <w:hideMark/>
          </w:tcPr>
          <w:p w14:paraId="04F51C2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2020</w:t>
            </w:r>
          </w:p>
        </w:tc>
        <w:tc>
          <w:tcPr>
            <w:tcW w:w="834" w:type="dxa"/>
            <w:tcBorders>
              <w:top w:val="nil"/>
              <w:left w:val="nil"/>
              <w:bottom w:val="dotted" w:sz="4" w:space="0" w:color="auto"/>
              <w:right w:val="dotted" w:sz="4" w:space="0" w:color="auto"/>
            </w:tcBorders>
            <w:shd w:val="clear" w:color="auto" w:fill="FFFFFF"/>
            <w:vAlign w:val="center"/>
            <w:hideMark/>
          </w:tcPr>
          <w:p w14:paraId="4A4679D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2021</w:t>
            </w:r>
          </w:p>
        </w:tc>
        <w:tc>
          <w:tcPr>
            <w:tcW w:w="834" w:type="dxa"/>
            <w:tcBorders>
              <w:top w:val="nil"/>
              <w:left w:val="nil"/>
              <w:bottom w:val="dotted" w:sz="4" w:space="0" w:color="auto"/>
              <w:right w:val="dotted" w:sz="4" w:space="0" w:color="auto"/>
            </w:tcBorders>
            <w:shd w:val="clear" w:color="auto" w:fill="FFFFFF"/>
            <w:vAlign w:val="center"/>
            <w:hideMark/>
          </w:tcPr>
          <w:p w14:paraId="0CBDB76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2022</w:t>
            </w:r>
          </w:p>
        </w:tc>
        <w:tc>
          <w:tcPr>
            <w:tcW w:w="834" w:type="dxa"/>
            <w:tcBorders>
              <w:top w:val="nil"/>
              <w:left w:val="nil"/>
              <w:bottom w:val="dotted" w:sz="4" w:space="0" w:color="auto"/>
              <w:right w:val="dotted" w:sz="4" w:space="0" w:color="auto"/>
            </w:tcBorders>
            <w:shd w:val="clear" w:color="auto" w:fill="FFFFFF"/>
            <w:vAlign w:val="center"/>
            <w:hideMark/>
          </w:tcPr>
          <w:p w14:paraId="6531B30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2023</w:t>
            </w:r>
          </w:p>
        </w:tc>
        <w:tc>
          <w:tcPr>
            <w:tcW w:w="839" w:type="dxa"/>
            <w:tcBorders>
              <w:top w:val="nil"/>
              <w:left w:val="nil"/>
              <w:bottom w:val="dotted" w:sz="4" w:space="0" w:color="auto"/>
              <w:right w:val="double" w:sz="6" w:space="0" w:color="auto"/>
            </w:tcBorders>
            <w:shd w:val="clear" w:color="auto" w:fill="FFFFFF"/>
            <w:vAlign w:val="center"/>
            <w:hideMark/>
          </w:tcPr>
          <w:p w14:paraId="3EADC76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2024</w:t>
            </w:r>
          </w:p>
        </w:tc>
      </w:tr>
      <w:tr w:rsidR="00FA29AB" w:rsidRPr="00050FA4" w14:paraId="45804882" w14:textId="77777777" w:rsidTr="00617B60">
        <w:trPr>
          <w:trHeight w:val="318"/>
          <w:jc w:val="center"/>
        </w:trPr>
        <w:tc>
          <w:tcPr>
            <w:tcW w:w="3881" w:type="dxa"/>
            <w:tcBorders>
              <w:top w:val="nil"/>
              <w:left w:val="double" w:sz="6" w:space="0" w:color="auto"/>
              <w:bottom w:val="single" w:sz="8" w:space="0" w:color="auto"/>
              <w:right w:val="dotted" w:sz="4" w:space="0" w:color="auto"/>
            </w:tcBorders>
            <w:shd w:val="clear" w:color="auto" w:fill="FFFFFF"/>
            <w:vAlign w:val="center"/>
            <w:hideMark/>
          </w:tcPr>
          <w:p w14:paraId="154F924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28AA97B7" w14:textId="77777777" w:rsidR="00094A26" w:rsidRPr="00050FA4" w:rsidRDefault="00094A26" w:rsidP="00A95D23">
            <w:pPr>
              <w:rPr>
                <w:rFonts w:ascii="Garamond" w:eastAsia="Times New Roman" w:hAnsi="Garamond"/>
                <w:color w:val="0D0D0D" w:themeColor="text1" w:themeTint="F2"/>
                <w:sz w:val="18"/>
                <w:szCs w:val="18"/>
              </w:rPr>
            </w:pPr>
          </w:p>
        </w:tc>
        <w:tc>
          <w:tcPr>
            <w:tcW w:w="1129" w:type="dxa"/>
            <w:tcBorders>
              <w:top w:val="nil"/>
              <w:left w:val="nil"/>
              <w:bottom w:val="single" w:sz="8" w:space="0" w:color="auto"/>
              <w:right w:val="single" w:sz="8" w:space="0" w:color="auto"/>
            </w:tcBorders>
            <w:shd w:val="clear" w:color="auto" w:fill="FFFFFF"/>
            <w:vAlign w:val="center"/>
            <w:hideMark/>
          </w:tcPr>
          <w:p w14:paraId="338B01A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Level (bn NCU)</w:t>
            </w:r>
          </w:p>
        </w:tc>
        <w:tc>
          <w:tcPr>
            <w:tcW w:w="4174" w:type="dxa"/>
            <w:gridSpan w:val="5"/>
            <w:tcBorders>
              <w:top w:val="dotted" w:sz="4" w:space="0" w:color="auto"/>
              <w:left w:val="nil"/>
              <w:bottom w:val="single" w:sz="8" w:space="0" w:color="auto"/>
              <w:right w:val="double" w:sz="6" w:space="0" w:color="000000"/>
            </w:tcBorders>
            <w:shd w:val="clear" w:color="auto" w:fill="FFFFFF"/>
            <w:vAlign w:val="center"/>
            <w:hideMark/>
          </w:tcPr>
          <w:p w14:paraId="76CA2F2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of GDP</w:t>
            </w:r>
          </w:p>
        </w:tc>
      </w:tr>
      <w:tr w:rsidR="00FA29AB" w:rsidRPr="00050FA4" w14:paraId="299D4898" w14:textId="77777777" w:rsidTr="00617B60">
        <w:trPr>
          <w:trHeight w:val="267"/>
          <w:jc w:val="center"/>
        </w:trPr>
        <w:tc>
          <w:tcPr>
            <w:tcW w:w="3881" w:type="dxa"/>
            <w:tcBorders>
              <w:top w:val="nil"/>
              <w:left w:val="double" w:sz="6" w:space="0" w:color="auto"/>
              <w:bottom w:val="single" w:sz="8" w:space="0" w:color="auto"/>
              <w:right w:val="nil"/>
            </w:tcBorders>
            <w:shd w:val="clear" w:color="auto" w:fill="FFFFFF"/>
            <w:vAlign w:val="center"/>
            <w:hideMark/>
          </w:tcPr>
          <w:p w14:paraId="656A6C94"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Net lending (B9) by sub-sectors</w:t>
            </w:r>
          </w:p>
        </w:tc>
        <w:tc>
          <w:tcPr>
            <w:tcW w:w="989" w:type="dxa"/>
            <w:tcBorders>
              <w:top w:val="nil"/>
              <w:left w:val="nil"/>
              <w:bottom w:val="single" w:sz="8" w:space="0" w:color="auto"/>
              <w:right w:val="nil"/>
            </w:tcBorders>
            <w:shd w:val="clear" w:color="auto" w:fill="FFFFFF"/>
            <w:vAlign w:val="center"/>
            <w:hideMark/>
          </w:tcPr>
          <w:p w14:paraId="3ED4634D"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1129" w:type="dxa"/>
            <w:tcBorders>
              <w:top w:val="nil"/>
              <w:left w:val="nil"/>
              <w:bottom w:val="single" w:sz="8" w:space="0" w:color="auto"/>
              <w:right w:val="nil"/>
            </w:tcBorders>
            <w:shd w:val="clear" w:color="auto" w:fill="FFFFFF"/>
            <w:vAlign w:val="center"/>
            <w:hideMark/>
          </w:tcPr>
          <w:p w14:paraId="74F24C46"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833" w:type="dxa"/>
            <w:tcBorders>
              <w:top w:val="nil"/>
              <w:left w:val="nil"/>
              <w:bottom w:val="single" w:sz="8" w:space="0" w:color="auto"/>
              <w:right w:val="nil"/>
            </w:tcBorders>
            <w:shd w:val="clear" w:color="auto" w:fill="FFFFFF"/>
            <w:vAlign w:val="center"/>
            <w:hideMark/>
          </w:tcPr>
          <w:p w14:paraId="0E650854"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834" w:type="dxa"/>
            <w:tcBorders>
              <w:top w:val="nil"/>
              <w:left w:val="nil"/>
              <w:bottom w:val="single" w:sz="8" w:space="0" w:color="auto"/>
              <w:right w:val="nil"/>
            </w:tcBorders>
            <w:shd w:val="clear" w:color="auto" w:fill="FFFFFF"/>
            <w:vAlign w:val="center"/>
            <w:hideMark/>
          </w:tcPr>
          <w:p w14:paraId="54FD2B66"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834" w:type="dxa"/>
            <w:tcBorders>
              <w:top w:val="nil"/>
              <w:left w:val="nil"/>
              <w:bottom w:val="single" w:sz="8" w:space="0" w:color="auto"/>
              <w:right w:val="nil"/>
            </w:tcBorders>
            <w:shd w:val="clear" w:color="auto" w:fill="FFFFFF"/>
            <w:vAlign w:val="center"/>
            <w:hideMark/>
          </w:tcPr>
          <w:p w14:paraId="0F76BA54"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834" w:type="dxa"/>
            <w:tcBorders>
              <w:top w:val="nil"/>
              <w:left w:val="nil"/>
              <w:bottom w:val="single" w:sz="8" w:space="0" w:color="auto"/>
              <w:right w:val="nil"/>
            </w:tcBorders>
            <w:shd w:val="clear" w:color="auto" w:fill="FFFFFF"/>
            <w:vAlign w:val="center"/>
            <w:hideMark/>
          </w:tcPr>
          <w:p w14:paraId="58D6ECED"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839" w:type="dxa"/>
            <w:tcBorders>
              <w:top w:val="nil"/>
              <w:left w:val="nil"/>
              <w:bottom w:val="single" w:sz="8" w:space="0" w:color="auto"/>
              <w:right w:val="double" w:sz="6" w:space="0" w:color="auto"/>
            </w:tcBorders>
            <w:shd w:val="clear" w:color="auto" w:fill="FFFFFF"/>
            <w:vAlign w:val="center"/>
            <w:hideMark/>
          </w:tcPr>
          <w:p w14:paraId="484C13B8"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r>
      <w:tr w:rsidR="00FA29AB" w:rsidRPr="00050FA4" w14:paraId="0152E2C5"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11F6C56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 General government </w:t>
            </w:r>
          </w:p>
        </w:tc>
        <w:tc>
          <w:tcPr>
            <w:tcW w:w="989" w:type="dxa"/>
            <w:tcBorders>
              <w:top w:val="nil"/>
              <w:left w:val="nil"/>
              <w:bottom w:val="dotted" w:sz="4" w:space="0" w:color="auto"/>
              <w:right w:val="single" w:sz="8" w:space="0" w:color="auto"/>
            </w:tcBorders>
            <w:vAlign w:val="center"/>
            <w:hideMark/>
          </w:tcPr>
          <w:p w14:paraId="42FF3C7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w:t>
            </w:r>
          </w:p>
        </w:tc>
        <w:tc>
          <w:tcPr>
            <w:tcW w:w="1129" w:type="dxa"/>
            <w:tcBorders>
              <w:top w:val="nil"/>
              <w:left w:val="single" w:sz="8" w:space="0" w:color="auto"/>
              <w:bottom w:val="dotted" w:sz="4" w:space="0" w:color="auto"/>
              <w:right w:val="single" w:sz="8" w:space="0" w:color="auto"/>
            </w:tcBorders>
            <w:vAlign w:val="center"/>
            <w:hideMark/>
          </w:tcPr>
          <w:p w14:paraId="54BF380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-110.37</w:t>
            </w:r>
          </w:p>
        </w:tc>
        <w:tc>
          <w:tcPr>
            <w:tcW w:w="833" w:type="dxa"/>
            <w:tcBorders>
              <w:top w:val="nil"/>
              <w:left w:val="nil"/>
              <w:bottom w:val="dotted" w:sz="4" w:space="0" w:color="auto"/>
              <w:right w:val="dotted" w:sz="4" w:space="0" w:color="auto"/>
            </w:tcBorders>
            <w:vAlign w:val="center"/>
            <w:hideMark/>
          </w:tcPr>
          <w:p w14:paraId="46D486F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-6.8</w:t>
            </w:r>
          </w:p>
        </w:tc>
        <w:tc>
          <w:tcPr>
            <w:tcW w:w="834" w:type="dxa"/>
            <w:tcBorders>
              <w:top w:val="nil"/>
              <w:left w:val="nil"/>
              <w:bottom w:val="dotted" w:sz="4" w:space="0" w:color="auto"/>
              <w:right w:val="dotted" w:sz="4" w:space="0" w:color="auto"/>
            </w:tcBorders>
            <w:vAlign w:val="center"/>
            <w:hideMark/>
          </w:tcPr>
          <w:p w14:paraId="624A43D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834" w:type="dxa"/>
            <w:tcBorders>
              <w:top w:val="nil"/>
              <w:left w:val="nil"/>
              <w:bottom w:val="dotted" w:sz="4" w:space="0" w:color="auto"/>
              <w:right w:val="dotted" w:sz="4" w:space="0" w:color="auto"/>
            </w:tcBorders>
            <w:vAlign w:val="center"/>
            <w:hideMark/>
          </w:tcPr>
          <w:p w14:paraId="561A4D7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-5.4</w:t>
            </w:r>
          </w:p>
        </w:tc>
        <w:tc>
          <w:tcPr>
            <w:tcW w:w="834" w:type="dxa"/>
            <w:tcBorders>
              <w:top w:val="nil"/>
              <w:left w:val="nil"/>
              <w:bottom w:val="dotted" w:sz="4" w:space="0" w:color="auto"/>
              <w:right w:val="dotted" w:sz="4" w:space="0" w:color="auto"/>
            </w:tcBorders>
            <w:vAlign w:val="center"/>
            <w:hideMark/>
          </w:tcPr>
          <w:p w14:paraId="4A1B132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39" w:type="dxa"/>
            <w:tcBorders>
              <w:top w:val="nil"/>
              <w:left w:val="nil"/>
              <w:bottom w:val="dotted" w:sz="4" w:space="0" w:color="auto"/>
              <w:right w:val="double" w:sz="6" w:space="0" w:color="auto"/>
            </w:tcBorders>
            <w:vAlign w:val="center"/>
            <w:hideMark/>
          </w:tcPr>
          <w:p w14:paraId="0BBA336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r>
      <w:tr w:rsidR="00FA29AB" w:rsidRPr="00050FA4" w14:paraId="6132011C"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63D245B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Central government</w:t>
            </w:r>
          </w:p>
        </w:tc>
        <w:tc>
          <w:tcPr>
            <w:tcW w:w="989" w:type="dxa"/>
            <w:tcBorders>
              <w:top w:val="nil"/>
              <w:left w:val="nil"/>
              <w:bottom w:val="dotted" w:sz="4" w:space="0" w:color="auto"/>
              <w:right w:val="single" w:sz="8" w:space="0" w:color="auto"/>
            </w:tcBorders>
            <w:vAlign w:val="center"/>
            <w:hideMark/>
          </w:tcPr>
          <w:p w14:paraId="14C8F5B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S1311</w:t>
            </w:r>
          </w:p>
        </w:tc>
        <w:tc>
          <w:tcPr>
            <w:tcW w:w="1129" w:type="dxa"/>
            <w:tcBorders>
              <w:top w:val="nil"/>
              <w:left w:val="single" w:sz="8" w:space="0" w:color="auto"/>
              <w:bottom w:val="dotted" w:sz="4" w:space="0" w:color="auto"/>
              <w:right w:val="single" w:sz="8" w:space="0" w:color="auto"/>
            </w:tcBorders>
            <w:vAlign w:val="center"/>
            <w:hideMark/>
          </w:tcPr>
          <w:p w14:paraId="7C864A6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-0.16</w:t>
            </w:r>
          </w:p>
        </w:tc>
        <w:tc>
          <w:tcPr>
            <w:tcW w:w="833" w:type="dxa"/>
            <w:tcBorders>
              <w:top w:val="nil"/>
              <w:left w:val="nil"/>
              <w:bottom w:val="dotted" w:sz="4" w:space="0" w:color="auto"/>
              <w:right w:val="dotted" w:sz="4" w:space="0" w:color="auto"/>
            </w:tcBorders>
            <w:vAlign w:val="center"/>
            <w:hideMark/>
          </w:tcPr>
          <w:p w14:paraId="46E27AF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34" w:type="dxa"/>
            <w:tcBorders>
              <w:top w:val="nil"/>
              <w:left w:val="nil"/>
              <w:bottom w:val="dotted" w:sz="4" w:space="0" w:color="auto"/>
              <w:right w:val="dotted" w:sz="4" w:space="0" w:color="auto"/>
            </w:tcBorders>
            <w:vAlign w:val="center"/>
            <w:hideMark/>
          </w:tcPr>
          <w:p w14:paraId="7993115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34" w:type="dxa"/>
            <w:tcBorders>
              <w:top w:val="nil"/>
              <w:left w:val="nil"/>
              <w:bottom w:val="dotted" w:sz="4" w:space="0" w:color="auto"/>
              <w:right w:val="dotted" w:sz="4" w:space="0" w:color="auto"/>
            </w:tcBorders>
            <w:vAlign w:val="center"/>
            <w:hideMark/>
          </w:tcPr>
          <w:p w14:paraId="1A0D33B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0.9</w:t>
            </w:r>
          </w:p>
        </w:tc>
        <w:tc>
          <w:tcPr>
            <w:tcW w:w="834" w:type="dxa"/>
            <w:tcBorders>
              <w:top w:val="nil"/>
              <w:left w:val="nil"/>
              <w:bottom w:val="dotted" w:sz="4" w:space="0" w:color="auto"/>
              <w:right w:val="dotted" w:sz="4" w:space="0" w:color="auto"/>
            </w:tcBorders>
            <w:vAlign w:val="center"/>
            <w:hideMark/>
          </w:tcPr>
          <w:p w14:paraId="07869A5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w:t>
            </w:r>
          </w:p>
        </w:tc>
        <w:tc>
          <w:tcPr>
            <w:tcW w:w="839" w:type="dxa"/>
            <w:tcBorders>
              <w:top w:val="nil"/>
              <w:left w:val="nil"/>
              <w:bottom w:val="dotted" w:sz="4" w:space="0" w:color="auto"/>
              <w:right w:val="double" w:sz="6" w:space="0" w:color="auto"/>
            </w:tcBorders>
            <w:vAlign w:val="center"/>
            <w:hideMark/>
          </w:tcPr>
          <w:p w14:paraId="51DB32A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w:t>
            </w:r>
          </w:p>
        </w:tc>
      </w:tr>
      <w:tr w:rsidR="00FA29AB" w:rsidRPr="00050FA4" w14:paraId="270B1010"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566178F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 State government</w:t>
            </w:r>
          </w:p>
        </w:tc>
        <w:tc>
          <w:tcPr>
            <w:tcW w:w="989" w:type="dxa"/>
            <w:tcBorders>
              <w:top w:val="nil"/>
              <w:left w:val="nil"/>
              <w:bottom w:val="dotted" w:sz="4" w:space="0" w:color="auto"/>
              <w:right w:val="single" w:sz="8" w:space="0" w:color="auto"/>
            </w:tcBorders>
            <w:vAlign w:val="center"/>
            <w:hideMark/>
          </w:tcPr>
          <w:p w14:paraId="746AAE3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S1312</w:t>
            </w:r>
          </w:p>
        </w:tc>
        <w:tc>
          <w:tcPr>
            <w:tcW w:w="1129" w:type="dxa"/>
            <w:tcBorders>
              <w:top w:val="nil"/>
              <w:left w:val="single" w:sz="8" w:space="0" w:color="auto"/>
              <w:bottom w:val="dotted" w:sz="4" w:space="0" w:color="auto"/>
              <w:right w:val="single" w:sz="8" w:space="0" w:color="auto"/>
            </w:tcBorders>
            <w:vAlign w:val="center"/>
            <w:hideMark/>
          </w:tcPr>
          <w:p w14:paraId="3BAA51F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3" w:type="dxa"/>
            <w:tcBorders>
              <w:top w:val="nil"/>
              <w:left w:val="nil"/>
              <w:bottom w:val="dotted" w:sz="4" w:space="0" w:color="auto"/>
              <w:right w:val="dotted" w:sz="4" w:space="0" w:color="auto"/>
            </w:tcBorders>
            <w:vAlign w:val="center"/>
            <w:hideMark/>
          </w:tcPr>
          <w:p w14:paraId="10165C0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dotted" w:sz="4" w:space="0" w:color="auto"/>
              <w:right w:val="dotted" w:sz="4" w:space="0" w:color="auto"/>
            </w:tcBorders>
            <w:vAlign w:val="center"/>
            <w:hideMark/>
          </w:tcPr>
          <w:p w14:paraId="44D4307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dotted" w:sz="4" w:space="0" w:color="auto"/>
              <w:right w:val="dotted" w:sz="4" w:space="0" w:color="auto"/>
            </w:tcBorders>
            <w:vAlign w:val="center"/>
            <w:hideMark/>
          </w:tcPr>
          <w:p w14:paraId="1B54DFA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dotted" w:sz="4" w:space="0" w:color="auto"/>
              <w:right w:val="dotted" w:sz="4" w:space="0" w:color="auto"/>
            </w:tcBorders>
            <w:vAlign w:val="center"/>
            <w:hideMark/>
          </w:tcPr>
          <w:p w14:paraId="22143AD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9" w:type="dxa"/>
            <w:tcBorders>
              <w:top w:val="nil"/>
              <w:left w:val="nil"/>
              <w:bottom w:val="dotted" w:sz="4" w:space="0" w:color="auto"/>
              <w:right w:val="double" w:sz="6" w:space="0" w:color="auto"/>
            </w:tcBorders>
            <w:vAlign w:val="center"/>
            <w:hideMark/>
          </w:tcPr>
          <w:p w14:paraId="7D22470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069B04C9"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6E7404D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Local government</w:t>
            </w:r>
          </w:p>
        </w:tc>
        <w:tc>
          <w:tcPr>
            <w:tcW w:w="989" w:type="dxa"/>
            <w:tcBorders>
              <w:top w:val="nil"/>
              <w:left w:val="nil"/>
              <w:bottom w:val="dotted" w:sz="4" w:space="0" w:color="auto"/>
              <w:right w:val="single" w:sz="8" w:space="0" w:color="auto"/>
            </w:tcBorders>
            <w:vAlign w:val="center"/>
            <w:hideMark/>
          </w:tcPr>
          <w:p w14:paraId="73EB5DF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S1313</w:t>
            </w:r>
          </w:p>
        </w:tc>
        <w:tc>
          <w:tcPr>
            <w:tcW w:w="1129" w:type="dxa"/>
            <w:tcBorders>
              <w:top w:val="nil"/>
              <w:left w:val="single" w:sz="8" w:space="0" w:color="auto"/>
              <w:bottom w:val="dotted" w:sz="4" w:space="0" w:color="auto"/>
              <w:right w:val="single" w:sz="8" w:space="0" w:color="auto"/>
            </w:tcBorders>
            <w:vAlign w:val="center"/>
            <w:hideMark/>
          </w:tcPr>
          <w:p w14:paraId="278091E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-34.25</w:t>
            </w:r>
          </w:p>
        </w:tc>
        <w:tc>
          <w:tcPr>
            <w:tcW w:w="833" w:type="dxa"/>
            <w:tcBorders>
              <w:top w:val="nil"/>
              <w:left w:val="nil"/>
              <w:bottom w:val="dotted" w:sz="4" w:space="0" w:color="auto"/>
              <w:right w:val="dotted" w:sz="4" w:space="0" w:color="auto"/>
            </w:tcBorders>
            <w:vAlign w:val="center"/>
            <w:hideMark/>
          </w:tcPr>
          <w:p w14:paraId="0A69A47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834" w:type="dxa"/>
            <w:tcBorders>
              <w:top w:val="nil"/>
              <w:left w:val="nil"/>
              <w:bottom w:val="dotted" w:sz="4" w:space="0" w:color="auto"/>
              <w:right w:val="dotted" w:sz="4" w:space="0" w:color="auto"/>
            </w:tcBorders>
            <w:vAlign w:val="center"/>
            <w:hideMark/>
          </w:tcPr>
          <w:p w14:paraId="11D7D58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834" w:type="dxa"/>
            <w:tcBorders>
              <w:top w:val="nil"/>
              <w:left w:val="nil"/>
              <w:bottom w:val="dotted" w:sz="4" w:space="0" w:color="auto"/>
              <w:right w:val="dotted" w:sz="4" w:space="0" w:color="auto"/>
            </w:tcBorders>
            <w:vAlign w:val="center"/>
            <w:hideMark/>
          </w:tcPr>
          <w:p w14:paraId="20287E6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w:t>
            </w:r>
          </w:p>
        </w:tc>
        <w:tc>
          <w:tcPr>
            <w:tcW w:w="834" w:type="dxa"/>
            <w:tcBorders>
              <w:top w:val="nil"/>
              <w:left w:val="nil"/>
              <w:bottom w:val="dotted" w:sz="4" w:space="0" w:color="auto"/>
              <w:right w:val="dotted" w:sz="4" w:space="0" w:color="auto"/>
            </w:tcBorders>
            <w:vAlign w:val="center"/>
            <w:hideMark/>
          </w:tcPr>
          <w:p w14:paraId="4C85284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w:t>
            </w:r>
          </w:p>
        </w:tc>
        <w:tc>
          <w:tcPr>
            <w:tcW w:w="839" w:type="dxa"/>
            <w:tcBorders>
              <w:top w:val="nil"/>
              <w:left w:val="nil"/>
              <w:bottom w:val="dotted" w:sz="4" w:space="0" w:color="auto"/>
              <w:right w:val="double" w:sz="6" w:space="0" w:color="auto"/>
            </w:tcBorders>
            <w:vAlign w:val="center"/>
            <w:hideMark/>
          </w:tcPr>
          <w:p w14:paraId="2B66175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r>
      <w:tr w:rsidR="00FA29AB" w:rsidRPr="00050FA4" w14:paraId="70FE03A8" w14:textId="77777777" w:rsidTr="00617B60">
        <w:trPr>
          <w:trHeight w:val="207"/>
          <w:jc w:val="center"/>
        </w:trPr>
        <w:tc>
          <w:tcPr>
            <w:tcW w:w="3881" w:type="dxa"/>
            <w:tcBorders>
              <w:top w:val="nil"/>
              <w:left w:val="double" w:sz="6" w:space="0" w:color="auto"/>
              <w:bottom w:val="single" w:sz="8" w:space="0" w:color="auto"/>
              <w:right w:val="dotted" w:sz="4" w:space="0" w:color="auto"/>
            </w:tcBorders>
            <w:vAlign w:val="center"/>
            <w:hideMark/>
          </w:tcPr>
          <w:p w14:paraId="041336C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Social security funds</w:t>
            </w:r>
          </w:p>
        </w:tc>
        <w:tc>
          <w:tcPr>
            <w:tcW w:w="989" w:type="dxa"/>
            <w:tcBorders>
              <w:top w:val="nil"/>
              <w:left w:val="nil"/>
              <w:bottom w:val="single" w:sz="8" w:space="0" w:color="auto"/>
              <w:right w:val="single" w:sz="8" w:space="0" w:color="auto"/>
            </w:tcBorders>
            <w:vAlign w:val="center"/>
            <w:hideMark/>
          </w:tcPr>
          <w:p w14:paraId="7028A2F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S1314</w:t>
            </w:r>
          </w:p>
        </w:tc>
        <w:tc>
          <w:tcPr>
            <w:tcW w:w="1129" w:type="dxa"/>
            <w:tcBorders>
              <w:top w:val="nil"/>
              <w:left w:val="single" w:sz="8" w:space="0" w:color="auto"/>
              <w:bottom w:val="single" w:sz="8" w:space="0" w:color="auto"/>
              <w:right w:val="single" w:sz="8" w:space="0" w:color="auto"/>
            </w:tcBorders>
            <w:vAlign w:val="center"/>
            <w:hideMark/>
          </w:tcPr>
          <w:p w14:paraId="6200CC8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-75.96</w:t>
            </w:r>
          </w:p>
        </w:tc>
        <w:tc>
          <w:tcPr>
            <w:tcW w:w="833" w:type="dxa"/>
            <w:tcBorders>
              <w:top w:val="nil"/>
              <w:left w:val="nil"/>
              <w:bottom w:val="single" w:sz="8" w:space="0" w:color="auto"/>
              <w:right w:val="dotted" w:sz="4" w:space="0" w:color="auto"/>
            </w:tcBorders>
            <w:vAlign w:val="center"/>
            <w:hideMark/>
          </w:tcPr>
          <w:p w14:paraId="53B4099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834" w:type="dxa"/>
            <w:tcBorders>
              <w:top w:val="nil"/>
              <w:left w:val="nil"/>
              <w:bottom w:val="single" w:sz="8" w:space="0" w:color="auto"/>
              <w:right w:val="dotted" w:sz="4" w:space="0" w:color="auto"/>
            </w:tcBorders>
            <w:vAlign w:val="center"/>
            <w:hideMark/>
          </w:tcPr>
          <w:p w14:paraId="3CE029C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-4.6</w:t>
            </w:r>
          </w:p>
        </w:tc>
        <w:tc>
          <w:tcPr>
            <w:tcW w:w="834" w:type="dxa"/>
            <w:tcBorders>
              <w:top w:val="nil"/>
              <w:left w:val="nil"/>
              <w:bottom w:val="single" w:sz="8" w:space="0" w:color="auto"/>
              <w:right w:val="dotted" w:sz="4" w:space="0" w:color="auto"/>
            </w:tcBorders>
            <w:vAlign w:val="center"/>
            <w:hideMark/>
          </w:tcPr>
          <w:p w14:paraId="7EAF041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-4.6</w:t>
            </w:r>
          </w:p>
        </w:tc>
        <w:tc>
          <w:tcPr>
            <w:tcW w:w="834" w:type="dxa"/>
            <w:tcBorders>
              <w:top w:val="nil"/>
              <w:left w:val="nil"/>
              <w:bottom w:val="single" w:sz="8" w:space="0" w:color="auto"/>
              <w:right w:val="dotted" w:sz="4" w:space="0" w:color="auto"/>
            </w:tcBorders>
            <w:vAlign w:val="center"/>
            <w:hideMark/>
          </w:tcPr>
          <w:p w14:paraId="1B3DCA6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-4.9</w:t>
            </w:r>
          </w:p>
        </w:tc>
        <w:tc>
          <w:tcPr>
            <w:tcW w:w="839" w:type="dxa"/>
            <w:tcBorders>
              <w:top w:val="nil"/>
              <w:left w:val="nil"/>
              <w:bottom w:val="single" w:sz="8" w:space="0" w:color="auto"/>
              <w:right w:val="double" w:sz="6" w:space="0" w:color="auto"/>
            </w:tcBorders>
            <w:vAlign w:val="center"/>
            <w:hideMark/>
          </w:tcPr>
          <w:p w14:paraId="2C8B245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r>
      <w:tr w:rsidR="00FA29AB" w:rsidRPr="00050FA4" w14:paraId="1BCE6BA3" w14:textId="77777777" w:rsidTr="00617B60">
        <w:trPr>
          <w:trHeight w:val="207"/>
          <w:jc w:val="center"/>
        </w:trPr>
        <w:tc>
          <w:tcPr>
            <w:tcW w:w="10173" w:type="dxa"/>
            <w:gridSpan w:val="8"/>
            <w:tcBorders>
              <w:top w:val="single" w:sz="8" w:space="0" w:color="auto"/>
              <w:left w:val="double" w:sz="6" w:space="0" w:color="auto"/>
              <w:bottom w:val="single" w:sz="8" w:space="0" w:color="auto"/>
              <w:right w:val="double" w:sz="6" w:space="0" w:color="000000"/>
            </w:tcBorders>
            <w:vAlign w:val="center"/>
            <w:hideMark/>
          </w:tcPr>
          <w:p w14:paraId="5BDF2D01"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General government (S13)</w:t>
            </w:r>
          </w:p>
        </w:tc>
      </w:tr>
      <w:tr w:rsidR="00FA29AB" w:rsidRPr="00050FA4" w14:paraId="0C494005"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590411B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 Total revenue</w:t>
            </w:r>
          </w:p>
        </w:tc>
        <w:tc>
          <w:tcPr>
            <w:tcW w:w="989" w:type="dxa"/>
            <w:tcBorders>
              <w:top w:val="nil"/>
              <w:left w:val="nil"/>
              <w:bottom w:val="dotted" w:sz="4" w:space="0" w:color="auto"/>
              <w:right w:val="single" w:sz="8" w:space="0" w:color="auto"/>
            </w:tcBorders>
            <w:vAlign w:val="center"/>
            <w:hideMark/>
          </w:tcPr>
          <w:p w14:paraId="0C29BBC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TR</w:t>
            </w:r>
          </w:p>
        </w:tc>
        <w:tc>
          <w:tcPr>
            <w:tcW w:w="1129" w:type="dxa"/>
            <w:tcBorders>
              <w:top w:val="nil"/>
              <w:left w:val="single" w:sz="8" w:space="0" w:color="auto"/>
              <w:bottom w:val="dotted" w:sz="4" w:space="0" w:color="auto"/>
              <w:right w:val="single" w:sz="8" w:space="0" w:color="auto"/>
            </w:tcBorders>
            <w:hideMark/>
          </w:tcPr>
          <w:p w14:paraId="3816AB7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425.90</w:t>
            </w:r>
          </w:p>
        </w:tc>
        <w:tc>
          <w:tcPr>
            <w:tcW w:w="833" w:type="dxa"/>
            <w:tcBorders>
              <w:top w:val="nil"/>
              <w:left w:val="nil"/>
              <w:bottom w:val="dotted" w:sz="4" w:space="0" w:color="auto"/>
              <w:right w:val="dotted" w:sz="4" w:space="0" w:color="auto"/>
            </w:tcBorders>
            <w:vAlign w:val="center"/>
            <w:hideMark/>
          </w:tcPr>
          <w:p w14:paraId="58BE02E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26.3</w:t>
            </w:r>
          </w:p>
        </w:tc>
        <w:tc>
          <w:tcPr>
            <w:tcW w:w="834" w:type="dxa"/>
            <w:tcBorders>
              <w:top w:val="nil"/>
              <w:left w:val="nil"/>
              <w:bottom w:val="dotted" w:sz="4" w:space="0" w:color="auto"/>
              <w:right w:val="dotted" w:sz="4" w:space="0" w:color="auto"/>
            </w:tcBorders>
            <w:vAlign w:val="center"/>
            <w:hideMark/>
          </w:tcPr>
          <w:p w14:paraId="0C83052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28.6</w:t>
            </w:r>
          </w:p>
        </w:tc>
        <w:tc>
          <w:tcPr>
            <w:tcW w:w="834" w:type="dxa"/>
            <w:tcBorders>
              <w:top w:val="nil"/>
              <w:left w:val="nil"/>
              <w:bottom w:val="dotted" w:sz="4" w:space="0" w:color="auto"/>
              <w:right w:val="dotted" w:sz="4" w:space="0" w:color="auto"/>
            </w:tcBorders>
            <w:vAlign w:val="center"/>
            <w:hideMark/>
          </w:tcPr>
          <w:p w14:paraId="1968A45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28.7</w:t>
            </w:r>
          </w:p>
        </w:tc>
        <w:tc>
          <w:tcPr>
            <w:tcW w:w="834" w:type="dxa"/>
            <w:tcBorders>
              <w:top w:val="nil"/>
              <w:left w:val="nil"/>
              <w:bottom w:val="dotted" w:sz="4" w:space="0" w:color="auto"/>
              <w:right w:val="dotted" w:sz="4" w:space="0" w:color="auto"/>
            </w:tcBorders>
            <w:vAlign w:val="center"/>
            <w:hideMark/>
          </w:tcPr>
          <w:p w14:paraId="5E74B5C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29.0</w:t>
            </w:r>
          </w:p>
        </w:tc>
        <w:tc>
          <w:tcPr>
            <w:tcW w:w="839" w:type="dxa"/>
            <w:tcBorders>
              <w:top w:val="nil"/>
              <w:left w:val="nil"/>
              <w:bottom w:val="dotted" w:sz="4" w:space="0" w:color="auto"/>
              <w:right w:val="double" w:sz="6" w:space="0" w:color="auto"/>
            </w:tcBorders>
            <w:vAlign w:val="center"/>
            <w:hideMark/>
          </w:tcPr>
          <w:p w14:paraId="3E6D906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29.1</w:t>
            </w:r>
          </w:p>
        </w:tc>
      </w:tr>
      <w:tr w:rsidR="00FA29AB" w:rsidRPr="00050FA4" w14:paraId="3CF88FFF"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7129C4A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Total expenditure[1]</w:t>
            </w:r>
          </w:p>
        </w:tc>
        <w:tc>
          <w:tcPr>
            <w:tcW w:w="989" w:type="dxa"/>
            <w:tcBorders>
              <w:top w:val="nil"/>
              <w:left w:val="nil"/>
              <w:bottom w:val="dotted" w:sz="4" w:space="0" w:color="auto"/>
              <w:right w:val="single" w:sz="8" w:space="0" w:color="auto"/>
            </w:tcBorders>
            <w:vAlign w:val="center"/>
            <w:hideMark/>
          </w:tcPr>
          <w:p w14:paraId="6A6AF7E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TE</w:t>
            </w:r>
          </w:p>
        </w:tc>
        <w:tc>
          <w:tcPr>
            <w:tcW w:w="1129" w:type="dxa"/>
            <w:tcBorders>
              <w:top w:val="nil"/>
              <w:left w:val="single" w:sz="8" w:space="0" w:color="auto"/>
              <w:bottom w:val="dotted" w:sz="4" w:space="0" w:color="auto"/>
              <w:right w:val="single" w:sz="8" w:space="0" w:color="auto"/>
            </w:tcBorders>
            <w:hideMark/>
          </w:tcPr>
          <w:p w14:paraId="24B5A88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536.28</w:t>
            </w:r>
          </w:p>
        </w:tc>
        <w:tc>
          <w:tcPr>
            <w:tcW w:w="833" w:type="dxa"/>
            <w:tcBorders>
              <w:top w:val="nil"/>
              <w:left w:val="nil"/>
              <w:bottom w:val="dotted" w:sz="4" w:space="0" w:color="auto"/>
              <w:right w:val="dotted" w:sz="4" w:space="0" w:color="auto"/>
            </w:tcBorders>
            <w:vAlign w:val="center"/>
            <w:hideMark/>
          </w:tcPr>
          <w:p w14:paraId="680FC2D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33.2</w:t>
            </w:r>
          </w:p>
        </w:tc>
        <w:tc>
          <w:tcPr>
            <w:tcW w:w="834" w:type="dxa"/>
            <w:tcBorders>
              <w:top w:val="nil"/>
              <w:left w:val="nil"/>
              <w:bottom w:val="dotted" w:sz="4" w:space="0" w:color="auto"/>
              <w:right w:val="dotted" w:sz="4" w:space="0" w:color="auto"/>
            </w:tcBorders>
            <w:vAlign w:val="center"/>
            <w:hideMark/>
          </w:tcPr>
          <w:p w14:paraId="3FB2DD5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34.5</w:t>
            </w:r>
          </w:p>
        </w:tc>
        <w:tc>
          <w:tcPr>
            <w:tcW w:w="834" w:type="dxa"/>
            <w:tcBorders>
              <w:top w:val="nil"/>
              <w:left w:val="nil"/>
              <w:bottom w:val="dotted" w:sz="4" w:space="0" w:color="auto"/>
              <w:right w:val="dotted" w:sz="4" w:space="0" w:color="auto"/>
            </w:tcBorders>
            <w:vAlign w:val="center"/>
            <w:hideMark/>
          </w:tcPr>
          <w:p w14:paraId="4BE1482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34.1</w:t>
            </w:r>
          </w:p>
        </w:tc>
        <w:tc>
          <w:tcPr>
            <w:tcW w:w="834" w:type="dxa"/>
            <w:tcBorders>
              <w:top w:val="nil"/>
              <w:left w:val="nil"/>
              <w:bottom w:val="dotted" w:sz="4" w:space="0" w:color="auto"/>
              <w:right w:val="dotted" w:sz="4" w:space="0" w:color="auto"/>
            </w:tcBorders>
            <w:vAlign w:val="center"/>
            <w:hideMark/>
          </w:tcPr>
          <w:p w14:paraId="1C994D2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31.9</w:t>
            </w:r>
          </w:p>
        </w:tc>
        <w:tc>
          <w:tcPr>
            <w:tcW w:w="839" w:type="dxa"/>
            <w:tcBorders>
              <w:top w:val="nil"/>
              <w:left w:val="nil"/>
              <w:bottom w:val="dotted" w:sz="4" w:space="0" w:color="auto"/>
              <w:right w:val="double" w:sz="6" w:space="0" w:color="auto"/>
            </w:tcBorders>
            <w:vAlign w:val="center"/>
            <w:hideMark/>
          </w:tcPr>
          <w:p w14:paraId="4031438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31.9</w:t>
            </w:r>
          </w:p>
        </w:tc>
      </w:tr>
      <w:tr w:rsidR="00FA29AB" w:rsidRPr="00050FA4" w14:paraId="55862F40"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26B9107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8. Net borrowing/lending</w:t>
            </w:r>
          </w:p>
        </w:tc>
        <w:tc>
          <w:tcPr>
            <w:tcW w:w="989" w:type="dxa"/>
            <w:tcBorders>
              <w:top w:val="nil"/>
              <w:left w:val="nil"/>
              <w:bottom w:val="dotted" w:sz="4" w:space="0" w:color="auto"/>
              <w:right w:val="single" w:sz="8" w:space="0" w:color="auto"/>
            </w:tcBorders>
            <w:vAlign w:val="center"/>
            <w:hideMark/>
          </w:tcPr>
          <w:p w14:paraId="24B87A9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EDP.B9</w:t>
            </w:r>
          </w:p>
        </w:tc>
        <w:tc>
          <w:tcPr>
            <w:tcW w:w="1129" w:type="dxa"/>
            <w:tcBorders>
              <w:top w:val="nil"/>
              <w:left w:val="single" w:sz="8" w:space="0" w:color="auto"/>
              <w:bottom w:val="dotted" w:sz="4" w:space="0" w:color="auto"/>
              <w:right w:val="single" w:sz="8" w:space="0" w:color="auto"/>
            </w:tcBorders>
            <w:hideMark/>
          </w:tcPr>
          <w:p w14:paraId="5444E8B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-110.37</w:t>
            </w:r>
          </w:p>
        </w:tc>
        <w:tc>
          <w:tcPr>
            <w:tcW w:w="833" w:type="dxa"/>
            <w:tcBorders>
              <w:top w:val="nil"/>
              <w:left w:val="nil"/>
              <w:bottom w:val="dotted" w:sz="4" w:space="0" w:color="auto"/>
              <w:right w:val="dotted" w:sz="4" w:space="0" w:color="auto"/>
            </w:tcBorders>
            <w:vAlign w:val="center"/>
            <w:hideMark/>
          </w:tcPr>
          <w:p w14:paraId="72A1D00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-6.8</w:t>
            </w:r>
          </w:p>
        </w:tc>
        <w:tc>
          <w:tcPr>
            <w:tcW w:w="834" w:type="dxa"/>
            <w:tcBorders>
              <w:top w:val="nil"/>
              <w:left w:val="nil"/>
              <w:bottom w:val="dotted" w:sz="4" w:space="0" w:color="auto"/>
              <w:right w:val="dotted" w:sz="4" w:space="0" w:color="auto"/>
            </w:tcBorders>
            <w:vAlign w:val="center"/>
            <w:hideMark/>
          </w:tcPr>
          <w:p w14:paraId="44B7C62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834" w:type="dxa"/>
            <w:tcBorders>
              <w:top w:val="nil"/>
              <w:left w:val="nil"/>
              <w:bottom w:val="dotted" w:sz="4" w:space="0" w:color="auto"/>
              <w:right w:val="dotted" w:sz="4" w:space="0" w:color="auto"/>
            </w:tcBorders>
            <w:vAlign w:val="center"/>
            <w:hideMark/>
          </w:tcPr>
          <w:p w14:paraId="5938FBC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-5.4</w:t>
            </w:r>
          </w:p>
        </w:tc>
        <w:tc>
          <w:tcPr>
            <w:tcW w:w="834" w:type="dxa"/>
            <w:tcBorders>
              <w:top w:val="nil"/>
              <w:left w:val="nil"/>
              <w:bottom w:val="dotted" w:sz="4" w:space="0" w:color="auto"/>
              <w:right w:val="dotted" w:sz="4" w:space="0" w:color="auto"/>
            </w:tcBorders>
            <w:vAlign w:val="center"/>
            <w:hideMark/>
          </w:tcPr>
          <w:p w14:paraId="7A1F59E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39" w:type="dxa"/>
            <w:tcBorders>
              <w:top w:val="nil"/>
              <w:left w:val="nil"/>
              <w:bottom w:val="dotted" w:sz="4" w:space="0" w:color="auto"/>
              <w:right w:val="double" w:sz="6" w:space="0" w:color="auto"/>
            </w:tcBorders>
            <w:vAlign w:val="center"/>
            <w:hideMark/>
          </w:tcPr>
          <w:p w14:paraId="1FC7F81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r>
      <w:tr w:rsidR="00FA29AB" w:rsidRPr="00050FA4" w14:paraId="522A8174" w14:textId="77777777" w:rsidTr="00617B60">
        <w:trPr>
          <w:trHeight w:val="230"/>
          <w:jc w:val="center"/>
        </w:trPr>
        <w:tc>
          <w:tcPr>
            <w:tcW w:w="3881" w:type="dxa"/>
            <w:tcBorders>
              <w:top w:val="nil"/>
              <w:left w:val="double" w:sz="6" w:space="0" w:color="auto"/>
              <w:bottom w:val="dotted" w:sz="4" w:space="0" w:color="auto"/>
              <w:right w:val="dotted" w:sz="4" w:space="0" w:color="auto"/>
            </w:tcBorders>
            <w:vAlign w:val="center"/>
            <w:hideMark/>
          </w:tcPr>
          <w:p w14:paraId="17CF855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9. Interest expenditure</w:t>
            </w:r>
          </w:p>
        </w:tc>
        <w:tc>
          <w:tcPr>
            <w:tcW w:w="989" w:type="dxa"/>
            <w:tcBorders>
              <w:top w:val="nil"/>
              <w:left w:val="nil"/>
              <w:bottom w:val="dotted" w:sz="4" w:space="0" w:color="auto"/>
              <w:right w:val="single" w:sz="8" w:space="0" w:color="auto"/>
            </w:tcBorders>
            <w:vAlign w:val="center"/>
            <w:hideMark/>
          </w:tcPr>
          <w:p w14:paraId="0F3C15D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EDP.D41 incl. FISIM</w:t>
            </w:r>
          </w:p>
        </w:tc>
        <w:tc>
          <w:tcPr>
            <w:tcW w:w="1129" w:type="dxa"/>
            <w:tcBorders>
              <w:top w:val="nil"/>
              <w:left w:val="single" w:sz="8" w:space="0" w:color="auto"/>
              <w:bottom w:val="dotted" w:sz="4" w:space="0" w:color="auto"/>
              <w:right w:val="single" w:sz="8" w:space="0" w:color="auto"/>
            </w:tcBorders>
            <w:hideMark/>
          </w:tcPr>
          <w:p w14:paraId="0F1E461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34.39</w:t>
            </w:r>
          </w:p>
        </w:tc>
        <w:tc>
          <w:tcPr>
            <w:tcW w:w="833" w:type="dxa"/>
            <w:tcBorders>
              <w:top w:val="nil"/>
              <w:left w:val="nil"/>
              <w:bottom w:val="dotted" w:sz="4" w:space="0" w:color="auto"/>
              <w:right w:val="dotted" w:sz="4" w:space="0" w:color="auto"/>
            </w:tcBorders>
            <w:vAlign w:val="center"/>
            <w:hideMark/>
          </w:tcPr>
          <w:p w14:paraId="17731B8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834" w:type="dxa"/>
            <w:tcBorders>
              <w:top w:val="nil"/>
              <w:left w:val="nil"/>
              <w:bottom w:val="dotted" w:sz="4" w:space="0" w:color="auto"/>
              <w:right w:val="dotted" w:sz="4" w:space="0" w:color="auto"/>
            </w:tcBorders>
            <w:vAlign w:val="center"/>
            <w:hideMark/>
          </w:tcPr>
          <w:p w14:paraId="35F2B3C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834" w:type="dxa"/>
            <w:tcBorders>
              <w:top w:val="nil"/>
              <w:left w:val="nil"/>
              <w:bottom w:val="dotted" w:sz="4" w:space="0" w:color="auto"/>
              <w:right w:val="dotted" w:sz="4" w:space="0" w:color="auto"/>
            </w:tcBorders>
            <w:vAlign w:val="center"/>
            <w:hideMark/>
          </w:tcPr>
          <w:p w14:paraId="3AE693B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834" w:type="dxa"/>
            <w:tcBorders>
              <w:top w:val="nil"/>
              <w:left w:val="nil"/>
              <w:bottom w:val="dotted" w:sz="4" w:space="0" w:color="auto"/>
              <w:right w:val="dotted" w:sz="4" w:space="0" w:color="auto"/>
            </w:tcBorders>
            <w:vAlign w:val="center"/>
            <w:hideMark/>
          </w:tcPr>
          <w:p w14:paraId="3ABD611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39" w:type="dxa"/>
            <w:tcBorders>
              <w:top w:val="nil"/>
              <w:left w:val="nil"/>
              <w:bottom w:val="dotted" w:sz="4" w:space="0" w:color="auto"/>
              <w:right w:val="double" w:sz="6" w:space="0" w:color="auto"/>
            </w:tcBorders>
            <w:vAlign w:val="center"/>
            <w:hideMark/>
          </w:tcPr>
          <w:p w14:paraId="0E4397F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3.2</w:t>
            </w:r>
          </w:p>
        </w:tc>
      </w:tr>
      <w:tr w:rsidR="00FA29AB" w:rsidRPr="00050FA4" w14:paraId="7C06DABD"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43B50FF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10. Primary balance[2]</w:t>
            </w:r>
          </w:p>
        </w:tc>
        <w:tc>
          <w:tcPr>
            <w:tcW w:w="989" w:type="dxa"/>
            <w:tcBorders>
              <w:top w:val="nil"/>
              <w:left w:val="nil"/>
              <w:bottom w:val="dotted" w:sz="4" w:space="0" w:color="auto"/>
              <w:right w:val="single" w:sz="8" w:space="0" w:color="auto"/>
            </w:tcBorders>
            <w:vAlign w:val="center"/>
            <w:hideMark/>
          </w:tcPr>
          <w:p w14:paraId="1433366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29" w:type="dxa"/>
            <w:tcBorders>
              <w:top w:val="nil"/>
              <w:left w:val="single" w:sz="8" w:space="0" w:color="auto"/>
              <w:bottom w:val="dotted" w:sz="4" w:space="0" w:color="auto"/>
              <w:right w:val="single" w:sz="8" w:space="0" w:color="auto"/>
            </w:tcBorders>
            <w:hideMark/>
          </w:tcPr>
          <w:p w14:paraId="0BB9D61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-75.98</w:t>
            </w:r>
          </w:p>
        </w:tc>
        <w:tc>
          <w:tcPr>
            <w:tcW w:w="833" w:type="dxa"/>
            <w:tcBorders>
              <w:top w:val="nil"/>
              <w:left w:val="nil"/>
              <w:bottom w:val="dotted" w:sz="4" w:space="0" w:color="auto"/>
              <w:right w:val="dotted" w:sz="4" w:space="0" w:color="auto"/>
            </w:tcBorders>
            <w:vAlign w:val="center"/>
            <w:hideMark/>
          </w:tcPr>
          <w:p w14:paraId="7356382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834" w:type="dxa"/>
            <w:tcBorders>
              <w:top w:val="nil"/>
              <w:left w:val="nil"/>
              <w:bottom w:val="dotted" w:sz="4" w:space="0" w:color="auto"/>
              <w:right w:val="dotted" w:sz="4" w:space="0" w:color="auto"/>
            </w:tcBorders>
            <w:vAlign w:val="center"/>
            <w:hideMark/>
          </w:tcPr>
          <w:p w14:paraId="4DB5BC5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w:t>
            </w:r>
          </w:p>
        </w:tc>
        <w:tc>
          <w:tcPr>
            <w:tcW w:w="834" w:type="dxa"/>
            <w:tcBorders>
              <w:top w:val="nil"/>
              <w:left w:val="nil"/>
              <w:bottom w:val="dotted" w:sz="4" w:space="0" w:color="auto"/>
              <w:right w:val="dotted" w:sz="4" w:space="0" w:color="auto"/>
            </w:tcBorders>
            <w:vAlign w:val="center"/>
            <w:hideMark/>
          </w:tcPr>
          <w:p w14:paraId="50070CA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834" w:type="dxa"/>
            <w:tcBorders>
              <w:top w:val="nil"/>
              <w:left w:val="nil"/>
              <w:bottom w:val="dotted" w:sz="4" w:space="0" w:color="auto"/>
              <w:right w:val="dotted" w:sz="4" w:space="0" w:color="auto"/>
            </w:tcBorders>
            <w:vAlign w:val="center"/>
            <w:hideMark/>
          </w:tcPr>
          <w:p w14:paraId="397E361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39" w:type="dxa"/>
            <w:tcBorders>
              <w:top w:val="nil"/>
              <w:left w:val="nil"/>
              <w:bottom w:val="dotted" w:sz="4" w:space="0" w:color="auto"/>
              <w:right w:val="double" w:sz="6" w:space="0" w:color="auto"/>
            </w:tcBorders>
            <w:vAlign w:val="center"/>
            <w:hideMark/>
          </w:tcPr>
          <w:p w14:paraId="39EE0A1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r>
      <w:tr w:rsidR="00FA29AB" w:rsidRPr="00050FA4" w14:paraId="34FE02C7" w14:textId="77777777" w:rsidTr="00617B60">
        <w:trPr>
          <w:trHeight w:val="207"/>
          <w:jc w:val="center"/>
        </w:trPr>
        <w:tc>
          <w:tcPr>
            <w:tcW w:w="3881" w:type="dxa"/>
            <w:tcBorders>
              <w:top w:val="nil"/>
              <w:left w:val="double" w:sz="6" w:space="0" w:color="auto"/>
              <w:bottom w:val="single" w:sz="8" w:space="0" w:color="auto"/>
              <w:right w:val="dotted" w:sz="4" w:space="0" w:color="auto"/>
            </w:tcBorders>
            <w:vAlign w:val="center"/>
            <w:hideMark/>
          </w:tcPr>
          <w:p w14:paraId="2E028D8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 One-off and other temporary measures [3]</w:t>
            </w:r>
          </w:p>
        </w:tc>
        <w:tc>
          <w:tcPr>
            <w:tcW w:w="989" w:type="dxa"/>
            <w:tcBorders>
              <w:top w:val="nil"/>
              <w:left w:val="nil"/>
              <w:bottom w:val="single" w:sz="8" w:space="0" w:color="auto"/>
              <w:right w:val="single" w:sz="8" w:space="0" w:color="auto"/>
            </w:tcBorders>
            <w:vAlign w:val="center"/>
            <w:hideMark/>
          </w:tcPr>
          <w:p w14:paraId="32FD550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29" w:type="dxa"/>
            <w:tcBorders>
              <w:top w:val="nil"/>
              <w:left w:val="single" w:sz="8" w:space="0" w:color="auto"/>
              <w:bottom w:val="single" w:sz="8" w:space="0" w:color="auto"/>
              <w:right w:val="single" w:sz="8" w:space="0" w:color="auto"/>
            </w:tcBorders>
            <w:hideMark/>
          </w:tcPr>
          <w:p w14:paraId="3BB3E29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3" w:type="dxa"/>
            <w:tcBorders>
              <w:top w:val="nil"/>
              <w:left w:val="nil"/>
              <w:bottom w:val="single" w:sz="8" w:space="0" w:color="auto"/>
              <w:right w:val="dotted" w:sz="4" w:space="0" w:color="auto"/>
            </w:tcBorders>
            <w:vAlign w:val="center"/>
            <w:hideMark/>
          </w:tcPr>
          <w:p w14:paraId="7F083D5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single" w:sz="8" w:space="0" w:color="auto"/>
              <w:right w:val="dotted" w:sz="4" w:space="0" w:color="auto"/>
            </w:tcBorders>
            <w:vAlign w:val="center"/>
            <w:hideMark/>
          </w:tcPr>
          <w:p w14:paraId="7A25992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single" w:sz="8" w:space="0" w:color="auto"/>
              <w:right w:val="dotted" w:sz="4" w:space="0" w:color="auto"/>
            </w:tcBorders>
            <w:vAlign w:val="center"/>
            <w:hideMark/>
          </w:tcPr>
          <w:p w14:paraId="0F706A1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single" w:sz="8" w:space="0" w:color="auto"/>
              <w:right w:val="dotted" w:sz="4" w:space="0" w:color="auto"/>
            </w:tcBorders>
            <w:vAlign w:val="center"/>
            <w:hideMark/>
          </w:tcPr>
          <w:p w14:paraId="66A3E6B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9" w:type="dxa"/>
            <w:tcBorders>
              <w:top w:val="nil"/>
              <w:left w:val="nil"/>
              <w:bottom w:val="single" w:sz="8" w:space="0" w:color="auto"/>
              <w:right w:val="double" w:sz="6" w:space="0" w:color="auto"/>
            </w:tcBorders>
            <w:vAlign w:val="center"/>
            <w:hideMark/>
          </w:tcPr>
          <w:p w14:paraId="38D741A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6BC28909" w14:textId="77777777" w:rsidTr="00617B60">
        <w:trPr>
          <w:trHeight w:val="207"/>
          <w:jc w:val="center"/>
        </w:trPr>
        <w:tc>
          <w:tcPr>
            <w:tcW w:w="10173" w:type="dxa"/>
            <w:gridSpan w:val="8"/>
            <w:tcBorders>
              <w:top w:val="single" w:sz="8" w:space="0" w:color="auto"/>
              <w:left w:val="double" w:sz="6" w:space="0" w:color="auto"/>
              <w:bottom w:val="single" w:sz="8" w:space="0" w:color="auto"/>
              <w:right w:val="double" w:sz="6" w:space="0" w:color="000000"/>
            </w:tcBorders>
            <w:vAlign w:val="center"/>
            <w:hideMark/>
          </w:tcPr>
          <w:p w14:paraId="0FBD49BD"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Components of revenues</w:t>
            </w:r>
          </w:p>
        </w:tc>
      </w:tr>
      <w:tr w:rsidR="00FA29AB" w:rsidRPr="00050FA4" w14:paraId="0EAFC0C3"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21101303" w14:textId="76CBBF1F"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 Total taxes</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(12 = 12a+12b+12c)</w:t>
            </w:r>
          </w:p>
        </w:tc>
        <w:tc>
          <w:tcPr>
            <w:tcW w:w="989" w:type="dxa"/>
            <w:tcBorders>
              <w:top w:val="nil"/>
              <w:left w:val="nil"/>
              <w:bottom w:val="dotted" w:sz="4" w:space="0" w:color="auto"/>
              <w:right w:val="single" w:sz="8" w:space="0" w:color="auto"/>
            </w:tcBorders>
            <w:vAlign w:val="center"/>
            <w:hideMark/>
          </w:tcPr>
          <w:p w14:paraId="00B60D92" w14:textId="77777777" w:rsidR="00094A26" w:rsidRPr="00050FA4" w:rsidRDefault="00094A26" w:rsidP="00A95D23">
            <w:pPr>
              <w:jc w:val="center"/>
              <w:rPr>
                <w:rFonts w:ascii="Garamond" w:eastAsia="Times New Roman" w:hAnsi="Garamond"/>
                <w:color w:val="0D0D0D" w:themeColor="text1" w:themeTint="F2"/>
                <w:sz w:val="18"/>
                <w:szCs w:val="18"/>
              </w:rPr>
            </w:pPr>
            <w:bookmarkStart w:id="112" w:name="RANGE!C20"/>
            <w:bookmarkStart w:id="113" w:name="RANGE!C21"/>
            <w:bookmarkEnd w:id="112"/>
            <w:r w:rsidRPr="00050FA4">
              <w:rPr>
                <w:rFonts w:ascii="Garamond" w:eastAsia="Times New Roman" w:hAnsi="Garamond"/>
                <w:color w:val="0D0D0D" w:themeColor="text1" w:themeTint="F2"/>
                <w:sz w:val="18"/>
                <w:szCs w:val="18"/>
              </w:rPr>
              <w:t> </w:t>
            </w:r>
            <w:bookmarkEnd w:id="113"/>
          </w:p>
        </w:tc>
        <w:tc>
          <w:tcPr>
            <w:tcW w:w="1129" w:type="dxa"/>
            <w:tcBorders>
              <w:top w:val="nil"/>
              <w:left w:val="single" w:sz="8" w:space="0" w:color="auto"/>
              <w:bottom w:val="dotted" w:sz="4" w:space="0" w:color="auto"/>
              <w:right w:val="single" w:sz="8" w:space="0" w:color="auto"/>
            </w:tcBorders>
            <w:vAlign w:val="center"/>
            <w:hideMark/>
          </w:tcPr>
          <w:p w14:paraId="6333455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248.28</w:t>
            </w:r>
          </w:p>
        </w:tc>
        <w:tc>
          <w:tcPr>
            <w:tcW w:w="833" w:type="dxa"/>
            <w:tcBorders>
              <w:top w:val="nil"/>
              <w:left w:val="nil"/>
              <w:bottom w:val="dotted" w:sz="4" w:space="0" w:color="auto"/>
              <w:right w:val="dotted" w:sz="4" w:space="0" w:color="auto"/>
            </w:tcBorders>
            <w:vAlign w:val="center"/>
            <w:hideMark/>
          </w:tcPr>
          <w:p w14:paraId="40F840B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15.3</w:t>
            </w:r>
          </w:p>
        </w:tc>
        <w:tc>
          <w:tcPr>
            <w:tcW w:w="834" w:type="dxa"/>
            <w:tcBorders>
              <w:top w:val="nil"/>
              <w:left w:val="nil"/>
              <w:bottom w:val="dotted" w:sz="4" w:space="0" w:color="auto"/>
              <w:right w:val="dotted" w:sz="4" w:space="0" w:color="auto"/>
            </w:tcBorders>
            <w:vAlign w:val="center"/>
            <w:hideMark/>
          </w:tcPr>
          <w:p w14:paraId="0ED7D2E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16.9</w:t>
            </w:r>
          </w:p>
        </w:tc>
        <w:tc>
          <w:tcPr>
            <w:tcW w:w="834" w:type="dxa"/>
            <w:tcBorders>
              <w:top w:val="nil"/>
              <w:left w:val="nil"/>
              <w:bottom w:val="dotted" w:sz="4" w:space="0" w:color="auto"/>
              <w:right w:val="dotted" w:sz="4" w:space="0" w:color="auto"/>
            </w:tcBorders>
            <w:vAlign w:val="center"/>
            <w:hideMark/>
          </w:tcPr>
          <w:p w14:paraId="08C2854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17.0</w:t>
            </w:r>
          </w:p>
        </w:tc>
        <w:tc>
          <w:tcPr>
            <w:tcW w:w="834" w:type="dxa"/>
            <w:tcBorders>
              <w:top w:val="nil"/>
              <w:left w:val="nil"/>
              <w:bottom w:val="dotted" w:sz="4" w:space="0" w:color="auto"/>
              <w:right w:val="dotted" w:sz="4" w:space="0" w:color="auto"/>
            </w:tcBorders>
            <w:vAlign w:val="center"/>
            <w:hideMark/>
          </w:tcPr>
          <w:p w14:paraId="2980498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17.2</w:t>
            </w:r>
          </w:p>
        </w:tc>
        <w:tc>
          <w:tcPr>
            <w:tcW w:w="839" w:type="dxa"/>
            <w:tcBorders>
              <w:top w:val="nil"/>
              <w:left w:val="nil"/>
              <w:bottom w:val="dotted" w:sz="4" w:space="0" w:color="auto"/>
              <w:right w:val="double" w:sz="6" w:space="0" w:color="auto"/>
            </w:tcBorders>
            <w:vAlign w:val="center"/>
            <w:hideMark/>
          </w:tcPr>
          <w:p w14:paraId="39911A6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17.4</w:t>
            </w:r>
          </w:p>
        </w:tc>
      </w:tr>
      <w:tr w:rsidR="00FA29AB" w:rsidRPr="00050FA4" w14:paraId="573DF22B"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0782A14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12a. Taxes on production and imports</w:t>
            </w:r>
          </w:p>
        </w:tc>
        <w:tc>
          <w:tcPr>
            <w:tcW w:w="989" w:type="dxa"/>
            <w:tcBorders>
              <w:top w:val="nil"/>
              <w:left w:val="nil"/>
              <w:bottom w:val="dotted" w:sz="4" w:space="0" w:color="auto"/>
              <w:right w:val="single" w:sz="8" w:space="0" w:color="auto"/>
            </w:tcBorders>
            <w:vAlign w:val="center"/>
            <w:hideMark/>
          </w:tcPr>
          <w:p w14:paraId="3972E41C" w14:textId="77777777" w:rsidR="00094A26" w:rsidRPr="00050FA4" w:rsidRDefault="00094A26" w:rsidP="00A95D23">
            <w:pPr>
              <w:jc w:val="center"/>
              <w:rPr>
                <w:rFonts w:ascii="Garamond" w:eastAsia="Times New Roman" w:hAnsi="Garamond"/>
                <w:color w:val="0D0D0D" w:themeColor="text1" w:themeTint="F2"/>
                <w:sz w:val="18"/>
                <w:szCs w:val="18"/>
              </w:rPr>
            </w:pPr>
            <w:bookmarkStart w:id="114" w:name="RANGE!C22"/>
            <w:r w:rsidRPr="00050FA4">
              <w:rPr>
                <w:rFonts w:ascii="Garamond" w:eastAsia="Times New Roman" w:hAnsi="Garamond"/>
                <w:color w:val="0D0D0D" w:themeColor="text1" w:themeTint="F2"/>
                <w:sz w:val="18"/>
                <w:szCs w:val="18"/>
              </w:rPr>
              <w:t>D2</w:t>
            </w:r>
            <w:bookmarkEnd w:id="114"/>
          </w:p>
        </w:tc>
        <w:tc>
          <w:tcPr>
            <w:tcW w:w="1129" w:type="dxa"/>
            <w:tcBorders>
              <w:top w:val="nil"/>
              <w:left w:val="single" w:sz="8" w:space="0" w:color="auto"/>
              <w:bottom w:val="dotted" w:sz="4" w:space="0" w:color="auto"/>
              <w:right w:val="single" w:sz="8" w:space="0" w:color="auto"/>
            </w:tcBorders>
            <w:vAlign w:val="center"/>
            <w:hideMark/>
          </w:tcPr>
          <w:p w14:paraId="07A5D78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181.12</w:t>
            </w:r>
          </w:p>
        </w:tc>
        <w:tc>
          <w:tcPr>
            <w:tcW w:w="833" w:type="dxa"/>
            <w:tcBorders>
              <w:top w:val="nil"/>
              <w:left w:val="nil"/>
              <w:bottom w:val="dotted" w:sz="4" w:space="0" w:color="auto"/>
              <w:right w:val="dotted" w:sz="4" w:space="0" w:color="auto"/>
            </w:tcBorders>
            <w:vAlign w:val="center"/>
            <w:hideMark/>
          </w:tcPr>
          <w:p w14:paraId="004AD36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11.2</w:t>
            </w:r>
          </w:p>
        </w:tc>
        <w:tc>
          <w:tcPr>
            <w:tcW w:w="834" w:type="dxa"/>
            <w:tcBorders>
              <w:top w:val="nil"/>
              <w:left w:val="nil"/>
              <w:bottom w:val="dotted" w:sz="4" w:space="0" w:color="auto"/>
              <w:right w:val="dotted" w:sz="4" w:space="0" w:color="auto"/>
            </w:tcBorders>
            <w:vAlign w:val="center"/>
            <w:hideMark/>
          </w:tcPr>
          <w:p w14:paraId="519BE89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12.4</w:t>
            </w:r>
          </w:p>
        </w:tc>
        <w:tc>
          <w:tcPr>
            <w:tcW w:w="834" w:type="dxa"/>
            <w:tcBorders>
              <w:top w:val="nil"/>
              <w:left w:val="nil"/>
              <w:bottom w:val="dotted" w:sz="4" w:space="0" w:color="auto"/>
              <w:right w:val="dotted" w:sz="4" w:space="0" w:color="auto"/>
            </w:tcBorders>
            <w:vAlign w:val="center"/>
            <w:hideMark/>
          </w:tcPr>
          <w:p w14:paraId="65368CB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12.3</w:t>
            </w:r>
          </w:p>
        </w:tc>
        <w:tc>
          <w:tcPr>
            <w:tcW w:w="834" w:type="dxa"/>
            <w:tcBorders>
              <w:top w:val="nil"/>
              <w:left w:val="nil"/>
              <w:bottom w:val="dotted" w:sz="4" w:space="0" w:color="auto"/>
              <w:right w:val="dotted" w:sz="4" w:space="0" w:color="auto"/>
            </w:tcBorders>
            <w:vAlign w:val="center"/>
            <w:hideMark/>
          </w:tcPr>
          <w:p w14:paraId="78C263D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12.5</w:t>
            </w:r>
          </w:p>
        </w:tc>
        <w:tc>
          <w:tcPr>
            <w:tcW w:w="839" w:type="dxa"/>
            <w:tcBorders>
              <w:top w:val="nil"/>
              <w:left w:val="nil"/>
              <w:bottom w:val="dotted" w:sz="4" w:space="0" w:color="auto"/>
              <w:right w:val="double" w:sz="6" w:space="0" w:color="auto"/>
            </w:tcBorders>
            <w:vAlign w:val="center"/>
            <w:hideMark/>
          </w:tcPr>
          <w:p w14:paraId="547CEA8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12.6</w:t>
            </w:r>
          </w:p>
        </w:tc>
      </w:tr>
      <w:tr w:rsidR="00FA29AB" w:rsidRPr="00050FA4" w14:paraId="749B103A"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7E802D2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12b. Current taxes on income and wealth</w:t>
            </w:r>
          </w:p>
        </w:tc>
        <w:tc>
          <w:tcPr>
            <w:tcW w:w="989" w:type="dxa"/>
            <w:tcBorders>
              <w:top w:val="nil"/>
              <w:left w:val="nil"/>
              <w:bottom w:val="dotted" w:sz="4" w:space="0" w:color="auto"/>
              <w:right w:val="single" w:sz="8" w:space="0" w:color="auto"/>
            </w:tcBorders>
            <w:vAlign w:val="center"/>
            <w:hideMark/>
          </w:tcPr>
          <w:p w14:paraId="1650AFE6" w14:textId="77777777" w:rsidR="00094A26" w:rsidRPr="00050FA4" w:rsidRDefault="00094A26" w:rsidP="00A95D23">
            <w:pPr>
              <w:jc w:val="center"/>
              <w:rPr>
                <w:rFonts w:ascii="Garamond" w:eastAsia="Times New Roman" w:hAnsi="Garamond"/>
                <w:color w:val="0D0D0D" w:themeColor="text1" w:themeTint="F2"/>
                <w:sz w:val="18"/>
                <w:szCs w:val="18"/>
              </w:rPr>
            </w:pPr>
            <w:bookmarkStart w:id="115" w:name="RANGE!C23"/>
            <w:r w:rsidRPr="00050FA4">
              <w:rPr>
                <w:rFonts w:ascii="Garamond" w:eastAsia="Times New Roman" w:hAnsi="Garamond"/>
                <w:color w:val="0D0D0D" w:themeColor="text1" w:themeTint="F2"/>
                <w:sz w:val="18"/>
                <w:szCs w:val="18"/>
              </w:rPr>
              <w:t>D5</w:t>
            </w:r>
            <w:bookmarkEnd w:id="115"/>
          </w:p>
        </w:tc>
        <w:tc>
          <w:tcPr>
            <w:tcW w:w="1129" w:type="dxa"/>
            <w:tcBorders>
              <w:top w:val="nil"/>
              <w:left w:val="single" w:sz="8" w:space="0" w:color="auto"/>
              <w:bottom w:val="dotted" w:sz="4" w:space="0" w:color="auto"/>
              <w:right w:val="single" w:sz="8" w:space="0" w:color="auto"/>
            </w:tcBorders>
            <w:vAlign w:val="center"/>
            <w:hideMark/>
          </w:tcPr>
          <w:p w14:paraId="3078BAB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38.78</w:t>
            </w:r>
          </w:p>
        </w:tc>
        <w:tc>
          <w:tcPr>
            <w:tcW w:w="833" w:type="dxa"/>
            <w:tcBorders>
              <w:top w:val="nil"/>
              <w:left w:val="nil"/>
              <w:bottom w:val="dotted" w:sz="4" w:space="0" w:color="auto"/>
              <w:right w:val="dotted" w:sz="4" w:space="0" w:color="auto"/>
            </w:tcBorders>
            <w:vAlign w:val="center"/>
            <w:hideMark/>
          </w:tcPr>
          <w:p w14:paraId="22A0904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w:t>
            </w:r>
          </w:p>
        </w:tc>
        <w:tc>
          <w:tcPr>
            <w:tcW w:w="834" w:type="dxa"/>
            <w:tcBorders>
              <w:top w:val="nil"/>
              <w:left w:val="nil"/>
              <w:bottom w:val="dotted" w:sz="4" w:space="0" w:color="auto"/>
              <w:right w:val="dotted" w:sz="4" w:space="0" w:color="auto"/>
            </w:tcBorders>
            <w:vAlign w:val="center"/>
            <w:hideMark/>
          </w:tcPr>
          <w:p w14:paraId="04CB75F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w:t>
            </w:r>
          </w:p>
        </w:tc>
        <w:tc>
          <w:tcPr>
            <w:tcW w:w="834" w:type="dxa"/>
            <w:tcBorders>
              <w:top w:val="nil"/>
              <w:left w:val="nil"/>
              <w:bottom w:val="dotted" w:sz="4" w:space="0" w:color="auto"/>
              <w:right w:val="dotted" w:sz="4" w:space="0" w:color="auto"/>
            </w:tcBorders>
            <w:vAlign w:val="center"/>
            <w:hideMark/>
          </w:tcPr>
          <w:p w14:paraId="0C7968D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834" w:type="dxa"/>
            <w:tcBorders>
              <w:top w:val="nil"/>
              <w:left w:val="nil"/>
              <w:bottom w:val="dotted" w:sz="4" w:space="0" w:color="auto"/>
              <w:right w:val="dotted" w:sz="4" w:space="0" w:color="auto"/>
            </w:tcBorders>
            <w:vAlign w:val="center"/>
            <w:hideMark/>
          </w:tcPr>
          <w:p w14:paraId="28B7A6F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c>
          <w:tcPr>
            <w:tcW w:w="839" w:type="dxa"/>
            <w:tcBorders>
              <w:top w:val="nil"/>
              <w:left w:val="nil"/>
              <w:bottom w:val="dotted" w:sz="4" w:space="0" w:color="auto"/>
              <w:right w:val="double" w:sz="6" w:space="0" w:color="auto"/>
            </w:tcBorders>
            <w:vAlign w:val="center"/>
            <w:hideMark/>
          </w:tcPr>
          <w:p w14:paraId="288E428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r>
      <w:tr w:rsidR="00FA29AB" w:rsidRPr="00050FA4" w14:paraId="4E69E9BD"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7BCA837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12c. Capital taxes</w:t>
            </w:r>
          </w:p>
        </w:tc>
        <w:tc>
          <w:tcPr>
            <w:tcW w:w="989" w:type="dxa"/>
            <w:tcBorders>
              <w:top w:val="nil"/>
              <w:left w:val="nil"/>
              <w:bottom w:val="dotted" w:sz="4" w:space="0" w:color="auto"/>
              <w:right w:val="single" w:sz="8" w:space="0" w:color="auto"/>
            </w:tcBorders>
            <w:vAlign w:val="center"/>
            <w:hideMark/>
          </w:tcPr>
          <w:p w14:paraId="2321885A" w14:textId="77777777" w:rsidR="00094A26" w:rsidRPr="00050FA4" w:rsidRDefault="00094A26" w:rsidP="00A95D23">
            <w:pPr>
              <w:jc w:val="center"/>
              <w:rPr>
                <w:rFonts w:ascii="Garamond" w:eastAsia="Times New Roman" w:hAnsi="Garamond"/>
                <w:color w:val="0D0D0D" w:themeColor="text1" w:themeTint="F2"/>
                <w:sz w:val="18"/>
                <w:szCs w:val="18"/>
              </w:rPr>
            </w:pPr>
            <w:bookmarkStart w:id="116" w:name="RANGE!C24"/>
            <w:r w:rsidRPr="00050FA4">
              <w:rPr>
                <w:rFonts w:ascii="Garamond" w:eastAsia="Times New Roman" w:hAnsi="Garamond"/>
                <w:color w:val="0D0D0D" w:themeColor="text1" w:themeTint="F2"/>
                <w:sz w:val="18"/>
                <w:szCs w:val="18"/>
              </w:rPr>
              <w:t>D91</w:t>
            </w:r>
            <w:bookmarkEnd w:id="116"/>
          </w:p>
        </w:tc>
        <w:tc>
          <w:tcPr>
            <w:tcW w:w="1129" w:type="dxa"/>
            <w:tcBorders>
              <w:top w:val="nil"/>
              <w:left w:val="single" w:sz="8" w:space="0" w:color="auto"/>
              <w:bottom w:val="dotted" w:sz="4" w:space="0" w:color="auto"/>
              <w:right w:val="single" w:sz="8" w:space="0" w:color="auto"/>
            </w:tcBorders>
            <w:vAlign w:val="center"/>
            <w:hideMark/>
          </w:tcPr>
          <w:p w14:paraId="5878B9B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28.38</w:t>
            </w:r>
          </w:p>
        </w:tc>
        <w:tc>
          <w:tcPr>
            <w:tcW w:w="833" w:type="dxa"/>
            <w:tcBorders>
              <w:top w:val="nil"/>
              <w:left w:val="nil"/>
              <w:bottom w:val="dotted" w:sz="4" w:space="0" w:color="auto"/>
              <w:right w:val="dotted" w:sz="4" w:space="0" w:color="auto"/>
            </w:tcBorders>
            <w:vAlign w:val="center"/>
            <w:hideMark/>
          </w:tcPr>
          <w:p w14:paraId="2A7A67B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w:t>
            </w:r>
          </w:p>
        </w:tc>
        <w:tc>
          <w:tcPr>
            <w:tcW w:w="834" w:type="dxa"/>
            <w:tcBorders>
              <w:top w:val="nil"/>
              <w:left w:val="nil"/>
              <w:bottom w:val="dotted" w:sz="4" w:space="0" w:color="auto"/>
              <w:right w:val="dotted" w:sz="4" w:space="0" w:color="auto"/>
            </w:tcBorders>
            <w:vAlign w:val="center"/>
            <w:hideMark/>
          </w:tcPr>
          <w:p w14:paraId="34E9D27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w:t>
            </w:r>
          </w:p>
        </w:tc>
        <w:tc>
          <w:tcPr>
            <w:tcW w:w="834" w:type="dxa"/>
            <w:tcBorders>
              <w:top w:val="nil"/>
              <w:left w:val="nil"/>
              <w:bottom w:val="dotted" w:sz="4" w:space="0" w:color="auto"/>
              <w:right w:val="dotted" w:sz="4" w:space="0" w:color="auto"/>
            </w:tcBorders>
            <w:vAlign w:val="center"/>
            <w:hideMark/>
          </w:tcPr>
          <w:p w14:paraId="093AEF4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c>
          <w:tcPr>
            <w:tcW w:w="834" w:type="dxa"/>
            <w:tcBorders>
              <w:top w:val="nil"/>
              <w:left w:val="nil"/>
              <w:bottom w:val="dotted" w:sz="4" w:space="0" w:color="auto"/>
              <w:right w:val="dotted" w:sz="4" w:space="0" w:color="auto"/>
            </w:tcBorders>
            <w:vAlign w:val="center"/>
            <w:hideMark/>
          </w:tcPr>
          <w:p w14:paraId="34FB23E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c>
          <w:tcPr>
            <w:tcW w:w="839" w:type="dxa"/>
            <w:tcBorders>
              <w:top w:val="nil"/>
              <w:left w:val="nil"/>
              <w:bottom w:val="dotted" w:sz="4" w:space="0" w:color="auto"/>
              <w:right w:val="double" w:sz="6" w:space="0" w:color="auto"/>
            </w:tcBorders>
            <w:vAlign w:val="center"/>
            <w:hideMark/>
          </w:tcPr>
          <w:p w14:paraId="219E3BD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r>
      <w:tr w:rsidR="00FA29AB" w:rsidRPr="00050FA4" w14:paraId="2BF8E334"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5038DA9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13. Social contributions</w:t>
            </w:r>
          </w:p>
        </w:tc>
        <w:tc>
          <w:tcPr>
            <w:tcW w:w="989" w:type="dxa"/>
            <w:tcBorders>
              <w:top w:val="nil"/>
              <w:left w:val="nil"/>
              <w:bottom w:val="dotted" w:sz="4" w:space="0" w:color="auto"/>
              <w:right w:val="single" w:sz="8" w:space="0" w:color="auto"/>
            </w:tcBorders>
            <w:vAlign w:val="center"/>
            <w:hideMark/>
          </w:tcPr>
          <w:p w14:paraId="3025BD8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D61</w:t>
            </w:r>
          </w:p>
        </w:tc>
        <w:tc>
          <w:tcPr>
            <w:tcW w:w="1129" w:type="dxa"/>
            <w:tcBorders>
              <w:top w:val="nil"/>
              <w:left w:val="single" w:sz="8" w:space="0" w:color="auto"/>
              <w:bottom w:val="dotted" w:sz="4" w:space="0" w:color="auto"/>
              <w:right w:val="single" w:sz="8" w:space="0" w:color="auto"/>
            </w:tcBorders>
            <w:vAlign w:val="center"/>
            <w:hideMark/>
          </w:tcPr>
          <w:p w14:paraId="32E4972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96.54</w:t>
            </w:r>
          </w:p>
        </w:tc>
        <w:tc>
          <w:tcPr>
            <w:tcW w:w="833" w:type="dxa"/>
            <w:tcBorders>
              <w:top w:val="nil"/>
              <w:left w:val="nil"/>
              <w:bottom w:val="dotted" w:sz="4" w:space="0" w:color="auto"/>
              <w:right w:val="dotted" w:sz="4" w:space="0" w:color="auto"/>
            </w:tcBorders>
            <w:vAlign w:val="center"/>
            <w:hideMark/>
          </w:tcPr>
          <w:p w14:paraId="06873BA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w:t>
            </w:r>
          </w:p>
        </w:tc>
        <w:tc>
          <w:tcPr>
            <w:tcW w:w="834" w:type="dxa"/>
            <w:tcBorders>
              <w:top w:val="nil"/>
              <w:left w:val="nil"/>
              <w:bottom w:val="dotted" w:sz="4" w:space="0" w:color="auto"/>
              <w:right w:val="dotted" w:sz="4" w:space="0" w:color="auto"/>
            </w:tcBorders>
            <w:vAlign w:val="center"/>
            <w:hideMark/>
          </w:tcPr>
          <w:p w14:paraId="0D07A3D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6.1</w:t>
            </w:r>
          </w:p>
        </w:tc>
        <w:tc>
          <w:tcPr>
            <w:tcW w:w="834" w:type="dxa"/>
            <w:tcBorders>
              <w:top w:val="nil"/>
              <w:left w:val="nil"/>
              <w:bottom w:val="dotted" w:sz="4" w:space="0" w:color="auto"/>
              <w:right w:val="dotted" w:sz="4" w:space="0" w:color="auto"/>
            </w:tcBorders>
            <w:vAlign w:val="center"/>
            <w:hideMark/>
          </w:tcPr>
          <w:p w14:paraId="7925882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5.9</w:t>
            </w:r>
          </w:p>
        </w:tc>
        <w:tc>
          <w:tcPr>
            <w:tcW w:w="834" w:type="dxa"/>
            <w:tcBorders>
              <w:top w:val="nil"/>
              <w:left w:val="nil"/>
              <w:bottom w:val="dotted" w:sz="4" w:space="0" w:color="auto"/>
              <w:right w:val="dotted" w:sz="4" w:space="0" w:color="auto"/>
            </w:tcBorders>
            <w:vAlign w:val="center"/>
            <w:hideMark/>
          </w:tcPr>
          <w:p w14:paraId="2FE6507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w:t>
            </w:r>
          </w:p>
        </w:tc>
        <w:tc>
          <w:tcPr>
            <w:tcW w:w="839" w:type="dxa"/>
            <w:tcBorders>
              <w:top w:val="nil"/>
              <w:left w:val="nil"/>
              <w:bottom w:val="dotted" w:sz="4" w:space="0" w:color="auto"/>
              <w:right w:val="double" w:sz="6" w:space="0" w:color="auto"/>
            </w:tcBorders>
            <w:vAlign w:val="center"/>
            <w:hideMark/>
          </w:tcPr>
          <w:p w14:paraId="31A898C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w:t>
            </w:r>
          </w:p>
        </w:tc>
      </w:tr>
      <w:tr w:rsidR="00FA29AB" w:rsidRPr="00050FA4" w14:paraId="30731A99"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0631197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14. Property income</w:t>
            </w:r>
          </w:p>
        </w:tc>
        <w:tc>
          <w:tcPr>
            <w:tcW w:w="989" w:type="dxa"/>
            <w:tcBorders>
              <w:top w:val="nil"/>
              <w:left w:val="nil"/>
              <w:bottom w:val="dotted" w:sz="4" w:space="0" w:color="auto"/>
              <w:right w:val="single" w:sz="8" w:space="0" w:color="auto"/>
            </w:tcBorders>
            <w:vAlign w:val="center"/>
            <w:hideMark/>
          </w:tcPr>
          <w:p w14:paraId="24AB6A7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D4</w:t>
            </w:r>
          </w:p>
        </w:tc>
        <w:tc>
          <w:tcPr>
            <w:tcW w:w="1129" w:type="dxa"/>
            <w:tcBorders>
              <w:top w:val="nil"/>
              <w:left w:val="single" w:sz="8" w:space="0" w:color="auto"/>
              <w:bottom w:val="dotted" w:sz="4" w:space="0" w:color="auto"/>
              <w:right w:val="single" w:sz="8" w:space="0" w:color="auto"/>
            </w:tcBorders>
            <w:vAlign w:val="center"/>
            <w:hideMark/>
          </w:tcPr>
          <w:p w14:paraId="5F20F8F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0.26</w:t>
            </w:r>
          </w:p>
        </w:tc>
        <w:tc>
          <w:tcPr>
            <w:tcW w:w="833" w:type="dxa"/>
            <w:tcBorders>
              <w:top w:val="nil"/>
              <w:left w:val="nil"/>
              <w:bottom w:val="dotted" w:sz="4" w:space="0" w:color="auto"/>
              <w:right w:val="dotted" w:sz="4" w:space="0" w:color="auto"/>
            </w:tcBorders>
            <w:vAlign w:val="center"/>
            <w:hideMark/>
          </w:tcPr>
          <w:p w14:paraId="0EFC782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34" w:type="dxa"/>
            <w:tcBorders>
              <w:top w:val="nil"/>
              <w:left w:val="nil"/>
              <w:bottom w:val="dotted" w:sz="4" w:space="0" w:color="auto"/>
              <w:right w:val="dotted" w:sz="4" w:space="0" w:color="auto"/>
            </w:tcBorders>
            <w:vAlign w:val="center"/>
            <w:hideMark/>
          </w:tcPr>
          <w:p w14:paraId="069AF24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34" w:type="dxa"/>
            <w:tcBorders>
              <w:top w:val="nil"/>
              <w:left w:val="nil"/>
              <w:bottom w:val="dotted" w:sz="4" w:space="0" w:color="auto"/>
              <w:right w:val="dotted" w:sz="4" w:space="0" w:color="auto"/>
            </w:tcBorders>
            <w:vAlign w:val="center"/>
            <w:hideMark/>
          </w:tcPr>
          <w:p w14:paraId="014E1DF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34" w:type="dxa"/>
            <w:tcBorders>
              <w:top w:val="nil"/>
              <w:left w:val="nil"/>
              <w:bottom w:val="dotted" w:sz="4" w:space="0" w:color="auto"/>
              <w:right w:val="dotted" w:sz="4" w:space="0" w:color="auto"/>
            </w:tcBorders>
            <w:vAlign w:val="center"/>
            <w:hideMark/>
          </w:tcPr>
          <w:p w14:paraId="2CDF28E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839" w:type="dxa"/>
            <w:tcBorders>
              <w:top w:val="nil"/>
              <w:left w:val="nil"/>
              <w:bottom w:val="dotted" w:sz="4" w:space="0" w:color="auto"/>
              <w:right w:val="double" w:sz="6" w:space="0" w:color="auto"/>
            </w:tcBorders>
            <w:vAlign w:val="center"/>
            <w:hideMark/>
          </w:tcPr>
          <w:p w14:paraId="082FE50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r>
      <w:tr w:rsidR="00FA29AB" w:rsidRPr="00050FA4" w14:paraId="02C0064B"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4AD02CD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15. Other (15 = 16-(12+13+14)) [4]</w:t>
            </w:r>
          </w:p>
        </w:tc>
        <w:tc>
          <w:tcPr>
            <w:tcW w:w="989" w:type="dxa"/>
            <w:tcBorders>
              <w:top w:val="nil"/>
              <w:left w:val="nil"/>
              <w:bottom w:val="dotted" w:sz="4" w:space="0" w:color="auto"/>
              <w:right w:val="single" w:sz="8" w:space="0" w:color="auto"/>
            </w:tcBorders>
            <w:vAlign w:val="center"/>
            <w:hideMark/>
          </w:tcPr>
          <w:p w14:paraId="2F563B9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29" w:type="dxa"/>
            <w:tcBorders>
              <w:top w:val="nil"/>
              <w:left w:val="single" w:sz="8" w:space="0" w:color="auto"/>
              <w:bottom w:val="dotted" w:sz="4" w:space="0" w:color="auto"/>
              <w:right w:val="single" w:sz="8" w:space="0" w:color="auto"/>
            </w:tcBorders>
            <w:vAlign w:val="center"/>
            <w:hideMark/>
          </w:tcPr>
          <w:p w14:paraId="1A38160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80.82</w:t>
            </w:r>
          </w:p>
        </w:tc>
        <w:tc>
          <w:tcPr>
            <w:tcW w:w="833" w:type="dxa"/>
            <w:tcBorders>
              <w:top w:val="nil"/>
              <w:left w:val="nil"/>
              <w:bottom w:val="dotted" w:sz="4" w:space="0" w:color="auto"/>
              <w:right w:val="dotted" w:sz="4" w:space="0" w:color="auto"/>
            </w:tcBorders>
            <w:vAlign w:val="center"/>
            <w:hideMark/>
          </w:tcPr>
          <w:p w14:paraId="74B1B0A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w:t>
            </w:r>
          </w:p>
        </w:tc>
        <w:tc>
          <w:tcPr>
            <w:tcW w:w="834" w:type="dxa"/>
            <w:tcBorders>
              <w:top w:val="nil"/>
              <w:left w:val="nil"/>
              <w:bottom w:val="dotted" w:sz="4" w:space="0" w:color="auto"/>
              <w:right w:val="dotted" w:sz="4" w:space="0" w:color="auto"/>
            </w:tcBorders>
            <w:vAlign w:val="center"/>
            <w:hideMark/>
          </w:tcPr>
          <w:p w14:paraId="5FD3EE8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w:t>
            </w:r>
          </w:p>
        </w:tc>
        <w:tc>
          <w:tcPr>
            <w:tcW w:w="834" w:type="dxa"/>
            <w:tcBorders>
              <w:top w:val="nil"/>
              <w:left w:val="nil"/>
              <w:bottom w:val="dotted" w:sz="4" w:space="0" w:color="auto"/>
              <w:right w:val="dotted" w:sz="4" w:space="0" w:color="auto"/>
            </w:tcBorders>
            <w:vAlign w:val="center"/>
            <w:hideMark/>
          </w:tcPr>
          <w:p w14:paraId="6071CF4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834" w:type="dxa"/>
            <w:tcBorders>
              <w:top w:val="nil"/>
              <w:left w:val="nil"/>
              <w:bottom w:val="dotted" w:sz="4" w:space="0" w:color="auto"/>
              <w:right w:val="dotted" w:sz="4" w:space="0" w:color="auto"/>
            </w:tcBorders>
            <w:vAlign w:val="center"/>
            <w:hideMark/>
          </w:tcPr>
          <w:p w14:paraId="0929159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839" w:type="dxa"/>
            <w:tcBorders>
              <w:top w:val="nil"/>
              <w:left w:val="nil"/>
              <w:bottom w:val="dotted" w:sz="4" w:space="0" w:color="auto"/>
              <w:right w:val="double" w:sz="6" w:space="0" w:color="auto"/>
            </w:tcBorders>
            <w:vAlign w:val="center"/>
            <w:hideMark/>
          </w:tcPr>
          <w:p w14:paraId="082EB41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w:t>
            </w:r>
          </w:p>
        </w:tc>
      </w:tr>
      <w:tr w:rsidR="00FA29AB" w:rsidRPr="00050FA4" w14:paraId="3B623AC1"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1BBE0B3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16 = 6. Total revenue </w:t>
            </w:r>
          </w:p>
        </w:tc>
        <w:tc>
          <w:tcPr>
            <w:tcW w:w="989" w:type="dxa"/>
            <w:tcBorders>
              <w:top w:val="nil"/>
              <w:left w:val="nil"/>
              <w:bottom w:val="dotted" w:sz="4" w:space="0" w:color="auto"/>
              <w:right w:val="single" w:sz="8" w:space="0" w:color="auto"/>
            </w:tcBorders>
            <w:vAlign w:val="center"/>
            <w:hideMark/>
          </w:tcPr>
          <w:p w14:paraId="64C2128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TR</w:t>
            </w:r>
          </w:p>
        </w:tc>
        <w:tc>
          <w:tcPr>
            <w:tcW w:w="1129" w:type="dxa"/>
            <w:tcBorders>
              <w:top w:val="nil"/>
              <w:left w:val="single" w:sz="8" w:space="0" w:color="auto"/>
              <w:bottom w:val="dotted" w:sz="4" w:space="0" w:color="auto"/>
              <w:right w:val="single" w:sz="8" w:space="0" w:color="auto"/>
            </w:tcBorders>
            <w:vAlign w:val="center"/>
            <w:hideMark/>
          </w:tcPr>
          <w:p w14:paraId="044CCC9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425.90</w:t>
            </w:r>
          </w:p>
        </w:tc>
        <w:tc>
          <w:tcPr>
            <w:tcW w:w="833" w:type="dxa"/>
            <w:tcBorders>
              <w:top w:val="nil"/>
              <w:left w:val="nil"/>
              <w:bottom w:val="dotted" w:sz="4" w:space="0" w:color="auto"/>
              <w:right w:val="dotted" w:sz="4" w:space="0" w:color="auto"/>
            </w:tcBorders>
            <w:vAlign w:val="center"/>
            <w:hideMark/>
          </w:tcPr>
          <w:p w14:paraId="115060C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26.3</w:t>
            </w:r>
          </w:p>
        </w:tc>
        <w:tc>
          <w:tcPr>
            <w:tcW w:w="834" w:type="dxa"/>
            <w:tcBorders>
              <w:top w:val="nil"/>
              <w:left w:val="nil"/>
              <w:bottom w:val="dotted" w:sz="4" w:space="0" w:color="auto"/>
              <w:right w:val="dotted" w:sz="4" w:space="0" w:color="auto"/>
            </w:tcBorders>
            <w:vAlign w:val="center"/>
            <w:hideMark/>
          </w:tcPr>
          <w:p w14:paraId="539E133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28.6</w:t>
            </w:r>
          </w:p>
        </w:tc>
        <w:tc>
          <w:tcPr>
            <w:tcW w:w="834" w:type="dxa"/>
            <w:tcBorders>
              <w:top w:val="nil"/>
              <w:left w:val="nil"/>
              <w:bottom w:val="dotted" w:sz="4" w:space="0" w:color="auto"/>
              <w:right w:val="dotted" w:sz="4" w:space="0" w:color="auto"/>
            </w:tcBorders>
            <w:vAlign w:val="center"/>
            <w:hideMark/>
          </w:tcPr>
          <w:p w14:paraId="72547CD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28.7</w:t>
            </w:r>
          </w:p>
        </w:tc>
        <w:tc>
          <w:tcPr>
            <w:tcW w:w="834" w:type="dxa"/>
            <w:tcBorders>
              <w:top w:val="nil"/>
              <w:left w:val="nil"/>
              <w:bottom w:val="dotted" w:sz="4" w:space="0" w:color="auto"/>
              <w:right w:val="dotted" w:sz="4" w:space="0" w:color="auto"/>
            </w:tcBorders>
            <w:vAlign w:val="center"/>
            <w:hideMark/>
          </w:tcPr>
          <w:p w14:paraId="2E46767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29.0</w:t>
            </w:r>
          </w:p>
        </w:tc>
        <w:tc>
          <w:tcPr>
            <w:tcW w:w="839" w:type="dxa"/>
            <w:tcBorders>
              <w:top w:val="nil"/>
              <w:left w:val="nil"/>
              <w:bottom w:val="dotted" w:sz="4" w:space="0" w:color="auto"/>
              <w:right w:val="double" w:sz="6" w:space="0" w:color="auto"/>
            </w:tcBorders>
            <w:vAlign w:val="center"/>
            <w:hideMark/>
          </w:tcPr>
          <w:p w14:paraId="603A65D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29.1</w:t>
            </w:r>
          </w:p>
        </w:tc>
      </w:tr>
      <w:tr w:rsidR="00FA29AB" w:rsidRPr="00050FA4" w14:paraId="37A40FC3" w14:textId="77777777" w:rsidTr="00617B60">
        <w:trPr>
          <w:trHeight w:val="207"/>
          <w:jc w:val="center"/>
        </w:trPr>
        <w:tc>
          <w:tcPr>
            <w:tcW w:w="3881" w:type="dxa"/>
            <w:tcBorders>
              <w:top w:val="nil"/>
              <w:left w:val="double" w:sz="6" w:space="0" w:color="auto"/>
              <w:bottom w:val="single" w:sz="8" w:space="0" w:color="auto"/>
              <w:right w:val="nil"/>
            </w:tcBorders>
            <w:noWrap/>
            <w:vAlign w:val="bottom"/>
            <w:hideMark/>
          </w:tcPr>
          <w:p w14:paraId="4274E0C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p.m.: Tax burden (D2+D5+D61+D91-D995) [5]</w:t>
            </w:r>
          </w:p>
        </w:tc>
        <w:tc>
          <w:tcPr>
            <w:tcW w:w="989" w:type="dxa"/>
            <w:tcBorders>
              <w:top w:val="nil"/>
              <w:left w:val="nil"/>
              <w:bottom w:val="single" w:sz="8" w:space="0" w:color="000000"/>
              <w:right w:val="single" w:sz="8" w:space="0" w:color="auto"/>
            </w:tcBorders>
            <w:vAlign w:val="center"/>
            <w:hideMark/>
          </w:tcPr>
          <w:p w14:paraId="18E0AE0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29" w:type="dxa"/>
            <w:tcBorders>
              <w:top w:val="nil"/>
              <w:left w:val="single" w:sz="8" w:space="0" w:color="auto"/>
              <w:bottom w:val="single" w:sz="8" w:space="0" w:color="auto"/>
              <w:right w:val="single" w:sz="8" w:space="0" w:color="auto"/>
            </w:tcBorders>
            <w:vAlign w:val="center"/>
            <w:hideMark/>
          </w:tcPr>
          <w:p w14:paraId="7E820E8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344.82</w:t>
            </w:r>
          </w:p>
        </w:tc>
        <w:tc>
          <w:tcPr>
            <w:tcW w:w="833" w:type="dxa"/>
            <w:tcBorders>
              <w:top w:val="nil"/>
              <w:left w:val="nil"/>
              <w:bottom w:val="single" w:sz="8" w:space="0" w:color="000000"/>
              <w:right w:val="dotted" w:sz="4" w:space="0" w:color="auto"/>
            </w:tcBorders>
            <w:vAlign w:val="center"/>
            <w:hideMark/>
          </w:tcPr>
          <w:p w14:paraId="5E750B4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21.3</w:t>
            </w:r>
          </w:p>
        </w:tc>
        <w:tc>
          <w:tcPr>
            <w:tcW w:w="834" w:type="dxa"/>
            <w:tcBorders>
              <w:top w:val="nil"/>
              <w:left w:val="nil"/>
              <w:bottom w:val="single" w:sz="8" w:space="0" w:color="000000"/>
              <w:right w:val="dotted" w:sz="4" w:space="0" w:color="auto"/>
            </w:tcBorders>
            <w:vAlign w:val="center"/>
            <w:hideMark/>
          </w:tcPr>
          <w:p w14:paraId="4B3F0E9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23.0</w:t>
            </w:r>
          </w:p>
        </w:tc>
        <w:tc>
          <w:tcPr>
            <w:tcW w:w="834" w:type="dxa"/>
            <w:tcBorders>
              <w:top w:val="nil"/>
              <w:left w:val="nil"/>
              <w:bottom w:val="single" w:sz="8" w:space="0" w:color="000000"/>
              <w:right w:val="dotted" w:sz="4" w:space="0" w:color="auto"/>
            </w:tcBorders>
            <w:vAlign w:val="center"/>
            <w:hideMark/>
          </w:tcPr>
          <w:p w14:paraId="4D1FA89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22.9</w:t>
            </w:r>
          </w:p>
        </w:tc>
        <w:tc>
          <w:tcPr>
            <w:tcW w:w="834" w:type="dxa"/>
            <w:tcBorders>
              <w:top w:val="nil"/>
              <w:left w:val="nil"/>
              <w:bottom w:val="single" w:sz="8" w:space="0" w:color="000000"/>
              <w:right w:val="dotted" w:sz="4" w:space="0" w:color="auto"/>
            </w:tcBorders>
            <w:vAlign w:val="center"/>
            <w:hideMark/>
          </w:tcPr>
          <w:p w14:paraId="5293C51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23.2</w:t>
            </w:r>
          </w:p>
        </w:tc>
        <w:tc>
          <w:tcPr>
            <w:tcW w:w="839" w:type="dxa"/>
            <w:tcBorders>
              <w:top w:val="nil"/>
              <w:left w:val="nil"/>
              <w:bottom w:val="single" w:sz="8" w:space="0" w:color="auto"/>
              <w:right w:val="double" w:sz="6" w:space="0" w:color="auto"/>
            </w:tcBorders>
            <w:vAlign w:val="center"/>
            <w:hideMark/>
          </w:tcPr>
          <w:p w14:paraId="09FC85C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23.4</w:t>
            </w:r>
          </w:p>
        </w:tc>
      </w:tr>
      <w:tr w:rsidR="00FA29AB" w:rsidRPr="00050FA4" w14:paraId="344100F3" w14:textId="77777777" w:rsidTr="00617B60">
        <w:trPr>
          <w:trHeight w:val="207"/>
          <w:jc w:val="center"/>
        </w:trPr>
        <w:tc>
          <w:tcPr>
            <w:tcW w:w="10173" w:type="dxa"/>
            <w:gridSpan w:val="8"/>
            <w:tcBorders>
              <w:top w:val="single" w:sz="8" w:space="0" w:color="auto"/>
              <w:left w:val="double" w:sz="6" w:space="0" w:color="auto"/>
              <w:bottom w:val="single" w:sz="8" w:space="0" w:color="auto"/>
              <w:right w:val="double" w:sz="6" w:space="0" w:color="000000"/>
            </w:tcBorders>
            <w:vAlign w:val="center"/>
            <w:hideMark/>
          </w:tcPr>
          <w:p w14:paraId="2BFD6CBB"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Selected components of expenditures</w:t>
            </w:r>
          </w:p>
        </w:tc>
      </w:tr>
      <w:tr w:rsidR="00FA29AB" w:rsidRPr="00050FA4" w14:paraId="3F4EEC0D"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3CCE3AE7"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16. Collective consumption</w:t>
            </w:r>
          </w:p>
        </w:tc>
        <w:tc>
          <w:tcPr>
            <w:tcW w:w="989" w:type="dxa"/>
            <w:tcBorders>
              <w:top w:val="nil"/>
              <w:left w:val="nil"/>
              <w:bottom w:val="dotted" w:sz="4" w:space="0" w:color="auto"/>
              <w:right w:val="single" w:sz="8" w:space="0" w:color="auto"/>
            </w:tcBorders>
            <w:vAlign w:val="center"/>
            <w:hideMark/>
          </w:tcPr>
          <w:p w14:paraId="4EB6747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P32</w:t>
            </w:r>
          </w:p>
        </w:tc>
        <w:tc>
          <w:tcPr>
            <w:tcW w:w="1129" w:type="dxa"/>
            <w:tcBorders>
              <w:top w:val="nil"/>
              <w:left w:val="single" w:sz="8" w:space="0" w:color="auto"/>
              <w:bottom w:val="dotted" w:sz="4" w:space="0" w:color="auto"/>
              <w:right w:val="single" w:sz="8" w:space="0" w:color="auto"/>
            </w:tcBorders>
            <w:vAlign w:val="center"/>
            <w:hideMark/>
          </w:tcPr>
          <w:p w14:paraId="489F4DE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175.61</w:t>
            </w:r>
          </w:p>
        </w:tc>
        <w:tc>
          <w:tcPr>
            <w:tcW w:w="833" w:type="dxa"/>
            <w:tcBorders>
              <w:top w:val="nil"/>
              <w:left w:val="nil"/>
              <w:bottom w:val="dotted" w:sz="4" w:space="0" w:color="auto"/>
              <w:right w:val="dotted" w:sz="4" w:space="0" w:color="auto"/>
            </w:tcBorders>
            <w:vAlign w:val="center"/>
            <w:hideMark/>
          </w:tcPr>
          <w:p w14:paraId="227B773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10.9</w:t>
            </w:r>
          </w:p>
        </w:tc>
        <w:tc>
          <w:tcPr>
            <w:tcW w:w="834" w:type="dxa"/>
            <w:tcBorders>
              <w:top w:val="nil"/>
              <w:left w:val="nil"/>
              <w:bottom w:val="dotted" w:sz="4" w:space="0" w:color="auto"/>
              <w:right w:val="dotted" w:sz="4" w:space="0" w:color="auto"/>
            </w:tcBorders>
            <w:vAlign w:val="center"/>
            <w:hideMark/>
          </w:tcPr>
          <w:p w14:paraId="759A82C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9.5</w:t>
            </w:r>
          </w:p>
        </w:tc>
        <w:tc>
          <w:tcPr>
            <w:tcW w:w="834" w:type="dxa"/>
            <w:tcBorders>
              <w:top w:val="nil"/>
              <w:left w:val="nil"/>
              <w:bottom w:val="dotted" w:sz="4" w:space="0" w:color="auto"/>
              <w:right w:val="dotted" w:sz="4" w:space="0" w:color="auto"/>
            </w:tcBorders>
            <w:vAlign w:val="center"/>
            <w:hideMark/>
          </w:tcPr>
          <w:p w14:paraId="4398E74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9.5</w:t>
            </w:r>
          </w:p>
        </w:tc>
        <w:tc>
          <w:tcPr>
            <w:tcW w:w="834" w:type="dxa"/>
            <w:tcBorders>
              <w:top w:val="nil"/>
              <w:left w:val="nil"/>
              <w:bottom w:val="dotted" w:sz="4" w:space="0" w:color="auto"/>
              <w:right w:val="dotted" w:sz="4" w:space="0" w:color="auto"/>
            </w:tcBorders>
            <w:vAlign w:val="center"/>
            <w:hideMark/>
          </w:tcPr>
          <w:p w14:paraId="5BEDBC4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9.1</w:t>
            </w:r>
          </w:p>
        </w:tc>
        <w:tc>
          <w:tcPr>
            <w:tcW w:w="839" w:type="dxa"/>
            <w:tcBorders>
              <w:top w:val="nil"/>
              <w:left w:val="nil"/>
              <w:bottom w:val="dotted" w:sz="4" w:space="0" w:color="auto"/>
              <w:right w:val="double" w:sz="6" w:space="0" w:color="auto"/>
            </w:tcBorders>
            <w:vAlign w:val="center"/>
            <w:hideMark/>
          </w:tcPr>
          <w:p w14:paraId="4A5BD03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8.9</w:t>
            </w:r>
          </w:p>
        </w:tc>
      </w:tr>
      <w:tr w:rsidR="00FA29AB" w:rsidRPr="00050FA4" w14:paraId="338E56D6"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51C2790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 Total social transfers</w:t>
            </w:r>
          </w:p>
        </w:tc>
        <w:tc>
          <w:tcPr>
            <w:tcW w:w="989" w:type="dxa"/>
            <w:tcBorders>
              <w:top w:val="nil"/>
              <w:left w:val="nil"/>
              <w:bottom w:val="dotted" w:sz="4" w:space="0" w:color="auto"/>
              <w:right w:val="single" w:sz="8" w:space="0" w:color="auto"/>
            </w:tcBorders>
            <w:vAlign w:val="center"/>
            <w:hideMark/>
          </w:tcPr>
          <w:p w14:paraId="2CAAC8C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D62 + D63</w:t>
            </w:r>
          </w:p>
        </w:tc>
        <w:tc>
          <w:tcPr>
            <w:tcW w:w="1129" w:type="dxa"/>
            <w:tcBorders>
              <w:top w:val="nil"/>
              <w:left w:val="single" w:sz="8" w:space="0" w:color="auto"/>
              <w:bottom w:val="dotted" w:sz="4" w:space="0" w:color="auto"/>
              <w:right w:val="single" w:sz="8" w:space="0" w:color="auto"/>
            </w:tcBorders>
            <w:vAlign w:val="center"/>
            <w:hideMark/>
          </w:tcPr>
          <w:p w14:paraId="2EE4769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208.07</w:t>
            </w:r>
          </w:p>
        </w:tc>
        <w:tc>
          <w:tcPr>
            <w:tcW w:w="833" w:type="dxa"/>
            <w:tcBorders>
              <w:top w:val="nil"/>
              <w:left w:val="nil"/>
              <w:bottom w:val="dotted" w:sz="4" w:space="0" w:color="auto"/>
              <w:right w:val="dotted" w:sz="4" w:space="0" w:color="auto"/>
            </w:tcBorders>
            <w:vAlign w:val="center"/>
            <w:hideMark/>
          </w:tcPr>
          <w:p w14:paraId="0DA58C7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12.9</w:t>
            </w:r>
          </w:p>
        </w:tc>
        <w:tc>
          <w:tcPr>
            <w:tcW w:w="834" w:type="dxa"/>
            <w:tcBorders>
              <w:top w:val="nil"/>
              <w:left w:val="nil"/>
              <w:bottom w:val="dotted" w:sz="4" w:space="0" w:color="auto"/>
              <w:right w:val="dotted" w:sz="4" w:space="0" w:color="auto"/>
            </w:tcBorders>
            <w:vAlign w:val="center"/>
            <w:hideMark/>
          </w:tcPr>
          <w:p w14:paraId="230996E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12.7</w:t>
            </w:r>
          </w:p>
        </w:tc>
        <w:tc>
          <w:tcPr>
            <w:tcW w:w="834" w:type="dxa"/>
            <w:tcBorders>
              <w:top w:val="nil"/>
              <w:left w:val="nil"/>
              <w:bottom w:val="dotted" w:sz="4" w:space="0" w:color="auto"/>
              <w:right w:val="dotted" w:sz="4" w:space="0" w:color="auto"/>
            </w:tcBorders>
            <w:vAlign w:val="center"/>
            <w:hideMark/>
          </w:tcPr>
          <w:p w14:paraId="41EE08A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12.9</w:t>
            </w:r>
          </w:p>
        </w:tc>
        <w:tc>
          <w:tcPr>
            <w:tcW w:w="834" w:type="dxa"/>
            <w:tcBorders>
              <w:top w:val="nil"/>
              <w:left w:val="nil"/>
              <w:bottom w:val="dotted" w:sz="4" w:space="0" w:color="auto"/>
              <w:right w:val="dotted" w:sz="4" w:space="0" w:color="auto"/>
            </w:tcBorders>
            <w:vAlign w:val="center"/>
            <w:hideMark/>
          </w:tcPr>
          <w:p w14:paraId="63CFFE5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12.6</w:t>
            </w:r>
          </w:p>
        </w:tc>
        <w:tc>
          <w:tcPr>
            <w:tcW w:w="839" w:type="dxa"/>
            <w:tcBorders>
              <w:top w:val="nil"/>
              <w:left w:val="nil"/>
              <w:bottom w:val="dotted" w:sz="4" w:space="0" w:color="auto"/>
              <w:right w:val="double" w:sz="6" w:space="0" w:color="auto"/>
            </w:tcBorders>
            <w:vAlign w:val="center"/>
            <w:hideMark/>
          </w:tcPr>
          <w:p w14:paraId="3D5CFE2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12.6</w:t>
            </w:r>
          </w:p>
        </w:tc>
      </w:tr>
      <w:tr w:rsidR="00FA29AB" w:rsidRPr="00050FA4" w14:paraId="041B0B5B"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76A62C9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17a. Social transfers in kind</w:t>
            </w:r>
          </w:p>
        </w:tc>
        <w:tc>
          <w:tcPr>
            <w:tcW w:w="989" w:type="dxa"/>
            <w:tcBorders>
              <w:top w:val="nil"/>
              <w:left w:val="nil"/>
              <w:bottom w:val="dotted" w:sz="4" w:space="0" w:color="auto"/>
              <w:right w:val="single" w:sz="8" w:space="0" w:color="auto"/>
            </w:tcBorders>
            <w:vAlign w:val="center"/>
            <w:hideMark/>
          </w:tcPr>
          <w:p w14:paraId="600905A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P31 = D63</w:t>
            </w:r>
          </w:p>
        </w:tc>
        <w:tc>
          <w:tcPr>
            <w:tcW w:w="1129" w:type="dxa"/>
            <w:tcBorders>
              <w:top w:val="nil"/>
              <w:left w:val="single" w:sz="8" w:space="0" w:color="auto"/>
              <w:bottom w:val="dotted" w:sz="4" w:space="0" w:color="auto"/>
              <w:right w:val="single" w:sz="8" w:space="0" w:color="auto"/>
            </w:tcBorders>
            <w:vAlign w:val="center"/>
            <w:hideMark/>
          </w:tcPr>
          <w:p w14:paraId="5529BFA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3" w:type="dxa"/>
            <w:tcBorders>
              <w:top w:val="nil"/>
              <w:left w:val="nil"/>
              <w:bottom w:val="dotted" w:sz="4" w:space="0" w:color="auto"/>
              <w:right w:val="dotted" w:sz="4" w:space="0" w:color="auto"/>
            </w:tcBorders>
            <w:vAlign w:val="center"/>
            <w:hideMark/>
          </w:tcPr>
          <w:p w14:paraId="3DA9BB5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dotted" w:sz="4" w:space="0" w:color="auto"/>
              <w:right w:val="dotted" w:sz="4" w:space="0" w:color="auto"/>
            </w:tcBorders>
            <w:vAlign w:val="center"/>
            <w:hideMark/>
          </w:tcPr>
          <w:p w14:paraId="3385AEE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dotted" w:sz="4" w:space="0" w:color="auto"/>
              <w:right w:val="dotted" w:sz="4" w:space="0" w:color="auto"/>
            </w:tcBorders>
            <w:vAlign w:val="center"/>
            <w:hideMark/>
          </w:tcPr>
          <w:p w14:paraId="2A92F49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4" w:type="dxa"/>
            <w:tcBorders>
              <w:top w:val="nil"/>
              <w:left w:val="nil"/>
              <w:bottom w:val="dotted" w:sz="4" w:space="0" w:color="auto"/>
              <w:right w:val="dotted" w:sz="4" w:space="0" w:color="auto"/>
            </w:tcBorders>
            <w:vAlign w:val="center"/>
            <w:hideMark/>
          </w:tcPr>
          <w:p w14:paraId="62BEDCB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839" w:type="dxa"/>
            <w:tcBorders>
              <w:top w:val="nil"/>
              <w:left w:val="nil"/>
              <w:bottom w:val="dotted" w:sz="4" w:space="0" w:color="auto"/>
              <w:right w:val="double" w:sz="6" w:space="0" w:color="auto"/>
            </w:tcBorders>
            <w:vAlign w:val="center"/>
            <w:hideMark/>
          </w:tcPr>
          <w:p w14:paraId="4F261C5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35FCE5BF"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1C8F674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17b. Social transfers other than in kind</w:t>
            </w:r>
          </w:p>
        </w:tc>
        <w:tc>
          <w:tcPr>
            <w:tcW w:w="989" w:type="dxa"/>
            <w:tcBorders>
              <w:top w:val="nil"/>
              <w:left w:val="nil"/>
              <w:bottom w:val="dotted" w:sz="4" w:space="0" w:color="auto"/>
              <w:right w:val="single" w:sz="8" w:space="0" w:color="auto"/>
            </w:tcBorders>
            <w:vAlign w:val="center"/>
            <w:hideMark/>
          </w:tcPr>
          <w:p w14:paraId="447A7BC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D62</w:t>
            </w:r>
          </w:p>
        </w:tc>
        <w:tc>
          <w:tcPr>
            <w:tcW w:w="1129" w:type="dxa"/>
            <w:tcBorders>
              <w:top w:val="nil"/>
              <w:left w:val="single" w:sz="8" w:space="0" w:color="auto"/>
              <w:bottom w:val="dotted" w:sz="4" w:space="0" w:color="auto"/>
              <w:right w:val="single" w:sz="8" w:space="0" w:color="auto"/>
            </w:tcBorders>
            <w:vAlign w:val="center"/>
            <w:hideMark/>
          </w:tcPr>
          <w:p w14:paraId="29EBE28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208.07</w:t>
            </w:r>
          </w:p>
        </w:tc>
        <w:tc>
          <w:tcPr>
            <w:tcW w:w="833" w:type="dxa"/>
            <w:tcBorders>
              <w:top w:val="nil"/>
              <w:left w:val="nil"/>
              <w:bottom w:val="dotted" w:sz="4" w:space="0" w:color="auto"/>
              <w:right w:val="dotted" w:sz="4" w:space="0" w:color="auto"/>
            </w:tcBorders>
            <w:vAlign w:val="center"/>
            <w:hideMark/>
          </w:tcPr>
          <w:p w14:paraId="595E2F5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12.9</w:t>
            </w:r>
          </w:p>
        </w:tc>
        <w:tc>
          <w:tcPr>
            <w:tcW w:w="834" w:type="dxa"/>
            <w:tcBorders>
              <w:top w:val="nil"/>
              <w:left w:val="nil"/>
              <w:bottom w:val="dotted" w:sz="4" w:space="0" w:color="auto"/>
              <w:right w:val="dotted" w:sz="4" w:space="0" w:color="auto"/>
            </w:tcBorders>
            <w:vAlign w:val="center"/>
            <w:hideMark/>
          </w:tcPr>
          <w:p w14:paraId="0D4AA50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12.7</w:t>
            </w:r>
          </w:p>
        </w:tc>
        <w:tc>
          <w:tcPr>
            <w:tcW w:w="834" w:type="dxa"/>
            <w:tcBorders>
              <w:top w:val="nil"/>
              <w:left w:val="nil"/>
              <w:bottom w:val="dotted" w:sz="4" w:space="0" w:color="auto"/>
              <w:right w:val="dotted" w:sz="4" w:space="0" w:color="auto"/>
            </w:tcBorders>
            <w:vAlign w:val="center"/>
            <w:hideMark/>
          </w:tcPr>
          <w:p w14:paraId="03A8B1A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12.9</w:t>
            </w:r>
          </w:p>
        </w:tc>
        <w:tc>
          <w:tcPr>
            <w:tcW w:w="834" w:type="dxa"/>
            <w:tcBorders>
              <w:top w:val="nil"/>
              <w:left w:val="nil"/>
              <w:bottom w:val="dotted" w:sz="4" w:space="0" w:color="auto"/>
              <w:right w:val="dotted" w:sz="4" w:space="0" w:color="auto"/>
            </w:tcBorders>
            <w:vAlign w:val="center"/>
            <w:hideMark/>
          </w:tcPr>
          <w:p w14:paraId="79B4973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12.6</w:t>
            </w:r>
          </w:p>
        </w:tc>
        <w:tc>
          <w:tcPr>
            <w:tcW w:w="839" w:type="dxa"/>
            <w:tcBorders>
              <w:top w:val="nil"/>
              <w:left w:val="nil"/>
              <w:bottom w:val="dotted" w:sz="4" w:space="0" w:color="auto"/>
              <w:right w:val="double" w:sz="6" w:space="0" w:color="auto"/>
            </w:tcBorders>
            <w:vAlign w:val="center"/>
            <w:hideMark/>
          </w:tcPr>
          <w:p w14:paraId="201A8F6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12.6</w:t>
            </w:r>
          </w:p>
        </w:tc>
      </w:tr>
      <w:tr w:rsidR="00FA29AB" w:rsidRPr="00050FA4" w14:paraId="23F82494"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42069D1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18 = 9. Interest expenditure (incl. FISIM) </w:t>
            </w:r>
          </w:p>
        </w:tc>
        <w:tc>
          <w:tcPr>
            <w:tcW w:w="989" w:type="dxa"/>
            <w:tcBorders>
              <w:top w:val="nil"/>
              <w:left w:val="nil"/>
              <w:bottom w:val="dotted" w:sz="4" w:space="0" w:color="auto"/>
              <w:right w:val="single" w:sz="8" w:space="0" w:color="auto"/>
            </w:tcBorders>
            <w:vAlign w:val="center"/>
            <w:hideMark/>
          </w:tcPr>
          <w:p w14:paraId="12C63B6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EDP.D41 + FISIM</w:t>
            </w:r>
          </w:p>
        </w:tc>
        <w:tc>
          <w:tcPr>
            <w:tcW w:w="1129" w:type="dxa"/>
            <w:tcBorders>
              <w:top w:val="nil"/>
              <w:left w:val="single" w:sz="8" w:space="0" w:color="auto"/>
              <w:bottom w:val="dotted" w:sz="4" w:space="0" w:color="auto"/>
              <w:right w:val="single" w:sz="8" w:space="0" w:color="auto"/>
            </w:tcBorders>
            <w:vAlign w:val="center"/>
            <w:hideMark/>
          </w:tcPr>
          <w:p w14:paraId="59E0A38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34.39</w:t>
            </w:r>
          </w:p>
        </w:tc>
        <w:tc>
          <w:tcPr>
            <w:tcW w:w="833" w:type="dxa"/>
            <w:tcBorders>
              <w:top w:val="nil"/>
              <w:left w:val="nil"/>
              <w:bottom w:val="dotted" w:sz="4" w:space="0" w:color="auto"/>
              <w:right w:val="dotted" w:sz="4" w:space="0" w:color="auto"/>
            </w:tcBorders>
            <w:vAlign w:val="center"/>
            <w:hideMark/>
          </w:tcPr>
          <w:p w14:paraId="19EF0B4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834" w:type="dxa"/>
            <w:tcBorders>
              <w:top w:val="nil"/>
              <w:left w:val="nil"/>
              <w:bottom w:val="dotted" w:sz="4" w:space="0" w:color="auto"/>
              <w:right w:val="dotted" w:sz="4" w:space="0" w:color="auto"/>
            </w:tcBorders>
            <w:vAlign w:val="center"/>
            <w:hideMark/>
          </w:tcPr>
          <w:p w14:paraId="028F647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834" w:type="dxa"/>
            <w:tcBorders>
              <w:top w:val="nil"/>
              <w:left w:val="nil"/>
              <w:bottom w:val="dotted" w:sz="4" w:space="0" w:color="auto"/>
              <w:right w:val="dotted" w:sz="4" w:space="0" w:color="auto"/>
            </w:tcBorders>
            <w:vAlign w:val="center"/>
            <w:hideMark/>
          </w:tcPr>
          <w:p w14:paraId="520E681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834" w:type="dxa"/>
            <w:tcBorders>
              <w:top w:val="nil"/>
              <w:left w:val="nil"/>
              <w:bottom w:val="dotted" w:sz="4" w:space="0" w:color="auto"/>
              <w:right w:val="dotted" w:sz="4" w:space="0" w:color="auto"/>
            </w:tcBorders>
            <w:vAlign w:val="center"/>
            <w:hideMark/>
          </w:tcPr>
          <w:p w14:paraId="0DBB6CE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839" w:type="dxa"/>
            <w:tcBorders>
              <w:top w:val="nil"/>
              <w:left w:val="nil"/>
              <w:bottom w:val="dotted" w:sz="4" w:space="0" w:color="auto"/>
              <w:right w:val="double" w:sz="6" w:space="0" w:color="auto"/>
            </w:tcBorders>
            <w:vAlign w:val="center"/>
            <w:hideMark/>
          </w:tcPr>
          <w:p w14:paraId="6A4CEB9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3.2</w:t>
            </w:r>
          </w:p>
        </w:tc>
      </w:tr>
      <w:tr w:rsidR="00FA29AB" w:rsidRPr="00050FA4" w14:paraId="1C602D7D"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01A0183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19. Subsidies</w:t>
            </w:r>
          </w:p>
        </w:tc>
        <w:tc>
          <w:tcPr>
            <w:tcW w:w="989" w:type="dxa"/>
            <w:tcBorders>
              <w:top w:val="nil"/>
              <w:left w:val="nil"/>
              <w:bottom w:val="dotted" w:sz="4" w:space="0" w:color="auto"/>
              <w:right w:val="single" w:sz="8" w:space="0" w:color="auto"/>
            </w:tcBorders>
            <w:vAlign w:val="center"/>
            <w:hideMark/>
          </w:tcPr>
          <w:p w14:paraId="75CE80C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D3</w:t>
            </w:r>
          </w:p>
        </w:tc>
        <w:tc>
          <w:tcPr>
            <w:tcW w:w="1129" w:type="dxa"/>
            <w:tcBorders>
              <w:top w:val="nil"/>
              <w:left w:val="single" w:sz="8" w:space="0" w:color="auto"/>
              <w:bottom w:val="dotted" w:sz="4" w:space="0" w:color="auto"/>
              <w:right w:val="single" w:sz="8" w:space="0" w:color="auto"/>
            </w:tcBorders>
            <w:vAlign w:val="center"/>
            <w:hideMark/>
          </w:tcPr>
          <w:p w14:paraId="0E300B7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1.48</w:t>
            </w:r>
          </w:p>
        </w:tc>
        <w:tc>
          <w:tcPr>
            <w:tcW w:w="833" w:type="dxa"/>
            <w:tcBorders>
              <w:top w:val="nil"/>
              <w:left w:val="nil"/>
              <w:bottom w:val="dotted" w:sz="4" w:space="0" w:color="auto"/>
              <w:right w:val="dotted" w:sz="4" w:space="0" w:color="auto"/>
            </w:tcBorders>
            <w:vAlign w:val="center"/>
            <w:hideMark/>
          </w:tcPr>
          <w:p w14:paraId="6435D00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34" w:type="dxa"/>
            <w:tcBorders>
              <w:top w:val="nil"/>
              <w:left w:val="nil"/>
              <w:bottom w:val="dotted" w:sz="4" w:space="0" w:color="auto"/>
              <w:right w:val="dotted" w:sz="4" w:space="0" w:color="auto"/>
            </w:tcBorders>
            <w:vAlign w:val="center"/>
            <w:hideMark/>
          </w:tcPr>
          <w:p w14:paraId="7F7B05B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34" w:type="dxa"/>
            <w:tcBorders>
              <w:top w:val="nil"/>
              <w:left w:val="nil"/>
              <w:bottom w:val="dotted" w:sz="4" w:space="0" w:color="auto"/>
              <w:right w:val="dotted" w:sz="4" w:space="0" w:color="auto"/>
            </w:tcBorders>
            <w:vAlign w:val="center"/>
            <w:hideMark/>
          </w:tcPr>
          <w:p w14:paraId="2D9747E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34" w:type="dxa"/>
            <w:tcBorders>
              <w:top w:val="nil"/>
              <w:left w:val="nil"/>
              <w:bottom w:val="dotted" w:sz="4" w:space="0" w:color="auto"/>
              <w:right w:val="dotted" w:sz="4" w:space="0" w:color="auto"/>
            </w:tcBorders>
            <w:vAlign w:val="center"/>
            <w:hideMark/>
          </w:tcPr>
          <w:p w14:paraId="1FAD22B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39" w:type="dxa"/>
            <w:tcBorders>
              <w:top w:val="nil"/>
              <w:left w:val="nil"/>
              <w:bottom w:val="dotted" w:sz="4" w:space="0" w:color="auto"/>
              <w:right w:val="double" w:sz="6" w:space="0" w:color="auto"/>
            </w:tcBorders>
            <w:vAlign w:val="center"/>
            <w:hideMark/>
          </w:tcPr>
          <w:p w14:paraId="501A4F4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r>
      <w:tr w:rsidR="00FA29AB" w:rsidRPr="00050FA4" w14:paraId="7DC1DE06"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30BDCDF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20. Gross fixed capital formation</w:t>
            </w:r>
          </w:p>
        </w:tc>
        <w:tc>
          <w:tcPr>
            <w:tcW w:w="989" w:type="dxa"/>
            <w:tcBorders>
              <w:top w:val="nil"/>
              <w:left w:val="nil"/>
              <w:bottom w:val="dotted" w:sz="4" w:space="0" w:color="auto"/>
              <w:right w:val="single" w:sz="8" w:space="0" w:color="auto"/>
            </w:tcBorders>
            <w:vAlign w:val="center"/>
            <w:hideMark/>
          </w:tcPr>
          <w:p w14:paraId="7C92F6A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P51</w:t>
            </w:r>
          </w:p>
        </w:tc>
        <w:tc>
          <w:tcPr>
            <w:tcW w:w="1129" w:type="dxa"/>
            <w:tcBorders>
              <w:top w:val="nil"/>
              <w:left w:val="single" w:sz="8" w:space="0" w:color="auto"/>
              <w:bottom w:val="dotted" w:sz="4" w:space="0" w:color="auto"/>
              <w:right w:val="single" w:sz="8" w:space="0" w:color="auto"/>
            </w:tcBorders>
            <w:vAlign w:val="center"/>
            <w:hideMark/>
          </w:tcPr>
          <w:p w14:paraId="2D0D964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115.36</w:t>
            </w:r>
          </w:p>
        </w:tc>
        <w:tc>
          <w:tcPr>
            <w:tcW w:w="833" w:type="dxa"/>
            <w:tcBorders>
              <w:top w:val="nil"/>
              <w:left w:val="nil"/>
              <w:bottom w:val="dotted" w:sz="4" w:space="0" w:color="auto"/>
              <w:right w:val="dotted" w:sz="4" w:space="0" w:color="auto"/>
            </w:tcBorders>
            <w:vAlign w:val="center"/>
            <w:hideMark/>
          </w:tcPr>
          <w:p w14:paraId="7D49DB9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7.1</w:t>
            </w:r>
          </w:p>
        </w:tc>
        <w:tc>
          <w:tcPr>
            <w:tcW w:w="834" w:type="dxa"/>
            <w:tcBorders>
              <w:top w:val="nil"/>
              <w:left w:val="nil"/>
              <w:bottom w:val="dotted" w:sz="4" w:space="0" w:color="auto"/>
              <w:right w:val="dotted" w:sz="4" w:space="0" w:color="auto"/>
            </w:tcBorders>
            <w:vAlign w:val="center"/>
            <w:hideMark/>
          </w:tcPr>
          <w:p w14:paraId="157AB8A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9.2</w:t>
            </w:r>
          </w:p>
        </w:tc>
        <w:tc>
          <w:tcPr>
            <w:tcW w:w="834" w:type="dxa"/>
            <w:tcBorders>
              <w:top w:val="nil"/>
              <w:left w:val="nil"/>
              <w:bottom w:val="dotted" w:sz="4" w:space="0" w:color="auto"/>
              <w:right w:val="dotted" w:sz="4" w:space="0" w:color="auto"/>
            </w:tcBorders>
            <w:vAlign w:val="center"/>
            <w:hideMark/>
          </w:tcPr>
          <w:p w14:paraId="200AB58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w:t>
            </w:r>
          </w:p>
        </w:tc>
        <w:tc>
          <w:tcPr>
            <w:tcW w:w="834" w:type="dxa"/>
            <w:tcBorders>
              <w:top w:val="nil"/>
              <w:left w:val="nil"/>
              <w:bottom w:val="dotted" w:sz="4" w:space="0" w:color="auto"/>
              <w:right w:val="dotted" w:sz="4" w:space="0" w:color="auto"/>
            </w:tcBorders>
            <w:vAlign w:val="center"/>
            <w:hideMark/>
          </w:tcPr>
          <w:p w14:paraId="55E22A1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6.2</w:t>
            </w:r>
          </w:p>
        </w:tc>
        <w:tc>
          <w:tcPr>
            <w:tcW w:w="839" w:type="dxa"/>
            <w:tcBorders>
              <w:top w:val="nil"/>
              <w:left w:val="nil"/>
              <w:bottom w:val="dotted" w:sz="4" w:space="0" w:color="auto"/>
              <w:right w:val="double" w:sz="6" w:space="0" w:color="auto"/>
            </w:tcBorders>
            <w:vAlign w:val="center"/>
            <w:hideMark/>
          </w:tcPr>
          <w:p w14:paraId="6074D95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6.3</w:t>
            </w:r>
          </w:p>
        </w:tc>
      </w:tr>
      <w:tr w:rsidR="00FA29AB" w:rsidRPr="00050FA4" w14:paraId="49832AE6"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116F981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21. Other (21 = 22-(16+17+18+19+20) [6]</w:t>
            </w:r>
          </w:p>
        </w:tc>
        <w:tc>
          <w:tcPr>
            <w:tcW w:w="989" w:type="dxa"/>
            <w:tcBorders>
              <w:top w:val="nil"/>
              <w:left w:val="nil"/>
              <w:bottom w:val="dotted" w:sz="4" w:space="0" w:color="auto"/>
              <w:right w:val="single" w:sz="8" w:space="0" w:color="auto"/>
            </w:tcBorders>
            <w:vAlign w:val="center"/>
            <w:hideMark/>
          </w:tcPr>
          <w:p w14:paraId="0129C92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29" w:type="dxa"/>
            <w:tcBorders>
              <w:top w:val="nil"/>
              <w:left w:val="single" w:sz="8" w:space="0" w:color="auto"/>
              <w:bottom w:val="dotted" w:sz="4" w:space="0" w:color="auto"/>
              <w:right w:val="single" w:sz="8" w:space="0" w:color="auto"/>
            </w:tcBorders>
            <w:vAlign w:val="center"/>
            <w:hideMark/>
          </w:tcPr>
          <w:p w14:paraId="3B1786A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1.36</w:t>
            </w:r>
          </w:p>
        </w:tc>
        <w:tc>
          <w:tcPr>
            <w:tcW w:w="833" w:type="dxa"/>
            <w:tcBorders>
              <w:top w:val="nil"/>
              <w:left w:val="nil"/>
              <w:bottom w:val="dotted" w:sz="4" w:space="0" w:color="auto"/>
              <w:right w:val="dotted" w:sz="4" w:space="0" w:color="auto"/>
            </w:tcBorders>
            <w:vAlign w:val="center"/>
            <w:hideMark/>
          </w:tcPr>
          <w:p w14:paraId="1094D30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834" w:type="dxa"/>
            <w:tcBorders>
              <w:top w:val="nil"/>
              <w:left w:val="nil"/>
              <w:bottom w:val="dotted" w:sz="4" w:space="0" w:color="auto"/>
              <w:right w:val="dotted" w:sz="4" w:space="0" w:color="auto"/>
            </w:tcBorders>
            <w:vAlign w:val="center"/>
            <w:hideMark/>
          </w:tcPr>
          <w:p w14:paraId="3870F1F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w:t>
            </w:r>
          </w:p>
        </w:tc>
        <w:tc>
          <w:tcPr>
            <w:tcW w:w="834" w:type="dxa"/>
            <w:tcBorders>
              <w:top w:val="nil"/>
              <w:left w:val="nil"/>
              <w:bottom w:val="dotted" w:sz="4" w:space="0" w:color="auto"/>
              <w:right w:val="dotted" w:sz="4" w:space="0" w:color="auto"/>
            </w:tcBorders>
            <w:vAlign w:val="center"/>
            <w:hideMark/>
          </w:tcPr>
          <w:p w14:paraId="5FFE4CB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w:t>
            </w:r>
          </w:p>
        </w:tc>
        <w:tc>
          <w:tcPr>
            <w:tcW w:w="834" w:type="dxa"/>
            <w:tcBorders>
              <w:top w:val="nil"/>
              <w:left w:val="nil"/>
              <w:bottom w:val="dotted" w:sz="4" w:space="0" w:color="auto"/>
              <w:right w:val="dotted" w:sz="4" w:space="0" w:color="auto"/>
            </w:tcBorders>
            <w:vAlign w:val="center"/>
            <w:hideMark/>
          </w:tcPr>
          <w:p w14:paraId="39D2021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0.9</w:t>
            </w:r>
          </w:p>
        </w:tc>
        <w:tc>
          <w:tcPr>
            <w:tcW w:w="839" w:type="dxa"/>
            <w:tcBorders>
              <w:top w:val="nil"/>
              <w:left w:val="nil"/>
              <w:bottom w:val="dotted" w:sz="4" w:space="0" w:color="auto"/>
              <w:right w:val="double" w:sz="6" w:space="0" w:color="auto"/>
            </w:tcBorders>
            <w:vAlign w:val="center"/>
            <w:hideMark/>
          </w:tcPr>
          <w:p w14:paraId="48A6FEA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0.9</w:t>
            </w:r>
          </w:p>
        </w:tc>
      </w:tr>
      <w:tr w:rsidR="00FA29AB" w:rsidRPr="00050FA4" w14:paraId="16BA979E" w14:textId="77777777" w:rsidTr="00617B60">
        <w:trPr>
          <w:trHeight w:val="207"/>
          <w:jc w:val="center"/>
        </w:trPr>
        <w:tc>
          <w:tcPr>
            <w:tcW w:w="3881" w:type="dxa"/>
            <w:tcBorders>
              <w:top w:val="nil"/>
              <w:left w:val="double" w:sz="6" w:space="0" w:color="auto"/>
              <w:bottom w:val="dotted" w:sz="4" w:space="0" w:color="auto"/>
              <w:right w:val="dotted" w:sz="4" w:space="0" w:color="auto"/>
            </w:tcBorders>
            <w:vAlign w:val="center"/>
            <w:hideMark/>
          </w:tcPr>
          <w:p w14:paraId="48118D2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22. Total expenditures </w:t>
            </w:r>
          </w:p>
        </w:tc>
        <w:tc>
          <w:tcPr>
            <w:tcW w:w="989" w:type="dxa"/>
            <w:tcBorders>
              <w:top w:val="nil"/>
              <w:left w:val="nil"/>
              <w:bottom w:val="dotted" w:sz="4" w:space="0" w:color="auto"/>
              <w:right w:val="single" w:sz="8" w:space="0" w:color="auto"/>
            </w:tcBorders>
            <w:vAlign w:val="center"/>
            <w:hideMark/>
          </w:tcPr>
          <w:p w14:paraId="6461C61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TE [1]</w:t>
            </w:r>
          </w:p>
        </w:tc>
        <w:tc>
          <w:tcPr>
            <w:tcW w:w="1129" w:type="dxa"/>
            <w:tcBorders>
              <w:top w:val="nil"/>
              <w:left w:val="single" w:sz="8" w:space="0" w:color="auto"/>
              <w:bottom w:val="dotted" w:sz="4" w:space="0" w:color="auto"/>
              <w:right w:val="single" w:sz="8" w:space="0" w:color="auto"/>
            </w:tcBorders>
            <w:vAlign w:val="center"/>
            <w:hideMark/>
          </w:tcPr>
          <w:p w14:paraId="15F9834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536.28</w:t>
            </w:r>
          </w:p>
        </w:tc>
        <w:tc>
          <w:tcPr>
            <w:tcW w:w="833" w:type="dxa"/>
            <w:tcBorders>
              <w:top w:val="nil"/>
              <w:left w:val="nil"/>
              <w:bottom w:val="dotted" w:sz="4" w:space="0" w:color="auto"/>
              <w:right w:val="dotted" w:sz="4" w:space="0" w:color="auto"/>
            </w:tcBorders>
            <w:vAlign w:val="center"/>
            <w:hideMark/>
          </w:tcPr>
          <w:p w14:paraId="202D03B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33.2</w:t>
            </w:r>
          </w:p>
        </w:tc>
        <w:tc>
          <w:tcPr>
            <w:tcW w:w="834" w:type="dxa"/>
            <w:tcBorders>
              <w:top w:val="nil"/>
              <w:left w:val="nil"/>
              <w:bottom w:val="dotted" w:sz="4" w:space="0" w:color="auto"/>
              <w:right w:val="dotted" w:sz="4" w:space="0" w:color="auto"/>
            </w:tcBorders>
            <w:vAlign w:val="center"/>
            <w:hideMark/>
          </w:tcPr>
          <w:p w14:paraId="79F5738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34.5</w:t>
            </w:r>
          </w:p>
        </w:tc>
        <w:tc>
          <w:tcPr>
            <w:tcW w:w="834" w:type="dxa"/>
            <w:tcBorders>
              <w:top w:val="nil"/>
              <w:left w:val="nil"/>
              <w:bottom w:val="dotted" w:sz="4" w:space="0" w:color="auto"/>
              <w:right w:val="dotted" w:sz="4" w:space="0" w:color="auto"/>
            </w:tcBorders>
            <w:vAlign w:val="center"/>
            <w:hideMark/>
          </w:tcPr>
          <w:p w14:paraId="585DE44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34.1</w:t>
            </w:r>
          </w:p>
        </w:tc>
        <w:tc>
          <w:tcPr>
            <w:tcW w:w="834" w:type="dxa"/>
            <w:tcBorders>
              <w:top w:val="nil"/>
              <w:left w:val="nil"/>
              <w:bottom w:val="dotted" w:sz="4" w:space="0" w:color="auto"/>
              <w:right w:val="dotted" w:sz="4" w:space="0" w:color="auto"/>
            </w:tcBorders>
            <w:vAlign w:val="center"/>
            <w:hideMark/>
          </w:tcPr>
          <w:p w14:paraId="250B305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31.9</w:t>
            </w:r>
          </w:p>
        </w:tc>
        <w:tc>
          <w:tcPr>
            <w:tcW w:w="839" w:type="dxa"/>
            <w:tcBorders>
              <w:top w:val="nil"/>
              <w:left w:val="nil"/>
              <w:bottom w:val="dotted" w:sz="4" w:space="0" w:color="auto"/>
              <w:right w:val="double" w:sz="6" w:space="0" w:color="auto"/>
            </w:tcBorders>
            <w:vAlign w:val="center"/>
            <w:hideMark/>
          </w:tcPr>
          <w:p w14:paraId="394B3EF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31.9</w:t>
            </w:r>
          </w:p>
        </w:tc>
      </w:tr>
      <w:tr w:rsidR="00FA29AB" w:rsidRPr="00050FA4" w14:paraId="28B4E6CA" w14:textId="77777777" w:rsidTr="00617B60">
        <w:trPr>
          <w:trHeight w:val="170"/>
          <w:jc w:val="center"/>
        </w:trPr>
        <w:tc>
          <w:tcPr>
            <w:tcW w:w="3881" w:type="dxa"/>
            <w:tcBorders>
              <w:top w:val="nil"/>
              <w:left w:val="double" w:sz="6" w:space="0" w:color="auto"/>
              <w:bottom w:val="double" w:sz="6" w:space="0" w:color="auto"/>
              <w:right w:val="dotted" w:sz="4" w:space="0" w:color="auto"/>
            </w:tcBorders>
            <w:vAlign w:val="bottom"/>
            <w:hideMark/>
          </w:tcPr>
          <w:p w14:paraId="0F5749BD" w14:textId="423DEC30"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p.m.</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compensation of employees</w:t>
            </w:r>
          </w:p>
        </w:tc>
        <w:tc>
          <w:tcPr>
            <w:tcW w:w="989" w:type="dxa"/>
            <w:tcBorders>
              <w:top w:val="nil"/>
              <w:left w:val="nil"/>
              <w:bottom w:val="double" w:sz="6" w:space="0" w:color="auto"/>
              <w:right w:val="single" w:sz="8" w:space="0" w:color="auto"/>
            </w:tcBorders>
            <w:vAlign w:val="bottom"/>
            <w:hideMark/>
          </w:tcPr>
          <w:p w14:paraId="22B49A2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D1</w:t>
            </w:r>
          </w:p>
        </w:tc>
        <w:tc>
          <w:tcPr>
            <w:tcW w:w="1129" w:type="dxa"/>
            <w:tcBorders>
              <w:top w:val="nil"/>
              <w:left w:val="single" w:sz="8" w:space="0" w:color="auto"/>
              <w:bottom w:val="double" w:sz="6" w:space="0" w:color="auto"/>
              <w:right w:val="single" w:sz="8" w:space="0" w:color="auto"/>
            </w:tcBorders>
            <w:vAlign w:val="bottom"/>
            <w:hideMark/>
          </w:tcPr>
          <w:p w14:paraId="0589758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98.75</w:t>
            </w:r>
          </w:p>
        </w:tc>
        <w:tc>
          <w:tcPr>
            <w:tcW w:w="833" w:type="dxa"/>
            <w:tcBorders>
              <w:top w:val="nil"/>
              <w:left w:val="nil"/>
              <w:bottom w:val="double" w:sz="6" w:space="0" w:color="auto"/>
              <w:right w:val="dotted" w:sz="4" w:space="0" w:color="auto"/>
            </w:tcBorders>
            <w:vAlign w:val="bottom"/>
            <w:hideMark/>
          </w:tcPr>
          <w:p w14:paraId="056E5C7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6.1</w:t>
            </w:r>
          </w:p>
        </w:tc>
        <w:tc>
          <w:tcPr>
            <w:tcW w:w="834" w:type="dxa"/>
            <w:tcBorders>
              <w:top w:val="nil"/>
              <w:left w:val="nil"/>
              <w:bottom w:val="double" w:sz="6" w:space="0" w:color="auto"/>
              <w:right w:val="dotted" w:sz="4" w:space="0" w:color="auto"/>
            </w:tcBorders>
            <w:vAlign w:val="bottom"/>
            <w:hideMark/>
          </w:tcPr>
          <w:p w14:paraId="75DEF3D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5.9</w:t>
            </w:r>
          </w:p>
        </w:tc>
        <w:tc>
          <w:tcPr>
            <w:tcW w:w="834" w:type="dxa"/>
            <w:tcBorders>
              <w:top w:val="nil"/>
              <w:left w:val="nil"/>
              <w:bottom w:val="double" w:sz="6" w:space="0" w:color="auto"/>
              <w:right w:val="dotted" w:sz="4" w:space="0" w:color="auto"/>
            </w:tcBorders>
            <w:vAlign w:val="bottom"/>
            <w:hideMark/>
          </w:tcPr>
          <w:p w14:paraId="053D3D1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5.9</w:t>
            </w:r>
          </w:p>
        </w:tc>
        <w:tc>
          <w:tcPr>
            <w:tcW w:w="834" w:type="dxa"/>
            <w:tcBorders>
              <w:top w:val="nil"/>
              <w:left w:val="nil"/>
              <w:bottom w:val="double" w:sz="6" w:space="0" w:color="auto"/>
              <w:right w:val="dotted" w:sz="4" w:space="0" w:color="auto"/>
            </w:tcBorders>
            <w:vAlign w:val="bottom"/>
            <w:hideMark/>
          </w:tcPr>
          <w:p w14:paraId="195CBDC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w:t>
            </w:r>
          </w:p>
        </w:tc>
        <w:tc>
          <w:tcPr>
            <w:tcW w:w="839" w:type="dxa"/>
            <w:tcBorders>
              <w:top w:val="nil"/>
              <w:left w:val="nil"/>
              <w:bottom w:val="double" w:sz="6" w:space="0" w:color="auto"/>
              <w:right w:val="double" w:sz="6" w:space="0" w:color="auto"/>
            </w:tcBorders>
            <w:vAlign w:val="bottom"/>
            <w:hideMark/>
          </w:tcPr>
          <w:p w14:paraId="15E90D6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5.4</w:t>
            </w:r>
          </w:p>
        </w:tc>
      </w:tr>
    </w:tbl>
    <w:p w14:paraId="7CFCA337" w14:textId="77777777" w:rsidR="00094A26" w:rsidRPr="00050FA4" w:rsidRDefault="00094A26" w:rsidP="003F1DA7">
      <w:pPr>
        <w:ind w:firstLine="284"/>
        <w:rPr>
          <w:rFonts w:ascii="Garamond" w:hAnsi="Garamond"/>
          <w:color w:val="0D0D0D" w:themeColor="text1" w:themeTint="F2"/>
          <w:sz w:val="20"/>
          <w:szCs w:val="20"/>
        </w:rPr>
      </w:pPr>
    </w:p>
    <w:p w14:paraId="030E6155"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117" w:name="_Toc536784314"/>
      <w:bookmarkStart w:id="118" w:name="_Toc30661249"/>
      <w:bookmarkStart w:id="119" w:name="_Toc93325791"/>
      <w:r w:rsidRPr="00050FA4">
        <w:rPr>
          <w:rFonts w:ascii="Garamond" w:hAnsi="Garamond"/>
          <w:color w:val="0D0D0D" w:themeColor="text1" w:themeTint="F2"/>
          <w:sz w:val="20"/>
          <w:szCs w:val="20"/>
        </w:rPr>
        <w:t xml:space="preserve">Tabela 2b: </w:t>
      </w:r>
      <w:bookmarkEnd w:id="117"/>
      <w:r w:rsidRPr="00050FA4">
        <w:rPr>
          <w:rFonts w:ascii="Garamond" w:hAnsi="Garamond"/>
          <w:color w:val="0D0D0D" w:themeColor="text1" w:themeTint="F2"/>
          <w:sz w:val="20"/>
          <w:szCs w:val="20"/>
        </w:rPr>
        <w:t>Perspektivat e përgjithshme buxhetore të qeverisë</w:t>
      </w:r>
      <w:bookmarkEnd w:id="118"/>
      <w:bookmarkEnd w:id="119"/>
    </w:p>
    <w:tbl>
      <w:tblPr>
        <w:tblW w:w="10272" w:type="dxa"/>
        <w:jc w:val="center"/>
        <w:tblLook w:val="04A0" w:firstRow="1" w:lastRow="0" w:firstColumn="1" w:lastColumn="0" w:noHBand="0" w:noVBand="1"/>
      </w:tblPr>
      <w:tblGrid>
        <w:gridCol w:w="3978"/>
        <w:gridCol w:w="267"/>
        <w:gridCol w:w="1171"/>
        <w:gridCol w:w="1154"/>
        <w:gridCol w:w="924"/>
        <w:gridCol w:w="924"/>
        <w:gridCol w:w="924"/>
        <w:gridCol w:w="930"/>
      </w:tblGrid>
      <w:tr w:rsidR="00FA29AB" w:rsidRPr="00050FA4" w14:paraId="57BCDD06" w14:textId="77777777" w:rsidTr="00617B60">
        <w:trPr>
          <w:trHeight w:val="237"/>
          <w:jc w:val="center"/>
        </w:trPr>
        <w:tc>
          <w:tcPr>
            <w:tcW w:w="3978" w:type="dxa"/>
            <w:vMerge w:val="restart"/>
            <w:tcBorders>
              <w:top w:val="double" w:sz="6" w:space="0" w:color="auto"/>
              <w:left w:val="double" w:sz="6" w:space="0" w:color="auto"/>
              <w:bottom w:val="nil"/>
              <w:right w:val="nil"/>
            </w:tcBorders>
            <w:shd w:val="clear" w:color="auto" w:fill="FFFFFF"/>
            <w:vAlign w:val="center"/>
            <w:hideMark/>
          </w:tcPr>
          <w:p w14:paraId="59B8A02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267" w:type="dxa"/>
            <w:vMerge w:val="restart"/>
            <w:tcBorders>
              <w:top w:val="double" w:sz="6" w:space="0" w:color="auto"/>
              <w:left w:val="nil"/>
              <w:bottom w:val="single" w:sz="8" w:space="0" w:color="000000"/>
              <w:right w:val="single" w:sz="8" w:space="0" w:color="auto"/>
            </w:tcBorders>
            <w:shd w:val="clear" w:color="auto" w:fill="FFFFFF"/>
            <w:vAlign w:val="center"/>
            <w:hideMark/>
          </w:tcPr>
          <w:p w14:paraId="1AE5647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6D4D229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1154" w:type="dxa"/>
            <w:tcBorders>
              <w:top w:val="double" w:sz="6" w:space="0" w:color="auto"/>
              <w:left w:val="nil"/>
              <w:bottom w:val="nil"/>
              <w:right w:val="dotted" w:sz="4" w:space="0" w:color="auto"/>
            </w:tcBorders>
            <w:shd w:val="clear" w:color="auto" w:fill="FFFFFF"/>
            <w:vAlign w:val="center"/>
            <w:hideMark/>
          </w:tcPr>
          <w:p w14:paraId="43340AF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24" w:type="dxa"/>
            <w:tcBorders>
              <w:top w:val="double" w:sz="6" w:space="0" w:color="auto"/>
              <w:left w:val="nil"/>
              <w:bottom w:val="nil"/>
              <w:right w:val="dotted" w:sz="4" w:space="0" w:color="auto"/>
            </w:tcBorders>
            <w:shd w:val="clear" w:color="auto" w:fill="FFFFFF"/>
            <w:vAlign w:val="center"/>
            <w:hideMark/>
          </w:tcPr>
          <w:p w14:paraId="3E965E8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24" w:type="dxa"/>
            <w:tcBorders>
              <w:top w:val="double" w:sz="6" w:space="0" w:color="auto"/>
              <w:left w:val="nil"/>
              <w:bottom w:val="nil"/>
              <w:right w:val="dotted" w:sz="4" w:space="0" w:color="auto"/>
            </w:tcBorders>
            <w:shd w:val="clear" w:color="auto" w:fill="FFFFFF"/>
            <w:vAlign w:val="center"/>
            <w:hideMark/>
          </w:tcPr>
          <w:p w14:paraId="29B654D7"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24" w:type="dxa"/>
            <w:tcBorders>
              <w:top w:val="double" w:sz="6" w:space="0" w:color="auto"/>
              <w:left w:val="nil"/>
              <w:bottom w:val="nil"/>
              <w:right w:val="dotted" w:sz="4" w:space="0" w:color="auto"/>
            </w:tcBorders>
            <w:shd w:val="clear" w:color="auto" w:fill="FFFFFF"/>
            <w:vAlign w:val="center"/>
            <w:hideMark/>
          </w:tcPr>
          <w:p w14:paraId="52E17B1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30" w:type="dxa"/>
            <w:tcBorders>
              <w:top w:val="double" w:sz="6" w:space="0" w:color="auto"/>
              <w:left w:val="nil"/>
              <w:bottom w:val="nil"/>
              <w:right w:val="double" w:sz="6" w:space="0" w:color="auto"/>
            </w:tcBorders>
            <w:shd w:val="clear" w:color="auto" w:fill="FFFFFF"/>
            <w:vAlign w:val="center"/>
            <w:hideMark/>
          </w:tcPr>
          <w:p w14:paraId="2F3D24E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6F421DBE" w14:textId="77777777" w:rsidTr="00617B60">
        <w:trPr>
          <w:trHeight w:val="226"/>
          <w:jc w:val="center"/>
        </w:trPr>
        <w:tc>
          <w:tcPr>
            <w:tcW w:w="0" w:type="auto"/>
            <w:vMerge/>
            <w:tcBorders>
              <w:top w:val="double" w:sz="6" w:space="0" w:color="auto"/>
              <w:left w:val="double" w:sz="6" w:space="0" w:color="auto"/>
              <w:bottom w:val="nil"/>
              <w:right w:val="nil"/>
            </w:tcBorders>
            <w:vAlign w:val="center"/>
            <w:hideMark/>
          </w:tcPr>
          <w:p w14:paraId="037810BE" w14:textId="77777777" w:rsidR="00094A26" w:rsidRPr="00050FA4" w:rsidRDefault="00094A26" w:rsidP="00A95D23">
            <w:pPr>
              <w:rPr>
                <w:rFonts w:ascii="Garamond" w:eastAsia="Times New Roman" w:hAnsi="Garamond"/>
                <w:color w:val="0D0D0D" w:themeColor="text1" w:themeTint="F2"/>
                <w:sz w:val="18"/>
                <w:szCs w:val="18"/>
              </w:rPr>
            </w:pPr>
          </w:p>
        </w:tc>
        <w:tc>
          <w:tcPr>
            <w:tcW w:w="0" w:type="auto"/>
            <w:vMerge/>
            <w:tcBorders>
              <w:top w:val="double" w:sz="6" w:space="0" w:color="auto"/>
              <w:left w:val="nil"/>
              <w:bottom w:val="single" w:sz="8" w:space="0" w:color="000000"/>
              <w:right w:val="single" w:sz="8" w:space="0" w:color="auto"/>
            </w:tcBorders>
            <w:vAlign w:val="center"/>
            <w:hideMark/>
          </w:tcPr>
          <w:p w14:paraId="3026E92B" w14:textId="77777777" w:rsidR="00094A26" w:rsidRPr="00050FA4" w:rsidRDefault="00094A26" w:rsidP="00A95D23">
            <w:pPr>
              <w:rPr>
                <w:rFonts w:ascii="Garamond" w:eastAsia="Times New Roman" w:hAnsi="Garamond"/>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5FCBED89"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1154" w:type="dxa"/>
            <w:tcBorders>
              <w:top w:val="nil"/>
              <w:left w:val="nil"/>
              <w:bottom w:val="dotted" w:sz="4" w:space="0" w:color="auto"/>
              <w:right w:val="dotted" w:sz="4" w:space="0" w:color="auto"/>
            </w:tcBorders>
            <w:shd w:val="clear" w:color="auto" w:fill="FFFFFF"/>
            <w:vAlign w:val="center"/>
            <w:hideMark/>
          </w:tcPr>
          <w:p w14:paraId="2D64959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24" w:type="dxa"/>
            <w:tcBorders>
              <w:top w:val="nil"/>
              <w:left w:val="nil"/>
              <w:bottom w:val="dotted" w:sz="4" w:space="0" w:color="auto"/>
              <w:right w:val="dotted" w:sz="4" w:space="0" w:color="auto"/>
            </w:tcBorders>
            <w:shd w:val="clear" w:color="auto" w:fill="FFFFFF"/>
            <w:vAlign w:val="center"/>
            <w:hideMark/>
          </w:tcPr>
          <w:p w14:paraId="06CB55CA"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924" w:type="dxa"/>
            <w:tcBorders>
              <w:top w:val="nil"/>
              <w:left w:val="nil"/>
              <w:bottom w:val="dotted" w:sz="4" w:space="0" w:color="auto"/>
              <w:right w:val="dotted" w:sz="4" w:space="0" w:color="auto"/>
            </w:tcBorders>
            <w:shd w:val="clear" w:color="auto" w:fill="FFFFFF"/>
            <w:vAlign w:val="center"/>
            <w:hideMark/>
          </w:tcPr>
          <w:p w14:paraId="41A6E5F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924" w:type="dxa"/>
            <w:tcBorders>
              <w:top w:val="nil"/>
              <w:left w:val="nil"/>
              <w:bottom w:val="dotted" w:sz="4" w:space="0" w:color="auto"/>
              <w:right w:val="dotted" w:sz="4" w:space="0" w:color="auto"/>
            </w:tcBorders>
            <w:shd w:val="clear" w:color="auto" w:fill="FFFFFF"/>
            <w:vAlign w:val="center"/>
            <w:hideMark/>
          </w:tcPr>
          <w:p w14:paraId="3AD249A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930" w:type="dxa"/>
            <w:tcBorders>
              <w:top w:val="nil"/>
              <w:left w:val="nil"/>
              <w:bottom w:val="dotted" w:sz="4" w:space="0" w:color="auto"/>
              <w:right w:val="double" w:sz="6" w:space="0" w:color="auto"/>
            </w:tcBorders>
            <w:shd w:val="clear" w:color="auto" w:fill="FFFFFF"/>
            <w:vAlign w:val="center"/>
            <w:hideMark/>
          </w:tcPr>
          <w:p w14:paraId="306008E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4F5D233C" w14:textId="77777777" w:rsidTr="00617B60">
        <w:trPr>
          <w:trHeight w:val="460"/>
          <w:jc w:val="center"/>
        </w:trPr>
        <w:tc>
          <w:tcPr>
            <w:tcW w:w="3978" w:type="dxa"/>
            <w:tcBorders>
              <w:top w:val="nil"/>
              <w:left w:val="double" w:sz="6" w:space="0" w:color="auto"/>
              <w:bottom w:val="single" w:sz="8" w:space="0" w:color="auto"/>
              <w:right w:val="nil"/>
            </w:tcBorders>
            <w:shd w:val="clear" w:color="auto" w:fill="FFFFFF"/>
            <w:vAlign w:val="center"/>
            <w:hideMark/>
          </w:tcPr>
          <w:p w14:paraId="567BF91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0" w:type="auto"/>
            <w:vMerge/>
            <w:tcBorders>
              <w:top w:val="double" w:sz="6" w:space="0" w:color="auto"/>
              <w:left w:val="nil"/>
              <w:bottom w:val="single" w:sz="8" w:space="0" w:color="000000"/>
              <w:right w:val="single" w:sz="8" w:space="0" w:color="auto"/>
            </w:tcBorders>
            <w:vAlign w:val="center"/>
            <w:hideMark/>
          </w:tcPr>
          <w:p w14:paraId="6D0F8C98" w14:textId="77777777" w:rsidR="00094A26" w:rsidRPr="00050FA4" w:rsidRDefault="00094A26" w:rsidP="00A95D23">
            <w:pPr>
              <w:rPr>
                <w:rFonts w:ascii="Garamond" w:eastAsia="Times New Roman" w:hAnsi="Garamond"/>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089187A0"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4856" w:type="dxa"/>
            <w:gridSpan w:val="5"/>
            <w:tcBorders>
              <w:top w:val="dotted" w:sz="4" w:space="0" w:color="auto"/>
              <w:left w:val="nil"/>
              <w:bottom w:val="single" w:sz="8" w:space="0" w:color="auto"/>
              <w:right w:val="double" w:sz="6" w:space="0" w:color="000000"/>
            </w:tcBorders>
            <w:shd w:val="clear" w:color="auto" w:fill="FFFFFF"/>
            <w:vAlign w:val="center"/>
            <w:hideMark/>
          </w:tcPr>
          <w:p w14:paraId="520CC7E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bn NCU</w:t>
            </w:r>
          </w:p>
        </w:tc>
      </w:tr>
      <w:tr w:rsidR="00FA29AB" w:rsidRPr="00050FA4" w14:paraId="08BC6D76" w14:textId="77777777" w:rsidTr="00617B60">
        <w:trPr>
          <w:trHeight w:val="388"/>
          <w:jc w:val="center"/>
        </w:trPr>
        <w:tc>
          <w:tcPr>
            <w:tcW w:w="3978" w:type="dxa"/>
            <w:tcBorders>
              <w:top w:val="nil"/>
              <w:left w:val="double" w:sz="6" w:space="0" w:color="auto"/>
              <w:bottom w:val="single" w:sz="8" w:space="0" w:color="auto"/>
              <w:right w:val="nil"/>
            </w:tcBorders>
            <w:shd w:val="clear" w:color="auto" w:fill="FFFFFF"/>
            <w:vAlign w:val="center"/>
            <w:hideMark/>
          </w:tcPr>
          <w:p w14:paraId="431D917C"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Net lending (B9) by sub-sectors</w:t>
            </w:r>
          </w:p>
        </w:tc>
        <w:tc>
          <w:tcPr>
            <w:tcW w:w="267" w:type="dxa"/>
            <w:tcBorders>
              <w:top w:val="nil"/>
              <w:left w:val="nil"/>
              <w:bottom w:val="single" w:sz="8" w:space="0" w:color="auto"/>
              <w:right w:val="nil"/>
            </w:tcBorders>
            <w:shd w:val="clear" w:color="auto" w:fill="FFFFFF"/>
            <w:vAlign w:val="center"/>
            <w:hideMark/>
          </w:tcPr>
          <w:p w14:paraId="60630FF8"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1171" w:type="dxa"/>
            <w:tcBorders>
              <w:top w:val="nil"/>
              <w:left w:val="nil"/>
              <w:bottom w:val="single" w:sz="8" w:space="0" w:color="auto"/>
              <w:right w:val="nil"/>
            </w:tcBorders>
            <w:shd w:val="clear" w:color="auto" w:fill="FFFFFF"/>
            <w:vAlign w:val="center"/>
            <w:hideMark/>
          </w:tcPr>
          <w:p w14:paraId="536899B3"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1154" w:type="dxa"/>
            <w:tcBorders>
              <w:top w:val="nil"/>
              <w:left w:val="nil"/>
              <w:bottom w:val="single" w:sz="8" w:space="0" w:color="auto"/>
              <w:right w:val="nil"/>
            </w:tcBorders>
            <w:shd w:val="clear" w:color="auto" w:fill="FFFFFF"/>
            <w:vAlign w:val="center"/>
            <w:hideMark/>
          </w:tcPr>
          <w:p w14:paraId="6EDD447C"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924" w:type="dxa"/>
            <w:tcBorders>
              <w:top w:val="nil"/>
              <w:left w:val="nil"/>
              <w:bottom w:val="single" w:sz="8" w:space="0" w:color="auto"/>
              <w:right w:val="nil"/>
            </w:tcBorders>
            <w:shd w:val="clear" w:color="auto" w:fill="FFFFFF"/>
            <w:vAlign w:val="center"/>
            <w:hideMark/>
          </w:tcPr>
          <w:p w14:paraId="39994ECB"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924" w:type="dxa"/>
            <w:tcBorders>
              <w:top w:val="nil"/>
              <w:left w:val="nil"/>
              <w:bottom w:val="single" w:sz="8" w:space="0" w:color="auto"/>
              <w:right w:val="nil"/>
            </w:tcBorders>
            <w:shd w:val="clear" w:color="auto" w:fill="FFFFFF"/>
            <w:vAlign w:val="center"/>
            <w:hideMark/>
          </w:tcPr>
          <w:p w14:paraId="4970A46D"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924" w:type="dxa"/>
            <w:tcBorders>
              <w:top w:val="nil"/>
              <w:left w:val="nil"/>
              <w:bottom w:val="single" w:sz="8" w:space="0" w:color="auto"/>
              <w:right w:val="nil"/>
            </w:tcBorders>
            <w:shd w:val="clear" w:color="auto" w:fill="FFFFFF"/>
            <w:vAlign w:val="center"/>
            <w:hideMark/>
          </w:tcPr>
          <w:p w14:paraId="0160CBE8"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c>
          <w:tcPr>
            <w:tcW w:w="930" w:type="dxa"/>
            <w:tcBorders>
              <w:top w:val="nil"/>
              <w:left w:val="nil"/>
              <w:bottom w:val="single" w:sz="8" w:space="0" w:color="auto"/>
              <w:right w:val="double" w:sz="6" w:space="0" w:color="auto"/>
            </w:tcBorders>
            <w:shd w:val="clear" w:color="auto" w:fill="FFFFFF"/>
            <w:vAlign w:val="center"/>
            <w:hideMark/>
          </w:tcPr>
          <w:p w14:paraId="797B42BE" w14:textId="77777777" w:rsidR="00094A26" w:rsidRPr="00050FA4" w:rsidRDefault="00094A26" w:rsidP="00A95D23">
            <w:pP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 </w:t>
            </w:r>
          </w:p>
        </w:tc>
      </w:tr>
      <w:tr w:rsidR="00FA29AB" w:rsidRPr="00050FA4" w14:paraId="7E50C440"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3FBFFF3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 General government </w:t>
            </w:r>
          </w:p>
        </w:tc>
        <w:tc>
          <w:tcPr>
            <w:tcW w:w="267" w:type="dxa"/>
            <w:tcBorders>
              <w:top w:val="nil"/>
              <w:left w:val="nil"/>
              <w:bottom w:val="dotted" w:sz="4" w:space="0" w:color="auto"/>
              <w:right w:val="single" w:sz="8" w:space="0" w:color="auto"/>
            </w:tcBorders>
            <w:shd w:val="clear" w:color="auto" w:fill="FFFFFF"/>
            <w:vAlign w:val="center"/>
            <w:hideMark/>
          </w:tcPr>
          <w:p w14:paraId="43AFA9E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45165F4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w:t>
            </w:r>
          </w:p>
        </w:tc>
        <w:tc>
          <w:tcPr>
            <w:tcW w:w="1154" w:type="dxa"/>
            <w:tcBorders>
              <w:top w:val="nil"/>
              <w:left w:val="nil"/>
              <w:bottom w:val="dotted" w:sz="4" w:space="0" w:color="auto"/>
              <w:right w:val="dotted" w:sz="4" w:space="0" w:color="auto"/>
            </w:tcBorders>
            <w:shd w:val="clear" w:color="auto" w:fill="FFFFFF"/>
            <w:vAlign w:val="center"/>
            <w:hideMark/>
          </w:tcPr>
          <w:p w14:paraId="06522ED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-110.37</w:t>
            </w:r>
          </w:p>
        </w:tc>
        <w:tc>
          <w:tcPr>
            <w:tcW w:w="924" w:type="dxa"/>
            <w:tcBorders>
              <w:top w:val="nil"/>
              <w:left w:val="nil"/>
              <w:bottom w:val="dotted" w:sz="4" w:space="0" w:color="auto"/>
              <w:right w:val="dotted" w:sz="4" w:space="0" w:color="auto"/>
            </w:tcBorders>
            <w:shd w:val="clear" w:color="auto" w:fill="FFFFFF"/>
            <w:vAlign w:val="center"/>
            <w:hideMark/>
          </w:tcPr>
          <w:p w14:paraId="19DCA8B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-103.31</w:t>
            </w:r>
          </w:p>
        </w:tc>
        <w:tc>
          <w:tcPr>
            <w:tcW w:w="924" w:type="dxa"/>
            <w:tcBorders>
              <w:top w:val="nil"/>
              <w:left w:val="nil"/>
              <w:bottom w:val="dotted" w:sz="4" w:space="0" w:color="auto"/>
              <w:right w:val="dotted" w:sz="4" w:space="0" w:color="auto"/>
            </w:tcBorders>
            <w:shd w:val="clear" w:color="auto" w:fill="FFFFFF"/>
            <w:vAlign w:val="center"/>
            <w:hideMark/>
          </w:tcPr>
          <w:p w14:paraId="4141DC9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-100.88</w:t>
            </w:r>
          </w:p>
        </w:tc>
        <w:tc>
          <w:tcPr>
            <w:tcW w:w="924" w:type="dxa"/>
            <w:tcBorders>
              <w:top w:val="nil"/>
              <w:left w:val="nil"/>
              <w:bottom w:val="dotted" w:sz="4" w:space="0" w:color="auto"/>
              <w:right w:val="dotted" w:sz="4" w:space="0" w:color="auto"/>
            </w:tcBorders>
            <w:shd w:val="clear" w:color="auto" w:fill="FFFFFF"/>
            <w:vAlign w:val="center"/>
            <w:hideMark/>
          </w:tcPr>
          <w:p w14:paraId="16B91BE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-57.94</w:t>
            </w:r>
          </w:p>
        </w:tc>
        <w:tc>
          <w:tcPr>
            <w:tcW w:w="930" w:type="dxa"/>
            <w:tcBorders>
              <w:top w:val="nil"/>
              <w:left w:val="nil"/>
              <w:bottom w:val="dotted" w:sz="4" w:space="0" w:color="auto"/>
              <w:right w:val="double" w:sz="6" w:space="0" w:color="auto"/>
            </w:tcBorders>
            <w:shd w:val="clear" w:color="auto" w:fill="FFFFFF"/>
            <w:vAlign w:val="center"/>
            <w:hideMark/>
          </w:tcPr>
          <w:p w14:paraId="566F13A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-58.87</w:t>
            </w:r>
          </w:p>
        </w:tc>
      </w:tr>
      <w:tr w:rsidR="00FA29AB" w:rsidRPr="00050FA4" w14:paraId="7B146C3B"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7B85D75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 Central government</w:t>
            </w:r>
          </w:p>
        </w:tc>
        <w:tc>
          <w:tcPr>
            <w:tcW w:w="267" w:type="dxa"/>
            <w:tcBorders>
              <w:top w:val="nil"/>
              <w:left w:val="nil"/>
              <w:bottom w:val="dotted" w:sz="4" w:space="0" w:color="auto"/>
              <w:right w:val="single" w:sz="8" w:space="0" w:color="auto"/>
            </w:tcBorders>
            <w:shd w:val="clear" w:color="auto" w:fill="FFFFFF"/>
            <w:vAlign w:val="center"/>
            <w:hideMark/>
          </w:tcPr>
          <w:p w14:paraId="58A3FE6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2663736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S1311</w:t>
            </w:r>
          </w:p>
        </w:tc>
        <w:tc>
          <w:tcPr>
            <w:tcW w:w="1154" w:type="dxa"/>
            <w:tcBorders>
              <w:top w:val="nil"/>
              <w:left w:val="nil"/>
              <w:bottom w:val="dotted" w:sz="4" w:space="0" w:color="auto"/>
              <w:right w:val="dotted" w:sz="4" w:space="0" w:color="auto"/>
            </w:tcBorders>
            <w:shd w:val="clear" w:color="auto" w:fill="FFFFFF"/>
            <w:vAlign w:val="center"/>
            <w:hideMark/>
          </w:tcPr>
          <w:p w14:paraId="504E58C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-0.16</w:t>
            </w:r>
          </w:p>
        </w:tc>
        <w:tc>
          <w:tcPr>
            <w:tcW w:w="924" w:type="dxa"/>
            <w:tcBorders>
              <w:top w:val="nil"/>
              <w:left w:val="nil"/>
              <w:bottom w:val="dotted" w:sz="4" w:space="0" w:color="auto"/>
              <w:right w:val="dotted" w:sz="4" w:space="0" w:color="auto"/>
            </w:tcBorders>
            <w:shd w:val="clear" w:color="auto" w:fill="FFFFFF"/>
            <w:vAlign w:val="center"/>
            <w:hideMark/>
          </w:tcPr>
          <w:p w14:paraId="68AFE2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2.16</w:t>
            </w:r>
          </w:p>
        </w:tc>
        <w:tc>
          <w:tcPr>
            <w:tcW w:w="924" w:type="dxa"/>
            <w:tcBorders>
              <w:top w:val="nil"/>
              <w:left w:val="nil"/>
              <w:bottom w:val="dotted" w:sz="4" w:space="0" w:color="auto"/>
              <w:right w:val="dotted" w:sz="4" w:space="0" w:color="auto"/>
            </w:tcBorders>
            <w:shd w:val="clear" w:color="auto" w:fill="FFFFFF"/>
            <w:vAlign w:val="center"/>
            <w:hideMark/>
          </w:tcPr>
          <w:p w14:paraId="3E8C0C7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16.61</w:t>
            </w:r>
          </w:p>
        </w:tc>
        <w:tc>
          <w:tcPr>
            <w:tcW w:w="924" w:type="dxa"/>
            <w:tcBorders>
              <w:top w:val="nil"/>
              <w:left w:val="nil"/>
              <w:bottom w:val="dotted" w:sz="4" w:space="0" w:color="auto"/>
              <w:right w:val="dotted" w:sz="4" w:space="0" w:color="auto"/>
            </w:tcBorders>
            <w:shd w:val="clear" w:color="auto" w:fill="FFFFFF"/>
            <w:vAlign w:val="center"/>
            <w:hideMark/>
          </w:tcPr>
          <w:p w14:paraId="1DC6DC5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69.39</w:t>
            </w:r>
          </w:p>
        </w:tc>
        <w:tc>
          <w:tcPr>
            <w:tcW w:w="930" w:type="dxa"/>
            <w:tcBorders>
              <w:top w:val="nil"/>
              <w:left w:val="nil"/>
              <w:bottom w:val="dotted" w:sz="4" w:space="0" w:color="auto"/>
              <w:right w:val="double" w:sz="6" w:space="0" w:color="auto"/>
            </w:tcBorders>
            <w:shd w:val="clear" w:color="auto" w:fill="FFFFFF"/>
            <w:vAlign w:val="center"/>
            <w:hideMark/>
          </w:tcPr>
          <w:p w14:paraId="70FED3E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70.51</w:t>
            </w:r>
          </w:p>
        </w:tc>
      </w:tr>
      <w:tr w:rsidR="00FA29AB" w:rsidRPr="00050FA4" w14:paraId="083EFFB4"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59890480"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 State government</w:t>
            </w:r>
          </w:p>
        </w:tc>
        <w:tc>
          <w:tcPr>
            <w:tcW w:w="267" w:type="dxa"/>
            <w:tcBorders>
              <w:top w:val="nil"/>
              <w:left w:val="nil"/>
              <w:bottom w:val="dotted" w:sz="4" w:space="0" w:color="auto"/>
              <w:right w:val="single" w:sz="8" w:space="0" w:color="auto"/>
            </w:tcBorders>
            <w:shd w:val="clear" w:color="auto" w:fill="FFFFFF"/>
            <w:vAlign w:val="center"/>
            <w:hideMark/>
          </w:tcPr>
          <w:p w14:paraId="787E801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2804A0D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S1312</w:t>
            </w:r>
          </w:p>
        </w:tc>
        <w:tc>
          <w:tcPr>
            <w:tcW w:w="1154" w:type="dxa"/>
            <w:tcBorders>
              <w:top w:val="nil"/>
              <w:left w:val="nil"/>
              <w:bottom w:val="dotted" w:sz="4" w:space="0" w:color="auto"/>
              <w:right w:val="dotted" w:sz="4" w:space="0" w:color="auto"/>
            </w:tcBorders>
            <w:shd w:val="clear" w:color="auto" w:fill="FFFFFF"/>
            <w:vAlign w:val="center"/>
            <w:hideMark/>
          </w:tcPr>
          <w:p w14:paraId="549A16B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vAlign w:val="center"/>
            <w:hideMark/>
          </w:tcPr>
          <w:p w14:paraId="36664B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vAlign w:val="center"/>
            <w:hideMark/>
          </w:tcPr>
          <w:p w14:paraId="0D68E32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vAlign w:val="center"/>
            <w:hideMark/>
          </w:tcPr>
          <w:p w14:paraId="0BE006E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30" w:type="dxa"/>
            <w:tcBorders>
              <w:top w:val="nil"/>
              <w:left w:val="nil"/>
              <w:bottom w:val="dotted" w:sz="4" w:space="0" w:color="auto"/>
              <w:right w:val="double" w:sz="6" w:space="0" w:color="auto"/>
            </w:tcBorders>
            <w:shd w:val="clear" w:color="auto" w:fill="FFFFFF"/>
            <w:vAlign w:val="center"/>
            <w:hideMark/>
          </w:tcPr>
          <w:p w14:paraId="2C74647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425B72F1"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73E44107"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Local government</w:t>
            </w:r>
          </w:p>
        </w:tc>
        <w:tc>
          <w:tcPr>
            <w:tcW w:w="267" w:type="dxa"/>
            <w:tcBorders>
              <w:top w:val="nil"/>
              <w:left w:val="nil"/>
              <w:bottom w:val="dotted" w:sz="4" w:space="0" w:color="auto"/>
              <w:right w:val="single" w:sz="8" w:space="0" w:color="auto"/>
            </w:tcBorders>
            <w:shd w:val="clear" w:color="auto" w:fill="FFFFFF"/>
            <w:vAlign w:val="center"/>
            <w:hideMark/>
          </w:tcPr>
          <w:p w14:paraId="169FA2E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053A41D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S1313</w:t>
            </w:r>
          </w:p>
        </w:tc>
        <w:tc>
          <w:tcPr>
            <w:tcW w:w="1154" w:type="dxa"/>
            <w:tcBorders>
              <w:top w:val="nil"/>
              <w:left w:val="nil"/>
              <w:bottom w:val="dotted" w:sz="4" w:space="0" w:color="auto"/>
              <w:right w:val="dotted" w:sz="4" w:space="0" w:color="auto"/>
            </w:tcBorders>
            <w:shd w:val="clear" w:color="auto" w:fill="FFFFFF"/>
            <w:vAlign w:val="center"/>
            <w:hideMark/>
          </w:tcPr>
          <w:p w14:paraId="26FC32C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-34.25</w:t>
            </w:r>
          </w:p>
        </w:tc>
        <w:tc>
          <w:tcPr>
            <w:tcW w:w="924" w:type="dxa"/>
            <w:tcBorders>
              <w:top w:val="nil"/>
              <w:left w:val="nil"/>
              <w:bottom w:val="dotted" w:sz="4" w:space="0" w:color="auto"/>
              <w:right w:val="dotted" w:sz="4" w:space="0" w:color="auto"/>
            </w:tcBorders>
            <w:shd w:val="clear" w:color="auto" w:fill="FFFFFF"/>
            <w:vAlign w:val="center"/>
            <w:hideMark/>
          </w:tcPr>
          <w:p w14:paraId="343541E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-24.57</w:t>
            </w:r>
          </w:p>
        </w:tc>
        <w:tc>
          <w:tcPr>
            <w:tcW w:w="924" w:type="dxa"/>
            <w:tcBorders>
              <w:top w:val="nil"/>
              <w:left w:val="nil"/>
              <w:bottom w:val="dotted" w:sz="4" w:space="0" w:color="auto"/>
              <w:right w:val="dotted" w:sz="4" w:space="0" w:color="auto"/>
            </w:tcBorders>
            <w:shd w:val="clear" w:color="auto" w:fill="FFFFFF"/>
            <w:vAlign w:val="center"/>
            <w:hideMark/>
          </w:tcPr>
          <w:p w14:paraId="7A2D2E0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-31.44</w:t>
            </w:r>
          </w:p>
        </w:tc>
        <w:tc>
          <w:tcPr>
            <w:tcW w:w="924" w:type="dxa"/>
            <w:tcBorders>
              <w:top w:val="nil"/>
              <w:left w:val="nil"/>
              <w:bottom w:val="dotted" w:sz="4" w:space="0" w:color="auto"/>
              <w:right w:val="dotted" w:sz="4" w:space="0" w:color="auto"/>
            </w:tcBorders>
            <w:shd w:val="clear" w:color="auto" w:fill="FFFFFF"/>
            <w:vAlign w:val="center"/>
            <w:hideMark/>
          </w:tcPr>
          <w:p w14:paraId="324C965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-30.56</w:t>
            </w:r>
          </w:p>
        </w:tc>
        <w:tc>
          <w:tcPr>
            <w:tcW w:w="930" w:type="dxa"/>
            <w:tcBorders>
              <w:top w:val="nil"/>
              <w:left w:val="nil"/>
              <w:bottom w:val="dotted" w:sz="4" w:space="0" w:color="auto"/>
              <w:right w:val="double" w:sz="6" w:space="0" w:color="auto"/>
            </w:tcBorders>
            <w:shd w:val="clear" w:color="auto" w:fill="FFFFFF"/>
            <w:vAlign w:val="center"/>
            <w:hideMark/>
          </w:tcPr>
          <w:p w14:paraId="3F307DE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-31.82</w:t>
            </w:r>
          </w:p>
        </w:tc>
      </w:tr>
      <w:tr w:rsidR="00FA29AB" w:rsidRPr="00050FA4" w14:paraId="0648D9D7" w14:textId="77777777" w:rsidTr="00617B60">
        <w:trPr>
          <w:trHeight w:val="300"/>
          <w:jc w:val="center"/>
        </w:trPr>
        <w:tc>
          <w:tcPr>
            <w:tcW w:w="3978" w:type="dxa"/>
            <w:tcBorders>
              <w:top w:val="nil"/>
              <w:left w:val="double" w:sz="6" w:space="0" w:color="auto"/>
              <w:bottom w:val="single" w:sz="8" w:space="0" w:color="auto"/>
              <w:right w:val="nil"/>
            </w:tcBorders>
            <w:shd w:val="clear" w:color="auto" w:fill="FFFFFF"/>
            <w:vAlign w:val="center"/>
            <w:hideMark/>
          </w:tcPr>
          <w:p w14:paraId="495567D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Social security funds</w:t>
            </w:r>
          </w:p>
        </w:tc>
        <w:tc>
          <w:tcPr>
            <w:tcW w:w="267" w:type="dxa"/>
            <w:tcBorders>
              <w:top w:val="nil"/>
              <w:left w:val="nil"/>
              <w:bottom w:val="single" w:sz="8" w:space="0" w:color="auto"/>
              <w:right w:val="single" w:sz="8" w:space="0" w:color="auto"/>
            </w:tcBorders>
            <w:shd w:val="clear" w:color="auto" w:fill="FFFFFF"/>
            <w:vAlign w:val="center"/>
            <w:hideMark/>
          </w:tcPr>
          <w:p w14:paraId="6C7D3FE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single" w:sz="8" w:space="0" w:color="auto"/>
              <w:right w:val="single" w:sz="8" w:space="0" w:color="auto"/>
            </w:tcBorders>
            <w:shd w:val="clear" w:color="auto" w:fill="FFFFFF"/>
            <w:vAlign w:val="center"/>
            <w:hideMark/>
          </w:tcPr>
          <w:p w14:paraId="1C086AF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S1314</w:t>
            </w:r>
          </w:p>
        </w:tc>
        <w:tc>
          <w:tcPr>
            <w:tcW w:w="1154" w:type="dxa"/>
            <w:tcBorders>
              <w:top w:val="nil"/>
              <w:left w:val="nil"/>
              <w:bottom w:val="single" w:sz="8" w:space="0" w:color="auto"/>
              <w:right w:val="dotted" w:sz="4" w:space="0" w:color="auto"/>
            </w:tcBorders>
            <w:shd w:val="clear" w:color="auto" w:fill="FFFFFF"/>
            <w:vAlign w:val="center"/>
            <w:hideMark/>
          </w:tcPr>
          <w:p w14:paraId="09FD341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-75.96</w:t>
            </w:r>
          </w:p>
        </w:tc>
        <w:tc>
          <w:tcPr>
            <w:tcW w:w="924" w:type="dxa"/>
            <w:tcBorders>
              <w:top w:val="nil"/>
              <w:left w:val="nil"/>
              <w:bottom w:val="single" w:sz="8" w:space="0" w:color="auto"/>
              <w:right w:val="dotted" w:sz="4" w:space="0" w:color="auto"/>
            </w:tcBorders>
            <w:shd w:val="clear" w:color="auto" w:fill="FFFFFF"/>
            <w:vAlign w:val="center"/>
            <w:hideMark/>
          </w:tcPr>
          <w:p w14:paraId="51C346F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-80.90</w:t>
            </w:r>
          </w:p>
        </w:tc>
        <w:tc>
          <w:tcPr>
            <w:tcW w:w="924" w:type="dxa"/>
            <w:tcBorders>
              <w:top w:val="nil"/>
              <w:left w:val="nil"/>
              <w:bottom w:val="single" w:sz="8" w:space="0" w:color="auto"/>
              <w:right w:val="dotted" w:sz="4" w:space="0" w:color="auto"/>
            </w:tcBorders>
            <w:shd w:val="clear" w:color="auto" w:fill="FFFFFF"/>
            <w:vAlign w:val="center"/>
            <w:hideMark/>
          </w:tcPr>
          <w:p w14:paraId="4B85726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-86.06</w:t>
            </w:r>
          </w:p>
        </w:tc>
        <w:tc>
          <w:tcPr>
            <w:tcW w:w="924" w:type="dxa"/>
            <w:tcBorders>
              <w:top w:val="nil"/>
              <w:left w:val="nil"/>
              <w:bottom w:val="single" w:sz="8" w:space="0" w:color="auto"/>
              <w:right w:val="dotted" w:sz="4" w:space="0" w:color="auto"/>
            </w:tcBorders>
            <w:shd w:val="clear" w:color="auto" w:fill="FFFFFF"/>
            <w:vAlign w:val="center"/>
            <w:hideMark/>
          </w:tcPr>
          <w:p w14:paraId="5983A87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-96.77</w:t>
            </w:r>
          </w:p>
        </w:tc>
        <w:tc>
          <w:tcPr>
            <w:tcW w:w="930" w:type="dxa"/>
            <w:tcBorders>
              <w:top w:val="nil"/>
              <w:left w:val="nil"/>
              <w:bottom w:val="single" w:sz="8" w:space="0" w:color="auto"/>
              <w:right w:val="double" w:sz="6" w:space="0" w:color="auto"/>
            </w:tcBorders>
            <w:shd w:val="clear" w:color="auto" w:fill="FFFFFF"/>
            <w:vAlign w:val="center"/>
            <w:hideMark/>
          </w:tcPr>
          <w:p w14:paraId="2AE3F55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-97.55</w:t>
            </w:r>
          </w:p>
        </w:tc>
      </w:tr>
      <w:tr w:rsidR="00FA29AB" w:rsidRPr="00050FA4" w14:paraId="41C9BC4E" w14:textId="77777777" w:rsidTr="00617B60">
        <w:trPr>
          <w:trHeight w:val="300"/>
          <w:jc w:val="center"/>
        </w:trPr>
        <w:tc>
          <w:tcPr>
            <w:tcW w:w="10272" w:type="dxa"/>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33D9B38B"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General government (S13)</w:t>
            </w:r>
          </w:p>
        </w:tc>
      </w:tr>
      <w:tr w:rsidR="00FA29AB" w:rsidRPr="00050FA4" w14:paraId="47E1FB19"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7349C9E2"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 Total revenue</w:t>
            </w:r>
          </w:p>
        </w:tc>
        <w:tc>
          <w:tcPr>
            <w:tcW w:w="267" w:type="dxa"/>
            <w:tcBorders>
              <w:top w:val="nil"/>
              <w:left w:val="nil"/>
              <w:bottom w:val="dotted" w:sz="4" w:space="0" w:color="auto"/>
              <w:right w:val="single" w:sz="8" w:space="0" w:color="auto"/>
            </w:tcBorders>
            <w:shd w:val="clear" w:color="auto" w:fill="FFFFFF"/>
            <w:vAlign w:val="center"/>
            <w:hideMark/>
          </w:tcPr>
          <w:p w14:paraId="70D2E33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6564194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TR</w:t>
            </w:r>
          </w:p>
        </w:tc>
        <w:tc>
          <w:tcPr>
            <w:tcW w:w="1154" w:type="dxa"/>
            <w:tcBorders>
              <w:top w:val="nil"/>
              <w:left w:val="nil"/>
              <w:bottom w:val="dotted" w:sz="4" w:space="0" w:color="auto"/>
              <w:right w:val="dotted" w:sz="4" w:space="0" w:color="auto"/>
            </w:tcBorders>
            <w:shd w:val="clear" w:color="auto" w:fill="FFFFFF"/>
            <w:vAlign w:val="center"/>
            <w:hideMark/>
          </w:tcPr>
          <w:p w14:paraId="4C2AF10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425.90</w:t>
            </w:r>
          </w:p>
        </w:tc>
        <w:tc>
          <w:tcPr>
            <w:tcW w:w="924" w:type="dxa"/>
            <w:tcBorders>
              <w:top w:val="nil"/>
              <w:left w:val="nil"/>
              <w:bottom w:val="dotted" w:sz="4" w:space="0" w:color="auto"/>
              <w:right w:val="dotted" w:sz="4" w:space="0" w:color="auto"/>
            </w:tcBorders>
            <w:shd w:val="clear" w:color="auto" w:fill="FFFFFF"/>
            <w:vAlign w:val="center"/>
            <w:hideMark/>
          </w:tcPr>
          <w:p w14:paraId="266DFF9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506.89</w:t>
            </w:r>
          </w:p>
        </w:tc>
        <w:tc>
          <w:tcPr>
            <w:tcW w:w="924" w:type="dxa"/>
            <w:tcBorders>
              <w:top w:val="nil"/>
              <w:left w:val="nil"/>
              <w:bottom w:val="dotted" w:sz="4" w:space="0" w:color="auto"/>
              <w:right w:val="dotted" w:sz="4" w:space="0" w:color="auto"/>
            </w:tcBorders>
            <w:shd w:val="clear" w:color="auto" w:fill="FFFFFF"/>
            <w:vAlign w:val="center"/>
            <w:hideMark/>
          </w:tcPr>
          <w:p w14:paraId="64F2764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536.81</w:t>
            </w:r>
          </w:p>
        </w:tc>
        <w:tc>
          <w:tcPr>
            <w:tcW w:w="924" w:type="dxa"/>
            <w:tcBorders>
              <w:top w:val="nil"/>
              <w:left w:val="nil"/>
              <w:bottom w:val="dotted" w:sz="4" w:space="0" w:color="auto"/>
              <w:right w:val="dotted" w:sz="4" w:space="0" w:color="auto"/>
            </w:tcBorders>
            <w:shd w:val="clear" w:color="auto" w:fill="FFFFFF"/>
            <w:vAlign w:val="center"/>
            <w:hideMark/>
          </w:tcPr>
          <w:p w14:paraId="44B1684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569.74</w:t>
            </w:r>
          </w:p>
        </w:tc>
        <w:tc>
          <w:tcPr>
            <w:tcW w:w="930" w:type="dxa"/>
            <w:tcBorders>
              <w:top w:val="nil"/>
              <w:left w:val="nil"/>
              <w:bottom w:val="dotted" w:sz="4" w:space="0" w:color="auto"/>
              <w:right w:val="double" w:sz="6" w:space="0" w:color="auto"/>
            </w:tcBorders>
            <w:shd w:val="clear" w:color="auto" w:fill="FFFFFF"/>
            <w:vAlign w:val="center"/>
            <w:hideMark/>
          </w:tcPr>
          <w:p w14:paraId="64F937E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601.79</w:t>
            </w:r>
          </w:p>
        </w:tc>
      </w:tr>
      <w:tr w:rsidR="00FA29AB" w:rsidRPr="00050FA4" w14:paraId="0A7DF47E"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436ABCA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 Total expenditure[1]</w:t>
            </w:r>
          </w:p>
        </w:tc>
        <w:tc>
          <w:tcPr>
            <w:tcW w:w="267" w:type="dxa"/>
            <w:tcBorders>
              <w:top w:val="nil"/>
              <w:left w:val="nil"/>
              <w:bottom w:val="dotted" w:sz="4" w:space="0" w:color="auto"/>
              <w:right w:val="single" w:sz="8" w:space="0" w:color="auto"/>
            </w:tcBorders>
            <w:shd w:val="clear" w:color="auto" w:fill="FFFFFF"/>
            <w:vAlign w:val="center"/>
            <w:hideMark/>
          </w:tcPr>
          <w:p w14:paraId="70D54DC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4216B59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TE</w:t>
            </w:r>
          </w:p>
        </w:tc>
        <w:tc>
          <w:tcPr>
            <w:tcW w:w="1154" w:type="dxa"/>
            <w:tcBorders>
              <w:top w:val="nil"/>
              <w:left w:val="nil"/>
              <w:bottom w:val="dotted" w:sz="4" w:space="0" w:color="auto"/>
              <w:right w:val="dotted" w:sz="4" w:space="0" w:color="auto"/>
            </w:tcBorders>
            <w:shd w:val="clear" w:color="auto" w:fill="FFFFFF"/>
            <w:vAlign w:val="center"/>
            <w:hideMark/>
          </w:tcPr>
          <w:p w14:paraId="7C4084D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536.28</w:t>
            </w:r>
          </w:p>
        </w:tc>
        <w:tc>
          <w:tcPr>
            <w:tcW w:w="924" w:type="dxa"/>
            <w:tcBorders>
              <w:top w:val="nil"/>
              <w:left w:val="nil"/>
              <w:bottom w:val="dotted" w:sz="4" w:space="0" w:color="auto"/>
              <w:right w:val="dotted" w:sz="4" w:space="0" w:color="auto"/>
            </w:tcBorders>
            <w:shd w:val="clear" w:color="auto" w:fill="FFFFFF"/>
            <w:vAlign w:val="center"/>
            <w:hideMark/>
          </w:tcPr>
          <w:p w14:paraId="523628E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610.20</w:t>
            </w:r>
          </w:p>
        </w:tc>
        <w:tc>
          <w:tcPr>
            <w:tcW w:w="924" w:type="dxa"/>
            <w:tcBorders>
              <w:top w:val="nil"/>
              <w:left w:val="nil"/>
              <w:bottom w:val="dotted" w:sz="4" w:space="0" w:color="auto"/>
              <w:right w:val="dotted" w:sz="4" w:space="0" w:color="auto"/>
            </w:tcBorders>
            <w:shd w:val="clear" w:color="auto" w:fill="FFFFFF"/>
            <w:vAlign w:val="center"/>
            <w:hideMark/>
          </w:tcPr>
          <w:p w14:paraId="02CB909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637.69</w:t>
            </w:r>
          </w:p>
        </w:tc>
        <w:tc>
          <w:tcPr>
            <w:tcW w:w="924" w:type="dxa"/>
            <w:tcBorders>
              <w:top w:val="nil"/>
              <w:left w:val="nil"/>
              <w:bottom w:val="dotted" w:sz="4" w:space="0" w:color="auto"/>
              <w:right w:val="dotted" w:sz="4" w:space="0" w:color="auto"/>
            </w:tcBorders>
            <w:shd w:val="clear" w:color="auto" w:fill="FFFFFF"/>
            <w:vAlign w:val="center"/>
            <w:hideMark/>
          </w:tcPr>
          <w:p w14:paraId="5675C71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627.68</w:t>
            </w:r>
          </w:p>
        </w:tc>
        <w:tc>
          <w:tcPr>
            <w:tcW w:w="930" w:type="dxa"/>
            <w:tcBorders>
              <w:top w:val="nil"/>
              <w:left w:val="nil"/>
              <w:bottom w:val="dotted" w:sz="4" w:space="0" w:color="auto"/>
              <w:right w:val="double" w:sz="6" w:space="0" w:color="auto"/>
            </w:tcBorders>
            <w:shd w:val="clear" w:color="auto" w:fill="FFFFFF"/>
            <w:vAlign w:val="center"/>
            <w:hideMark/>
          </w:tcPr>
          <w:p w14:paraId="7F62C07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660.66</w:t>
            </w:r>
          </w:p>
        </w:tc>
      </w:tr>
      <w:tr w:rsidR="00FA29AB" w:rsidRPr="00050FA4" w14:paraId="64C96C7D"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1D192AD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lastRenderedPageBreak/>
              <w:t>8. Net borrowing/lending</w:t>
            </w:r>
          </w:p>
        </w:tc>
        <w:tc>
          <w:tcPr>
            <w:tcW w:w="267" w:type="dxa"/>
            <w:tcBorders>
              <w:top w:val="nil"/>
              <w:left w:val="nil"/>
              <w:bottom w:val="dotted" w:sz="4" w:space="0" w:color="auto"/>
              <w:right w:val="single" w:sz="8" w:space="0" w:color="auto"/>
            </w:tcBorders>
            <w:shd w:val="clear" w:color="auto" w:fill="FFFFFF"/>
            <w:vAlign w:val="center"/>
            <w:hideMark/>
          </w:tcPr>
          <w:p w14:paraId="698E36C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0FD7551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EDP.B9</w:t>
            </w:r>
          </w:p>
        </w:tc>
        <w:tc>
          <w:tcPr>
            <w:tcW w:w="1154" w:type="dxa"/>
            <w:tcBorders>
              <w:top w:val="nil"/>
              <w:left w:val="nil"/>
              <w:bottom w:val="dotted" w:sz="4" w:space="0" w:color="auto"/>
              <w:right w:val="dotted" w:sz="4" w:space="0" w:color="auto"/>
            </w:tcBorders>
            <w:shd w:val="clear" w:color="auto" w:fill="FFFFFF"/>
            <w:vAlign w:val="center"/>
            <w:hideMark/>
          </w:tcPr>
          <w:p w14:paraId="52E932E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-110.37</w:t>
            </w:r>
          </w:p>
        </w:tc>
        <w:tc>
          <w:tcPr>
            <w:tcW w:w="924" w:type="dxa"/>
            <w:tcBorders>
              <w:top w:val="nil"/>
              <w:left w:val="nil"/>
              <w:bottom w:val="dotted" w:sz="4" w:space="0" w:color="auto"/>
              <w:right w:val="dotted" w:sz="4" w:space="0" w:color="auto"/>
            </w:tcBorders>
            <w:shd w:val="clear" w:color="auto" w:fill="FFFFFF"/>
            <w:vAlign w:val="center"/>
            <w:hideMark/>
          </w:tcPr>
          <w:p w14:paraId="5753451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-103.31</w:t>
            </w:r>
          </w:p>
        </w:tc>
        <w:tc>
          <w:tcPr>
            <w:tcW w:w="924" w:type="dxa"/>
            <w:tcBorders>
              <w:top w:val="nil"/>
              <w:left w:val="nil"/>
              <w:bottom w:val="dotted" w:sz="4" w:space="0" w:color="auto"/>
              <w:right w:val="dotted" w:sz="4" w:space="0" w:color="auto"/>
            </w:tcBorders>
            <w:shd w:val="clear" w:color="auto" w:fill="FFFFFF"/>
            <w:vAlign w:val="center"/>
            <w:hideMark/>
          </w:tcPr>
          <w:p w14:paraId="308EC73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-100.88</w:t>
            </w:r>
          </w:p>
        </w:tc>
        <w:tc>
          <w:tcPr>
            <w:tcW w:w="924" w:type="dxa"/>
            <w:tcBorders>
              <w:top w:val="nil"/>
              <w:left w:val="nil"/>
              <w:bottom w:val="dotted" w:sz="4" w:space="0" w:color="auto"/>
              <w:right w:val="dotted" w:sz="4" w:space="0" w:color="auto"/>
            </w:tcBorders>
            <w:shd w:val="clear" w:color="auto" w:fill="FFFFFF"/>
            <w:vAlign w:val="center"/>
            <w:hideMark/>
          </w:tcPr>
          <w:p w14:paraId="707D81D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-57.94</w:t>
            </w:r>
          </w:p>
        </w:tc>
        <w:tc>
          <w:tcPr>
            <w:tcW w:w="930" w:type="dxa"/>
            <w:tcBorders>
              <w:top w:val="nil"/>
              <w:left w:val="nil"/>
              <w:bottom w:val="dotted" w:sz="4" w:space="0" w:color="auto"/>
              <w:right w:val="double" w:sz="6" w:space="0" w:color="auto"/>
            </w:tcBorders>
            <w:shd w:val="clear" w:color="auto" w:fill="FFFFFF"/>
            <w:vAlign w:val="center"/>
            <w:hideMark/>
          </w:tcPr>
          <w:p w14:paraId="19EAEE6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-58.87</w:t>
            </w:r>
          </w:p>
        </w:tc>
      </w:tr>
      <w:tr w:rsidR="00FA29AB" w:rsidRPr="00050FA4" w14:paraId="4A17930D" w14:textId="77777777" w:rsidTr="00617B60">
        <w:trPr>
          <w:trHeight w:val="333"/>
          <w:jc w:val="center"/>
        </w:trPr>
        <w:tc>
          <w:tcPr>
            <w:tcW w:w="3978" w:type="dxa"/>
            <w:tcBorders>
              <w:top w:val="nil"/>
              <w:left w:val="double" w:sz="6" w:space="0" w:color="auto"/>
              <w:bottom w:val="dotted" w:sz="4" w:space="0" w:color="auto"/>
              <w:right w:val="nil"/>
            </w:tcBorders>
            <w:shd w:val="clear" w:color="auto" w:fill="FFFFFF"/>
            <w:vAlign w:val="center"/>
            <w:hideMark/>
          </w:tcPr>
          <w:p w14:paraId="1E53EDA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9. Interest expenditure</w:t>
            </w:r>
          </w:p>
        </w:tc>
        <w:tc>
          <w:tcPr>
            <w:tcW w:w="267" w:type="dxa"/>
            <w:tcBorders>
              <w:top w:val="nil"/>
              <w:left w:val="nil"/>
              <w:bottom w:val="dotted" w:sz="4" w:space="0" w:color="auto"/>
              <w:right w:val="single" w:sz="8" w:space="0" w:color="auto"/>
            </w:tcBorders>
            <w:shd w:val="clear" w:color="auto" w:fill="FFFFFF"/>
            <w:vAlign w:val="center"/>
            <w:hideMark/>
          </w:tcPr>
          <w:p w14:paraId="14D0C4E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281EDCB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EDP.D41 incl. FISIM</w:t>
            </w:r>
          </w:p>
        </w:tc>
        <w:tc>
          <w:tcPr>
            <w:tcW w:w="1154" w:type="dxa"/>
            <w:tcBorders>
              <w:top w:val="nil"/>
              <w:left w:val="nil"/>
              <w:bottom w:val="dotted" w:sz="4" w:space="0" w:color="auto"/>
              <w:right w:val="dotted" w:sz="4" w:space="0" w:color="auto"/>
            </w:tcBorders>
            <w:shd w:val="clear" w:color="auto" w:fill="FFFFFF"/>
            <w:vAlign w:val="center"/>
            <w:hideMark/>
          </w:tcPr>
          <w:p w14:paraId="43050EB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34.39</w:t>
            </w:r>
          </w:p>
        </w:tc>
        <w:tc>
          <w:tcPr>
            <w:tcW w:w="924" w:type="dxa"/>
            <w:tcBorders>
              <w:top w:val="nil"/>
              <w:left w:val="nil"/>
              <w:bottom w:val="dotted" w:sz="4" w:space="0" w:color="auto"/>
              <w:right w:val="dotted" w:sz="4" w:space="0" w:color="auto"/>
            </w:tcBorders>
            <w:shd w:val="clear" w:color="auto" w:fill="FFFFFF"/>
            <w:vAlign w:val="center"/>
            <w:hideMark/>
          </w:tcPr>
          <w:p w14:paraId="3411BCC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36.30</w:t>
            </w:r>
          </w:p>
        </w:tc>
        <w:tc>
          <w:tcPr>
            <w:tcW w:w="924" w:type="dxa"/>
            <w:tcBorders>
              <w:top w:val="nil"/>
              <w:left w:val="nil"/>
              <w:bottom w:val="dotted" w:sz="4" w:space="0" w:color="auto"/>
              <w:right w:val="dotted" w:sz="4" w:space="0" w:color="auto"/>
            </w:tcBorders>
            <w:shd w:val="clear" w:color="auto" w:fill="FFFFFF"/>
            <w:vAlign w:val="center"/>
            <w:hideMark/>
          </w:tcPr>
          <w:p w14:paraId="2784BAC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50.76</w:t>
            </w:r>
          </w:p>
        </w:tc>
        <w:tc>
          <w:tcPr>
            <w:tcW w:w="924" w:type="dxa"/>
            <w:tcBorders>
              <w:top w:val="nil"/>
              <w:left w:val="nil"/>
              <w:bottom w:val="dotted" w:sz="4" w:space="0" w:color="auto"/>
              <w:right w:val="dotted" w:sz="4" w:space="0" w:color="auto"/>
            </w:tcBorders>
            <w:shd w:val="clear" w:color="auto" w:fill="FFFFFF"/>
            <w:vAlign w:val="center"/>
            <w:hideMark/>
          </w:tcPr>
          <w:p w14:paraId="29FEF20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57.47</w:t>
            </w:r>
          </w:p>
        </w:tc>
        <w:tc>
          <w:tcPr>
            <w:tcW w:w="930" w:type="dxa"/>
            <w:tcBorders>
              <w:top w:val="nil"/>
              <w:left w:val="nil"/>
              <w:bottom w:val="dotted" w:sz="4" w:space="0" w:color="auto"/>
              <w:right w:val="double" w:sz="6" w:space="0" w:color="auto"/>
            </w:tcBorders>
            <w:shd w:val="clear" w:color="auto" w:fill="FFFFFF"/>
            <w:vAlign w:val="center"/>
            <w:hideMark/>
          </w:tcPr>
          <w:p w14:paraId="3498198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65.50</w:t>
            </w:r>
          </w:p>
        </w:tc>
      </w:tr>
      <w:tr w:rsidR="00FA29AB" w:rsidRPr="00050FA4" w14:paraId="45A81F07"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0571391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10. Primary balance[2]</w:t>
            </w:r>
          </w:p>
        </w:tc>
        <w:tc>
          <w:tcPr>
            <w:tcW w:w="267" w:type="dxa"/>
            <w:tcBorders>
              <w:top w:val="nil"/>
              <w:left w:val="nil"/>
              <w:bottom w:val="dotted" w:sz="4" w:space="0" w:color="auto"/>
              <w:right w:val="single" w:sz="8" w:space="0" w:color="auto"/>
            </w:tcBorders>
            <w:shd w:val="clear" w:color="auto" w:fill="FFFFFF"/>
            <w:vAlign w:val="center"/>
            <w:hideMark/>
          </w:tcPr>
          <w:p w14:paraId="63A8A36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5791F4D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54" w:type="dxa"/>
            <w:tcBorders>
              <w:top w:val="nil"/>
              <w:left w:val="nil"/>
              <w:bottom w:val="dotted" w:sz="4" w:space="0" w:color="auto"/>
              <w:right w:val="dotted" w:sz="4" w:space="0" w:color="auto"/>
            </w:tcBorders>
            <w:shd w:val="clear" w:color="auto" w:fill="FFFFFF"/>
            <w:vAlign w:val="center"/>
            <w:hideMark/>
          </w:tcPr>
          <w:p w14:paraId="156AEC6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-75.98</w:t>
            </w:r>
          </w:p>
        </w:tc>
        <w:tc>
          <w:tcPr>
            <w:tcW w:w="924" w:type="dxa"/>
            <w:tcBorders>
              <w:top w:val="nil"/>
              <w:left w:val="nil"/>
              <w:bottom w:val="dotted" w:sz="4" w:space="0" w:color="auto"/>
              <w:right w:val="dotted" w:sz="4" w:space="0" w:color="auto"/>
            </w:tcBorders>
            <w:shd w:val="clear" w:color="auto" w:fill="FFFFFF"/>
            <w:vAlign w:val="center"/>
            <w:hideMark/>
          </w:tcPr>
          <w:p w14:paraId="41FC989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-67.01</w:t>
            </w:r>
          </w:p>
        </w:tc>
        <w:tc>
          <w:tcPr>
            <w:tcW w:w="924" w:type="dxa"/>
            <w:tcBorders>
              <w:top w:val="nil"/>
              <w:left w:val="nil"/>
              <w:bottom w:val="dotted" w:sz="4" w:space="0" w:color="auto"/>
              <w:right w:val="dotted" w:sz="4" w:space="0" w:color="auto"/>
            </w:tcBorders>
            <w:shd w:val="clear" w:color="auto" w:fill="FFFFFF"/>
            <w:vAlign w:val="center"/>
            <w:hideMark/>
          </w:tcPr>
          <w:p w14:paraId="1275C86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-50.13</w:t>
            </w:r>
          </w:p>
        </w:tc>
        <w:tc>
          <w:tcPr>
            <w:tcW w:w="924" w:type="dxa"/>
            <w:tcBorders>
              <w:top w:val="nil"/>
              <w:left w:val="nil"/>
              <w:bottom w:val="dotted" w:sz="4" w:space="0" w:color="auto"/>
              <w:right w:val="dotted" w:sz="4" w:space="0" w:color="auto"/>
            </w:tcBorders>
            <w:shd w:val="clear" w:color="auto" w:fill="FFFFFF"/>
            <w:vAlign w:val="center"/>
            <w:hideMark/>
          </w:tcPr>
          <w:p w14:paraId="4B959CB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-0.48</w:t>
            </w:r>
          </w:p>
        </w:tc>
        <w:tc>
          <w:tcPr>
            <w:tcW w:w="930" w:type="dxa"/>
            <w:tcBorders>
              <w:top w:val="nil"/>
              <w:left w:val="nil"/>
              <w:bottom w:val="dotted" w:sz="4" w:space="0" w:color="auto"/>
              <w:right w:val="double" w:sz="6" w:space="0" w:color="auto"/>
            </w:tcBorders>
            <w:shd w:val="clear" w:color="auto" w:fill="FFFFFF"/>
            <w:vAlign w:val="center"/>
            <w:hideMark/>
          </w:tcPr>
          <w:p w14:paraId="45AAD48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6.64</w:t>
            </w:r>
          </w:p>
        </w:tc>
      </w:tr>
      <w:tr w:rsidR="00FA29AB" w:rsidRPr="00050FA4" w14:paraId="20FB503B" w14:textId="77777777" w:rsidTr="00617B60">
        <w:trPr>
          <w:trHeight w:val="300"/>
          <w:jc w:val="center"/>
        </w:trPr>
        <w:tc>
          <w:tcPr>
            <w:tcW w:w="3978" w:type="dxa"/>
            <w:tcBorders>
              <w:top w:val="nil"/>
              <w:left w:val="double" w:sz="6" w:space="0" w:color="auto"/>
              <w:bottom w:val="single" w:sz="8" w:space="0" w:color="auto"/>
              <w:right w:val="nil"/>
            </w:tcBorders>
            <w:shd w:val="clear" w:color="auto" w:fill="FFFFFF"/>
            <w:vAlign w:val="center"/>
            <w:hideMark/>
          </w:tcPr>
          <w:p w14:paraId="5DBB1D2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 One-off and other temporary measures [3]</w:t>
            </w:r>
          </w:p>
        </w:tc>
        <w:tc>
          <w:tcPr>
            <w:tcW w:w="267" w:type="dxa"/>
            <w:tcBorders>
              <w:top w:val="nil"/>
              <w:left w:val="nil"/>
              <w:bottom w:val="single" w:sz="8" w:space="0" w:color="auto"/>
              <w:right w:val="single" w:sz="8" w:space="0" w:color="auto"/>
            </w:tcBorders>
            <w:shd w:val="clear" w:color="auto" w:fill="FFFFFF"/>
            <w:vAlign w:val="center"/>
            <w:hideMark/>
          </w:tcPr>
          <w:p w14:paraId="6E5ADB5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single" w:sz="8" w:space="0" w:color="auto"/>
              <w:right w:val="single" w:sz="8" w:space="0" w:color="auto"/>
            </w:tcBorders>
            <w:shd w:val="clear" w:color="auto" w:fill="FFFFFF"/>
            <w:vAlign w:val="center"/>
            <w:hideMark/>
          </w:tcPr>
          <w:p w14:paraId="2E9DF8A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54" w:type="dxa"/>
            <w:tcBorders>
              <w:top w:val="nil"/>
              <w:left w:val="nil"/>
              <w:bottom w:val="single" w:sz="8" w:space="0" w:color="auto"/>
              <w:right w:val="dotted" w:sz="4" w:space="0" w:color="auto"/>
            </w:tcBorders>
            <w:shd w:val="clear" w:color="auto" w:fill="FFFFFF"/>
            <w:vAlign w:val="center"/>
            <w:hideMark/>
          </w:tcPr>
          <w:p w14:paraId="7D58899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single" w:sz="8" w:space="0" w:color="auto"/>
              <w:right w:val="dotted" w:sz="4" w:space="0" w:color="auto"/>
            </w:tcBorders>
            <w:shd w:val="clear" w:color="auto" w:fill="FFFFFF"/>
            <w:vAlign w:val="center"/>
            <w:hideMark/>
          </w:tcPr>
          <w:p w14:paraId="48A4244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single" w:sz="8" w:space="0" w:color="auto"/>
              <w:right w:val="dotted" w:sz="4" w:space="0" w:color="auto"/>
            </w:tcBorders>
            <w:shd w:val="clear" w:color="auto" w:fill="FFFFFF"/>
            <w:vAlign w:val="center"/>
            <w:hideMark/>
          </w:tcPr>
          <w:p w14:paraId="5C1176E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single" w:sz="8" w:space="0" w:color="auto"/>
              <w:right w:val="dotted" w:sz="4" w:space="0" w:color="auto"/>
            </w:tcBorders>
            <w:shd w:val="clear" w:color="auto" w:fill="FFFFFF"/>
            <w:vAlign w:val="center"/>
            <w:hideMark/>
          </w:tcPr>
          <w:p w14:paraId="250BB9C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30" w:type="dxa"/>
            <w:tcBorders>
              <w:top w:val="nil"/>
              <w:left w:val="nil"/>
              <w:bottom w:val="single" w:sz="8" w:space="0" w:color="auto"/>
              <w:right w:val="double" w:sz="6" w:space="0" w:color="auto"/>
            </w:tcBorders>
            <w:shd w:val="clear" w:color="auto" w:fill="FFFFFF"/>
            <w:vAlign w:val="center"/>
            <w:hideMark/>
          </w:tcPr>
          <w:p w14:paraId="4DE3387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48197DB1" w14:textId="77777777" w:rsidTr="00617B60">
        <w:trPr>
          <w:trHeight w:val="300"/>
          <w:jc w:val="center"/>
        </w:trPr>
        <w:tc>
          <w:tcPr>
            <w:tcW w:w="10272" w:type="dxa"/>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6441B715"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Components of revenues</w:t>
            </w:r>
          </w:p>
        </w:tc>
      </w:tr>
      <w:tr w:rsidR="00FA29AB" w:rsidRPr="00050FA4" w14:paraId="26BFFC9F"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14F7B9B5" w14:textId="3751FDA6"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 Total taxes</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(12 = 12a+12b+12c)</w:t>
            </w:r>
          </w:p>
        </w:tc>
        <w:tc>
          <w:tcPr>
            <w:tcW w:w="267" w:type="dxa"/>
            <w:tcBorders>
              <w:top w:val="nil"/>
              <w:left w:val="nil"/>
              <w:bottom w:val="dotted" w:sz="4" w:space="0" w:color="auto"/>
              <w:right w:val="single" w:sz="8" w:space="0" w:color="auto"/>
            </w:tcBorders>
            <w:shd w:val="clear" w:color="auto" w:fill="FFFFFF"/>
            <w:vAlign w:val="center"/>
            <w:hideMark/>
          </w:tcPr>
          <w:p w14:paraId="7E9C166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4513D8A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54" w:type="dxa"/>
            <w:tcBorders>
              <w:top w:val="nil"/>
              <w:left w:val="nil"/>
              <w:bottom w:val="dotted" w:sz="4" w:space="0" w:color="auto"/>
              <w:right w:val="dotted" w:sz="4" w:space="0" w:color="auto"/>
            </w:tcBorders>
            <w:shd w:val="clear" w:color="auto" w:fill="FFFFFF"/>
            <w:vAlign w:val="center"/>
            <w:hideMark/>
          </w:tcPr>
          <w:p w14:paraId="256BBF9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248.28</w:t>
            </w:r>
          </w:p>
        </w:tc>
        <w:tc>
          <w:tcPr>
            <w:tcW w:w="924" w:type="dxa"/>
            <w:tcBorders>
              <w:top w:val="nil"/>
              <w:left w:val="nil"/>
              <w:bottom w:val="dotted" w:sz="4" w:space="0" w:color="auto"/>
              <w:right w:val="dotted" w:sz="4" w:space="0" w:color="auto"/>
            </w:tcBorders>
            <w:shd w:val="clear" w:color="auto" w:fill="FFFFFF"/>
            <w:vAlign w:val="center"/>
            <w:hideMark/>
          </w:tcPr>
          <w:p w14:paraId="31A292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299.77</w:t>
            </w:r>
          </w:p>
        </w:tc>
        <w:tc>
          <w:tcPr>
            <w:tcW w:w="924" w:type="dxa"/>
            <w:tcBorders>
              <w:top w:val="nil"/>
              <w:left w:val="nil"/>
              <w:bottom w:val="dotted" w:sz="4" w:space="0" w:color="auto"/>
              <w:right w:val="dotted" w:sz="4" w:space="0" w:color="auto"/>
            </w:tcBorders>
            <w:shd w:val="clear" w:color="auto" w:fill="FFFFFF"/>
            <w:vAlign w:val="center"/>
            <w:hideMark/>
          </w:tcPr>
          <w:p w14:paraId="44EC2E7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316.98</w:t>
            </w:r>
          </w:p>
        </w:tc>
        <w:tc>
          <w:tcPr>
            <w:tcW w:w="924" w:type="dxa"/>
            <w:tcBorders>
              <w:top w:val="nil"/>
              <w:left w:val="nil"/>
              <w:bottom w:val="dotted" w:sz="4" w:space="0" w:color="auto"/>
              <w:right w:val="dotted" w:sz="4" w:space="0" w:color="auto"/>
            </w:tcBorders>
            <w:shd w:val="clear" w:color="auto" w:fill="FFFFFF"/>
            <w:vAlign w:val="center"/>
            <w:hideMark/>
          </w:tcPr>
          <w:p w14:paraId="33C09D2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338.26</w:t>
            </w:r>
          </w:p>
        </w:tc>
        <w:tc>
          <w:tcPr>
            <w:tcW w:w="930" w:type="dxa"/>
            <w:tcBorders>
              <w:top w:val="nil"/>
              <w:left w:val="nil"/>
              <w:bottom w:val="dotted" w:sz="4" w:space="0" w:color="auto"/>
              <w:right w:val="double" w:sz="6" w:space="0" w:color="auto"/>
            </w:tcBorders>
            <w:shd w:val="clear" w:color="auto" w:fill="FFFFFF"/>
            <w:vAlign w:val="center"/>
            <w:hideMark/>
          </w:tcPr>
          <w:p w14:paraId="7F597A9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359.95</w:t>
            </w:r>
          </w:p>
        </w:tc>
      </w:tr>
      <w:tr w:rsidR="00FA29AB" w:rsidRPr="00050FA4" w14:paraId="3C5EAEF9"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2E4B21A0"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12a. Taxes on production and imports</w:t>
            </w:r>
          </w:p>
        </w:tc>
        <w:tc>
          <w:tcPr>
            <w:tcW w:w="267" w:type="dxa"/>
            <w:tcBorders>
              <w:top w:val="nil"/>
              <w:left w:val="nil"/>
              <w:bottom w:val="dotted" w:sz="4" w:space="0" w:color="auto"/>
              <w:right w:val="single" w:sz="8" w:space="0" w:color="auto"/>
            </w:tcBorders>
            <w:shd w:val="clear" w:color="auto" w:fill="FFFFFF"/>
            <w:vAlign w:val="center"/>
            <w:hideMark/>
          </w:tcPr>
          <w:p w14:paraId="1355C40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5C4D1BC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D2</w:t>
            </w:r>
          </w:p>
        </w:tc>
        <w:tc>
          <w:tcPr>
            <w:tcW w:w="1154" w:type="dxa"/>
            <w:tcBorders>
              <w:top w:val="nil"/>
              <w:left w:val="nil"/>
              <w:bottom w:val="dotted" w:sz="4" w:space="0" w:color="auto"/>
              <w:right w:val="dotted" w:sz="4" w:space="0" w:color="auto"/>
            </w:tcBorders>
            <w:shd w:val="clear" w:color="auto" w:fill="FFFFFF"/>
            <w:vAlign w:val="center"/>
            <w:hideMark/>
          </w:tcPr>
          <w:p w14:paraId="152F6AB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181.12</w:t>
            </w:r>
          </w:p>
        </w:tc>
        <w:tc>
          <w:tcPr>
            <w:tcW w:w="924" w:type="dxa"/>
            <w:tcBorders>
              <w:top w:val="nil"/>
              <w:left w:val="nil"/>
              <w:bottom w:val="dotted" w:sz="4" w:space="0" w:color="auto"/>
              <w:right w:val="dotted" w:sz="4" w:space="0" w:color="auto"/>
            </w:tcBorders>
            <w:shd w:val="clear" w:color="auto" w:fill="FFFFFF"/>
            <w:vAlign w:val="center"/>
            <w:hideMark/>
          </w:tcPr>
          <w:p w14:paraId="571E155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219.32</w:t>
            </w:r>
          </w:p>
        </w:tc>
        <w:tc>
          <w:tcPr>
            <w:tcW w:w="924" w:type="dxa"/>
            <w:tcBorders>
              <w:top w:val="nil"/>
              <w:left w:val="nil"/>
              <w:bottom w:val="dotted" w:sz="4" w:space="0" w:color="auto"/>
              <w:right w:val="dotted" w:sz="4" w:space="0" w:color="auto"/>
            </w:tcBorders>
            <w:shd w:val="clear" w:color="auto" w:fill="FFFFFF"/>
            <w:vAlign w:val="center"/>
            <w:hideMark/>
          </w:tcPr>
          <w:p w14:paraId="3825BE8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230.05</w:t>
            </w:r>
          </w:p>
        </w:tc>
        <w:tc>
          <w:tcPr>
            <w:tcW w:w="924" w:type="dxa"/>
            <w:tcBorders>
              <w:top w:val="nil"/>
              <w:left w:val="nil"/>
              <w:bottom w:val="dotted" w:sz="4" w:space="0" w:color="auto"/>
              <w:right w:val="dotted" w:sz="4" w:space="0" w:color="auto"/>
            </w:tcBorders>
            <w:shd w:val="clear" w:color="auto" w:fill="FFFFFF"/>
            <w:vAlign w:val="center"/>
            <w:hideMark/>
          </w:tcPr>
          <w:p w14:paraId="1B0A96D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245.46</w:t>
            </w:r>
          </w:p>
        </w:tc>
        <w:tc>
          <w:tcPr>
            <w:tcW w:w="930" w:type="dxa"/>
            <w:tcBorders>
              <w:top w:val="nil"/>
              <w:left w:val="nil"/>
              <w:bottom w:val="dotted" w:sz="4" w:space="0" w:color="auto"/>
              <w:right w:val="double" w:sz="6" w:space="0" w:color="auto"/>
            </w:tcBorders>
            <w:shd w:val="clear" w:color="auto" w:fill="FFFFFF"/>
            <w:vAlign w:val="center"/>
            <w:hideMark/>
          </w:tcPr>
          <w:p w14:paraId="004A45A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261.83</w:t>
            </w:r>
          </w:p>
        </w:tc>
      </w:tr>
      <w:tr w:rsidR="00FA29AB" w:rsidRPr="00050FA4" w14:paraId="5A28E685"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176B4CB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12b. Current taxes on income and wealth</w:t>
            </w:r>
          </w:p>
        </w:tc>
        <w:tc>
          <w:tcPr>
            <w:tcW w:w="267" w:type="dxa"/>
            <w:tcBorders>
              <w:top w:val="nil"/>
              <w:left w:val="nil"/>
              <w:bottom w:val="dotted" w:sz="4" w:space="0" w:color="auto"/>
              <w:right w:val="single" w:sz="8" w:space="0" w:color="auto"/>
            </w:tcBorders>
            <w:shd w:val="clear" w:color="auto" w:fill="FFFFFF"/>
            <w:vAlign w:val="center"/>
            <w:hideMark/>
          </w:tcPr>
          <w:p w14:paraId="0A6BE56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684D364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D5</w:t>
            </w:r>
          </w:p>
        </w:tc>
        <w:tc>
          <w:tcPr>
            <w:tcW w:w="1154" w:type="dxa"/>
            <w:tcBorders>
              <w:top w:val="nil"/>
              <w:left w:val="nil"/>
              <w:bottom w:val="dotted" w:sz="4" w:space="0" w:color="auto"/>
              <w:right w:val="dotted" w:sz="4" w:space="0" w:color="auto"/>
            </w:tcBorders>
            <w:shd w:val="clear" w:color="auto" w:fill="FFFFFF"/>
            <w:vAlign w:val="center"/>
            <w:hideMark/>
          </w:tcPr>
          <w:p w14:paraId="752723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38.78</w:t>
            </w:r>
          </w:p>
        </w:tc>
        <w:tc>
          <w:tcPr>
            <w:tcW w:w="924" w:type="dxa"/>
            <w:tcBorders>
              <w:top w:val="nil"/>
              <w:left w:val="nil"/>
              <w:bottom w:val="dotted" w:sz="4" w:space="0" w:color="auto"/>
              <w:right w:val="dotted" w:sz="4" w:space="0" w:color="auto"/>
            </w:tcBorders>
            <w:shd w:val="clear" w:color="auto" w:fill="FFFFFF"/>
            <w:vAlign w:val="center"/>
            <w:hideMark/>
          </w:tcPr>
          <w:p w14:paraId="797D145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45.38</w:t>
            </w:r>
          </w:p>
        </w:tc>
        <w:tc>
          <w:tcPr>
            <w:tcW w:w="924" w:type="dxa"/>
            <w:tcBorders>
              <w:top w:val="nil"/>
              <w:left w:val="nil"/>
              <w:bottom w:val="dotted" w:sz="4" w:space="0" w:color="auto"/>
              <w:right w:val="dotted" w:sz="4" w:space="0" w:color="auto"/>
            </w:tcBorders>
            <w:shd w:val="clear" w:color="auto" w:fill="FFFFFF"/>
            <w:vAlign w:val="center"/>
            <w:hideMark/>
          </w:tcPr>
          <w:p w14:paraId="4E833BC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51.35</w:t>
            </w:r>
          </w:p>
        </w:tc>
        <w:tc>
          <w:tcPr>
            <w:tcW w:w="924" w:type="dxa"/>
            <w:tcBorders>
              <w:top w:val="nil"/>
              <w:left w:val="nil"/>
              <w:bottom w:val="dotted" w:sz="4" w:space="0" w:color="auto"/>
              <w:right w:val="dotted" w:sz="4" w:space="0" w:color="auto"/>
            </w:tcBorders>
            <w:shd w:val="clear" w:color="auto" w:fill="FFFFFF"/>
            <w:vAlign w:val="center"/>
            <w:hideMark/>
          </w:tcPr>
          <w:p w14:paraId="1B99353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55.03</w:t>
            </w:r>
          </w:p>
        </w:tc>
        <w:tc>
          <w:tcPr>
            <w:tcW w:w="930" w:type="dxa"/>
            <w:tcBorders>
              <w:top w:val="nil"/>
              <w:left w:val="nil"/>
              <w:bottom w:val="dotted" w:sz="4" w:space="0" w:color="auto"/>
              <w:right w:val="double" w:sz="6" w:space="0" w:color="auto"/>
            </w:tcBorders>
            <w:shd w:val="clear" w:color="auto" w:fill="FFFFFF"/>
            <w:vAlign w:val="center"/>
            <w:hideMark/>
          </w:tcPr>
          <w:p w14:paraId="5F9B0C0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58.11</w:t>
            </w:r>
          </w:p>
        </w:tc>
      </w:tr>
      <w:tr w:rsidR="00FA29AB" w:rsidRPr="00050FA4" w14:paraId="69D76FFA"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6E2059D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12c. Capital taxes</w:t>
            </w:r>
          </w:p>
        </w:tc>
        <w:tc>
          <w:tcPr>
            <w:tcW w:w="267" w:type="dxa"/>
            <w:tcBorders>
              <w:top w:val="nil"/>
              <w:left w:val="nil"/>
              <w:bottom w:val="dotted" w:sz="4" w:space="0" w:color="auto"/>
              <w:right w:val="single" w:sz="8" w:space="0" w:color="auto"/>
            </w:tcBorders>
            <w:shd w:val="clear" w:color="auto" w:fill="FFFFFF"/>
            <w:vAlign w:val="center"/>
            <w:hideMark/>
          </w:tcPr>
          <w:p w14:paraId="6A22E7D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5825FEF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D91</w:t>
            </w:r>
          </w:p>
        </w:tc>
        <w:tc>
          <w:tcPr>
            <w:tcW w:w="1154" w:type="dxa"/>
            <w:tcBorders>
              <w:top w:val="nil"/>
              <w:left w:val="nil"/>
              <w:bottom w:val="dotted" w:sz="4" w:space="0" w:color="auto"/>
              <w:right w:val="dotted" w:sz="4" w:space="0" w:color="auto"/>
            </w:tcBorders>
            <w:shd w:val="clear" w:color="auto" w:fill="FFFFFF"/>
            <w:vAlign w:val="center"/>
            <w:hideMark/>
          </w:tcPr>
          <w:p w14:paraId="44B4643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28.38</w:t>
            </w:r>
          </w:p>
        </w:tc>
        <w:tc>
          <w:tcPr>
            <w:tcW w:w="924" w:type="dxa"/>
            <w:tcBorders>
              <w:top w:val="nil"/>
              <w:left w:val="nil"/>
              <w:bottom w:val="dotted" w:sz="4" w:space="0" w:color="auto"/>
              <w:right w:val="dotted" w:sz="4" w:space="0" w:color="auto"/>
            </w:tcBorders>
            <w:shd w:val="clear" w:color="auto" w:fill="FFFFFF"/>
            <w:vAlign w:val="center"/>
            <w:hideMark/>
          </w:tcPr>
          <w:p w14:paraId="5774605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35.08</w:t>
            </w:r>
          </w:p>
        </w:tc>
        <w:tc>
          <w:tcPr>
            <w:tcW w:w="924" w:type="dxa"/>
            <w:tcBorders>
              <w:top w:val="nil"/>
              <w:left w:val="nil"/>
              <w:bottom w:val="dotted" w:sz="4" w:space="0" w:color="auto"/>
              <w:right w:val="dotted" w:sz="4" w:space="0" w:color="auto"/>
            </w:tcBorders>
            <w:shd w:val="clear" w:color="auto" w:fill="FFFFFF"/>
            <w:vAlign w:val="center"/>
            <w:hideMark/>
          </w:tcPr>
          <w:p w14:paraId="26A036A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35.59</w:t>
            </w:r>
          </w:p>
        </w:tc>
        <w:tc>
          <w:tcPr>
            <w:tcW w:w="924" w:type="dxa"/>
            <w:tcBorders>
              <w:top w:val="nil"/>
              <w:left w:val="nil"/>
              <w:bottom w:val="dotted" w:sz="4" w:space="0" w:color="auto"/>
              <w:right w:val="dotted" w:sz="4" w:space="0" w:color="auto"/>
            </w:tcBorders>
            <w:shd w:val="clear" w:color="auto" w:fill="FFFFFF"/>
            <w:vAlign w:val="center"/>
            <w:hideMark/>
          </w:tcPr>
          <w:p w14:paraId="6B5D911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37.78</w:t>
            </w:r>
          </w:p>
        </w:tc>
        <w:tc>
          <w:tcPr>
            <w:tcW w:w="930" w:type="dxa"/>
            <w:tcBorders>
              <w:top w:val="nil"/>
              <w:left w:val="nil"/>
              <w:bottom w:val="dotted" w:sz="4" w:space="0" w:color="auto"/>
              <w:right w:val="double" w:sz="6" w:space="0" w:color="auto"/>
            </w:tcBorders>
            <w:shd w:val="clear" w:color="auto" w:fill="FFFFFF"/>
            <w:vAlign w:val="center"/>
            <w:hideMark/>
          </w:tcPr>
          <w:p w14:paraId="7F93F2D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40.01</w:t>
            </w:r>
          </w:p>
        </w:tc>
      </w:tr>
      <w:tr w:rsidR="00FA29AB" w:rsidRPr="00050FA4" w14:paraId="728158B9"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08EFB63F"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13. Social contributions</w:t>
            </w:r>
          </w:p>
        </w:tc>
        <w:tc>
          <w:tcPr>
            <w:tcW w:w="267" w:type="dxa"/>
            <w:tcBorders>
              <w:top w:val="nil"/>
              <w:left w:val="nil"/>
              <w:bottom w:val="dotted" w:sz="4" w:space="0" w:color="auto"/>
              <w:right w:val="single" w:sz="8" w:space="0" w:color="auto"/>
            </w:tcBorders>
            <w:shd w:val="clear" w:color="auto" w:fill="FFFFFF"/>
            <w:vAlign w:val="center"/>
            <w:hideMark/>
          </w:tcPr>
          <w:p w14:paraId="6F2F3BF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021D667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D61</w:t>
            </w:r>
          </w:p>
        </w:tc>
        <w:tc>
          <w:tcPr>
            <w:tcW w:w="1154" w:type="dxa"/>
            <w:tcBorders>
              <w:top w:val="nil"/>
              <w:left w:val="nil"/>
              <w:bottom w:val="dotted" w:sz="4" w:space="0" w:color="auto"/>
              <w:right w:val="dotted" w:sz="4" w:space="0" w:color="auto"/>
            </w:tcBorders>
            <w:shd w:val="clear" w:color="auto" w:fill="FFFFFF"/>
            <w:vAlign w:val="center"/>
            <w:hideMark/>
          </w:tcPr>
          <w:p w14:paraId="3CF0284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96.54</w:t>
            </w:r>
          </w:p>
        </w:tc>
        <w:tc>
          <w:tcPr>
            <w:tcW w:w="924" w:type="dxa"/>
            <w:tcBorders>
              <w:top w:val="nil"/>
              <w:left w:val="nil"/>
              <w:bottom w:val="dotted" w:sz="4" w:space="0" w:color="auto"/>
              <w:right w:val="dotted" w:sz="4" w:space="0" w:color="auto"/>
            </w:tcBorders>
            <w:shd w:val="clear" w:color="auto" w:fill="FFFFFF"/>
            <w:vAlign w:val="center"/>
            <w:hideMark/>
          </w:tcPr>
          <w:p w14:paraId="64456E0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107.74</w:t>
            </w:r>
          </w:p>
        </w:tc>
        <w:tc>
          <w:tcPr>
            <w:tcW w:w="924" w:type="dxa"/>
            <w:tcBorders>
              <w:top w:val="nil"/>
              <w:left w:val="nil"/>
              <w:bottom w:val="dotted" w:sz="4" w:space="0" w:color="auto"/>
              <w:right w:val="dotted" w:sz="4" w:space="0" w:color="auto"/>
            </w:tcBorders>
            <w:shd w:val="clear" w:color="auto" w:fill="FFFFFF"/>
            <w:vAlign w:val="center"/>
            <w:hideMark/>
          </w:tcPr>
          <w:p w14:paraId="569BE62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111.00</w:t>
            </w:r>
          </w:p>
        </w:tc>
        <w:tc>
          <w:tcPr>
            <w:tcW w:w="924" w:type="dxa"/>
            <w:tcBorders>
              <w:top w:val="nil"/>
              <w:left w:val="nil"/>
              <w:bottom w:val="dotted" w:sz="4" w:space="0" w:color="auto"/>
              <w:right w:val="dotted" w:sz="4" w:space="0" w:color="auto"/>
            </w:tcBorders>
            <w:shd w:val="clear" w:color="auto" w:fill="FFFFFF"/>
            <w:vAlign w:val="center"/>
            <w:hideMark/>
          </w:tcPr>
          <w:p w14:paraId="35D9428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118.00</w:t>
            </w:r>
          </w:p>
        </w:tc>
        <w:tc>
          <w:tcPr>
            <w:tcW w:w="930" w:type="dxa"/>
            <w:tcBorders>
              <w:top w:val="nil"/>
              <w:left w:val="nil"/>
              <w:bottom w:val="dotted" w:sz="4" w:space="0" w:color="auto"/>
              <w:right w:val="double" w:sz="6" w:space="0" w:color="auto"/>
            </w:tcBorders>
            <w:shd w:val="clear" w:color="auto" w:fill="FFFFFF"/>
            <w:vAlign w:val="center"/>
            <w:hideMark/>
          </w:tcPr>
          <w:p w14:paraId="6ADB1A0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125.00</w:t>
            </w:r>
          </w:p>
        </w:tc>
      </w:tr>
      <w:tr w:rsidR="00FA29AB" w:rsidRPr="00050FA4" w14:paraId="59DEF926"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6735B29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14. Property income</w:t>
            </w:r>
          </w:p>
        </w:tc>
        <w:tc>
          <w:tcPr>
            <w:tcW w:w="267" w:type="dxa"/>
            <w:tcBorders>
              <w:top w:val="nil"/>
              <w:left w:val="nil"/>
              <w:bottom w:val="dotted" w:sz="4" w:space="0" w:color="auto"/>
              <w:right w:val="single" w:sz="8" w:space="0" w:color="auto"/>
            </w:tcBorders>
            <w:shd w:val="clear" w:color="auto" w:fill="FFFFFF"/>
            <w:vAlign w:val="center"/>
            <w:hideMark/>
          </w:tcPr>
          <w:p w14:paraId="1211D8D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51B7DB7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D4</w:t>
            </w:r>
          </w:p>
        </w:tc>
        <w:tc>
          <w:tcPr>
            <w:tcW w:w="1154" w:type="dxa"/>
            <w:tcBorders>
              <w:top w:val="nil"/>
              <w:left w:val="nil"/>
              <w:bottom w:val="dotted" w:sz="4" w:space="0" w:color="auto"/>
              <w:right w:val="dotted" w:sz="4" w:space="0" w:color="auto"/>
            </w:tcBorders>
            <w:shd w:val="clear" w:color="auto" w:fill="FFFFFF"/>
            <w:vAlign w:val="center"/>
            <w:hideMark/>
          </w:tcPr>
          <w:p w14:paraId="156A27C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0.26</w:t>
            </w:r>
          </w:p>
        </w:tc>
        <w:tc>
          <w:tcPr>
            <w:tcW w:w="924" w:type="dxa"/>
            <w:tcBorders>
              <w:top w:val="nil"/>
              <w:left w:val="nil"/>
              <w:bottom w:val="dotted" w:sz="4" w:space="0" w:color="auto"/>
              <w:right w:val="dotted" w:sz="4" w:space="0" w:color="auto"/>
            </w:tcBorders>
            <w:shd w:val="clear" w:color="auto" w:fill="FFFFFF"/>
            <w:vAlign w:val="center"/>
            <w:hideMark/>
          </w:tcPr>
          <w:p w14:paraId="24852A8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0.10</w:t>
            </w:r>
          </w:p>
        </w:tc>
        <w:tc>
          <w:tcPr>
            <w:tcW w:w="924" w:type="dxa"/>
            <w:tcBorders>
              <w:top w:val="nil"/>
              <w:left w:val="nil"/>
              <w:bottom w:val="dotted" w:sz="4" w:space="0" w:color="auto"/>
              <w:right w:val="dotted" w:sz="4" w:space="0" w:color="auto"/>
            </w:tcBorders>
            <w:shd w:val="clear" w:color="auto" w:fill="FFFFFF"/>
            <w:vAlign w:val="center"/>
            <w:hideMark/>
          </w:tcPr>
          <w:p w14:paraId="23BD551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0.30</w:t>
            </w:r>
          </w:p>
        </w:tc>
        <w:tc>
          <w:tcPr>
            <w:tcW w:w="924" w:type="dxa"/>
            <w:tcBorders>
              <w:top w:val="nil"/>
              <w:left w:val="nil"/>
              <w:bottom w:val="dotted" w:sz="4" w:space="0" w:color="auto"/>
              <w:right w:val="dotted" w:sz="4" w:space="0" w:color="auto"/>
            </w:tcBorders>
            <w:shd w:val="clear" w:color="auto" w:fill="FFFFFF"/>
            <w:vAlign w:val="center"/>
            <w:hideMark/>
          </w:tcPr>
          <w:p w14:paraId="3175F0E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0.30</w:t>
            </w:r>
          </w:p>
        </w:tc>
        <w:tc>
          <w:tcPr>
            <w:tcW w:w="930" w:type="dxa"/>
            <w:tcBorders>
              <w:top w:val="nil"/>
              <w:left w:val="nil"/>
              <w:bottom w:val="dotted" w:sz="4" w:space="0" w:color="auto"/>
              <w:right w:val="double" w:sz="6" w:space="0" w:color="auto"/>
            </w:tcBorders>
            <w:shd w:val="clear" w:color="auto" w:fill="FFFFFF"/>
            <w:vAlign w:val="center"/>
            <w:hideMark/>
          </w:tcPr>
          <w:p w14:paraId="14A6B0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0.30</w:t>
            </w:r>
          </w:p>
        </w:tc>
      </w:tr>
      <w:tr w:rsidR="00FA29AB" w:rsidRPr="00050FA4" w14:paraId="38ADD0F5"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5A08FA5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15. Other (15 = 16-(12+13+14)) [4]</w:t>
            </w:r>
          </w:p>
        </w:tc>
        <w:tc>
          <w:tcPr>
            <w:tcW w:w="267" w:type="dxa"/>
            <w:tcBorders>
              <w:top w:val="nil"/>
              <w:left w:val="nil"/>
              <w:bottom w:val="dotted" w:sz="4" w:space="0" w:color="auto"/>
              <w:right w:val="single" w:sz="8" w:space="0" w:color="auto"/>
            </w:tcBorders>
            <w:shd w:val="clear" w:color="auto" w:fill="FFFFFF"/>
            <w:vAlign w:val="center"/>
            <w:hideMark/>
          </w:tcPr>
          <w:p w14:paraId="2579167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3160209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54" w:type="dxa"/>
            <w:tcBorders>
              <w:top w:val="nil"/>
              <w:left w:val="nil"/>
              <w:bottom w:val="dotted" w:sz="4" w:space="0" w:color="auto"/>
              <w:right w:val="dotted" w:sz="4" w:space="0" w:color="auto"/>
            </w:tcBorders>
            <w:shd w:val="clear" w:color="auto" w:fill="FFFFFF"/>
            <w:vAlign w:val="center"/>
            <w:hideMark/>
          </w:tcPr>
          <w:p w14:paraId="4FCFD5C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80.82</w:t>
            </w:r>
          </w:p>
        </w:tc>
        <w:tc>
          <w:tcPr>
            <w:tcW w:w="924" w:type="dxa"/>
            <w:tcBorders>
              <w:top w:val="nil"/>
              <w:left w:val="nil"/>
              <w:bottom w:val="dotted" w:sz="4" w:space="0" w:color="auto"/>
              <w:right w:val="dotted" w:sz="4" w:space="0" w:color="auto"/>
            </w:tcBorders>
            <w:shd w:val="clear" w:color="auto" w:fill="FFFFFF"/>
            <w:vAlign w:val="center"/>
            <w:hideMark/>
          </w:tcPr>
          <w:p w14:paraId="73498D6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99.27</w:t>
            </w:r>
          </w:p>
        </w:tc>
        <w:tc>
          <w:tcPr>
            <w:tcW w:w="924" w:type="dxa"/>
            <w:tcBorders>
              <w:top w:val="nil"/>
              <w:left w:val="nil"/>
              <w:bottom w:val="dotted" w:sz="4" w:space="0" w:color="auto"/>
              <w:right w:val="dotted" w:sz="4" w:space="0" w:color="auto"/>
            </w:tcBorders>
            <w:shd w:val="clear" w:color="auto" w:fill="FFFFFF"/>
            <w:vAlign w:val="center"/>
            <w:hideMark/>
          </w:tcPr>
          <w:p w14:paraId="67C2C59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108.53</w:t>
            </w:r>
          </w:p>
        </w:tc>
        <w:tc>
          <w:tcPr>
            <w:tcW w:w="924" w:type="dxa"/>
            <w:tcBorders>
              <w:top w:val="nil"/>
              <w:left w:val="nil"/>
              <w:bottom w:val="dotted" w:sz="4" w:space="0" w:color="auto"/>
              <w:right w:val="dotted" w:sz="4" w:space="0" w:color="auto"/>
            </w:tcBorders>
            <w:shd w:val="clear" w:color="auto" w:fill="FFFFFF"/>
            <w:vAlign w:val="center"/>
            <w:hideMark/>
          </w:tcPr>
          <w:p w14:paraId="36241B8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113.18</w:t>
            </w:r>
          </w:p>
        </w:tc>
        <w:tc>
          <w:tcPr>
            <w:tcW w:w="930" w:type="dxa"/>
            <w:tcBorders>
              <w:top w:val="nil"/>
              <w:left w:val="nil"/>
              <w:bottom w:val="dotted" w:sz="4" w:space="0" w:color="auto"/>
              <w:right w:val="double" w:sz="6" w:space="0" w:color="auto"/>
            </w:tcBorders>
            <w:shd w:val="clear" w:color="auto" w:fill="FFFFFF"/>
            <w:vAlign w:val="center"/>
            <w:hideMark/>
          </w:tcPr>
          <w:p w14:paraId="2241282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116.54</w:t>
            </w:r>
          </w:p>
        </w:tc>
      </w:tr>
      <w:tr w:rsidR="00FA29AB" w:rsidRPr="00050FA4" w14:paraId="5891A527"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7F3625B6"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16 = 6. Total revenue </w:t>
            </w:r>
          </w:p>
        </w:tc>
        <w:tc>
          <w:tcPr>
            <w:tcW w:w="267" w:type="dxa"/>
            <w:tcBorders>
              <w:top w:val="nil"/>
              <w:left w:val="nil"/>
              <w:bottom w:val="nil"/>
              <w:right w:val="single" w:sz="8" w:space="0" w:color="auto"/>
            </w:tcBorders>
            <w:shd w:val="clear" w:color="auto" w:fill="FFFFFF"/>
            <w:vAlign w:val="center"/>
            <w:hideMark/>
          </w:tcPr>
          <w:p w14:paraId="5B51A7B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669CB16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TR</w:t>
            </w:r>
          </w:p>
        </w:tc>
        <w:tc>
          <w:tcPr>
            <w:tcW w:w="1154" w:type="dxa"/>
            <w:tcBorders>
              <w:top w:val="nil"/>
              <w:left w:val="nil"/>
              <w:bottom w:val="dotted" w:sz="4" w:space="0" w:color="auto"/>
              <w:right w:val="dotted" w:sz="4" w:space="0" w:color="auto"/>
            </w:tcBorders>
            <w:shd w:val="clear" w:color="auto" w:fill="FFFFFF"/>
            <w:vAlign w:val="center"/>
            <w:hideMark/>
          </w:tcPr>
          <w:p w14:paraId="244FDCD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425.90</w:t>
            </w:r>
          </w:p>
        </w:tc>
        <w:tc>
          <w:tcPr>
            <w:tcW w:w="924" w:type="dxa"/>
            <w:tcBorders>
              <w:top w:val="nil"/>
              <w:left w:val="nil"/>
              <w:bottom w:val="dotted" w:sz="4" w:space="0" w:color="auto"/>
              <w:right w:val="dotted" w:sz="4" w:space="0" w:color="auto"/>
            </w:tcBorders>
            <w:shd w:val="clear" w:color="auto" w:fill="FFFFFF"/>
            <w:vAlign w:val="center"/>
            <w:hideMark/>
          </w:tcPr>
          <w:p w14:paraId="26D91FE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506.89</w:t>
            </w:r>
          </w:p>
        </w:tc>
        <w:tc>
          <w:tcPr>
            <w:tcW w:w="924" w:type="dxa"/>
            <w:tcBorders>
              <w:top w:val="nil"/>
              <w:left w:val="nil"/>
              <w:bottom w:val="dotted" w:sz="4" w:space="0" w:color="auto"/>
              <w:right w:val="dotted" w:sz="4" w:space="0" w:color="auto"/>
            </w:tcBorders>
            <w:shd w:val="clear" w:color="auto" w:fill="FFFFFF"/>
            <w:vAlign w:val="center"/>
            <w:hideMark/>
          </w:tcPr>
          <w:p w14:paraId="72AA4A1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536.81</w:t>
            </w:r>
          </w:p>
        </w:tc>
        <w:tc>
          <w:tcPr>
            <w:tcW w:w="924" w:type="dxa"/>
            <w:tcBorders>
              <w:top w:val="nil"/>
              <w:left w:val="nil"/>
              <w:bottom w:val="dotted" w:sz="4" w:space="0" w:color="auto"/>
              <w:right w:val="dotted" w:sz="4" w:space="0" w:color="auto"/>
            </w:tcBorders>
            <w:shd w:val="clear" w:color="auto" w:fill="FFFFFF"/>
            <w:vAlign w:val="center"/>
            <w:hideMark/>
          </w:tcPr>
          <w:p w14:paraId="09E95EC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569.74</w:t>
            </w:r>
          </w:p>
        </w:tc>
        <w:tc>
          <w:tcPr>
            <w:tcW w:w="930" w:type="dxa"/>
            <w:tcBorders>
              <w:top w:val="nil"/>
              <w:left w:val="nil"/>
              <w:bottom w:val="dotted" w:sz="4" w:space="0" w:color="auto"/>
              <w:right w:val="double" w:sz="6" w:space="0" w:color="auto"/>
            </w:tcBorders>
            <w:shd w:val="clear" w:color="auto" w:fill="FFFFFF"/>
            <w:vAlign w:val="center"/>
            <w:hideMark/>
          </w:tcPr>
          <w:p w14:paraId="58E4B21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601.79</w:t>
            </w:r>
          </w:p>
        </w:tc>
      </w:tr>
      <w:tr w:rsidR="00FA29AB" w:rsidRPr="00050FA4" w14:paraId="6C8B250B" w14:textId="77777777" w:rsidTr="00617B60">
        <w:trPr>
          <w:trHeight w:val="300"/>
          <w:jc w:val="center"/>
        </w:trPr>
        <w:tc>
          <w:tcPr>
            <w:tcW w:w="3978" w:type="dxa"/>
            <w:tcBorders>
              <w:top w:val="nil"/>
              <w:left w:val="double" w:sz="6" w:space="0" w:color="auto"/>
              <w:bottom w:val="single" w:sz="8" w:space="0" w:color="auto"/>
              <w:right w:val="nil"/>
            </w:tcBorders>
            <w:noWrap/>
            <w:vAlign w:val="bottom"/>
            <w:hideMark/>
          </w:tcPr>
          <w:p w14:paraId="66799FDC"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p.m.: Tax burden (D2+D5+D61+D91-D995) [5]</w:t>
            </w:r>
          </w:p>
        </w:tc>
        <w:tc>
          <w:tcPr>
            <w:tcW w:w="267" w:type="dxa"/>
            <w:tcBorders>
              <w:top w:val="dotted" w:sz="4" w:space="0" w:color="auto"/>
              <w:left w:val="nil"/>
              <w:bottom w:val="single" w:sz="8" w:space="0" w:color="auto"/>
              <w:right w:val="single" w:sz="8" w:space="0" w:color="auto"/>
            </w:tcBorders>
            <w:shd w:val="clear" w:color="auto" w:fill="FFFFFF"/>
            <w:vAlign w:val="center"/>
            <w:hideMark/>
          </w:tcPr>
          <w:p w14:paraId="62F69AD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single" w:sz="8" w:space="0" w:color="000000"/>
              <w:right w:val="single" w:sz="8" w:space="0" w:color="auto"/>
            </w:tcBorders>
            <w:shd w:val="clear" w:color="auto" w:fill="FFFFFF"/>
            <w:vAlign w:val="center"/>
            <w:hideMark/>
          </w:tcPr>
          <w:p w14:paraId="299EA40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54" w:type="dxa"/>
            <w:tcBorders>
              <w:top w:val="nil"/>
              <w:left w:val="nil"/>
              <w:bottom w:val="single" w:sz="8" w:space="0" w:color="000000"/>
              <w:right w:val="dotted" w:sz="4" w:space="0" w:color="auto"/>
            </w:tcBorders>
            <w:shd w:val="clear" w:color="auto" w:fill="FFFFFF"/>
            <w:vAlign w:val="center"/>
            <w:hideMark/>
          </w:tcPr>
          <w:p w14:paraId="4607D21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344.82</w:t>
            </w:r>
          </w:p>
        </w:tc>
        <w:tc>
          <w:tcPr>
            <w:tcW w:w="924" w:type="dxa"/>
            <w:tcBorders>
              <w:top w:val="nil"/>
              <w:left w:val="nil"/>
              <w:bottom w:val="single" w:sz="8" w:space="0" w:color="000000"/>
              <w:right w:val="dotted" w:sz="4" w:space="0" w:color="auto"/>
            </w:tcBorders>
            <w:shd w:val="clear" w:color="auto" w:fill="FFFFFF"/>
            <w:vAlign w:val="center"/>
            <w:hideMark/>
          </w:tcPr>
          <w:p w14:paraId="3514DBD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407.52</w:t>
            </w:r>
          </w:p>
        </w:tc>
        <w:tc>
          <w:tcPr>
            <w:tcW w:w="924" w:type="dxa"/>
            <w:tcBorders>
              <w:top w:val="nil"/>
              <w:left w:val="nil"/>
              <w:bottom w:val="single" w:sz="8" w:space="0" w:color="000000"/>
              <w:right w:val="dotted" w:sz="4" w:space="0" w:color="auto"/>
            </w:tcBorders>
            <w:shd w:val="clear" w:color="auto" w:fill="FFFFFF"/>
            <w:vAlign w:val="center"/>
            <w:hideMark/>
          </w:tcPr>
          <w:p w14:paraId="7C425BC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427.98</w:t>
            </w:r>
          </w:p>
        </w:tc>
        <w:tc>
          <w:tcPr>
            <w:tcW w:w="924" w:type="dxa"/>
            <w:tcBorders>
              <w:top w:val="nil"/>
              <w:left w:val="nil"/>
              <w:bottom w:val="single" w:sz="8" w:space="0" w:color="000000"/>
              <w:right w:val="dotted" w:sz="4" w:space="0" w:color="auto"/>
            </w:tcBorders>
            <w:shd w:val="clear" w:color="auto" w:fill="FFFFFF"/>
            <w:vAlign w:val="center"/>
            <w:hideMark/>
          </w:tcPr>
          <w:p w14:paraId="18C80CF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456.26</w:t>
            </w:r>
          </w:p>
        </w:tc>
        <w:tc>
          <w:tcPr>
            <w:tcW w:w="930" w:type="dxa"/>
            <w:tcBorders>
              <w:top w:val="nil"/>
              <w:left w:val="nil"/>
              <w:bottom w:val="single" w:sz="8" w:space="0" w:color="auto"/>
              <w:right w:val="double" w:sz="6" w:space="0" w:color="auto"/>
            </w:tcBorders>
            <w:shd w:val="clear" w:color="auto" w:fill="FFFFFF"/>
            <w:vAlign w:val="center"/>
            <w:hideMark/>
          </w:tcPr>
          <w:p w14:paraId="4DA5CBE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484.95</w:t>
            </w:r>
          </w:p>
        </w:tc>
      </w:tr>
      <w:tr w:rsidR="00FA29AB" w:rsidRPr="00050FA4" w14:paraId="2651C2AE" w14:textId="77777777" w:rsidTr="00617B60">
        <w:trPr>
          <w:trHeight w:val="300"/>
          <w:jc w:val="center"/>
        </w:trPr>
        <w:tc>
          <w:tcPr>
            <w:tcW w:w="10272" w:type="dxa"/>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3118FA94" w14:textId="77777777" w:rsidR="00094A26" w:rsidRPr="00050FA4" w:rsidRDefault="00094A26" w:rsidP="00A95D23">
            <w:pPr>
              <w:jc w:val="center"/>
              <w:rPr>
                <w:rFonts w:ascii="Garamond" w:eastAsia="Times New Roman" w:hAnsi="Garamond"/>
                <w:b/>
                <w:bCs/>
                <w:color w:val="0D0D0D" w:themeColor="text1" w:themeTint="F2"/>
                <w:sz w:val="18"/>
                <w:szCs w:val="18"/>
              </w:rPr>
            </w:pPr>
            <w:r w:rsidRPr="00050FA4">
              <w:rPr>
                <w:rFonts w:ascii="Garamond" w:eastAsia="Times New Roman" w:hAnsi="Garamond"/>
                <w:b/>
                <w:bCs/>
                <w:color w:val="0D0D0D" w:themeColor="text1" w:themeTint="F2"/>
                <w:sz w:val="18"/>
                <w:szCs w:val="18"/>
              </w:rPr>
              <w:t>Selected components of expenditures</w:t>
            </w:r>
          </w:p>
        </w:tc>
      </w:tr>
      <w:tr w:rsidR="00FA29AB" w:rsidRPr="00050FA4" w14:paraId="48DD5A1A"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29A6488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16. Collective consumption</w:t>
            </w:r>
          </w:p>
        </w:tc>
        <w:tc>
          <w:tcPr>
            <w:tcW w:w="267" w:type="dxa"/>
            <w:tcBorders>
              <w:top w:val="nil"/>
              <w:left w:val="nil"/>
              <w:bottom w:val="dotted" w:sz="4" w:space="0" w:color="auto"/>
              <w:right w:val="single" w:sz="8" w:space="0" w:color="auto"/>
            </w:tcBorders>
            <w:shd w:val="clear" w:color="auto" w:fill="FFFFFF"/>
            <w:vAlign w:val="center"/>
            <w:hideMark/>
          </w:tcPr>
          <w:p w14:paraId="6B3A440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3550B59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P32</w:t>
            </w:r>
          </w:p>
        </w:tc>
        <w:tc>
          <w:tcPr>
            <w:tcW w:w="1154" w:type="dxa"/>
            <w:tcBorders>
              <w:top w:val="nil"/>
              <w:left w:val="nil"/>
              <w:bottom w:val="dotted" w:sz="4" w:space="0" w:color="auto"/>
              <w:right w:val="dotted" w:sz="4" w:space="0" w:color="auto"/>
            </w:tcBorders>
            <w:shd w:val="clear" w:color="auto" w:fill="FFFFFF"/>
            <w:vAlign w:val="center"/>
            <w:hideMark/>
          </w:tcPr>
          <w:p w14:paraId="7452E47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175.61</w:t>
            </w:r>
          </w:p>
        </w:tc>
        <w:tc>
          <w:tcPr>
            <w:tcW w:w="924" w:type="dxa"/>
            <w:tcBorders>
              <w:top w:val="nil"/>
              <w:left w:val="nil"/>
              <w:bottom w:val="dotted" w:sz="4" w:space="0" w:color="auto"/>
              <w:right w:val="dotted" w:sz="4" w:space="0" w:color="auto"/>
            </w:tcBorders>
            <w:shd w:val="clear" w:color="auto" w:fill="FFFFFF"/>
            <w:vAlign w:val="center"/>
            <w:hideMark/>
          </w:tcPr>
          <w:p w14:paraId="2B1403D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167.57</w:t>
            </w:r>
          </w:p>
        </w:tc>
        <w:tc>
          <w:tcPr>
            <w:tcW w:w="924" w:type="dxa"/>
            <w:tcBorders>
              <w:top w:val="nil"/>
              <w:left w:val="nil"/>
              <w:bottom w:val="dotted" w:sz="4" w:space="0" w:color="auto"/>
              <w:right w:val="dotted" w:sz="4" w:space="0" w:color="auto"/>
            </w:tcBorders>
            <w:shd w:val="clear" w:color="auto" w:fill="FFFFFF"/>
            <w:vAlign w:val="center"/>
            <w:hideMark/>
          </w:tcPr>
          <w:p w14:paraId="39E55D0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178.33</w:t>
            </w:r>
          </w:p>
        </w:tc>
        <w:tc>
          <w:tcPr>
            <w:tcW w:w="924" w:type="dxa"/>
            <w:tcBorders>
              <w:top w:val="nil"/>
              <w:left w:val="nil"/>
              <w:bottom w:val="dotted" w:sz="4" w:space="0" w:color="auto"/>
              <w:right w:val="dotted" w:sz="4" w:space="0" w:color="auto"/>
            </w:tcBorders>
            <w:shd w:val="clear" w:color="auto" w:fill="FFFFFF"/>
            <w:vAlign w:val="center"/>
            <w:hideMark/>
          </w:tcPr>
          <w:p w14:paraId="2F2F89C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179.47</w:t>
            </w:r>
          </w:p>
        </w:tc>
        <w:tc>
          <w:tcPr>
            <w:tcW w:w="930" w:type="dxa"/>
            <w:tcBorders>
              <w:top w:val="nil"/>
              <w:left w:val="nil"/>
              <w:bottom w:val="dotted" w:sz="4" w:space="0" w:color="auto"/>
              <w:right w:val="double" w:sz="6" w:space="0" w:color="auto"/>
            </w:tcBorders>
            <w:shd w:val="clear" w:color="auto" w:fill="FFFFFF"/>
            <w:vAlign w:val="center"/>
            <w:hideMark/>
          </w:tcPr>
          <w:p w14:paraId="4DC63B4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184.13</w:t>
            </w:r>
          </w:p>
        </w:tc>
      </w:tr>
      <w:tr w:rsidR="00FA29AB" w:rsidRPr="00050FA4" w14:paraId="408382A9"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6ED67793"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 Total social transfers</w:t>
            </w:r>
          </w:p>
        </w:tc>
        <w:tc>
          <w:tcPr>
            <w:tcW w:w="267" w:type="dxa"/>
            <w:tcBorders>
              <w:top w:val="nil"/>
              <w:left w:val="nil"/>
              <w:bottom w:val="dotted" w:sz="4" w:space="0" w:color="auto"/>
              <w:right w:val="single" w:sz="8" w:space="0" w:color="auto"/>
            </w:tcBorders>
            <w:shd w:val="clear" w:color="auto" w:fill="FFFFFF"/>
            <w:vAlign w:val="center"/>
            <w:hideMark/>
          </w:tcPr>
          <w:p w14:paraId="34B6445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4F68232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D62 + D63</w:t>
            </w:r>
          </w:p>
        </w:tc>
        <w:tc>
          <w:tcPr>
            <w:tcW w:w="1154" w:type="dxa"/>
            <w:tcBorders>
              <w:top w:val="nil"/>
              <w:left w:val="nil"/>
              <w:bottom w:val="dotted" w:sz="4" w:space="0" w:color="auto"/>
              <w:right w:val="dotted" w:sz="4" w:space="0" w:color="auto"/>
            </w:tcBorders>
            <w:shd w:val="clear" w:color="auto" w:fill="FFFFFF"/>
            <w:vAlign w:val="center"/>
            <w:hideMark/>
          </w:tcPr>
          <w:p w14:paraId="69198AC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208.07</w:t>
            </w:r>
          </w:p>
        </w:tc>
        <w:tc>
          <w:tcPr>
            <w:tcW w:w="924" w:type="dxa"/>
            <w:tcBorders>
              <w:top w:val="nil"/>
              <w:left w:val="nil"/>
              <w:bottom w:val="dotted" w:sz="4" w:space="0" w:color="auto"/>
              <w:right w:val="dotted" w:sz="4" w:space="0" w:color="auto"/>
            </w:tcBorders>
            <w:shd w:val="clear" w:color="auto" w:fill="FFFFFF"/>
            <w:vAlign w:val="center"/>
            <w:hideMark/>
          </w:tcPr>
          <w:p w14:paraId="13EEA91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225.00</w:t>
            </w:r>
          </w:p>
        </w:tc>
        <w:tc>
          <w:tcPr>
            <w:tcW w:w="924" w:type="dxa"/>
            <w:tcBorders>
              <w:top w:val="nil"/>
              <w:left w:val="nil"/>
              <w:bottom w:val="dotted" w:sz="4" w:space="0" w:color="auto"/>
              <w:right w:val="dotted" w:sz="4" w:space="0" w:color="auto"/>
            </w:tcBorders>
            <w:shd w:val="clear" w:color="auto" w:fill="FFFFFF"/>
            <w:vAlign w:val="center"/>
            <w:hideMark/>
          </w:tcPr>
          <w:p w14:paraId="45D906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240.42</w:t>
            </w:r>
          </w:p>
        </w:tc>
        <w:tc>
          <w:tcPr>
            <w:tcW w:w="924" w:type="dxa"/>
            <w:tcBorders>
              <w:top w:val="nil"/>
              <w:left w:val="nil"/>
              <w:bottom w:val="dotted" w:sz="4" w:space="0" w:color="auto"/>
              <w:right w:val="dotted" w:sz="4" w:space="0" w:color="auto"/>
            </w:tcBorders>
            <w:shd w:val="clear" w:color="auto" w:fill="FFFFFF"/>
            <w:vAlign w:val="center"/>
            <w:hideMark/>
          </w:tcPr>
          <w:p w14:paraId="31CD241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248.50</w:t>
            </w:r>
          </w:p>
        </w:tc>
        <w:tc>
          <w:tcPr>
            <w:tcW w:w="930" w:type="dxa"/>
            <w:tcBorders>
              <w:top w:val="nil"/>
              <w:left w:val="nil"/>
              <w:bottom w:val="dotted" w:sz="4" w:space="0" w:color="auto"/>
              <w:right w:val="double" w:sz="6" w:space="0" w:color="auto"/>
            </w:tcBorders>
            <w:shd w:val="clear" w:color="auto" w:fill="FFFFFF"/>
            <w:vAlign w:val="center"/>
            <w:hideMark/>
          </w:tcPr>
          <w:p w14:paraId="25EE42C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260.15</w:t>
            </w:r>
          </w:p>
        </w:tc>
      </w:tr>
      <w:tr w:rsidR="00FA29AB" w:rsidRPr="00050FA4" w14:paraId="4CDAFBD3"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10386F1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17a. Social transfers in kind</w:t>
            </w:r>
          </w:p>
        </w:tc>
        <w:tc>
          <w:tcPr>
            <w:tcW w:w="267" w:type="dxa"/>
            <w:tcBorders>
              <w:top w:val="nil"/>
              <w:left w:val="nil"/>
              <w:bottom w:val="dotted" w:sz="4" w:space="0" w:color="auto"/>
              <w:right w:val="single" w:sz="8" w:space="0" w:color="auto"/>
            </w:tcBorders>
            <w:shd w:val="clear" w:color="auto" w:fill="FFFFFF"/>
            <w:vAlign w:val="center"/>
            <w:hideMark/>
          </w:tcPr>
          <w:p w14:paraId="600B0CE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22FA558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P31 = D63</w:t>
            </w:r>
          </w:p>
        </w:tc>
        <w:tc>
          <w:tcPr>
            <w:tcW w:w="1154" w:type="dxa"/>
            <w:tcBorders>
              <w:top w:val="nil"/>
              <w:left w:val="nil"/>
              <w:bottom w:val="dotted" w:sz="4" w:space="0" w:color="auto"/>
              <w:right w:val="dotted" w:sz="4" w:space="0" w:color="auto"/>
            </w:tcBorders>
            <w:shd w:val="clear" w:color="auto" w:fill="FFFFFF"/>
            <w:vAlign w:val="center"/>
            <w:hideMark/>
          </w:tcPr>
          <w:p w14:paraId="78AF050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vAlign w:val="center"/>
            <w:hideMark/>
          </w:tcPr>
          <w:p w14:paraId="6D62106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vAlign w:val="center"/>
            <w:hideMark/>
          </w:tcPr>
          <w:p w14:paraId="661D08B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24" w:type="dxa"/>
            <w:tcBorders>
              <w:top w:val="nil"/>
              <w:left w:val="nil"/>
              <w:bottom w:val="dotted" w:sz="4" w:space="0" w:color="auto"/>
              <w:right w:val="dotted" w:sz="4" w:space="0" w:color="auto"/>
            </w:tcBorders>
            <w:shd w:val="clear" w:color="auto" w:fill="FFFFFF"/>
            <w:vAlign w:val="center"/>
            <w:hideMark/>
          </w:tcPr>
          <w:p w14:paraId="02E4AD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30" w:type="dxa"/>
            <w:tcBorders>
              <w:top w:val="nil"/>
              <w:left w:val="nil"/>
              <w:bottom w:val="dotted" w:sz="4" w:space="0" w:color="auto"/>
              <w:right w:val="double" w:sz="6" w:space="0" w:color="auto"/>
            </w:tcBorders>
            <w:shd w:val="clear" w:color="auto" w:fill="FFFFFF"/>
            <w:vAlign w:val="center"/>
            <w:hideMark/>
          </w:tcPr>
          <w:p w14:paraId="19DCF62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6B4EC938"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07FBA21A"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17b. Social transfers other than in kind</w:t>
            </w:r>
          </w:p>
        </w:tc>
        <w:tc>
          <w:tcPr>
            <w:tcW w:w="267" w:type="dxa"/>
            <w:tcBorders>
              <w:top w:val="nil"/>
              <w:left w:val="nil"/>
              <w:bottom w:val="dotted" w:sz="4" w:space="0" w:color="auto"/>
              <w:right w:val="single" w:sz="8" w:space="0" w:color="auto"/>
            </w:tcBorders>
            <w:shd w:val="clear" w:color="auto" w:fill="FFFFFF"/>
            <w:vAlign w:val="center"/>
            <w:hideMark/>
          </w:tcPr>
          <w:p w14:paraId="5B8667C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4E474CA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D62</w:t>
            </w:r>
          </w:p>
        </w:tc>
        <w:tc>
          <w:tcPr>
            <w:tcW w:w="1154" w:type="dxa"/>
            <w:tcBorders>
              <w:top w:val="nil"/>
              <w:left w:val="nil"/>
              <w:bottom w:val="dotted" w:sz="4" w:space="0" w:color="auto"/>
              <w:right w:val="dotted" w:sz="4" w:space="0" w:color="auto"/>
            </w:tcBorders>
            <w:shd w:val="clear" w:color="auto" w:fill="FFFFFF"/>
            <w:vAlign w:val="center"/>
            <w:hideMark/>
          </w:tcPr>
          <w:p w14:paraId="2055627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208.07</w:t>
            </w:r>
          </w:p>
        </w:tc>
        <w:tc>
          <w:tcPr>
            <w:tcW w:w="924" w:type="dxa"/>
            <w:tcBorders>
              <w:top w:val="nil"/>
              <w:left w:val="nil"/>
              <w:bottom w:val="dotted" w:sz="4" w:space="0" w:color="auto"/>
              <w:right w:val="dotted" w:sz="4" w:space="0" w:color="auto"/>
            </w:tcBorders>
            <w:shd w:val="clear" w:color="auto" w:fill="FFFFFF"/>
            <w:vAlign w:val="center"/>
            <w:hideMark/>
          </w:tcPr>
          <w:p w14:paraId="06AF2C0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225.00</w:t>
            </w:r>
          </w:p>
        </w:tc>
        <w:tc>
          <w:tcPr>
            <w:tcW w:w="924" w:type="dxa"/>
            <w:tcBorders>
              <w:top w:val="nil"/>
              <w:left w:val="nil"/>
              <w:bottom w:val="dotted" w:sz="4" w:space="0" w:color="auto"/>
              <w:right w:val="dotted" w:sz="4" w:space="0" w:color="auto"/>
            </w:tcBorders>
            <w:shd w:val="clear" w:color="auto" w:fill="FFFFFF"/>
            <w:vAlign w:val="center"/>
            <w:hideMark/>
          </w:tcPr>
          <w:p w14:paraId="0937BB6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240.42</w:t>
            </w:r>
          </w:p>
        </w:tc>
        <w:tc>
          <w:tcPr>
            <w:tcW w:w="924" w:type="dxa"/>
            <w:tcBorders>
              <w:top w:val="nil"/>
              <w:left w:val="nil"/>
              <w:bottom w:val="dotted" w:sz="4" w:space="0" w:color="auto"/>
              <w:right w:val="dotted" w:sz="4" w:space="0" w:color="auto"/>
            </w:tcBorders>
            <w:shd w:val="clear" w:color="auto" w:fill="FFFFFF"/>
            <w:vAlign w:val="center"/>
            <w:hideMark/>
          </w:tcPr>
          <w:p w14:paraId="3A1CB86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248.50</w:t>
            </w:r>
          </w:p>
        </w:tc>
        <w:tc>
          <w:tcPr>
            <w:tcW w:w="930" w:type="dxa"/>
            <w:tcBorders>
              <w:top w:val="nil"/>
              <w:left w:val="nil"/>
              <w:bottom w:val="dotted" w:sz="4" w:space="0" w:color="auto"/>
              <w:right w:val="double" w:sz="6" w:space="0" w:color="auto"/>
            </w:tcBorders>
            <w:shd w:val="clear" w:color="auto" w:fill="FFFFFF"/>
            <w:vAlign w:val="center"/>
            <w:hideMark/>
          </w:tcPr>
          <w:p w14:paraId="7ADC2A4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260.15</w:t>
            </w:r>
          </w:p>
        </w:tc>
      </w:tr>
      <w:tr w:rsidR="00FA29AB" w:rsidRPr="00050FA4" w14:paraId="2794097E"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488A6B0B"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18 = 9. Interest expenditure (incl. FISIM) </w:t>
            </w:r>
          </w:p>
        </w:tc>
        <w:tc>
          <w:tcPr>
            <w:tcW w:w="267" w:type="dxa"/>
            <w:tcBorders>
              <w:top w:val="nil"/>
              <w:left w:val="nil"/>
              <w:bottom w:val="dotted" w:sz="4" w:space="0" w:color="auto"/>
              <w:right w:val="single" w:sz="8" w:space="0" w:color="auto"/>
            </w:tcBorders>
            <w:shd w:val="clear" w:color="auto" w:fill="FFFFFF"/>
            <w:vAlign w:val="center"/>
            <w:hideMark/>
          </w:tcPr>
          <w:p w14:paraId="01396F0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1364ED7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EDP.D41 + FISIM</w:t>
            </w:r>
          </w:p>
        </w:tc>
        <w:tc>
          <w:tcPr>
            <w:tcW w:w="1154" w:type="dxa"/>
            <w:tcBorders>
              <w:top w:val="nil"/>
              <w:left w:val="nil"/>
              <w:bottom w:val="dotted" w:sz="4" w:space="0" w:color="auto"/>
              <w:right w:val="dotted" w:sz="4" w:space="0" w:color="auto"/>
            </w:tcBorders>
            <w:shd w:val="clear" w:color="auto" w:fill="FFFFFF"/>
            <w:vAlign w:val="center"/>
            <w:hideMark/>
          </w:tcPr>
          <w:p w14:paraId="21F7594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34.39</w:t>
            </w:r>
          </w:p>
        </w:tc>
        <w:tc>
          <w:tcPr>
            <w:tcW w:w="924" w:type="dxa"/>
            <w:tcBorders>
              <w:top w:val="nil"/>
              <w:left w:val="nil"/>
              <w:bottom w:val="dotted" w:sz="4" w:space="0" w:color="auto"/>
              <w:right w:val="dotted" w:sz="4" w:space="0" w:color="auto"/>
            </w:tcBorders>
            <w:shd w:val="clear" w:color="auto" w:fill="FFFFFF"/>
            <w:vAlign w:val="center"/>
            <w:hideMark/>
          </w:tcPr>
          <w:p w14:paraId="2928FD1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36.30</w:t>
            </w:r>
          </w:p>
        </w:tc>
        <w:tc>
          <w:tcPr>
            <w:tcW w:w="924" w:type="dxa"/>
            <w:tcBorders>
              <w:top w:val="nil"/>
              <w:left w:val="nil"/>
              <w:bottom w:val="dotted" w:sz="4" w:space="0" w:color="auto"/>
              <w:right w:val="dotted" w:sz="4" w:space="0" w:color="auto"/>
            </w:tcBorders>
            <w:shd w:val="clear" w:color="auto" w:fill="FFFFFF"/>
            <w:vAlign w:val="center"/>
            <w:hideMark/>
          </w:tcPr>
          <w:p w14:paraId="2481C94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50.76</w:t>
            </w:r>
          </w:p>
        </w:tc>
        <w:tc>
          <w:tcPr>
            <w:tcW w:w="924" w:type="dxa"/>
            <w:tcBorders>
              <w:top w:val="nil"/>
              <w:left w:val="nil"/>
              <w:bottom w:val="dotted" w:sz="4" w:space="0" w:color="auto"/>
              <w:right w:val="dotted" w:sz="4" w:space="0" w:color="auto"/>
            </w:tcBorders>
            <w:shd w:val="clear" w:color="auto" w:fill="FFFFFF"/>
            <w:vAlign w:val="center"/>
            <w:hideMark/>
          </w:tcPr>
          <w:p w14:paraId="2212DB2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57.47</w:t>
            </w:r>
          </w:p>
        </w:tc>
        <w:tc>
          <w:tcPr>
            <w:tcW w:w="930" w:type="dxa"/>
            <w:tcBorders>
              <w:top w:val="nil"/>
              <w:left w:val="nil"/>
              <w:bottom w:val="dotted" w:sz="4" w:space="0" w:color="auto"/>
              <w:right w:val="double" w:sz="6" w:space="0" w:color="auto"/>
            </w:tcBorders>
            <w:shd w:val="clear" w:color="auto" w:fill="FFFFFF"/>
            <w:vAlign w:val="center"/>
            <w:hideMark/>
          </w:tcPr>
          <w:p w14:paraId="486D63A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65.50</w:t>
            </w:r>
          </w:p>
        </w:tc>
      </w:tr>
      <w:tr w:rsidR="00FA29AB" w:rsidRPr="00050FA4" w14:paraId="458F4F36"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753CFB71"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19. Subsidies</w:t>
            </w:r>
          </w:p>
        </w:tc>
        <w:tc>
          <w:tcPr>
            <w:tcW w:w="267" w:type="dxa"/>
            <w:tcBorders>
              <w:top w:val="nil"/>
              <w:left w:val="nil"/>
              <w:bottom w:val="dotted" w:sz="4" w:space="0" w:color="auto"/>
              <w:right w:val="single" w:sz="8" w:space="0" w:color="auto"/>
            </w:tcBorders>
            <w:shd w:val="clear" w:color="auto" w:fill="FFFFFF"/>
            <w:vAlign w:val="center"/>
            <w:hideMark/>
          </w:tcPr>
          <w:p w14:paraId="3F8701A1"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395666C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D3</w:t>
            </w:r>
          </w:p>
        </w:tc>
        <w:tc>
          <w:tcPr>
            <w:tcW w:w="1154" w:type="dxa"/>
            <w:tcBorders>
              <w:top w:val="nil"/>
              <w:left w:val="nil"/>
              <w:bottom w:val="dotted" w:sz="4" w:space="0" w:color="auto"/>
              <w:right w:val="dotted" w:sz="4" w:space="0" w:color="auto"/>
            </w:tcBorders>
            <w:shd w:val="clear" w:color="auto" w:fill="FFFFFF"/>
            <w:vAlign w:val="center"/>
            <w:hideMark/>
          </w:tcPr>
          <w:p w14:paraId="42B1288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1.48</w:t>
            </w:r>
          </w:p>
        </w:tc>
        <w:tc>
          <w:tcPr>
            <w:tcW w:w="924" w:type="dxa"/>
            <w:tcBorders>
              <w:top w:val="nil"/>
              <w:left w:val="nil"/>
              <w:bottom w:val="dotted" w:sz="4" w:space="0" w:color="auto"/>
              <w:right w:val="dotted" w:sz="4" w:space="0" w:color="auto"/>
            </w:tcBorders>
            <w:shd w:val="clear" w:color="auto" w:fill="FFFFFF"/>
            <w:vAlign w:val="center"/>
            <w:hideMark/>
          </w:tcPr>
          <w:p w14:paraId="216D574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1.50</w:t>
            </w:r>
          </w:p>
        </w:tc>
        <w:tc>
          <w:tcPr>
            <w:tcW w:w="924" w:type="dxa"/>
            <w:tcBorders>
              <w:top w:val="nil"/>
              <w:left w:val="nil"/>
              <w:bottom w:val="dotted" w:sz="4" w:space="0" w:color="auto"/>
              <w:right w:val="dotted" w:sz="4" w:space="0" w:color="auto"/>
            </w:tcBorders>
            <w:shd w:val="clear" w:color="auto" w:fill="FFFFFF"/>
            <w:vAlign w:val="center"/>
            <w:hideMark/>
          </w:tcPr>
          <w:p w14:paraId="7ABB1A0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1.50</w:t>
            </w:r>
          </w:p>
        </w:tc>
        <w:tc>
          <w:tcPr>
            <w:tcW w:w="924" w:type="dxa"/>
            <w:tcBorders>
              <w:top w:val="nil"/>
              <w:left w:val="nil"/>
              <w:bottom w:val="dotted" w:sz="4" w:space="0" w:color="auto"/>
              <w:right w:val="dotted" w:sz="4" w:space="0" w:color="auto"/>
            </w:tcBorders>
            <w:shd w:val="clear" w:color="auto" w:fill="FFFFFF"/>
            <w:vAlign w:val="center"/>
            <w:hideMark/>
          </w:tcPr>
          <w:p w14:paraId="76E1B44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1.50</w:t>
            </w:r>
          </w:p>
        </w:tc>
        <w:tc>
          <w:tcPr>
            <w:tcW w:w="930" w:type="dxa"/>
            <w:tcBorders>
              <w:top w:val="nil"/>
              <w:left w:val="nil"/>
              <w:bottom w:val="dotted" w:sz="4" w:space="0" w:color="auto"/>
              <w:right w:val="double" w:sz="6" w:space="0" w:color="auto"/>
            </w:tcBorders>
            <w:shd w:val="clear" w:color="auto" w:fill="FFFFFF"/>
            <w:vAlign w:val="center"/>
            <w:hideMark/>
          </w:tcPr>
          <w:p w14:paraId="4BCE549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1.55</w:t>
            </w:r>
          </w:p>
        </w:tc>
      </w:tr>
      <w:tr w:rsidR="00FA29AB" w:rsidRPr="00050FA4" w14:paraId="30128FC1"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25DEB338"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20. Gross fixed capital formation</w:t>
            </w:r>
          </w:p>
        </w:tc>
        <w:tc>
          <w:tcPr>
            <w:tcW w:w="267" w:type="dxa"/>
            <w:tcBorders>
              <w:top w:val="nil"/>
              <w:left w:val="nil"/>
              <w:bottom w:val="dotted" w:sz="4" w:space="0" w:color="auto"/>
              <w:right w:val="single" w:sz="8" w:space="0" w:color="auto"/>
            </w:tcBorders>
            <w:shd w:val="clear" w:color="auto" w:fill="FFFFFF"/>
            <w:vAlign w:val="center"/>
            <w:hideMark/>
          </w:tcPr>
          <w:p w14:paraId="6B8E34B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49888A3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P51</w:t>
            </w:r>
          </w:p>
        </w:tc>
        <w:tc>
          <w:tcPr>
            <w:tcW w:w="1154" w:type="dxa"/>
            <w:tcBorders>
              <w:top w:val="nil"/>
              <w:left w:val="nil"/>
              <w:bottom w:val="dotted" w:sz="4" w:space="0" w:color="auto"/>
              <w:right w:val="dotted" w:sz="4" w:space="0" w:color="auto"/>
            </w:tcBorders>
            <w:shd w:val="clear" w:color="auto" w:fill="FFFFFF"/>
            <w:vAlign w:val="center"/>
            <w:hideMark/>
          </w:tcPr>
          <w:p w14:paraId="162A91F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115.36</w:t>
            </w:r>
          </w:p>
        </w:tc>
        <w:tc>
          <w:tcPr>
            <w:tcW w:w="924" w:type="dxa"/>
            <w:tcBorders>
              <w:top w:val="nil"/>
              <w:left w:val="nil"/>
              <w:bottom w:val="dotted" w:sz="4" w:space="0" w:color="auto"/>
              <w:right w:val="dotted" w:sz="4" w:space="0" w:color="auto"/>
            </w:tcBorders>
            <w:shd w:val="clear" w:color="auto" w:fill="FFFFFF"/>
            <w:vAlign w:val="center"/>
            <w:hideMark/>
          </w:tcPr>
          <w:p w14:paraId="7A2F20A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162.76</w:t>
            </w:r>
          </w:p>
        </w:tc>
        <w:tc>
          <w:tcPr>
            <w:tcW w:w="924" w:type="dxa"/>
            <w:tcBorders>
              <w:top w:val="nil"/>
              <w:left w:val="nil"/>
              <w:bottom w:val="dotted" w:sz="4" w:space="0" w:color="auto"/>
              <w:right w:val="dotted" w:sz="4" w:space="0" w:color="auto"/>
            </w:tcBorders>
            <w:shd w:val="clear" w:color="auto" w:fill="FFFFFF"/>
            <w:vAlign w:val="center"/>
            <w:hideMark/>
          </w:tcPr>
          <w:p w14:paraId="7D0471A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140.19</w:t>
            </w:r>
          </w:p>
        </w:tc>
        <w:tc>
          <w:tcPr>
            <w:tcW w:w="924" w:type="dxa"/>
            <w:tcBorders>
              <w:top w:val="nil"/>
              <w:left w:val="nil"/>
              <w:bottom w:val="dotted" w:sz="4" w:space="0" w:color="auto"/>
              <w:right w:val="dotted" w:sz="4" w:space="0" w:color="auto"/>
            </w:tcBorders>
            <w:shd w:val="clear" w:color="auto" w:fill="FFFFFF"/>
            <w:vAlign w:val="center"/>
            <w:hideMark/>
          </w:tcPr>
          <w:p w14:paraId="2E89A69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122.20</w:t>
            </w:r>
          </w:p>
        </w:tc>
        <w:tc>
          <w:tcPr>
            <w:tcW w:w="930" w:type="dxa"/>
            <w:tcBorders>
              <w:top w:val="nil"/>
              <w:left w:val="nil"/>
              <w:bottom w:val="dotted" w:sz="4" w:space="0" w:color="auto"/>
              <w:right w:val="double" w:sz="6" w:space="0" w:color="auto"/>
            </w:tcBorders>
            <w:shd w:val="clear" w:color="auto" w:fill="FFFFFF"/>
            <w:vAlign w:val="center"/>
            <w:hideMark/>
          </w:tcPr>
          <w:p w14:paraId="71C8668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130.45</w:t>
            </w:r>
          </w:p>
        </w:tc>
      </w:tr>
      <w:tr w:rsidR="00FA29AB" w:rsidRPr="00050FA4" w14:paraId="61F14A0C"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5321ADD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21. Other (21 = 22-(16+17+18+19+20) [6]</w:t>
            </w:r>
          </w:p>
        </w:tc>
        <w:tc>
          <w:tcPr>
            <w:tcW w:w="267" w:type="dxa"/>
            <w:tcBorders>
              <w:top w:val="nil"/>
              <w:left w:val="nil"/>
              <w:bottom w:val="dotted" w:sz="4" w:space="0" w:color="auto"/>
              <w:right w:val="single" w:sz="8" w:space="0" w:color="auto"/>
            </w:tcBorders>
            <w:shd w:val="clear" w:color="auto" w:fill="FFFFFF"/>
            <w:vAlign w:val="center"/>
            <w:hideMark/>
          </w:tcPr>
          <w:p w14:paraId="4E17CD74"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0231B0A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54" w:type="dxa"/>
            <w:tcBorders>
              <w:top w:val="nil"/>
              <w:left w:val="nil"/>
              <w:bottom w:val="dotted" w:sz="4" w:space="0" w:color="auto"/>
              <w:right w:val="dotted" w:sz="4" w:space="0" w:color="auto"/>
            </w:tcBorders>
            <w:shd w:val="clear" w:color="auto" w:fill="FFFFFF"/>
            <w:vAlign w:val="center"/>
            <w:hideMark/>
          </w:tcPr>
          <w:p w14:paraId="47521A5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1.36</w:t>
            </w:r>
          </w:p>
        </w:tc>
        <w:tc>
          <w:tcPr>
            <w:tcW w:w="924" w:type="dxa"/>
            <w:tcBorders>
              <w:top w:val="nil"/>
              <w:left w:val="nil"/>
              <w:bottom w:val="dotted" w:sz="4" w:space="0" w:color="auto"/>
              <w:right w:val="dotted" w:sz="4" w:space="0" w:color="auto"/>
            </w:tcBorders>
            <w:shd w:val="clear" w:color="auto" w:fill="FFFFFF"/>
            <w:vAlign w:val="center"/>
            <w:hideMark/>
          </w:tcPr>
          <w:p w14:paraId="33C9F74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17.07</w:t>
            </w:r>
          </w:p>
        </w:tc>
        <w:tc>
          <w:tcPr>
            <w:tcW w:w="924" w:type="dxa"/>
            <w:tcBorders>
              <w:top w:val="nil"/>
              <w:left w:val="nil"/>
              <w:bottom w:val="dotted" w:sz="4" w:space="0" w:color="auto"/>
              <w:right w:val="dotted" w:sz="4" w:space="0" w:color="auto"/>
            </w:tcBorders>
            <w:shd w:val="clear" w:color="auto" w:fill="FFFFFF"/>
            <w:vAlign w:val="center"/>
            <w:hideMark/>
          </w:tcPr>
          <w:p w14:paraId="6620C7B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26.50</w:t>
            </w:r>
          </w:p>
        </w:tc>
        <w:tc>
          <w:tcPr>
            <w:tcW w:w="924" w:type="dxa"/>
            <w:tcBorders>
              <w:top w:val="nil"/>
              <w:left w:val="nil"/>
              <w:bottom w:val="dotted" w:sz="4" w:space="0" w:color="auto"/>
              <w:right w:val="dotted" w:sz="4" w:space="0" w:color="auto"/>
            </w:tcBorders>
            <w:shd w:val="clear" w:color="auto" w:fill="FFFFFF"/>
            <w:vAlign w:val="center"/>
            <w:hideMark/>
          </w:tcPr>
          <w:p w14:paraId="129BB98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18.55</w:t>
            </w:r>
          </w:p>
        </w:tc>
        <w:tc>
          <w:tcPr>
            <w:tcW w:w="930" w:type="dxa"/>
            <w:tcBorders>
              <w:top w:val="nil"/>
              <w:left w:val="nil"/>
              <w:bottom w:val="dotted" w:sz="4" w:space="0" w:color="auto"/>
              <w:right w:val="double" w:sz="6" w:space="0" w:color="auto"/>
            </w:tcBorders>
            <w:shd w:val="clear" w:color="auto" w:fill="FFFFFF"/>
            <w:vAlign w:val="center"/>
            <w:hideMark/>
          </w:tcPr>
          <w:p w14:paraId="7B28A93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18.88</w:t>
            </w:r>
          </w:p>
        </w:tc>
      </w:tr>
      <w:tr w:rsidR="00FA29AB" w:rsidRPr="00050FA4" w14:paraId="0FE122C4" w14:textId="77777777" w:rsidTr="00617B60">
        <w:trPr>
          <w:trHeight w:val="300"/>
          <w:jc w:val="center"/>
        </w:trPr>
        <w:tc>
          <w:tcPr>
            <w:tcW w:w="3978" w:type="dxa"/>
            <w:tcBorders>
              <w:top w:val="nil"/>
              <w:left w:val="double" w:sz="6" w:space="0" w:color="auto"/>
              <w:bottom w:val="dotted" w:sz="4" w:space="0" w:color="auto"/>
              <w:right w:val="nil"/>
            </w:tcBorders>
            <w:shd w:val="clear" w:color="auto" w:fill="FFFFFF"/>
            <w:vAlign w:val="center"/>
            <w:hideMark/>
          </w:tcPr>
          <w:p w14:paraId="00B293E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22. Total expenditures </w:t>
            </w:r>
          </w:p>
        </w:tc>
        <w:tc>
          <w:tcPr>
            <w:tcW w:w="267" w:type="dxa"/>
            <w:tcBorders>
              <w:top w:val="nil"/>
              <w:left w:val="nil"/>
              <w:bottom w:val="dotted" w:sz="4" w:space="0" w:color="auto"/>
              <w:right w:val="single" w:sz="8" w:space="0" w:color="auto"/>
            </w:tcBorders>
            <w:shd w:val="clear" w:color="auto" w:fill="FFFFFF"/>
            <w:vAlign w:val="center"/>
            <w:hideMark/>
          </w:tcPr>
          <w:p w14:paraId="5DE04A0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tted" w:sz="4" w:space="0" w:color="auto"/>
              <w:right w:val="single" w:sz="8" w:space="0" w:color="auto"/>
            </w:tcBorders>
            <w:shd w:val="clear" w:color="auto" w:fill="FFFFFF"/>
            <w:vAlign w:val="center"/>
            <w:hideMark/>
          </w:tcPr>
          <w:p w14:paraId="0084AAD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TE [1]</w:t>
            </w:r>
          </w:p>
        </w:tc>
        <w:tc>
          <w:tcPr>
            <w:tcW w:w="1154" w:type="dxa"/>
            <w:tcBorders>
              <w:top w:val="nil"/>
              <w:left w:val="nil"/>
              <w:bottom w:val="dotted" w:sz="4" w:space="0" w:color="auto"/>
              <w:right w:val="dotted" w:sz="4" w:space="0" w:color="auto"/>
            </w:tcBorders>
            <w:shd w:val="clear" w:color="auto" w:fill="FFFFFF"/>
            <w:vAlign w:val="center"/>
            <w:hideMark/>
          </w:tcPr>
          <w:p w14:paraId="7C9BA7B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536.28</w:t>
            </w:r>
          </w:p>
        </w:tc>
        <w:tc>
          <w:tcPr>
            <w:tcW w:w="924" w:type="dxa"/>
            <w:tcBorders>
              <w:top w:val="nil"/>
              <w:left w:val="nil"/>
              <w:bottom w:val="dotted" w:sz="4" w:space="0" w:color="auto"/>
              <w:right w:val="dotted" w:sz="4" w:space="0" w:color="auto"/>
            </w:tcBorders>
            <w:shd w:val="clear" w:color="auto" w:fill="FFFFFF"/>
            <w:vAlign w:val="center"/>
            <w:hideMark/>
          </w:tcPr>
          <w:p w14:paraId="7A7D0F1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610.20</w:t>
            </w:r>
          </w:p>
        </w:tc>
        <w:tc>
          <w:tcPr>
            <w:tcW w:w="924" w:type="dxa"/>
            <w:tcBorders>
              <w:top w:val="nil"/>
              <w:left w:val="nil"/>
              <w:bottom w:val="dotted" w:sz="4" w:space="0" w:color="auto"/>
              <w:right w:val="dotted" w:sz="4" w:space="0" w:color="auto"/>
            </w:tcBorders>
            <w:shd w:val="clear" w:color="auto" w:fill="FFFFFF"/>
            <w:vAlign w:val="center"/>
            <w:hideMark/>
          </w:tcPr>
          <w:p w14:paraId="2AB99A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637.69</w:t>
            </w:r>
          </w:p>
        </w:tc>
        <w:tc>
          <w:tcPr>
            <w:tcW w:w="924" w:type="dxa"/>
            <w:tcBorders>
              <w:top w:val="nil"/>
              <w:left w:val="nil"/>
              <w:bottom w:val="dotted" w:sz="4" w:space="0" w:color="auto"/>
              <w:right w:val="dotted" w:sz="4" w:space="0" w:color="auto"/>
            </w:tcBorders>
            <w:shd w:val="clear" w:color="auto" w:fill="FFFFFF"/>
            <w:vAlign w:val="center"/>
            <w:hideMark/>
          </w:tcPr>
          <w:p w14:paraId="2D66788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627.68</w:t>
            </w:r>
          </w:p>
        </w:tc>
        <w:tc>
          <w:tcPr>
            <w:tcW w:w="930" w:type="dxa"/>
            <w:tcBorders>
              <w:top w:val="nil"/>
              <w:left w:val="nil"/>
              <w:bottom w:val="dotted" w:sz="4" w:space="0" w:color="auto"/>
              <w:right w:val="double" w:sz="6" w:space="0" w:color="auto"/>
            </w:tcBorders>
            <w:shd w:val="clear" w:color="auto" w:fill="FFFFFF"/>
            <w:vAlign w:val="center"/>
            <w:hideMark/>
          </w:tcPr>
          <w:p w14:paraId="4F29C11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660.66</w:t>
            </w:r>
          </w:p>
        </w:tc>
      </w:tr>
      <w:tr w:rsidR="00FA29AB" w:rsidRPr="00050FA4" w14:paraId="1580DCF8" w14:textId="77777777" w:rsidTr="00617B60">
        <w:trPr>
          <w:trHeight w:val="247"/>
          <w:jc w:val="center"/>
        </w:trPr>
        <w:tc>
          <w:tcPr>
            <w:tcW w:w="3978" w:type="dxa"/>
            <w:tcBorders>
              <w:top w:val="nil"/>
              <w:left w:val="double" w:sz="6" w:space="0" w:color="auto"/>
              <w:bottom w:val="double" w:sz="6" w:space="0" w:color="auto"/>
              <w:right w:val="nil"/>
            </w:tcBorders>
            <w:shd w:val="clear" w:color="auto" w:fill="FFFFFF"/>
            <w:vAlign w:val="bottom"/>
            <w:hideMark/>
          </w:tcPr>
          <w:p w14:paraId="4AFF6E67" w14:textId="48A5F57B"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p.m.</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compensation of employees</w:t>
            </w:r>
          </w:p>
        </w:tc>
        <w:tc>
          <w:tcPr>
            <w:tcW w:w="267" w:type="dxa"/>
            <w:tcBorders>
              <w:top w:val="nil"/>
              <w:left w:val="nil"/>
              <w:bottom w:val="double" w:sz="6" w:space="0" w:color="auto"/>
              <w:right w:val="single" w:sz="8" w:space="0" w:color="auto"/>
            </w:tcBorders>
            <w:shd w:val="clear" w:color="auto" w:fill="FFFFFF"/>
            <w:vAlign w:val="bottom"/>
            <w:hideMark/>
          </w:tcPr>
          <w:p w14:paraId="443B3DE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171" w:type="dxa"/>
            <w:tcBorders>
              <w:top w:val="nil"/>
              <w:left w:val="nil"/>
              <w:bottom w:val="double" w:sz="6" w:space="0" w:color="auto"/>
              <w:right w:val="single" w:sz="8" w:space="0" w:color="auto"/>
            </w:tcBorders>
            <w:shd w:val="clear" w:color="auto" w:fill="FFFFFF"/>
            <w:vAlign w:val="bottom"/>
            <w:hideMark/>
          </w:tcPr>
          <w:p w14:paraId="2FC2DAF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D1</w:t>
            </w:r>
          </w:p>
        </w:tc>
        <w:tc>
          <w:tcPr>
            <w:tcW w:w="1154" w:type="dxa"/>
            <w:tcBorders>
              <w:top w:val="nil"/>
              <w:left w:val="nil"/>
              <w:bottom w:val="double" w:sz="6" w:space="0" w:color="auto"/>
              <w:right w:val="dotted" w:sz="4" w:space="0" w:color="auto"/>
            </w:tcBorders>
            <w:shd w:val="clear" w:color="auto" w:fill="FFFFFF"/>
            <w:vAlign w:val="bottom"/>
            <w:hideMark/>
          </w:tcPr>
          <w:p w14:paraId="61577FA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98.75</w:t>
            </w:r>
          </w:p>
        </w:tc>
        <w:tc>
          <w:tcPr>
            <w:tcW w:w="924" w:type="dxa"/>
            <w:tcBorders>
              <w:top w:val="nil"/>
              <w:left w:val="nil"/>
              <w:bottom w:val="double" w:sz="6" w:space="0" w:color="auto"/>
              <w:right w:val="dotted" w:sz="4" w:space="0" w:color="auto"/>
            </w:tcBorders>
            <w:shd w:val="clear" w:color="auto" w:fill="FFFFFF"/>
            <w:vAlign w:val="bottom"/>
            <w:hideMark/>
          </w:tcPr>
          <w:p w14:paraId="74C9643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104.65</w:t>
            </w:r>
          </w:p>
        </w:tc>
        <w:tc>
          <w:tcPr>
            <w:tcW w:w="924" w:type="dxa"/>
            <w:tcBorders>
              <w:top w:val="nil"/>
              <w:left w:val="nil"/>
              <w:bottom w:val="double" w:sz="6" w:space="0" w:color="auto"/>
              <w:right w:val="dotted" w:sz="4" w:space="0" w:color="auto"/>
            </w:tcBorders>
            <w:shd w:val="clear" w:color="auto" w:fill="FFFFFF"/>
            <w:vAlign w:val="bottom"/>
            <w:hideMark/>
          </w:tcPr>
          <w:p w14:paraId="6D175CF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109.37</w:t>
            </w:r>
          </w:p>
        </w:tc>
        <w:tc>
          <w:tcPr>
            <w:tcW w:w="924" w:type="dxa"/>
            <w:tcBorders>
              <w:top w:val="nil"/>
              <w:left w:val="nil"/>
              <w:bottom w:val="double" w:sz="6" w:space="0" w:color="auto"/>
              <w:right w:val="dotted" w:sz="4" w:space="0" w:color="auto"/>
            </w:tcBorders>
            <w:shd w:val="clear" w:color="auto" w:fill="FFFFFF"/>
            <w:vAlign w:val="bottom"/>
            <w:hideMark/>
          </w:tcPr>
          <w:p w14:paraId="345548D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110.76</w:t>
            </w:r>
          </w:p>
        </w:tc>
        <w:tc>
          <w:tcPr>
            <w:tcW w:w="930" w:type="dxa"/>
            <w:tcBorders>
              <w:top w:val="nil"/>
              <w:left w:val="nil"/>
              <w:bottom w:val="double" w:sz="6" w:space="0" w:color="auto"/>
              <w:right w:val="double" w:sz="6" w:space="0" w:color="auto"/>
            </w:tcBorders>
            <w:shd w:val="clear" w:color="auto" w:fill="FFFFFF"/>
            <w:vAlign w:val="bottom"/>
            <w:hideMark/>
          </w:tcPr>
          <w:p w14:paraId="46D932D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112.81</w:t>
            </w:r>
          </w:p>
        </w:tc>
      </w:tr>
    </w:tbl>
    <w:p w14:paraId="0C6A2EEC" w14:textId="77777777" w:rsidR="00094A26" w:rsidRPr="00050FA4" w:rsidRDefault="00094A26" w:rsidP="003F1DA7">
      <w:pPr>
        <w:ind w:firstLine="284"/>
        <w:jc w:val="both"/>
        <w:rPr>
          <w:rFonts w:ascii="Garamond" w:hAnsi="Garamond"/>
          <w:color w:val="0D0D0D" w:themeColor="text1" w:themeTint="F2"/>
          <w:sz w:val="20"/>
          <w:szCs w:val="20"/>
        </w:rPr>
      </w:pPr>
    </w:p>
    <w:p w14:paraId="6096BB12" w14:textId="77777777" w:rsidR="00094A26" w:rsidRPr="00050FA4" w:rsidRDefault="00094A26" w:rsidP="003F1DA7">
      <w:pPr>
        <w:ind w:firstLine="284"/>
        <w:jc w:val="both"/>
        <w:rPr>
          <w:rFonts w:ascii="Garamond" w:hAnsi="Garamond"/>
          <w:color w:val="0D0D0D" w:themeColor="text1" w:themeTint="F2"/>
          <w:sz w:val="20"/>
          <w:szCs w:val="20"/>
        </w:rPr>
      </w:pPr>
      <w:r w:rsidRPr="00050FA4">
        <w:rPr>
          <w:rFonts w:ascii="Garamond" w:hAnsi="Garamond"/>
          <w:color w:val="0D0D0D" w:themeColor="text1" w:themeTint="F2"/>
          <w:sz w:val="20"/>
          <w:szCs w:val="20"/>
        </w:rPr>
        <w:t>Tabela 3: Shpenzimet e përgjithshme të qeverisë sipas funksionit*</w:t>
      </w:r>
    </w:p>
    <w:tbl>
      <w:tblPr>
        <w:tblW w:w="10301" w:type="dxa"/>
        <w:jc w:val="center"/>
        <w:tblLook w:val="04A0" w:firstRow="1" w:lastRow="0" w:firstColumn="1" w:lastColumn="0" w:noHBand="0" w:noVBand="1"/>
      </w:tblPr>
      <w:tblGrid>
        <w:gridCol w:w="4312"/>
        <w:gridCol w:w="1425"/>
        <w:gridCol w:w="1070"/>
        <w:gridCol w:w="873"/>
        <w:gridCol w:w="874"/>
        <w:gridCol w:w="873"/>
        <w:gridCol w:w="874"/>
      </w:tblGrid>
      <w:tr w:rsidR="00FA29AB" w:rsidRPr="00050FA4" w14:paraId="45F03223" w14:textId="77777777" w:rsidTr="00617B60">
        <w:trPr>
          <w:trHeight w:val="235"/>
          <w:jc w:val="center"/>
        </w:trPr>
        <w:tc>
          <w:tcPr>
            <w:tcW w:w="4312" w:type="dxa"/>
            <w:vMerge w:val="restart"/>
            <w:tcBorders>
              <w:top w:val="double" w:sz="6" w:space="0" w:color="000000"/>
              <w:left w:val="double" w:sz="6" w:space="0" w:color="000000"/>
              <w:bottom w:val="single" w:sz="8" w:space="0" w:color="000000"/>
              <w:right w:val="dotted" w:sz="4" w:space="0" w:color="auto"/>
            </w:tcBorders>
            <w:shd w:val="clear" w:color="auto" w:fill="FFFFFF"/>
            <w:hideMark/>
          </w:tcPr>
          <w:p w14:paraId="1193893E"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 of GDP</w:t>
            </w:r>
          </w:p>
        </w:tc>
        <w:tc>
          <w:tcPr>
            <w:tcW w:w="1425" w:type="dxa"/>
            <w:vMerge w:val="restart"/>
            <w:tcBorders>
              <w:top w:val="double" w:sz="6" w:space="0" w:color="000000"/>
              <w:left w:val="dotted" w:sz="4" w:space="0" w:color="auto"/>
              <w:bottom w:val="single" w:sz="8" w:space="0" w:color="000000"/>
              <w:right w:val="single" w:sz="8" w:space="0" w:color="auto"/>
            </w:tcBorders>
            <w:shd w:val="clear" w:color="auto" w:fill="FFFFFF"/>
            <w:hideMark/>
          </w:tcPr>
          <w:p w14:paraId="6404D1FC"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COFOG Code</w:t>
            </w:r>
          </w:p>
        </w:tc>
        <w:tc>
          <w:tcPr>
            <w:tcW w:w="1070" w:type="dxa"/>
            <w:tcBorders>
              <w:top w:val="double" w:sz="6" w:space="0" w:color="000000"/>
              <w:left w:val="single" w:sz="8" w:space="0" w:color="auto"/>
              <w:bottom w:val="nil"/>
              <w:right w:val="dotted" w:sz="4" w:space="0" w:color="auto"/>
            </w:tcBorders>
            <w:shd w:val="clear" w:color="auto" w:fill="FFFFFF"/>
            <w:hideMark/>
          </w:tcPr>
          <w:p w14:paraId="27F88ECF"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Year</w:t>
            </w:r>
          </w:p>
        </w:tc>
        <w:tc>
          <w:tcPr>
            <w:tcW w:w="873" w:type="dxa"/>
            <w:tcBorders>
              <w:top w:val="double" w:sz="6" w:space="0" w:color="000000"/>
              <w:left w:val="nil"/>
              <w:bottom w:val="nil"/>
              <w:right w:val="dotted" w:sz="4" w:space="0" w:color="auto"/>
            </w:tcBorders>
            <w:hideMark/>
          </w:tcPr>
          <w:p w14:paraId="058B6203"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Year</w:t>
            </w:r>
          </w:p>
        </w:tc>
        <w:tc>
          <w:tcPr>
            <w:tcW w:w="874" w:type="dxa"/>
            <w:tcBorders>
              <w:top w:val="double" w:sz="6" w:space="0" w:color="000000"/>
              <w:left w:val="nil"/>
              <w:bottom w:val="nil"/>
              <w:right w:val="dotted" w:sz="4" w:space="0" w:color="auto"/>
            </w:tcBorders>
            <w:hideMark/>
          </w:tcPr>
          <w:p w14:paraId="4F3BB327"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Year</w:t>
            </w:r>
          </w:p>
        </w:tc>
        <w:tc>
          <w:tcPr>
            <w:tcW w:w="873" w:type="dxa"/>
            <w:tcBorders>
              <w:top w:val="double" w:sz="6" w:space="0" w:color="000000"/>
              <w:left w:val="nil"/>
              <w:bottom w:val="nil"/>
              <w:right w:val="dotted" w:sz="4" w:space="0" w:color="auto"/>
            </w:tcBorders>
            <w:shd w:val="clear" w:color="auto" w:fill="FFFFFF"/>
            <w:hideMark/>
          </w:tcPr>
          <w:p w14:paraId="4054C37F"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Year</w:t>
            </w:r>
          </w:p>
        </w:tc>
        <w:tc>
          <w:tcPr>
            <w:tcW w:w="874" w:type="dxa"/>
            <w:tcBorders>
              <w:top w:val="double" w:sz="6" w:space="0" w:color="000000"/>
              <w:left w:val="nil"/>
              <w:bottom w:val="nil"/>
              <w:right w:val="double" w:sz="6" w:space="0" w:color="auto"/>
            </w:tcBorders>
            <w:shd w:val="clear" w:color="auto" w:fill="FFFFFF"/>
            <w:hideMark/>
          </w:tcPr>
          <w:p w14:paraId="0EDCC14C"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Year</w:t>
            </w:r>
          </w:p>
        </w:tc>
      </w:tr>
      <w:tr w:rsidR="00FA29AB" w:rsidRPr="00050FA4" w14:paraId="65910FB8" w14:textId="77777777" w:rsidTr="00617B60">
        <w:trPr>
          <w:trHeight w:val="235"/>
          <w:jc w:val="center"/>
        </w:trPr>
        <w:tc>
          <w:tcPr>
            <w:tcW w:w="0" w:type="auto"/>
            <w:vMerge/>
            <w:tcBorders>
              <w:top w:val="double" w:sz="6" w:space="0" w:color="000000"/>
              <w:left w:val="double" w:sz="6" w:space="0" w:color="000000"/>
              <w:bottom w:val="single" w:sz="8" w:space="0" w:color="000000"/>
              <w:right w:val="dotted" w:sz="4" w:space="0" w:color="auto"/>
            </w:tcBorders>
            <w:vAlign w:val="center"/>
            <w:hideMark/>
          </w:tcPr>
          <w:p w14:paraId="2AC04507" w14:textId="77777777" w:rsidR="00094A26" w:rsidRPr="00050FA4" w:rsidRDefault="00094A26" w:rsidP="00A95D23">
            <w:pPr>
              <w:rPr>
                <w:rFonts w:ascii="Garamond" w:hAnsi="Garamond"/>
                <w:color w:val="0D0D0D" w:themeColor="text1" w:themeTint="F2"/>
                <w:sz w:val="18"/>
                <w:szCs w:val="18"/>
              </w:rPr>
            </w:pPr>
          </w:p>
        </w:tc>
        <w:tc>
          <w:tcPr>
            <w:tcW w:w="0" w:type="auto"/>
            <w:vMerge/>
            <w:tcBorders>
              <w:top w:val="double" w:sz="6" w:space="0" w:color="000000"/>
              <w:left w:val="dotted" w:sz="4" w:space="0" w:color="auto"/>
              <w:bottom w:val="single" w:sz="8" w:space="0" w:color="000000"/>
              <w:right w:val="single" w:sz="8" w:space="0" w:color="auto"/>
            </w:tcBorders>
            <w:vAlign w:val="center"/>
            <w:hideMark/>
          </w:tcPr>
          <w:p w14:paraId="2D24EEFE" w14:textId="77777777" w:rsidR="00094A26" w:rsidRPr="00050FA4" w:rsidRDefault="00094A26" w:rsidP="00A95D23">
            <w:pPr>
              <w:rPr>
                <w:rFonts w:ascii="Garamond" w:hAnsi="Garamond"/>
                <w:color w:val="0D0D0D" w:themeColor="text1" w:themeTint="F2"/>
                <w:sz w:val="18"/>
                <w:szCs w:val="18"/>
              </w:rPr>
            </w:pPr>
          </w:p>
        </w:tc>
        <w:tc>
          <w:tcPr>
            <w:tcW w:w="1070" w:type="dxa"/>
            <w:tcBorders>
              <w:top w:val="nil"/>
              <w:left w:val="nil"/>
              <w:bottom w:val="single" w:sz="8" w:space="0" w:color="auto"/>
              <w:right w:val="dotted" w:sz="4" w:space="0" w:color="auto"/>
            </w:tcBorders>
            <w:shd w:val="clear" w:color="auto" w:fill="FFFFFF"/>
            <w:vAlign w:val="center"/>
            <w:hideMark/>
          </w:tcPr>
          <w:p w14:paraId="7CF14AC1"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2020</w:t>
            </w:r>
          </w:p>
        </w:tc>
        <w:tc>
          <w:tcPr>
            <w:tcW w:w="873" w:type="dxa"/>
            <w:tcBorders>
              <w:top w:val="nil"/>
              <w:left w:val="nil"/>
              <w:bottom w:val="single" w:sz="8" w:space="0" w:color="auto"/>
              <w:right w:val="dotted" w:sz="4" w:space="0" w:color="auto"/>
            </w:tcBorders>
            <w:vAlign w:val="center"/>
            <w:hideMark/>
          </w:tcPr>
          <w:p w14:paraId="4FCDCF10"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2021**</w:t>
            </w:r>
          </w:p>
        </w:tc>
        <w:tc>
          <w:tcPr>
            <w:tcW w:w="874" w:type="dxa"/>
            <w:tcBorders>
              <w:top w:val="nil"/>
              <w:left w:val="nil"/>
              <w:bottom w:val="single" w:sz="8" w:space="0" w:color="auto"/>
              <w:right w:val="dotted" w:sz="4" w:space="0" w:color="auto"/>
            </w:tcBorders>
            <w:vAlign w:val="center"/>
            <w:hideMark/>
          </w:tcPr>
          <w:p w14:paraId="258D89E2"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2022</w:t>
            </w:r>
          </w:p>
        </w:tc>
        <w:tc>
          <w:tcPr>
            <w:tcW w:w="873" w:type="dxa"/>
            <w:tcBorders>
              <w:top w:val="nil"/>
              <w:left w:val="nil"/>
              <w:bottom w:val="single" w:sz="8" w:space="0" w:color="auto"/>
              <w:right w:val="dotted" w:sz="4" w:space="0" w:color="auto"/>
            </w:tcBorders>
            <w:shd w:val="clear" w:color="auto" w:fill="FFFFFF"/>
            <w:vAlign w:val="center"/>
            <w:hideMark/>
          </w:tcPr>
          <w:p w14:paraId="41EF5A40"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2023</w:t>
            </w:r>
          </w:p>
        </w:tc>
        <w:tc>
          <w:tcPr>
            <w:tcW w:w="874" w:type="dxa"/>
            <w:tcBorders>
              <w:top w:val="nil"/>
              <w:left w:val="nil"/>
              <w:bottom w:val="single" w:sz="8" w:space="0" w:color="auto"/>
              <w:right w:val="double" w:sz="6" w:space="0" w:color="auto"/>
            </w:tcBorders>
            <w:shd w:val="clear" w:color="auto" w:fill="FFFFFF"/>
            <w:vAlign w:val="center"/>
            <w:hideMark/>
          </w:tcPr>
          <w:p w14:paraId="1666171A"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2024</w:t>
            </w:r>
          </w:p>
        </w:tc>
      </w:tr>
      <w:tr w:rsidR="00FA29AB" w:rsidRPr="00050FA4" w14:paraId="4380D14B"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0914E66E"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`1. General public services</w:t>
            </w:r>
          </w:p>
        </w:tc>
        <w:tc>
          <w:tcPr>
            <w:tcW w:w="1425" w:type="dxa"/>
            <w:tcBorders>
              <w:top w:val="nil"/>
              <w:left w:val="nil"/>
              <w:bottom w:val="dotted" w:sz="4" w:space="0" w:color="auto"/>
              <w:right w:val="single" w:sz="8" w:space="0" w:color="auto"/>
            </w:tcBorders>
            <w:shd w:val="clear" w:color="auto" w:fill="FFFFFF"/>
            <w:hideMark/>
          </w:tcPr>
          <w:p w14:paraId="01D8C29C"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1</w:t>
            </w:r>
          </w:p>
        </w:tc>
        <w:tc>
          <w:tcPr>
            <w:tcW w:w="1070" w:type="dxa"/>
            <w:tcBorders>
              <w:top w:val="nil"/>
              <w:left w:val="nil"/>
              <w:bottom w:val="dotted" w:sz="4" w:space="0" w:color="auto"/>
              <w:right w:val="dotted" w:sz="4" w:space="0" w:color="auto"/>
            </w:tcBorders>
            <w:shd w:val="clear" w:color="auto" w:fill="FFFFFF"/>
            <w:hideMark/>
          </w:tcPr>
          <w:p w14:paraId="73AE9A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5.2 </w:t>
            </w:r>
          </w:p>
        </w:tc>
        <w:tc>
          <w:tcPr>
            <w:tcW w:w="873" w:type="dxa"/>
            <w:tcBorders>
              <w:top w:val="nil"/>
              <w:left w:val="nil"/>
              <w:bottom w:val="dotted" w:sz="4" w:space="0" w:color="auto"/>
              <w:right w:val="dotted" w:sz="4" w:space="0" w:color="auto"/>
            </w:tcBorders>
            <w:hideMark/>
          </w:tcPr>
          <w:p w14:paraId="0C678446"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2.4</w:t>
            </w:r>
          </w:p>
        </w:tc>
        <w:tc>
          <w:tcPr>
            <w:tcW w:w="874" w:type="dxa"/>
            <w:tcBorders>
              <w:top w:val="nil"/>
              <w:left w:val="nil"/>
              <w:bottom w:val="dotted" w:sz="4" w:space="0" w:color="auto"/>
              <w:right w:val="dotted" w:sz="4" w:space="0" w:color="auto"/>
            </w:tcBorders>
            <w:hideMark/>
          </w:tcPr>
          <w:p w14:paraId="7A4A23DA"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5.5 </w:t>
            </w:r>
          </w:p>
        </w:tc>
        <w:tc>
          <w:tcPr>
            <w:tcW w:w="873" w:type="dxa"/>
            <w:tcBorders>
              <w:top w:val="nil"/>
              <w:left w:val="nil"/>
              <w:bottom w:val="dotted" w:sz="4" w:space="0" w:color="auto"/>
              <w:right w:val="dotted" w:sz="4" w:space="0" w:color="auto"/>
            </w:tcBorders>
            <w:shd w:val="clear" w:color="auto" w:fill="FFFFFF"/>
            <w:hideMark/>
          </w:tcPr>
          <w:p w14:paraId="094E6BC4"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5.4 </w:t>
            </w:r>
          </w:p>
        </w:tc>
        <w:tc>
          <w:tcPr>
            <w:tcW w:w="874" w:type="dxa"/>
            <w:tcBorders>
              <w:top w:val="nil"/>
              <w:left w:val="nil"/>
              <w:bottom w:val="dotted" w:sz="4" w:space="0" w:color="auto"/>
              <w:right w:val="double" w:sz="6" w:space="0" w:color="000000"/>
            </w:tcBorders>
            <w:shd w:val="clear" w:color="auto" w:fill="FFFFFF"/>
            <w:hideMark/>
          </w:tcPr>
          <w:p w14:paraId="20890490"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5.5 </w:t>
            </w:r>
          </w:p>
        </w:tc>
      </w:tr>
      <w:tr w:rsidR="00FA29AB" w:rsidRPr="00050FA4" w14:paraId="0FD2EE72"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3FEA00F0"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2. Defence</w:t>
            </w:r>
          </w:p>
        </w:tc>
        <w:tc>
          <w:tcPr>
            <w:tcW w:w="1425" w:type="dxa"/>
            <w:tcBorders>
              <w:top w:val="nil"/>
              <w:left w:val="nil"/>
              <w:bottom w:val="dotted" w:sz="4" w:space="0" w:color="auto"/>
              <w:right w:val="single" w:sz="8" w:space="0" w:color="auto"/>
            </w:tcBorders>
            <w:shd w:val="clear" w:color="auto" w:fill="FFFFFF"/>
            <w:hideMark/>
          </w:tcPr>
          <w:p w14:paraId="0F32D719"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2</w:t>
            </w:r>
          </w:p>
        </w:tc>
        <w:tc>
          <w:tcPr>
            <w:tcW w:w="1070" w:type="dxa"/>
            <w:tcBorders>
              <w:top w:val="nil"/>
              <w:left w:val="nil"/>
              <w:bottom w:val="dotted" w:sz="4" w:space="0" w:color="auto"/>
              <w:right w:val="dotted" w:sz="4" w:space="0" w:color="auto"/>
            </w:tcBorders>
            <w:shd w:val="clear" w:color="auto" w:fill="FFFFFF"/>
            <w:hideMark/>
          </w:tcPr>
          <w:p w14:paraId="2C72A0B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0.8 </w:t>
            </w:r>
          </w:p>
        </w:tc>
        <w:tc>
          <w:tcPr>
            <w:tcW w:w="873" w:type="dxa"/>
            <w:tcBorders>
              <w:top w:val="nil"/>
              <w:left w:val="nil"/>
              <w:bottom w:val="dotted" w:sz="4" w:space="0" w:color="auto"/>
              <w:right w:val="dotted" w:sz="4" w:space="0" w:color="auto"/>
            </w:tcBorders>
            <w:shd w:val="clear" w:color="auto" w:fill="FFFFFF"/>
            <w:hideMark/>
          </w:tcPr>
          <w:p w14:paraId="448D5784"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0.9</w:t>
            </w:r>
          </w:p>
        </w:tc>
        <w:tc>
          <w:tcPr>
            <w:tcW w:w="874" w:type="dxa"/>
            <w:tcBorders>
              <w:top w:val="nil"/>
              <w:left w:val="nil"/>
              <w:bottom w:val="dotted" w:sz="4" w:space="0" w:color="auto"/>
              <w:right w:val="dotted" w:sz="4" w:space="0" w:color="auto"/>
            </w:tcBorders>
            <w:shd w:val="clear" w:color="auto" w:fill="FFFFFF"/>
            <w:hideMark/>
          </w:tcPr>
          <w:p w14:paraId="7D632928"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1.5 </w:t>
            </w:r>
          </w:p>
        </w:tc>
        <w:tc>
          <w:tcPr>
            <w:tcW w:w="873" w:type="dxa"/>
            <w:tcBorders>
              <w:top w:val="nil"/>
              <w:left w:val="nil"/>
              <w:bottom w:val="dotted" w:sz="4" w:space="0" w:color="auto"/>
              <w:right w:val="dotted" w:sz="4" w:space="0" w:color="auto"/>
            </w:tcBorders>
            <w:shd w:val="clear" w:color="auto" w:fill="FFFFFF"/>
            <w:hideMark/>
          </w:tcPr>
          <w:p w14:paraId="602EEB4D"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1.5 </w:t>
            </w:r>
          </w:p>
        </w:tc>
        <w:tc>
          <w:tcPr>
            <w:tcW w:w="874" w:type="dxa"/>
            <w:tcBorders>
              <w:top w:val="nil"/>
              <w:left w:val="nil"/>
              <w:bottom w:val="dotted" w:sz="4" w:space="0" w:color="auto"/>
              <w:right w:val="double" w:sz="6" w:space="0" w:color="000000"/>
            </w:tcBorders>
            <w:shd w:val="clear" w:color="auto" w:fill="FFFFFF"/>
            <w:hideMark/>
          </w:tcPr>
          <w:p w14:paraId="0305C7E9"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1.5 </w:t>
            </w:r>
          </w:p>
        </w:tc>
      </w:tr>
      <w:tr w:rsidR="00FA29AB" w:rsidRPr="00050FA4" w14:paraId="021B0444"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2A1232C1"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3. Public order and safety</w:t>
            </w:r>
          </w:p>
        </w:tc>
        <w:tc>
          <w:tcPr>
            <w:tcW w:w="1425" w:type="dxa"/>
            <w:tcBorders>
              <w:top w:val="nil"/>
              <w:left w:val="nil"/>
              <w:bottom w:val="dotted" w:sz="4" w:space="0" w:color="auto"/>
              <w:right w:val="single" w:sz="8" w:space="0" w:color="auto"/>
            </w:tcBorders>
            <w:shd w:val="clear" w:color="auto" w:fill="FFFFFF"/>
            <w:hideMark/>
          </w:tcPr>
          <w:p w14:paraId="1731EE75"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3</w:t>
            </w:r>
          </w:p>
        </w:tc>
        <w:tc>
          <w:tcPr>
            <w:tcW w:w="1070" w:type="dxa"/>
            <w:tcBorders>
              <w:top w:val="nil"/>
              <w:left w:val="nil"/>
              <w:bottom w:val="dotted" w:sz="4" w:space="0" w:color="auto"/>
              <w:right w:val="dotted" w:sz="4" w:space="0" w:color="auto"/>
            </w:tcBorders>
            <w:shd w:val="clear" w:color="auto" w:fill="FFFFFF"/>
            <w:hideMark/>
          </w:tcPr>
          <w:p w14:paraId="7195B7E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2.0 </w:t>
            </w:r>
          </w:p>
        </w:tc>
        <w:tc>
          <w:tcPr>
            <w:tcW w:w="873" w:type="dxa"/>
            <w:tcBorders>
              <w:top w:val="nil"/>
              <w:left w:val="nil"/>
              <w:bottom w:val="dotted" w:sz="4" w:space="0" w:color="auto"/>
              <w:right w:val="dotted" w:sz="4" w:space="0" w:color="auto"/>
            </w:tcBorders>
            <w:shd w:val="clear" w:color="auto" w:fill="FFFFFF"/>
            <w:hideMark/>
          </w:tcPr>
          <w:p w14:paraId="17BCD1A4"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1.7</w:t>
            </w:r>
          </w:p>
        </w:tc>
        <w:tc>
          <w:tcPr>
            <w:tcW w:w="874" w:type="dxa"/>
            <w:tcBorders>
              <w:top w:val="nil"/>
              <w:left w:val="nil"/>
              <w:bottom w:val="dotted" w:sz="4" w:space="0" w:color="auto"/>
              <w:right w:val="dotted" w:sz="4" w:space="0" w:color="auto"/>
            </w:tcBorders>
            <w:shd w:val="clear" w:color="auto" w:fill="FFFFFF"/>
            <w:hideMark/>
          </w:tcPr>
          <w:p w14:paraId="41C34763"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1.9 </w:t>
            </w:r>
          </w:p>
        </w:tc>
        <w:tc>
          <w:tcPr>
            <w:tcW w:w="873" w:type="dxa"/>
            <w:tcBorders>
              <w:top w:val="nil"/>
              <w:left w:val="nil"/>
              <w:bottom w:val="dotted" w:sz="4" w:space="0" w:color="auto"/>
              <w:right w:val="dotted" w:sz="4" w:space="0" w:color="auto"/>
            </w:tcBorders>
            <w:shd w:val="clear" w:color="auto" w:fill="FFFFFF"/>
            <w:hideMark/>
          </w:tcPr>
          <w:p w14:paraId="7B966D63"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1.8 </w:t>
            </w:r>
          </w:p>
        </w:tc>
        <w:tc>
          <w:tcPr>
            <w:tcW w:w="874" w:type="dxa"/>
            <w:tcBorders>
              <w:top w:val="nil"/>
              <w:left w:val="nil"/>
              <w:bottom w:val="dotted" w:sz="4" w:space="0" w:color="auto"/>
              <w:right w:val="double" w:sz="6" w:space="0" w:color="000000"/>
            </w:tcBorders>
            <w:shd w:val="clear" w:color="auto" w:fill="FFFFFF"/>
            <w:hideMark/>
          </w:tcPr>
          <w:p w14:paraId="54EF79A8"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1.8 </w:t>
            </w:r>
          </w:p>
        </w:tc>
      </w:tr>
      <w:tr w:rsidR="00FA29AB" w:rsidRPr="00050FA4" w14:paraId="0A88AAC5"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617F5D33"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4. Economic affairs</w:t>
            </w:r>
          </w:p>
        </w:tc>
        <w:tc>
          <w:tcPr>
            <w:tcW w:w="1425" w:type="dxa"/>
            <w:tcBorders>
              <w:top w:val="nil"/>
              <w:left w:val="nil"/>
              <w:bottom w:val="dotted" w:sz="4" w:space="0" w:color="auto"/>
              <w:right w:val="single" w:sz="8" w:space="0" w:color="auto"/>
            </w:tcBorders>
            <w:shd w:val="clear" w:color="auto" w:fill="FFFFFF"/>
            <w:hideMark/>
          </w:tcPr>
          <w:p w14:paraId="6E2745B8"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4</w:t>
            </w:r>
          </w:p>
        </w:tc>
        <w:tc>
          <w:tcPr>
            <w:tcW w:w="1070" w:type="dxa"/>
            <w:tcBorders>
              <w:top w:val="nil"/>
              <w:left w:val="nil"/>
              <w:bottom w:val="dotted" w:sz="4" w:space="0" w:color="auto"/>
              <w:right w:val="dotted" w:sz="4" w:space="0" w:color="auto"/>
            </w:tcBorders>
            <w:shd w:val="clear" w:color="auto" w:fill="FFFFFF"/>
            <w:hideMark/>
          </w:tcPr>
          <w:p w14:paraId="73AA8CA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3.7 </w:t>
            </w:r>
          </w:p>
        </w:tc>
        <w:tc>
          <w:tcPr>
            <w:tcW w:w="873" w:type="dxa"/>
            <w:tcBorders>
              <w:top w:val="nil"/>
              <w:left w:val="nil"/>
              <w:bottom w:val="dotted" w:sz="4" w:space="0" w:color="auto"/>
              <w:right w:val="dotted" w:sz="4" w:space="0" w:color="auto"/>
            </w:tcBorders>
            <w:shd w:val="clear" w:color="auto" w:fill="FFFFFF"/>
            <w:hideMark/>
          </w:tcPr>
          <w:p w14:paraId="70E35A74"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3.2</w:t>
            </w:r>
          </w:p>
        </w:tc>
        <w:tc>
          <w:tcPr>
            <w:tcW w:w="874" w:type="dxa"/>
            <w:tcBorders>
              <w:top w:val="nil"/>
              <w:left w:val="nil"/>
              <w:bottom w:val="dotted" w:sz="4" w:space="0" w:color="auto"/>
              <w:right w:val="dotted" w:sz="4" w:space="0" w:color="auto"/>
            </w:tcBorders>
            <w:shd w:val="clear" w:color="auto" w:fill="FFFFFF"/>
            <w:hideMark/>
          </w:tcPr>
          <w:p w14:paraId="5D12085A"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3.3 </w:t>
            </w:r>
          </w:p>
        </w:tc>
        <w:tc>
          <w:tcPr>
            <w:tcW w:w="873" w:type="dxa"/>
            <w:tcBorders>
              <w:top w:val="nil"/>
              <w:left w:val="nil"/>
              <w:bottom w:val="dotted" w:sz="4" w:space="0" w:color="auto"/>
              <w:right w:val="dotted" w:sz="4" w:space="0" w:color="auto"/>
            </w:tcBorders>
            <w:shd w:val="clear" w:color="auto" w:fill="FFFFFF"/>
            <w:hideMark/>
          </w:tcPr>
          <w:p w14:paraId="17D75A69"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3.1 </w:t>
            </w:r>
          </w:p>
        </w:tc>
        <w:tc>
          <w:tcPr>
            <w:tcW w:w="874" w:type="dxa"/>
            <w:tcBorders>
              <w:top w:val="nil"/>
              <w:left w:val="nil"/>
              <w:bottom w:val="dotted" w:sz="4" w:space="0" w:color="auto"/>
              <w:right w:val="double" w:sz="6" w:space="0" w:color="000000"/>
            </w:tcBorders>
            <w:shd w:val="clear" w:color="auto" w:fill="FFFFFF"/>
            <w:hideMark/>
          </w:tcPr>
          <w:p w14:paraId="3BB42F55"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3.0 </w:t>
            </w:r>
          </w:p>
        </w:tc>
      </w:tr>
      <w:tr w:rsidR="00FA29AB" w:rsidRPr="00050FA4" w14:paraId="300CD453"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380C07B5"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5. Environmental protection</w:t>
            </w:r>
          </w:p>
        </w:tc>
        <w:tc>
          <w:tcPr>
            <w:tcW w:w="1425" w:type="dxa"/>
            <w:tcBorders>
              <w:top w:val="nil"/>
              <w:left w:val="nil"/>
              <w:bottom w:val="dotted" w:sz="4" w:space="0" w:color="auto"/>
              <w:right w:val="single" w:sz="8" w:space="0" w:color="auto"/>
            </w:tcBorders>
            <w:shd w:val="clear" w:color="auto" w:fill="FFFFFF"/>
            <w:hideMark/>
          </w:tcPr>
          <w:p w14:paraId="409070D0"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5</w:t>
            </w:r>
          </w:p>
        </w:tc>
        <w:tc>
          <w:tcPr>
            <w:tcW w:w="1070" w:type="dxa"/>
            <w:tcBorders>
              <w:top w:val="nil"/>
              <w:left w:val="nil"/>
              <w:bottom w:val="dotted" w:sz="4" w:space="0" w:color="auto"/>
              <w:right w:val="dotted" w:sz="4" w:space="0" w:color="auto"/>
            </w:tcBorders>
            <w:shd w:val="clear" w:color="auto" w:fill="FFFFFF"/>
            <w:hideMark/>
          </w:tcPr>
          <w:p w14:paraId="0044AF0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0.3 </w:t>
            </w:r>
          </w:p>
        </w:tc>
        <w:tc>
          <w:tcPr>
            <w:tcW w:w="873" w:type="dxa"/>
            <w:tcBorders>
              <w:top w:val="nil"/>
              <w:left w:val="nil"/>
              <w:bottom w:val="dotted" w:sz="4" w:space="0" w:color="auto"/>
              <w:right w:val="dotted" w:sz="4" w:space="0" w:color="auto"/>
            </w:tcBorders>
            <w:shd w:val="clear" w:color="auto" w:fill="FFFFFF"/>
            <w:hideMark/>
          </w:tcPr>
          <w:p w14:paraId="65FBAD15"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0.1</w:t>
            </w:r>
          </w:p>
        </w:tc>
        <w:tc>
          <w:tcPr>
            <w:tcW w:w="874" w:type="dxa"/>
            <w:tcBorders>
              <w:top w:val="nil"/>
              <w:left w:val="nil"/>
              <w:bottom w:val="dotted" w:sz="4" w:space="0" w:color="auto"/>
              <w:right w:val="dotted" w:sz="4" w:space="0" w:color="auto"/>
            </w:tcBorders>
            <w:shd w:val="clear" w:color="auto" w:fill="FFFFFF"/>
            <w:hideMark/>
          </w:tcPr>
          <w:p w14:paraId="032BDD0B"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0.2 </w:t>
            </w:r>
          </w:p>
        </w:tc>
        <w:tc>
          <w:tcPr>
            <w:tcW w:w="873" w:type="dxa"/>
            <w:tcBorders>
              <w:top w:val="nil"/>
              <w:left w:val="nil"/>
              <w:bottom w:val="dotted" w:sz="4" w:space="0" w:color="auto"/>
              <w:right w:val="dotted" w:sz="4" w:space="0" w:color="auto"/>
            </w:tcBorders>
            <w:shd w:val="clear" w:color="auto" w:fill="FFFFFF"/>
            <w:hideMark/>
          </w:tcPr>
          <w:p w14:paraId="44CBABC3"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0.2 </w:t>
            </w:r>
          </w:p>
        </w:tc>
        <w:tc>
          <w:tcPr>
            <w:tcW w:w="874" w:type="dxa"/>
            <w:tcBorders>
              <w:top w:val="nil"/>
              <w:left w:val="nil"/>
              <w:bottom w:val="dotted" w:sz="4" w:space="0" w:color="auto"/>
              <w:right w:val="double" w:sz="6" w:space="0" w:color="000000"/>
            </w:tcBorders>
            <w:shd w:val="clear" w:color="auto" w:fill="FFFFFF"/>
            <w:hideMark/>
          </w:tcPr>
          <w:p w14:paraId="54893D98"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0.2 </w:t>
            </w:r>
          </w:p>
        </w:tc>
      </w:tr>
      <w:tr w:rsidR="00FA29AB" w:rsidRPr="00050FA4" w14:paraId="1B4CFFFA"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773A4166"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6. Housing and community amenities</w:t>
            </w:r>
          </w:p>
        </w:tc>
        <w:tc>
          <w:tcPr>
            <w:tcW w:w="1425" w:type="dxa"/>
            <w:tcBorders>
              <w:top w:val="nil"/>
              <w:left w:val="nil"/>
              <w:bottom w:val="dotted" w:sz="4" w:space="0" w:color="auto"/>
              <w:right w:val="single" w:sz="8" w:space="0" w:color="auto"/>
            </w:tcBorders>
            <w:shd w:val="clear" w:color="auto" w:fill="FFFFFF"/>
            <w:hideMark/>
          </w:tcPr>
          <w:p w14:paraId="10EBF0AD"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6</w:t>
            </w:r>
          </w:p>
        </w:tc>
        <w:tc>
          <w:tcPr>
            <w:tcW w:w="1070" w:type="dxa"/>
            <w:tcBorders>
              <w:top w:val="nil"/>
              <w:left w:val="nil"/>
              <w:bottom w:val="dotted" w:sz="4" w:space="0" w:color="auto"/>
              <w:right w:val="dotted" w:sz="4" w:space="0" w:color="auto"/>
            </w:tcBorders>
            <w:shd w:val="clear" w:color="auto" w:fill="FFFFFF"/>
            <w:hideMark/>
          </w:tcPr>
          <w:p w14:paraId="467CD1D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3.2 </w:t>
            </w:r>
          </w:p>
        </w:tc>
        <w:tc>
          <w:tcPr>
            <w:tcW w:w="873" w:type="dxa"/>
            <w:tcBorders>
              <w:top w:val="nil"/>
              <w:left w:val="nil"/>
              <w:bottom w:val="dotted" w:sz="4" w:space="0" w:color="auto"/>
              <w:right w:val="dotted" w:sz="4" w:space="0" w:color="auto"/>
            </w:tcBorders>
            <w:shd w:val="clear" w:color="auto" w:fill="FFFFFF"/>
            <w:hideMark/>
          </w:tcPr>
          <w:p w14:paraId="3D8A4F3D"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2.4</w:t>
            </w:r>
          </w:p>
        </w:tc>
        <w:tc>
          <w:tcPr>
            <w:tcW w:w="874" w:type="dxa"/>
            <w:tcBorders>
              <w:top w:val="nil"/>
              <w:left w:val="nil"/>
              <w:bottom w:val="dotted" w:sz="4" w:space="0" w:color="auto"/>
              <w:right w:val="dotted" w:sz="4" w:space="0" w:color="auto"/>
            </w:tcBorders>
            <w:shd w:val="clear" w:color="auto" w:fill="FFFFFF"/>
            <w:hideMark/>
          </w:tcPr>
          <w:p w14:paraId="7E0EAADA"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3.5 </w:t>
            </w:r>
          </w:p>
        </w:tc>
        <w:tc>
          <w:tcPr>
            <w:tcW w:w="873" w:type="dxa"/>
            <w:tcBorders>
              <w:top w:val="nil"/>
              <w:left w:val="nil"/>
              <w:bottom w:val="dotted" w:sz="4" w:space="0" w:color="auto"/>
              <w:right w:val="dotted" w:sz="4" w:space="0" w:color="auto"/>
            </w:tcBorders>
            <w:shd w:val="clear" w:color="auto" w:fill="FFFFFF"/>
            <w:hideMark/>
          </w:tcPr>
          <w:p w14:paraId="13BD6948"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2.5 </w:t>
            </w:r>
          </w:p>
        </w:tc>
        <w:tc>
          <w:tcPr>
            <w:tcW w:w="874" w:type="dxa"/>
            <w:tcBorders>
              <w:top w:val="nil"/>
              <w:left w:val="nil"/>
              <w:bottom w:val="dotted" w:sz="4" w:space="0" w:color="auto"/>
              <w:right w:val="double" w:sz="6" w:space="0" w:color="000000"/>
            </w:tcBorders>
            <w:shd w:val="clear" w:color="auto" w:fill="FFFFFF"/>
            <w:hideMark/>
          </w:tcPr>
          <w:p w14:paraId="647C9AD6"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2.4 </w:t>
            </w:r>
          </w:p>
        </w:tc>
      </w:tr>
      <w:tr w:rsidR="00FA29AB" w:rsidRPr="00050FA4" w14:paraId="40A203E8"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7404D370"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7. Health</w:t>
            </w:r>
          </w:p>
        </w:tc>
        <w:tc>
          <w:tcPr>
            <w:tcW w:w="1425" w:type="dxa"/>
            <w:tcBorders>
              <w:top w:val="nil"/>
              <w:left w:val="nil"/>
              <w:bottom w:val="dotted" w:sz="4" w:space="0" w:color="auto"/>
              <w:right w:val="single" w:sz="8" w:space="0" w:color="auto"/>
            </w:tcBorders>
            <w:shd w:val="clear" w:color="auto" w:fill="FFFFFF"/>
            <w:hideMark/>
          </w:tcPr>
          <w:p w14:paraId="783063AC"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7</w:t>
            </w:r>
          </w:p>
        </w:tc>
        <w:tc>
          <w:tcPr>
            <w:tcW w:w="1070" w:type="dxa"/>
            <w:tcBorders>
              <w:top w:val="nil"/>
              <w:left w:val="nil"/>
              <w:bottom w:val="dotted" w:sz="4" w:space="0" w:color="auto"/>
              <w:right w:val="dotted" w:sz="4" w:space="0" w:color="auto"/>
            </w:tcBorders>
            <w:shd w:val="clear" w:color="auto" w:fill="FFFFFF"/>
            <w:hideMark/>
          </w:tcPr>
          <w:p w14:paraId="736CC49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3.2 </w:t>
            </w:r>
          </w:p>
        </w:tc>
        <w:tc>
          <w:tcPr>
            <w:tcW w:w="873" w:type="dxa"/>
            <w:tcBorders>
              <w:top w:val="nil"/>
              <w:left w:val="nil"/>
              <w:bottom w:val="dotted" w:sz="4" w:space="0" w:color="auto"/>
              <w:right w:val="dotted" w:sz="4" w:space="0" w:color="auto"/>
            </w:tcBorders>
            <w:shd w:val="clear" w:color="auto" w:fill="FFFFFF"/>
            <w:hideMark/>
          </w:tcPr>
          <w:p w14:paraId="2EBE4ECA"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3.2</w:t>
            </w:r>
          </w:p>
        </w:tc>
        <w:tc>
          <w:tcPr>
            <w:tcW w:w="874" w:type="dxa"/>
            <w:tcBorders>
              <w:top w:val="nil"/>
              <w:left w:val="nil"/>
              <w:bottom w:val="dotted" w:sz="4" w:space="0" w:color="auto"/>
              <w:right w:val="dotted" w:sz="4" w:space="0" w:color="auto"/>
            </w:tcBorders>
            <w:shd w:val="clear" w:color="auto" w:fill="FFFFFF"/>
            <w:hideMark/>
          </w:tcPr>
          <w:p w14:paraId="55E159F2"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3.5 </w:t>
            </w:r>
          </w:p>
        </w:tc>
        <w:tc>
          <w:tcPr>
            <w:tcW w:w="873" w:type="dxa"/>
            <w:tcBorders>
              <w:top w:val="nil"/>
              <w:left w:val="nil"/>
              <w:bottom w:val="dotted" w:sz="4" w:space="0" w:color="auto"/>
              <w:right w:val="dotted" w:sz="4" w:space="0" w:color="auto"/>
            </w:tcBorders>
            <w:shd w:val="clear" w:color="auto" w:fill="FFFFFF"/>
            <w:hideMark/>
          </w:tcPr>
          <w:p w14:paraId="41448C74"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3.4 </w:t>
            </w:r>
          </w:p>
        </w:tc>
        <w:tc>
          <w:tcPr>
            <w:tcW w:w="874" w:type="dxa"/>
            <w:tcBorders>
              <w:top w:val="nil"/>
              <w:left w:val="nil"/>
              <w:bottom w:val="dotted" w:sz="4" w:space="0" w:color="auto"/>
              <w:right w:val="double" w:sz="6" w:space="0" w:color="000000"/>
            </w:tcBorders>
            <w:shd w:val="clear" w:color="auto" w:fill="FFFFFF"/>
            <w:hideMark/>
          </w:tcPr>
          <w:p w14:paraId="7DCD1B6C"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3.4 </w:t>
            </w:r>
          </w:p>
        </w:tc>
      </w:tr>
      <w:tr w:rsidR="00FA29AB" w:rsidRPr="00050FA4" w14:paraId="284E39FF"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227CB6EC"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8. Recreation, culture and religion</w:t>
            </w:r>
          </w:p>
        </w:tc>
        <w:tc>
          <w:tcPr>
            <w:tcW w:w="1425" w:type="dxa"/>
            <w:tcBorders>
              <w:top w:val="nil"/>
              <w:left w:val="nil"/>
              <w:bottom w:val="dotted" w:sz="4" w:space="0" w:color="auto"/>
              <w:right w:val="single" w:sz="8" w:space="0" w:color="auto"/>
            </w:tcBorders>
            <w:shd w:val="clear" w:color="auto" w:fill="FFFFFF"/>
            <w:hideMark/>
          </w:tcPr>
          <w:p w14:paraId="258234D5"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8</w:t>
            </w:r>
          </w:p>
        </w:tc>
        <w:tc>
          <w:tcPr>
            <w:tcW w:w="1070" w:type="dxa"/>
            <w:tcBorders>
              <w:top w:val="nil"/>
              <w:left w:val="nil"/>
              <w:bottom w:val="dotted" w:sz="4" w:space="0" w:color="auto"/>
              <w:right w:val="dotted" w:sz="4" w:space="0" w:color="auto"/>
            </w:tcBorders>
            <w:shd w:val="clear" w:color="auto" w:fill="FFFFFF"/>
            <w:hideMark/>
          </w:tcPr>
          <w:p w14:paraId="0F31929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0.4 </w:t>
            </w:r>
          </w:p>
        </w:tc>
        <w:tc>
          <w:tcPr>
            <w:tcW w:w="873" w:type="dxa"/>
            <w:tcBorders>
              <w:top w:val="nil"/>
              <w:left w:val="nil"/>
              <w:bottom w:val="dotted" w:sz="4" w:space="0" w:color="auto"/>
              <w:right w:val="dotted" w:sz="4" w:space="0" w:color="auto"/>
            </w:tcBorders>
            <w:shd w:val="clear" w:color="auto" w:fill="FFFFFF"/>
            <w:hideMark/>
          </w:tcPr>
          <w:p w14:paraId="7BD18212"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0.3</w:t>
            </w:r>
          </w:p>
        </w:tc>
        <w:tc>
          <w:tcPr>
            <w:tcW w:w="874" w:type="dxa"/>
            <w:tcBorders>
              <w:top w:val="nil"/>
              <w:left w:val="nil"/>
              <w:bottom w:val="dotted" w:sz="4" w:space="0" w:color="auto"/>
              <w:right w:val="dotted" w:sz="4" w:space="0" w:color="auto"/>
            </w:tcBorders>
            <w:shd w:val="clear" w:color="auto" w:fill="FFFFFF"/>
            <w:hideMark/>
          </w:tcPr>
          <w:p w14:paraId="2F77D6DD"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0.4 </w:t>
            </w:r>
          </w:p>
        </w:tc>
        <w:tc>
          <w:tcPr>
            <w:tcW w:w="873" w:type="dxa"/>
            <w:tcBorders>
              <w:top w:val="nil"/>
              <w:left w:val="nil"/>
              <w:bottom w:val="dotted" w:sz="4" w:space="0" w:color="auto"/>
              <w:right w:val="dotted" w:sz="4" w:space="0" w:color="auto"/>
            </w:tcBorders>
            <w:shd w:val="clear" w:color="auto" w:fill="FFFFFF"/>
            <w:hideMark/>
          </w:tcPr>
          <w:p w14:paraId="237AAC89"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0.5 </w:t>
            </w:r>
          </w:p>
        </w:tc>
        <w:tc>
          <w:tcPr>
            <w:tcW w:w="874" w:type="dxa"/>
            <w:tcBorders>
              <w:top w:val="nil"/>
              <w:left w:val="nil"/>
              <w:bottom w:val="dotted" w:sz="4" w:space="0" w:color="auto"/>
              <w:right w:val="double" w:sz="6" w:space="0" w:color="000000"/>
            </w:tcBorders>
            <w:shd w:val="clear" w:color="auto" w:fill="FFFFFF"/>
            <w:hideMark/>
          </w:tcPr>
          <w:p w14:paraId="3439CBDA"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0.5 </w:t>
            </w:r>
          </w:p>
        </w:tc>
      </w:tr>
      <w:tr w:rsidR="00FA29AB" w:rsidRPr="00050FA4" w14:paraId="37FA5FB2"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5C13B045"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9. Education</w:t>
            </w:r>
          </w:p>
        </w:tc>
        <w:tc>
          <w:tcPr>
            <w:tcW w:w="1425" w:type="dxa"/>
            <w:tcBorders>
              <w:top w:val="nil"/>
              <w:left w:val="nil"/>
              <w:bottom w:val="dotted" w:sz="4" w:space="0" w:color="auto"/>
              <w:right w:val="single" w:sz="8" w:space="0" w:color="auto"/>
            </w:tcBorders>
            <w:shd w:val="clear" w:color="auto" w:fill="FFFFFF"/>
            <w:hideMark/>
          </w:tcPr>
          <w:p w14:paraId="7A5E2F97"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9</w:t>
            </w:r>
          </w:p>
        </w:tc>
        <w:tc>
          <w:tcPr>
            <w:tcW w:w="1070" w:type="dxa"/>
            <w:tcBorders>
              <w:top w:val="nil"/>
              <w:left w:val="nil"/>
              <w:bottom w:val="dotted" w:sz="4" w:space="0" w:color="auto"/>
              <w:right w:val="dotted" w:sz="4" w:space="0" w:color="auto"/>
            </w:tcBorders>
            <w:shd w:val="clear" w:color="auto" w:fill="FFFFFF"/>
            <w:hideMark/>
          </w:tcPr>
          <w:p w14:paraId="0A549C9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3.3 </w:t>
            </w:r>
          </w:p>
        </w:tc>
        <w:tc>
          <w:tcPr>
            <w:tcW w:w="873" w:type="dxa"/>
            <w:tcBorders>
              <w:top w:val="nil"/>
              <w:left w:val="nil"/>
              <w:bottom w:val="dotted" w:sz="4" w:space="0" w:color="auto"/>
              <w:right w:val="dotted" w:sz="4" w:space="0" w:color="auto"/>
            </w:tcBorders>
            <w:shd w:val="clear" w:color="auto" w:fill="FFFFFF"/>
            <w:hideMark/>
          </w:tcPr>
          <w:p w14:paraId="6B08BDBF"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2.4</w:t>
            </w:r>
          </w:p>
        </w:tc>
        <w:tc>
          <w:tcPr>
            <w:tcW w:w="874" w:type="dxa"/>
            <w:tcBorders>
              <w:top w:val="nil"/>
              <w:left w:val="nil"/>
              <w:bottom w:val="dotted" w:sz="4" w:space="0" w:color="auto"/>
              <w:right w:val="dotted" w:sz="4" w:space="0" w:color="auto"/>
            </w:tcBorders>
            <w:shd w:val="clear" w:color="auto" w:fill="FFFFFF"/>
            <w:hideMark/>
          </w:tcPr>
          <w:p w14:paraId="4964479D"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3.6 </w:t>
            </w:r>
          </w:p>
        </w:tc>
        <w:tc>
          <w:tcPr>
            <w:tcW w:w="873" w:type="dxa"/>
            <w:tcBorders>
              <w:top w:val="nil"/>
              <w:left w:val="nil"/>
              <w:bottom w:val="dotted" w:sz="4" w:space="0" w:color="auto"/>
              <w:right w:val="dotted" w:sz="4" w:space="0" w:color="auto"/>
            </w:tcBorders>
            <w:shd w:val="clear" w:color="auto" w:fill="FFFFFF"/>
            <w:hideMark/>
          </w:tcPr>
          <w:p w14:paraId="271C3C5C"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3.6 </w:t>
            </w:r>
          </w:p>
        </w:tc>
        <w:tc>
          <w:tcPr>
            <w:tcW w:w="874" w:type="dxa"/>
            <w:tcBorders>
              <w:top w:val="nil"/>
              <w:left w:val="nil"/>
              <w:bottom w:val="dotted" w:sz="4" w:space="0" w:color="auto"/>
              <w:right w:val="double" w:sz="6" w:space="0" w:color="000000"/>
            </w:tcBorders>
            <w:shd w:val="clear" w:color="auto" w:fill="FFFFFF"/>
            <w:hideMark/>
          </w:tcPr>
          <w:p w14:paraId="01446599"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3.7 </w:t>
            </w:r>
          </w:p>
        </w:tc>
      </w:tr>
      <w:tr w:rsidR="00FA29AB" w:rsidRPr="00050FA4" w14:paraId="05E26CF3"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1B360396"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10. Social protection</w:t>
            </w:r>
          </w:p>
        </w:tc>
        <w:tc>
          <w:tcPr>
            <w:tcW w:w="1425" w:type="dxa"/>
            <w:tcBorders>
              <w:top w:val="nil"/>
              <w:left w:val="nil"/>
              <w:bottom w:val="dotted" w:sz="4" w:space="0" w:color="auto"/>
              <w:right w:val="single" w:sz="8" w:space="0" w:color="auto"/>
            </w:tcBorders>
            <w:shd w:val="clear" w:color="auto" w:fill="FFFFFF"/>
            <w:hideMark/>
          </w:tcPr>
          <w:p w14:paraId="02346138"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10</w:t>
            </w:r>
          </w:p>
        </w:tc>
        <w:tc>
          <w:tcPr>
            <w:tcW w:w="1070" w:type="dxa"/>
            <w:tcBorders>
              <w:top w:val="nil"/>
              <w:left w:val="nil"/>
              <w:bottom w:val="dotted" w:sz="4" w:space="0" w:color="auto"/>
              <w:right w:val="dotted" w:sz="4" w:space="0" w:color="auto"/>
            </w:tcBorders>
            <w:shd w:val="clear" w:color="auto" w:fill="FFFFFF"/>
            <w:hideMark/>
          </w:tcPr>
          <w:p w14:paraId="2E825F0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11.0 </w:t>
            </w:r>
          </w:p>
        </w:tc>
        <w:tc>
          <w:tcPr>
            <w:tcW w:w="873" w:type="dxa"/>
            <w:tcBorders>
              <w:top w:val="nil"/>
              <w:left w:val="nil"/>
              <w:bottom w:val="dotted" w:sz="4" w:space="0" w:color="auto"/>
              <w:right w:val="dotted" w:sz="4" w:space="0" w:color="auto"/>
            </w:tcBorders>
            <w:shd w:val="clear" w:color="auto" w:fill="FFFFFF"/>
            <w:hideMark/>
          </w:tcPr>
          <w:p w14:paraId="5A83BC60"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10.1</w:t>
            </w:r>
          </w:p>
        </w:tc>
        <w:tc>
          <w:tcPr>
            <w:tcW w:w="874" w:type="dxa"/>
            <w:tcBorders>
              <w:top w:val="nil"/>
              <w:left w:val="nil"/>
              <w:bottom w:val="dotted" w:sz="4" w:space="0" w:color="auto"/>
              <w:right w:val="dotted" w:sz="4" w:space="0" w:color="auto"/>
            </w:tcBorders>
            <w:shd w:val="clear" w:color="auto" w:fill="FFFFFF"/>
            <w:hideMark/>
          </w:tcPr>
          <w:p w14:paraId="0ADE87E5"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9.9 </w:t>
            </w:r>
          </w:p>
        </w:tc>
        <w:tc>
          <w:tcPr>
            <w:tcW w:w="873" w:type="dxa"/>
            <w:tcBorders>
              <w:top w:val="nil"/>
              <w:left w:val="nil"/>
              <w:bottom w:val="dotted" w:sz="4" w:space="0" w:color="auto"/>
              <w:right w:val="dotted" w:sz="4" w:space="0" w:color="auto"/>
            </w:tcBorders>
            <w:shd w:val="clear" w:color="auto" w:fill="FFFFFF"/>
            <w:hideMark/>
          </w:tcPr>
          <w:p w14:paraId="16100794"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9.6 </w:t>
            </w:r>
          </w:p>
        </w:tc>
        <w:tc>
          <w:tcPr>
            <w:tcW w:w="874" w:type="dxa"/>
            <w:tcBorders>
              <w:top w:val="nil"/>
              <w:left w:val="nil"/>
              <w:bottom w:val="dotted" w:sz="4" w:space="0" w:color="auto"/>
              <w:right w:val="double" w:sz="6" w:space="0" w:color="000000"/>
            </w:tcBorders>
            <w:shd w:val="clear" w:color="auto" w:fill="FFFFFF"/>
            <w:hideMark/>
          </w:tcPr>
          <w:p w14:paraId="7FFF72C2"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9.6 </w:t>
            </w:r>
          </w:p>
        </w:tc>
      </w:tr>
      <w:tr w:rsidR="00FA29AB" w:rsidRPr="00050FA4" w14:paraId="7407293B" w14:textId="77777777" w:rsidTr="00617B60">
        <w:trPr>
          <w:trHeight w:val="235"/>
          <w:jc w:val="center"/>
        </w:trPr>
        <w:tc>
          <w:tcPr>
            <w:tcW w:w="4312" w:type="dxa"/>
            <w:tcBorders>
              <w:top w:val="nil"/>
              <w:left w:val="double" w:sz="6" w:space="0" w:color="000000"/>
              <w:bottom w:val="dotted" w:sz="4" w:space="0" w:color="auto"/>
              <w:right w:val="dotted" w:sz="4" w:space="0" w:color="auto"/>
            </w:tcBorders>
            <w:shd w:val="clear" w:color="auto" w:fill="FFFFFF"/>
            <w:hideMark/>
          </w:tcPr>
          <w:p w14:paraId="5A7A4C1D"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Other relevant variables*</w:t>
            </w:r>
          </w:p>
        </w:tc>
        <w:tc>
          <w:tcPr>
            <w:tcW w:w="1425" w:type="dxa"/>
            <w:tcBorders>
              <w:top w:val="nil"/>
              <w:left w:val="nil"/>
              <w:bottom w:val="dotted" w:sz="4" w:space="0" w:color="auto"/>
              <w:right w:val="single" w:sz="8" w:space="0" w:color="auto"/>
            </w:tcBorders>
            <w:shd w:val="clear" w:color="auto" w:fill="FFFFFF"/>
          </w:tcPr>
          <w:p w14:paraId="20C6EA53" w14:textId="77777777" w:rsidR="00094A26" w:rsidRPr="00050FA4" w:rsidRDefault="00094A26" w:rsidP="00A95D23">
            <w:pPr>
              <w:jc w:val="center"/>
              <w:rPr>
                <w:rFonts w:ascii="Garamond" w:hAnsi="Garamond"/>
                <w:color w:val="0D0D0D" w:themeColor="text1" w:themeTint="F2"/>
                <w:sz w:val="18"/>
                <w:szCs w:val="18"/>
              </w:rPr>
            </w:pPr>
          </w:p>
        </w:tc>
        <w:tc>
          <w:tcPr>
            <w:tcW w:w="1070" w:type="dxa"/>
            <w:tcBorders>
              <w:top w:val="nil"/>
              <w:left w:val="nil"/>
              <w:bottom w:val="dotted" w:sz="4" w:space="0" w:color="auto"/>
              <w:right w:val="dotted" w:sz="4" w:space="0" w:color="auto"/>
            </w:tcBorders>
            <w:shd w:val="clear" w:color="auto" w:fill="FFFFFF"/>
            <w:hideMark/>
          </w:tcPr>
          <w:p w14:paraId="0A183A50" w14:textId="0A6E03D0"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xml:space="preserve"> -</w:t>
            </w:r>
            <w:r w:rsidR="009B1D6B" w:rsidRPr="00050FA4">
              <w:rPr>
                <w:rFonts w:ascii="Garamond" w:hAnsi="Garamond"/>
                <w:color w:val="0D0D0D" w:themeColor="text1" w:themeTint="F2"/>
                <w:sz w:val="18"/>
                <w:szCs w:val="18"/>
              </w:rPr>
              <w:t xml:space="preserve"> </w:t>
            </w:r>
          </w:p>
        </w:tc>
        <w:tc>
          <w:tcPr>
            <w:tcW w:w="873" w:type="dxa"/>
            <w:tcBorders>
              <w:top w:val="nil"/>
              <w:left w:val="nil"/>
              <w:bottom w:val="dotted" w:sz="4" w:space="0" w:color="auto"/>
              <w:right w:val="dotted" w:sz="4" w:space="0" w:color="auto"/>
            </w:tcBorders>
            <w:shd w:val="clear" w:color="auto" w:fill="FFFFFF"/>
            <w:hideMark/>
          </w:tcPr>
          <w:p w14:paraId="5E81BF77"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8.9</w:t>
            </w:r>
          </w:p>
        </w:tc>
        <w:tc>
          <w:tcPr>
            <w:tcW w:w="874" w:type="dxa"/>
            <w:tcBorders>
              <w:top w:val="nil"/>
              <w:left w:val="nil"/>
              <w:bottom w:val="dotted" w:sz="4" w:space="0" w:color="auto"/>
              <w:right w:val="dotted" w:sz="4" w:space="0" w:color="auto"/>
            </w:tcBorders>
            <w:shd w:val="clear" w:color="auto" w:fill="FFFFFF"/>
            <w:hideMark/>
          </w:tcPr>
          <w:p w14:paraId="329B1F1C"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0.9 </w:t>
            </w:r>
          </w:p>
        </w:tc>
        <w:tc>
          <w:tcPr>
            <w:tcW w:w="873" w:type="dxa"/>
            <w:tcBorders>
              <w:top w:val="nil"/>
              <w:left w:val="nil"/>
              <w:bottom w:val="dotted" w:sz="4" w:space="0" w:color="auto"/>
              <w:right w:val="dotted" w:sz="4" w:space="0" w:color="auto"/>
            </w:tcBorders>
            <w:shd w:val="clear" w:color="auto" w:fill="FFFFFF"/>
            <w:hideMark/>
          </w:tcPr>
          <w:p w14:paraId="040537B6"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0.4 </w:t>
            </w:r>
          </w:p>
        </w:tc>
        <w:tc>
          <w:tcPr>
            <w:tcW w:w="874" w:type="dxa"/>
            <w:tcBorders>
              <w:top w:val="nil"/>
              <w:left w:val="nil"/>
              <w:bottom w:val="dotted" w:sz="4" w:space="0" w:color="auto"/>
              <w:right w:val="double" w:sz="6" w:space="0" w:color="000000"/>
            </w:tcBorders>
            <w:shd w:val="clear" w:color="auto" w:fill="FFFFFF"/>
            <w:hideMark/>
          </w:tcPr>
          <w:p w14:paraId="5736FFFB"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0.4 </w:t>
            </w:r>
          </w:p>
        </w:tc>
      </w:tr>
      <w:tr w:rsidR="00FA29AB" w:rsidRPr="00050FA4" w14:paraId="7A987B83" w14:textId="77777777" w:rsidTr="00617B60">
        <w:trPr>
          <w:trHeight w:val="235"/>
          <w:jc w:val="center"/>
        </w:trPr>
        <w:tc>
          <w:tcPr>
            <w:tcW w:w="4312" w:type="dxa"/>
            <w:tcBorders>
              <w:top w:val="nil"/>
              <w:left w:val="double" w:sz="6" w:space="0" w:color="000000"/>
              <w:bottom w:val="double" w:sz="6" w:space="0" w:color="000000"/>
              <w:right w:val="dotted" w:sz="4" w:space="0" w:color="auto"/>
            </w:tcBorders>
            <w:shd w:val="clear" w:color="auto" w:fill="FFFFFF"/>
            <w:hideMark/>
          </w:tcPr>
          <w:p w14:paraId="51C5AF99" w14:textId="77777777" w:rsidR="00094A26" w:rsidRPr="00050FA4" w:rsidRDefault="00094A26" w:rsidP="00A95D23">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11. Total expenditure (item 7 = 23 in Table 2)</w:t>
            </w:r>
          </w:p>
        </w:tc>
        <w:tc>
          <w:tcPr>
            <w:tcW w:w="1425" w:type="dxa"/>
            <w:tcBorders>
              <w:top w:val="nil"/>
              <w:left w:val="nil"/>
              <w:bottom w:val="double" w:sz="6" w:space="0" w:color="000000"/>
              <w:right w:val="single" w:sz="8" w:space="0" w:color="auto"/>
            </w:tcBorders>
            <w:shd w:val="clear" w:color="auto" w:fill="FFFFFF"/>
            <w:hideMark/>
          </w:tcPr>
          <w:p w14:paraId="27EE6177" w14:textId="77777777" w:rsidR="00094A26" w:rsidRPr="00050FA4" w:rsidRDefault="00094A26" w:rsidP="00A95D23">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TE</w:t>
            </w:r>
          </w:p>
        </w:tc>
        <w:tc>
          <w:tcPr>
            <w:tcW w:w="1070" w:type="dxa"/>
            <w:tcBorders>
              <w:top w:val="nil"/>
              <w:left w:val="nil"/>
              <w:bottom w:val="double" w:sz="6" w:space="0" w:color="000000"/>
              <w:right w:val="dotted" w:sz="4" w:space="0" w:color="auto"/>
            </w:tcBorders>
            <w:shd w:val="clear" w:color="auto" w:fill="FFFFFF"/>
            <w:vAlign w:val="center"/>
            <w:hideMark/>
          </w:tcPr>
          <w:p w14:paraId="7F1DE6BF"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33.2</w:t>
            </w:r>
          </w:p>
        </w:tc>
        <w:tc>
          <w:tcPr>
            <w:tcW w:w="873" w:type="dxa"/>
            <w:tcBorders>
              <w:top w:val="nil"/>
              <w:left w:val="nil"/>
              <w:bottom w:val="double" w:sz="6" w:space="0" w:color="000000"/>
              <w:right w:val="dotted" w:sz="4" w:space="0" w:color="auto"/>
            </w:tcBorders>
            <w:shd w:val="clear" w:color="auto" w:fill="FFFFFF"/>
            <w:hideMark/>
          </w:tcPr>
          <w:p w14:paraId="392A2965"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hAnsi="Garamond"/>
                <w:color w:val="0D0D0D" w:themeColor="text1" w:themeTint="F2"/>
                <w:sz w:val="18"/>
                <w:szCs w:val="18"/>
              </w:rPr>
              <w:t>35.5</w:t>
            </w:r>
          </w:p>
        </w:tc>
        <w:tc>
          <w:tcPr>
            <w:tcW w:w="874" w:type="dxa"/>
            <w:tcBorders>
              <w:top w:val="nil"/>
              <w:left w:val="nil"/>
              <w:bottom w:val="double" w:sz="6" w:space="0" w:color="000000"/>
              <w:right w:val="dotted" w:sz="4" w:space="0" w:color="auto"/>
            </w:tcBorders>
            <w:shd w:val="clear" w:color="auto" w:fill="FFFFFF"/>
            <w:vAlign w:val="center"/>
            <w:hideMark/>
          </w:tcPr>
          <w:p w14:paraId="2182D2D9"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34.1</w:t>
            </w:r>
          </w:p>
        </w:tc>
        <w:tc>
          <w:tcPr>
            <w:tcW w:w="873" w:type="dxa"/>
            <w:tcBorders>
              <w:top w:val="nil"/>
              <w:left w:val="nil"/>
              <w:bottom w:val="double" w:sz="6" w:space="0" w:color="000000"/>
              <w:right w:val="dotted" w:sz="4" w:space="0" w:color="auto"/>
            </w:tcBorders>
            <w:shd w:val="clear" w:color="auto" w:fill="FFFFFF"/>
            <w:vAlign w:val="center"/>
            <w:hideMark/>
          </w:tcPr>
          <w:p w14:paraId="32DF896D"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31.9</w:t>
            </w:r>
          </w:p>
        </w:tc>
        <w:tc>
          <w:tcPr>
            <w:tcW w:w="874" w:type="dxa"/>
            <w:tcBorders>
              <w:top w:val="nil"/>
              <w:left w:val="nil"/>
              <w:bottom w:val="double" w:sz="6" w:space="0" w:color="000000"/>
              <w:right w:val="double" w:sz="6" w:space="0" w:color="000000"/>
            </w:tcBorders>
            <w:shd w:val="clear" w:color="auto" w:fill="FFFFFF"/>
            <w:vAlign w:val="center"/>
            <w:hideMark/>
          </w:tcPr>
          <w:p w14:paraId="44A7F616" w14:textId="77777777" w:rsidR="00094A26" w:rsidRPr="00050FA4" w:rsidRDefault="00094A26" w:rsidP="00617B60">
            <w:pPr>
              <w:jc w:val="right"/>
              <w:rPr>
                <w:rFonts w:ascii="Garamond" w:hAnsi="Garamond"/>
                <w:color w:val="0D0D0D" w:themeColor="text1" w:themeTint="F2"/>
                <w:sz w:val="18"/>
                <w:szCs w:val="18"/>
              </w:rPr>
            </w:pPr>
            <w:r w:rsidRPr="00050FA4">
              <w:rPr>
                <w:rFonts w:ascii="Garamond" w:eastAsia="Times New Roman" w:hAnsi="Garamond"/>
                <w:color w:val="0D0D0D" w:themeColor="text1" w:themeTint="F2"/>
                <w:sz w:val="18"/>
                <w:szCs w:val="18"/>
              </w:rPr>
              <w:t>31.9</w:t>
            </w:r>
          </w:p>
        </w:tc>
      </w:tr>
    </w:tbl>
    <w:p w14:paraId="46C74268" w14:textId="77777777" w:rsidR="00094A26" w:rsidRPr="00050FA4" w:rsidRDefault="00094A26" w:rsidP="003F1DA7">
      <w:pPr>
        <w:ind w:firstLine="284"/>
        <w:rPr>
          <w:rFonts w:ascii="Garamond" w:hAnsi="Garamond"/>
          <w:color w:val="0D0D0D" w:themeColor="text1" w:themeTint="F2"/>
          <w:sz w:val="20"/>
          <w:szCs w:val="20"/>
        </w:rPr>
      </w:pPr>
      <w:r w:rsidRPr="00050FA4">
        <w:rPr>
          <w:rFonts w:ascii="Garamond" w:hAnsi="Garamond"/>
          <w:color w:val="0D0D0D" w:themeColor="text1" w:themeTint="F2"/>
          <w:sz w:val="20"/>
          <w:szCs w:val="20"/>
        </w:rPr>
        <w:t>*Kjo pikë përfshin: (i) pagesat e shërbimeve të borxhit, (ii) kontigjenca për politikat e pensioneve dhe të pagave, (iii) fondi i rezervave, (iv) shpenzimet e qeverisë lokale dhe (v) fondi i rindërtimit</w:t>
      </w:r>
    </w:p>
    <w:p w14:paraId="654B6652" w14:textId="77777777" w:rsidR="00094A26" w:rsidRPr="00050FA4" w:rsidRDefault="00094A26" w:rsidP="003F1DA7">
      <w:pPr>
        <w:ind w:firstLine="284"/>
        <w:rPr>
          <w:rFonts w:ascii="Garamond" w:hAnsi="Garamond"/>
          <w:color w:val="0D0D0D" w:themeColor="text1" w:themeTint="F2"/>
          <w:sz w:val="20"/>
          <w:szCs w:val="20"/>
        </w:rPr>
      </w:pPr>
      <w:r w:rsidRPr="00050FA4">
        <w:rPr>
          <w:rFonts w:ascii="Garamond" w:hAnsi="Garamond"/>
          <w:color w:val="0D0D0D" w:themeColor="text1" w:themeTint="F2"/>
          <w:sz w:val="20"/>
          <w:szCs w:val="20"/>
        </w:rPr>
        <w:t>**Të dhënat për vitin 2021 janë marrë sipas Aktit Normativ më të fundit</w:t>
      </w:r>
    </w:p>
    <w:p w14:paraId="7F8BAA85" w14:textId="77777777" w:rsidR="00094A26" w:rsidRPr="00050FA4" w:rsidRDefault="00094A26" w:rsidP="003F1DA7">
      <w:pPr>
        <w:ind w:firstLine="284"/>
        <w:rPr>
          <w:rFonts w:ascii="Garamond" w:hAnsi="Garamond"/>
          <w:color w:val="0D0D0D" w:themeColor="text1" w:themeTint="F2"/>
          <w:sz w:val="20"/>
          <w:szCs w:val="20"/>
        </w:rPr>
      </w:pPr>
    </w:p>
    <w:p w14:paraId="2C19BAC9" w14:textId="1FA6A4D3" w:rsidR="00094A26" w:rsidRPr="00050FA4" w:rsidRDefault="00094A26" w:rsidP="003F1DA7">
      <w:pPr>
        <w:pStyle w:val="Heading2"/>
        <w:ind w:left="0" w:firstLine="284"/>
        <w:rPr>
          <w:rFonts w:ascii="Garamond" w:hAnsi="Garamond"/>
          <w:color w:val="0D0D0D" w:themeColor="text1" w:themeTint="F2"/>
          <w:sz w:val="20"/>
          <w:szCs w:val="20"/>
        </w:rPr>
      </w:pPr>
      <w:bookmarkStart w:id="120" w:name="_Toc536784316"/>
      <w:bookmarkStart w:id="121" w:name="_Toc30661251"/>
      <w:bookmarkStart w:id="122" w:name="_Toc93325792"/>
      <w:r w:rsidRPr="00050FA4">
        <w:rPr>
          <w:rFonts w:ascii="Garamond" w:hAnsi="Garamond"/>
          <w:color w:val="0D0D0D" w:themeColor="text1" w:themeTint="F2"/>
          <w:sz w:val="20"/>
          <w:szCs w:val="20"/>
        </w:rPr>
        <w:t xml:space="preserve">Tabela 4: </w:t>
      </w:r>
      <w:bookmarkEnd w:id="120"/>
      <w:r w:rsidRPr="00050FA4">
        <w:rPr>
          <w:rFonts w:ascii="Garamond" w:hAnsi="Garamond"/>
          <w:color w:val="0D0D0D" w:themeColor="text1" w:themeTint="F2"/>
          <w:sz w:val="20"/>
          <w:szCs w:val="20"/>
        </w:rPr>
        <w:t>Zhvillime të përgjithshme të borxhit të qeverisë</w:t>
      </w:r>
      <w:bookmarkEnd w:id="121"/>
      <w:bookmarkEnd w:id="122"/>
    </w:p>
    <w:tbl>
      <w:tblPr>
        <w:tblW w:w="10225" w:type="dxa"/>
        <w:jc w:val="center"/>
        <w:tblLook w:val="04A0" w:firstRow="1" w:lastRow="0" w:firstColumn="1" w:lastColumn="0" w:noHBand="0" w:noVBand="1"/>
      </w:tblPr>
      <w:tblGrid>
        <w:gridCol w:w="4313"/>
        <w:gridCol w:w="981"/>
        <w:gridCol w:w="1001"/>
        <w:gridCol w:w="981"/>
        <w:gridCol w:w="981"/>
        <w:gridCol w:w="981"/>
        <w:gridCol w:w="981"/>
        <w:gridCol w:w="6"/>
      </w:tblGrid>
      <w:tr w:rsidR="00FA29AB" w:rsidRPr="00050FA4" w14:paraId="6AE38042" w14:textId="77777777" w:rsidTr="00617B60">
        <w:trPr>
          <w:gridAfter w:val="1"/>
          <w:wAfter w:w="6" w:type="dxa"/>
          <w:trHeight w:val="245"/>
          <w:jc w:val="center"/>
        </w:trPr>
        <w:tc>
          <w:tcPr>
            <w:tcW w:w="4313" w:type="dxa"/>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721F7E4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 of GDP</w:t>
            </w:r>
          </w:p>
        </w:tc>
        <w:tc>
          <w:tcPr>
            <w:tcW w:w="981" w:type="dxa"/>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3D3C0152"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1001" w:type="dxa"/>
            <w:tcBorders>
              <w:top w:val="double" w:sz="6" w:space="0" w:color="auto"/>
              <w:left w:val="nil"/>
              <w:bottom w:val="nil"/>
              <w:right w:val="dotted" w:sz="4" w:space="0" w:color="auto"/>
            </w:tcBorders>
            <w:shd w:val="clear" w:color="auto" w:fill="FFFFFF"/>
            <w:vAlign w:val="center"/>
            <w:hideMark/>
          </w:tcPr>
          <w:p w14:paraId="420B822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1" w:type="dxa"/>
            <w:tcBorders>
              <w:top w:val="double" w:sz="6" w:space="0" w:color="auto"/>
              <w:left w:val="nil"/>
              <w:bottom w:val="nil"/>
              <w:right w:val="dotted" w:sz="4" w:space="0" w:color="auto"/>
            </w:tcBorders>
            <w:shd w:val="clear" w:color="auto" w:fill="FFFFFF"/>
            <w:vAlign w:val="center"/>
            <w:hideMark/>
          </w:tcPr>
          <w:p w14:paraId="4E8BEF93"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1" w:type="dxa"/>
            <w:tcBorders>
              <w:top w:val="double" w:sz="6" w:space="0" w:color="auto"/>
              <w:left w:val="nil"/>
              <w:bottom w:val="nil"/>
              <w:right w:val="dotted" w:sz="4" w:space="0" w:color="auto"/>
            </w:tcBorders>
            <w:shd w:val="clear" w:color="auto" w:fill="FFFFFF"/>
            <w:vAlign w:val="center"/>
            <w:hideMark/>
          </w:tcPr>
          <w:p w14:paraId="6972AE18"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1" w:type="dxa"/>
            <w:tcBorders>
              <w:top w:val="double" w:sz="6" w:space="0" w:color="auto"/>
              <w:left w:val="nil"/>
              <w:bottom w:val="nil"/>
              <w:right w:val="dotted" w:sz="4" w:space="0" w:color="auto"/>
            </w:tcBorders>
            <w:shd w:val="clear" w:color="auto" w:fill="FFFFFF"/>
            <w:vAlign w:val="center"/>
            <w:hideMark/>
          </w:tcPr>
          <w:p w14:paraId="6F8DCACC"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1" w:type="dxa"/>
            <w:tcBorders>
              <w:top w:val="double" w:sz="6" w:space="0" w:color="auto"/>
              <w:left w:val="nil"/>
              <w:bottom w:val="nil"/>
              <w:right w:val="double" w:sz="6" w:space="0" w:color="auto"/>
            </w:tcBorders>
            <w:shd w:val="clear" w:color="auto" w:fill="FFFFFF"/>
            <w:vAlign w:val="center"/>
            <w:hideMark/>
          </w:tcPr>
          <w:p w14:paraId="2DA9EC85"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6BD57466" w14:textId="77777777" w:rsidTr="00617B60">
        <w:trPr>
          <w:gridAfter w:val="1"/>
          <w:wAfter w:w="6" w:type="dxa"/>
          <w:trHeight w:val="245"/>
          <w:jc w:val="center"/>
        </w:trPr>
        <w:tc>
          <w:tcPr>
            <w:tcW w:w="0" w:type="auto"/>
            <w:vMerge/>
            <w:tcBorders>
              <w:top w:val="double" w:sz="6" w:space="0" w:color="auto"/>
              <w:left w:val="double" w:sz="6" w:space="0" w:color="auto"/>
              <w:bottom w:val="single" w:sz="8" w:space="0" w:color="000000"/>
              <w:right w:val="dotted" w:sz="4" w:space="0" w:color="auto"/>
            </w:tcBorders>
            <w:vAlign w:val="center"/>
            <w:hideMark/>
          </w:tcPr>
          <w:p w14:paraId="34BC4AEE"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auto"/>
            </w:tcBorders>
            <w:vAlign w:val="center"/>
            <w:hideMark/>
          </w:tcPr>
          <w:p w14:paraId="3693561E" w14:textId="77777777" w:rsidR="00094A26" w:rsidRPr="00050FA4" w:rsidRDefault="00094A26" w:rsidP="00617B60">
            <w:pPr>
              <w:jc w:val="center"/>
              <w:rPr>
                <w:rFonts w:ascii="Garamond" w:eastAsia="Times New Roman" w:hAnsi="Garamond"/>
                <w:b/>
                <w:color w:val="0D0D0D" w:themeColor="text1" w:themeTint="F2"/>
                <w:sz w:val="18"/>
                <w:szCs w:val="18"/>
              </w:rPr>
            </w:pPr>
          </w:p>
        </w:tc>
        <w:tc>
          <w:tcPr>
            <w:tcW w:w="1001" w:type="dxa"/>
            <w:tcBorders>
              <w:top w:val="nil"/>
              <w:left w:val="nil"/>
              <w:bottom w:val="single" w:sz="8" w:space="0" w:color="auto"/>
              <w:right w:val="dotted" w:sz="4" w:space="0" w:color="auto"/>
            </w:tcBorders>
            <w:shd w:val="clear" w:color="auto" w:fill="FFFFFF"/>
            <w:vAlign w:val="center"/>
            <w:hideMark/>
          </w:tcPr>
          <w:p w14:paraId="4D5B8594"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81" w:type="dxa"/>
            <w:tcBorders>
              <w:top w:val="nil"/>
              <w:left w:val="nil"/>
              <w:bottom w:val="single" w:sz="8" w:space="0" w:color="auto"/>
              <w:right w:val="dotted" w:sz="4" w:space="0" w:color="auto"/>
            </w:tcBorders>
            <w:shd w:val="clear" w:color="auto" w:fill="FFFFFF"/>
            <w:vAlign w:val="center"/>
            <w:hideMark/>
          </w:tcPr>
          <w:p w14:paraId="4B205FF2"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981" w:type="dxa"/>
            <w:tcBorders>
              <w:top w:val="nil"/>
              <w:left w:val="nil"/>
              <w:bottom w:val="single" w:sz="8" w:space="0" w:color="auto"/>
              <w:right w:val="dotted" w:sz="4" w:space="0" w:color="auto"/>
            </w:tcBorders>
            <w:shd w:val="clear" w:color="auto" w:fill="FFFFFF"/>
            <w:vAlign w:val="center"/>
            <w:hideMark/>
          </w:tcPr>
          <w:p w14:paraId="340DB74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981" w:type="dxa"/>
            <w:tcBorders>
              <w:top w:val="nil"/>
              <w:left w:val="nil"/>
              <w:bottom w:val="single" w:sz="8" w:space="0" w:color="auto"/>
              <w:right w:val="dotted" w:sz="4" w:space="0" w:color="auto"/>
            </w:tcBorders>
            <w:shd w:val="clear" w:color="auto" w:fill="FFFFFF"/>
            <w:vAlign w:val="center"/>
            <w:hideMark/>
          </w:tcPr>
          <w:p w14:paraId="0D3E16D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981" w:type="dxa"/>
            <w:tcBorders>
              <w:top w:val="nil"/>
              <w:left w:val="nil"/>
              <w:bottom w:val="single" w:sz="8" w:space="0" w:color="auto"/>
              <w:right w:val="double" w:sz="6" w:space="0" w:color="auto"/>
            </w:tcBorders>
            <w:shd w:val="clear" w:color="auto" w:fill="FFFFFF"/>
            <w:vAlign w:val="center"/>
            <w:hideMark/>
          </w:tcPr>
          <w:p w14:paraId="21FFC28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5A1528E3" w14:textId="77777777" w:rsidTr="00617B60">
        <w:trPr>
          <w:gridAfter w:val="1"/>
          <w:wAfter w:w="6" w:type="dxa"/>
          <w:trHeight w:val="245"/>
          <w:jc w:val="center"/>
        </w:trPr>
        <w:tc>
          <w:tcPr>
            <w:tcW w:w="4313" w:type="dxa"/>
            <w:tcBorders>
              <w:top w:val="nil"/>
              <w:left w:val="double" w:sz="6" w:space="0" w:color="auto"/>
              <w:bottom w:val="single" w:sz="8" w:space="0" w:color="auto"/>
              <w:right w:val="dotted" w:sz="4" w:space="0" w:color="auto"/>
            </w:tcBorders>
            <w:noWrap/>
            <w:vAlign w:val="bottom"/>
            <w:hideMark/>
          </w:tcPr>
          <w:p w14:paraId="76DF6D54" w14:textId="1CA4BC79"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1. Gross debt [1]</w:t>
            </w:r>
          </w:p>
        </w:tc>
        <w:tc>
          <w:tcPr>
            <w:tcW w:w="981" w:type="dxa"/>
            <w:tcBorders>
              <w:top w:val="nil"/>
              <w:left w:val="nil"/>
              <w:bottom w:val="single" w:sz="8" w:space="0" w:color="auto"/>
              <w:right w:val="single" w:sz="8" w:space="0" w:color="auto"/>
            </w:tcBorders>
            <w:shd w:val="clear" w:color="auto" w:fill="FFFFFF"/>
            <w:vAlign w:val="center"/>
            <w:hideMark/>
          </w:tcPr>
          <w:p w14:paraId="74722E8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nil"/>
              <w:left w:val="nil"/>
              <w:bottom w:val="single" w:sz="8" w:space="0" w:color="auto"/>
              <w:right w:val="dotted" w:sz="4" w:space="0" w:color="auto"/>
            </w:tcBorders>
            <w:shd w:val="clear" w:color="auto" w:fill="FFFFFF"/>
            <w:vAlign w:val="center"/>
            <w:hideMark/>
          </w:tcPr>
          <w:p w14:paraId="5B6F79A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75.7</w:t>
            </w:r>
          </w:p>
        </w:tc>
        <w:tc>
          <w:tcPr>
            <w:tcW w:w="981" w:type="dxa"/>
            <w:tcBorders>
              <w:top w:val="nil"/>
              <w:left w:val="nil"/>
              <w:bottom w:val="single" w:sz="8" w:space="0" w:color="auto"/>
              <w:right w:val="dotted" w:sz="4" w:space="0" w:color="auto"/>
            </w:tcBorders>
            <w:shd w:val="clear" w:color="auto" w:fill="FFFFFF"/>
            <w:vAlign w:val="center"/>
            <w:hideMark/>
          </w:tcPr>
          <w:p w14:paraId="5E9B1E0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80.1</w:t>
            </w:r>
          </w:p>
        </w:tc>
        <w:tc>
          <w:tcPr>
            <w:tcW w:w="981" w:type="dxa"/>
            <w:tcBorders>
              <w:top w:val="nil"/>
              <w:left w:val="nil"/>
              <w:bottom w:val="single" w:sz="8" w:space="0" w:color="auto"/>
              <w:right w:val="dotted" w:sz="4" w:space="0" w:color="auto"/>
            </w:tcBorders>
            <w:shd w:val="clear" w:color="auto" w:fill="FFFFFF"/>
            <w:vAlign w:val="center"/>
            <w:hideMark/>
          </w:tcPr>
          <w:p w14:paraId="7FDC30B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78.9</w:t>
            </w:r>
          </w:p>
        </w:tc>
        <w:tc>
          <w:tcPr>
            <w:tcW w:w="981" w:type="dxa"/>
            <w:tcBorders>
              <w:top w:val="nil"/>
              <w:left w:val="nil"/>
              <w:bottom w:val="single" w:sz="8" w:space="0" w:color="auto"/>
              <w:right w:val="dotted" w:sz="4" w:space="0" w:color="auto"/>
            </w:tcBorders>
            <w:shd w:val="clear" w:color="auto" w:fill="FFFFFF"/>
            <w:vAlign w:val="center"/>
            <w:hideMark/>
          </w:tcPr>
          <w:p w14:paraId="3D45901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77.7</w:t>
            </w:r>
          </w:p>
        </w:tc>
        <w:tc>
          <w:tcPr>
            <w:tcW w:w="981" w:type="dxa"/>
            <w:tcBorders>
              <w:top w:val="nil"/>
              <w:left w:val="nil"/>
              <w:bottom w:val="single" w:sz="8" w:space="0" w:color="auto"/>
              <w:right w:val="double" w:sz="6" w:space="0" w:color="auto"/>
            </w:tcBorders>
            <w:shd w:val="clear" w:color="auto" w:fill="FFFFFF"/>
            <w:vAlign w:val="center"/>
            <w:hideMark/>
          </w:tcPr>
          <w:p w14:paraId="30B63B7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75.8</w:t>
            </w:r>
          </w:p>
        </w:tc>
      </w:tr>
      <w:tr w:rsidR="00FA29AB" w:rsidRPr="00050FA4" w14:paraId="13A13364" w14:textId="77777777" w:rsidTr="00617B60">
        <w:trPr>
          <w:gridAfter w:val="1"/>
          <w:wAfter w:w="6" w:type="dxa"/>
          <w:trHeight w:val="245"/>
          <w:jc w:val="center"/>
        </w:trPr>
        <w:tc>
          <w:tcPr>
            <w:tcW w:w="4313" w:type="dxa"/>
            <w:tcBorders>
              <w:top w:val="nil"/>
              <w:left w:val="double" w:sz="6" w:space="0" w:color="auto"/>
              <w:bottom w:val="single" w:sz="8" w:space="0" w:color="auto"/>
              <w:right w:val="dotted" w:sz="4" w:space="0" w:color="auto"/>
            </w:tcBorders>
            <w:shd w:val="clear" w:color="auto" w:fill="FFFFFF"/>
            <w:vAlign w:val="center"/>
            <w:hideMark/>
          </w:tcPr>
          <w:p w14:paraId="78CE7DAE" w14:textId="6D7EFE0A"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2. Change in gross debt ratio</w:t>
            </w:r>
          </w:p>
        </w:tc>
        <w:tc>
          <w:tcPr>
            <w:tcW w:w="981" w:type="dxa"/>
            <w:tcBorders>
              <w:top w:val="nil"/>
              <w:left w:val="nil"/>
              <w:bottom w:val="single" w:sz="8" w:space="0" w:color="auto"/>
              <w:right w:val="single" w:sz="8" w:space="0" w:color="auto"/>
            </w:tcBorders>
            <w:shd w:val="clear" w:color="auto" w:fill="FFFFFF"/>
            <w:vAlign w:val="center"/>
            <w:hideMark/>
          </w:tcPr>
          <w:p w14:paraId="24B867A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nil"/>
              <w:left w:val="nil"/>
              <w:bottom w:val="single" w:sz="8" w:space="0" w:color="auto"/>
              <w:right w:val="dotted" w:sz="4" w:space="0" w:color="auto"/>
            </w:tcBorders>
            <w:shd w:val="clear" w:color="auto" w:fill="FFFFFF"/>
            <w:vAlign w:val="center"/>
            <w:hideMark/>
          </w:tcPr>
          <w:p w14:paraId="516D842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9.9</w:t>
            </w:r>
          </w:p>
        </w:tc>
        <w:tc>
          <w:tcPr>
            <w:tcW w:w="981" w:type="dxa"/>
            <w:tcBorders>
              <w:top w:val="nil"/>
              <w:left w:val="nil"/>
              <w:bottom w:val="single" w:sz="8" w:space="0" w:color="auto"/>
              <w:right w:val="dotted" w:sz="4" w:space="0" w:color="auto"/>
            </w:tcBorders>
            <w:shd w:val="clear" w:color="auto" w:fill="FFFFFF"/>
            <w:vAlign w:val="center"/>
            <w:hideMark/>
          </w:tcPr>
          <w:p w14:paraId="7173AA2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4.4</w:t>
            </w:r>
          </w:p>
        </w:tc>
        <w:tc>
          <w:tcPr>
            <w:tcW w:w="981" w:type="dxa"/>
            <w:tcBorders>
              <w:top w:val="nil"/>
              <w:left w:val="nil"/>
              <w:bottom w:val="single" w:sz="8" w:space="0" w:color="auto"/>
              <w:right w:val="dotted" w:sz="4" w:space="0" w:color="auto"/>
            </w:tcBorders>
            <w:shd w:val="clear" w:color="auto" w:fill="FFFFFF"/>
            <w:vAlign w:val="center"/>
            <w:hideMark/>
          </w:tcPr>
          <w:p w14:paraId="7D52854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981" w:type="dxa"/>
            <w:tcBorders>
              <w:top w:val="nil"/>
              <w:left w:val="nil"/>
              <w:bottom w:val="single" w:sz="8" w:space="0" w:color="auto"/>
              <w:right w:val="dotted" w:sz="4" w:space="0" w:color="auto"/>
            </w:tcBorders>
            <w:shd w:val="clear" w:color="auto" w:fill="FFFFFF"/>
            <w:vAlign w:val="center"/>
            <w:hideMark/>
          </w:tcPr>
          <w:p w14:paraId="61D01E8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-1.2</w:t>
            </w:r>
          </w:p>
        </w:tc>
        <w:tc>
          <w:tcPr>
            <w:tcW w:w="981" w:type="dxa"/>
            <w:tcBorders>
              <w:top w:val="nil"/>
              <w:left w:val="nil"/>
              <w:bottom w:val="single" w:sz="8" w:space="0" w:color="auto"/>
              <w:right w:val="double" w:sz="6" w:space="0" w:color="auto"/>
            </w:tcBorders>
            <w:shd w:val="clear" w:color="auto" w:fill="FFFFFF"/>
            <w:vAlign w:val="center"/>
            <w:hideMark/>
          </w:tcPr>
          <w:p w14:paraId="082F24B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-1.9</w:t>
            </w:r>
          </w:p>
        </w:tc>
      </w:tr>
      <w:tr w:rsidR="00FA29AB" w:rsidRPr="00050FA4" w14:paraId="096C4E83" w14:textId="77777777" w:rsidTr="00617B60">
        <w:trPr>
          <w:trHeight w:val="245"/>
          <w:jc w:val="center"/>
        </w:trPr>
        <w:tc>
          <w:tcPr>
            <w:tcW w:w="10225" w:type="dxa"/>
            <w:gridSpan w:val="8"/>
            <w:tcBorders>
              <w:top w:val="single" w:sz="8" w:space="0" w:color="auto"/>
              <w:left w:val="double" w:sz="6" w:space="0" w:color="auto"/>
              <w:bottom w:val="single" w:sz="8" w:space="0" w:color="auto"/>
              <w:right w:val="nil"/>
            </w:tcBorders>
            <w:shd w:val="clear" w:color="auto" w:fill="FFFFFF"/>
            <w:vAlign w:val="center"/>
            <w:hideMark/>
          </w:tcPr>
          <w:p w14:paraId="2A3D36CE" w14:textId="77777777" w:rsidR="00094A26" w:rsidRPr="00050FA4" w:rsidRDefault="00094A26" w:rsidP="00A95D23">
            <w:pPr>
              <w:jc w:val="cente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Contributions to change in gross debt</w:t>
            </w:r>
          </w:p>
        </w:tc>
      </w:tr>
      <w:tr w:rsidR="00FA29AB" w:rsidRPr="00050FA4" w14:paraId="682CD126" w14:textId="77777777" w:rsidTr="00617B60">
        <w:trPr>
          <w:gridAfter w:val="1"/>
          <w:wAfter w:w="6" w:type="dxa"/>
          <w:trHeight w:val="245"/>
          <w:jc w:val="center"/>
        </w:trPr>
        <w:tc>
          <w:tcPr>
            <w:tcW w:w="4313" w:type="dxa"/>
            <w:tcBorders>
              <w:top w:val="single" w:sz="4" w:space="0" w:color="auto"/>
              <w:left w:val="double" w:sz="6" w:space="0" w:color="auto"/>
              <w:bottom w:val="dashSmallGap" w:sz="4" w:space="0" w:color="auto"/>
              <w:right w:val="dotted" w:sz="4" w:space="0" w:color="auto"/>
            </w:tcBorders>
            <w:noWrap/>
            <w:vAlign w:val="bottom"/>
            <w:hideMark/>
          </w:tcPr>
          <w:p w14:paraId="1B0CAA9E" w14:textId="50980ABB"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lastRenderedPageBreak/>
              <w:t xml:space="preserve"> </w:t>
            </w:r>
            <w:r w:rsidR="00094A26" w:rsidRPr="00050FA4">
              <w:rPr>
                <w:rFonts w:ascii="Garamond" w:eastAsia="Times New Roman" w:hAnsi="Garamond"/>
                <w:bCs/>
                <w:color w:val="0D0D0D" w:themeColor="text1" w:themeTint="F2"/>
                <w:sz w:val="18"/>
                <w:szCs w:val="18"/>
              </w:rPr>
              <w:t>3. Primary balance [2]</w:t>
            </w:r>
          </w:p>
        </w:tc>
        <w:tc>
          <w:tcPr>
            <w:tcW w:w="981" w:type="dxa"/>
            <w:tcBorders>
              <w:top w:val="single" w:sz="4" w:space="0" w:color="auto"/>
              <w:left w:val="nil"/>
              <w:bottom w:val="dashSmallGap" w:sz="4" w:space="0" w:color="auto"/>
              <w:right w:val="single" w:sz="4" w:space="0" w:color="auto"/>
            </w:tcBorders>
            <w:shd w:val="clear" w:color="auto" w:fill="FFFFFF"/>
            <w:vAlign w:val="center"/>
            <w:hideMark/>
          </w:tcPr>
          <w:p w14:paraId="4FFA3D9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single" w:sz="8" w:space="0" w:color="auto"/>
              <w:left w:val="single" w:sz="4" w:space="0" w:color="auto"/>
              <w:bottom w:val="dotted" w:sz="4" w:space="0" w:color="auto"/>
              <w:right w:val="dotted" w:sz="4" w:space="0" w:color="auto"/>
            </w:tcBorders>
            <w:shd w:val="clear" w:color="auto" w:fill="FFFFFF"/>
            <w:vAlign w:val="center"/>
            <w:hideMark/>
          </w:tcPr>
          <w:p w14:paraId="4E1AEEE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981" w:type="dxa"/>
            <w:tcBorders>
              <w:top w:val="single" w:sz="8" w:space="0" w:color="auto"/>
              <w:left w:val="nil"/>
              <w:bottom w:val="dotted" w:sz="4" w:space="0" w:color="auto"/>
              <w:right w:val="dotted" w:sz="4" w:space="0" w:color="auto"/>
            </w:tcBorders>
            <w:shd w:val="clear" w:color="auto" w:fill="FFFFFF"/>
            <w:vAlign w:val="center"/>
            <w:hideMark/>
          </w:tcPr>
          <w:p w14:paraId="7A4AF9B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w:t>
            </w:r>
          </w:p>
        </w:tc>
        <w:tc>
          <w:tcPr>
            <w:tcW w:w="981" w:type="dxa"/>
            <w:tcBorders>
              <w:top w:val="single" w:sz="8" w:space="0" w:color="auto"/>
              <w:left w:val="nil"/>
              <w:bottom w:val="dotted" w:sz="4" w:space="0" w:color="auto"/>
              <w:right w:val="dotted" w:sz="4" w:space="0" w:color="auto"/>
            </w:tcBorders>
            <w:shd w:val="clear" w:color="auto" w:fill="FFFFFF"/>
            <w:vAlign w:val="center"/>
            <w:hideMark/>
          </w:tcPr>
          <w:p w14:paraId="295AC25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981" w:type="dxa"/>
            <w:tcBorders>
              <w:top w:val="single" w:sz="8" w:space="0" w:color="auto"/>
              <w:left w:val="nil"/>
              <w:bottom w:val="dotted" w:sz="4" w:space="0" w:color="auto"/>
              <w:right w:val="dotted" w:sz="4" w:space="0" w:color="auto"/>
            </w:tcBorders>
            <w:shd w:val="clear" w:color="auto" w:fill="FFFFFF"/>
            <w:vAlign w:val="center"/>
            <w:hideMark/>
          </w:tcPr>
          <w:p w14:paraId="19DF3E6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1" w:type="dxa"/>
            <w:tcBorders>
              <w:top w:val="single" w:sz="8" w:space="0" w:color="auto"/>
              <w:left w:val="nil"/>
              <w:bottom w:val="dotted" w:sz="4" w:space="0" w:color="auto"/>
              <w:right w:val="double" w:sz="6" w:space="0" w:color="auto"/>
            </w:tcBorders>
            <w:shd w:val="clear" w:color="auto" w:fill="FFFFFF"/>
            <w:vAlign w:val="center"/>
            <w:hideMark/>
          </w:tcPr>
          <w:p w14:paraId="2468EBD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r>
      <w:tr w:rsidR="00FA29AB" w:rsidRPr="00050FA4" w14:paraId="355C9108"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noWrap/>
            <w:vAlign w:val="bottom"/>
            <w:hideMark/>
          </w:tcPr>
          <w:p w14:paraId="1A609F89" w14:textId="00D30775"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4. Interest expenditure</w:t>
            </w: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[3]</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07D5007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 D.41</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1180C4A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1406181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8D5D0E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DBC763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520F708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3.2</w:t>
            </w:r>
          </w:p>
        </w:tc>
      </w:tr>
      <w:tr w:rsidR="00FA29AB" w:rsidRPr="00050FA4" w14:paraId="38F61A76"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noWrap/>
            <w:vAlign w:val="bottom"/>
            <w:hideMark/>
          </w:tcPr>
          <w:p w14:paraId="3B34BD44" w14:textId="1D9A538C"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5. Real growth effect</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714DBFF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4ECAD7B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56C1CDD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-6.0</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640356F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6F2C776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-3.2</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17EEA32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r>
      <w:tr w:rsidR="00FA29AB" w:rsidRPr="00050FA4" w14:paraId="290B4509"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noWrap/>
            <w:vAlign w:val="bottom"/>
            <w:hideMark/>
          </w:tcPr>
          <w:p w14:paraId="5461EE0B" w14:textId="13C99151"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6. Inflation effect</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4BF5F94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36691E7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79C296D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-0.4</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3922A21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00B1CF8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4073798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r>
      <w:tr w:rsidR="00FA29AB" w:rsidRPr="00050FA4" w14:paraId="25E98676"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shd w:val="clear" w:color="auto" w:fill="FFFFFF"/>
            <w:vAlign w:val="center"/>
            <w:hideMark/>
          </w:tcPr>
          <w:p w14:paraId="3064204B" w14:textId="2EAA3FAA" w:rsidR="00094A26" w:rsidRPr="00050FA4" w:rsidRDefault="009B1D6B" w:rsidP="00A95D23">
            <w:pPr>
              <w:rPr>
                <w:rFonts w:ascii="Garamond" w:eastAsia="Times New Roman" w:hAnsi="Garamond"/>
                <w:bCs/>
                <w:color w:val="0D0D0D" w:themeColor="text1" w:themeTint="F2"/>
                <w:sz w:val="18"/>
                <w:szCs w:val="18"/>
              </w:rPr>
            </w:pPr>
            <w:bookmarkStart w:id="123" w:name="RANGE!B14"/>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7. Stock-flow adjustment</w:t>
            </w:r>
            <w:bookmarkEnd w:id="123"/>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0C37B5AA"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5040FB1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67EEAF3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AC50B2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-2.4</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044AA5A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3EC1A52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-0.8</w:t>
            </w:r>
          </w:p>
        </w:tc>
      </w:tr>
      <w:tr w:rsidR="00FA29AB" w:rsidRPr="00050FA4" w14:paraId="0EF3F7B6"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shd w:val="clear" w:color="auto" w:fill="FFFFFF"/>
            <w:vAlign w:val="center"/>
            <w:hideMark/>
          </w:tcPr>
          <w:p w14:paraId="0AD826AD" w14:textId="77777777" w:rsidR="00094A26" w:rsidRPr="00050FA4" w:rsidRDefault="00094A26"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of which:</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21506B1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25299D63" w14:textId="77777777" w:rsidR="00094A26" w:rsidRPr="00050FA4" w:rsidRDefault="00094A26" w:rsidP="00617B60">
            <w:pPr>
              <w:jc w:val="right"/>
              <w:rPr>
                <w:rFonts w:ascii="Garamond" w:eastAsia="Times New Roman" w:hAnsi="Garamond"/>
                <w:color w:val="0D0D0D" w:themeColor="text1" w:themeTint="F2"/>
                <w:sz w:val="18"/>
                <w:szCs w:val="18"/>
              </w:rPr>
            </w:pP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887A9BE"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1787C281"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E3D9898"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2C13CEDE"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r>
      <w:tr w:rsidR="00FA29AB" w:rsidRPr="00050FA4" w14:paraId="65D09858"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shd w:val="clear" w:color="auto" w:fill="FFFFFF"/>
            <w:noWrap/>
            <w:vAlign w:val="bottom"/>
            <w:hideMark/>
          </w:tcPr>
          <w:p w14:paraId="4072CB85" w14:textId="239E4493"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 Differences between cash and accruals [4]</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0EF6955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24CB22C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2001609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6FE455B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25B8BF1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3B87DA5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0C96A1EE"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noWrap/>
            <w:vAlign w:val="bottom"/>
            <w:hideMark/>
          </w:tcPr>
          <w:p w14:paraId="0E714628" w14:textId="5F36D0F4"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 Net accumulation of financial assets [5]</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2A9D2C5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6ABC090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AB468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06161D1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19670E3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21992E6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3F82C805"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shd w:val="clear" w:color="auto" w:fill="FFFFFF"/>
            <w:vAlign w:val="center"/>
            <w:hideMark/>
          </w:tcPr>
          <w:p w14:paraId="09CEDFE3" w14:textId="77777777" w:rsidR="00094A26" w:rsidRPr="00050FA4" w:rsidRDefault="00094A26" w:rsidP="00A95D23">
            <w:pPr>
              <w:rPr>
                <w:rFonts w:ascii="Garamond" w:eastAsia="Times New Roman" w:hAnsi="Garamond"/>
                <w:i/>
                <w:iCs/>
                <w:color w:val="0D0D0D" w:themeColor="text1" w:themeTint="F2"/>
                <w:sz w:val="18"/>
                <w:szCs w:val="18"/>
              </w:rPr>
            </w:pPr>
            <w:r w:rsidRPr="00050FA4">
              <w:rPr>
                <w:rFonts w:ascii="Garamond" w:eastAsia="Times New Roman" w:hAnsi="Garamond"/>
                <w:i/>
                <w:iCs/>
                <w:color w:val="0D0D0D" w:themeColor="text1" w:themeTint="F2"/>
                <w:sz w:val="18"/>
                <w:szCs w:val="18"/>
              </w:rPr>
              <w:t>of which:</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606FB252"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3818F019" w14:textId="77777777" w:rsidR="00094A26" w:rsidRPr="00050FA4" w:rsidRDefault="00094A26" w:rsidP="00617B60">
            <w:pPr>
              <w:jc w:val="right"/>
              <w:rPr>
                <w:rFonts w:ascii="Garamond" w:eastAsia="Times New Roman" w:hAnsi="Garamond"/>
                <w:color w:val="0D0D0D" w:themeColor="text1" w:themeTint="F2"/>
                <w:sz w:val="18"/>
                <w:szCs w:val="18"/>
              </w:rPr>
            </w:pP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2FBFAFAC"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67C322FD"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4222504"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6CF2F3E0" w14:textId="77777777" w:rsidR="00094A26" w:rsidRPr="00050FA4" w:rsidRDefault="00094A26" w:rsidP="00617B60">
            <w:pPr>
              <w:jc w:val="right"/>
              <w:rPr>
                <w:rFonts w:ascii="Garamond" w:hAnsi="Garamond" w:cs="Calibri"/>
                <w:color w:val="0D0D0D" w:themeColor="text1" w:themeTint="F2"/>
                <w:sz w:val="18"/>
                <w:szCs w:val="18"/>
                <w:lang w:eastAsia="sq-AL" w:bidi="he-IL"/>
              </w:rPr>
            </w:pPr>
          </w:p>
        </w:tc>
      </w:tr>
      <w:tr w:rsidR="00FA29AB" w:rsidRPr="00050FA4" w14:paraId="0B72D21B"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shd w:val="clear" w:color="auto" w:fill="FFFFFF"/>
            <w:vAlign w:val="center"/>
            <w:hideMark/>
          </w:tcPr>
          <w:p w14:paraId="1740342C" w14:textId="2A49DAA0"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 Privatisation proceeds</w:t>
            </w:r>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151E32F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4296AD7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29895F6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161D12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7459126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1822D5D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r>
      <w:tr w:rsidR="00FA29AB" w:rsidRPr="00050FA4" w14:paraId="4491FBF5" w14:textId="77777777" w:rsidTr="00617B60">
        <w:trPr>
          <w:gridAfter w:val="1"/>
          <w:wAfter w:w="6" w:type="dxa"/>
          <w:trHeight w:val="245"/>
          <w:jc w:val="center"/>
        </w:trPr>
        <w:tc>
          <w:tcPr>
            <w:tcW w:w="4313" w:type="dxa"/>
            <w:tcBorders>
              <w:top w:val="dashSmallGap" w:sz="4" w:space="0" w:color="auto"/>
              <w:left w:val="double" w:sz="6" w:space="0" w:color="auto"/>
              <w:bottom w:val="dashSmallGap" w:sz="4" w:space="0" w:color="auto"/>
              <w:right w:val="dotted" w:sz="4" w:space="0" w:color="auto"/>
            </w:tcBorders>
            <w:noWrap/>
            <w:vAlign w:val="bottom"/>
            <w:hideMark/>
          </w:tcPr>
          <w:p w14:paraId="4EF31B57" w14:textId="4EE6C57F" w:rsidR="00094A26" w:rsidRPr="00050FA4" w:rsidRDefault="009B1D6B" w:rsidP="00A95D23">
            <w:pPr>
              <w:rPr>
                <w:rFonts w:ascii="Garamond" w:eastAsia="Times New Roman" w:hAnsi="Garamond"/>
                <w:color w:val="0D0D0D" w:themeColor="text1" w:themeTint="F2"/>
                <w:sz w:val="18"/>
                <w:szCs w:val="18"/>
              </w:rPr>
            </w:pPr>
            <w:bookmarkStart w:id="124" w:name="RANGE!B20"/>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 Valuation effects and other [6]</w:t>
            </w:r>
            <w:bookmarkEnd w:id="124"/>
          </w:p>
        </w:tc>
        <w:tc>
          <w:tcPr>
            <w:tcW w:w="981" w:type="dxa"/>
            <w:tcBorders>
              <w:top w:val="dashSmallGap" w:sz="4" w:space="0" w:color="auto"/>
              <w:left w:val="nil"/>
              <w:bottom w:val="dashSmallGap" w:sz="4" w:space="0" w:color="auto"/>
              <w:right w:val="single" w:sz="4" w:space="0" w:color="auto"/>
            </w:tcBorders>
            <w:shd w:val="clear" w:color="auto" w:fill="FFFFFF"/>
            <w:vAlign w:val="center"/>
            <w:hideMark/>
          </w:tcPr>
          <w:p w14:paraId="5F6CC80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dotted" w:sz="4" w:space="0" w:color="auto"/>
              <w:right w:val="dotted" w:sz="4" w:space="0" w:color="auto"/>
            </w:tcBorders>
            <w:shd w:val="clear" w:color="auto" w:fill="FFFFFF"/>
            <w:vAlign w:val="center"/>
            <w:hideMark/>
          </w:tcPr>
          <w:p w14:paraId="6B426BD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6E2FF2E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4086024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tted" w:sz="4" w:space="0" w:color="auto"/>
            </w:tcBorders>
            <w:shd w:val="clear" w:color="auto" w:fill="FFFFFF"/>
            <w:vAlign w:val="center"/>
            <w:hideMark/>
          </w:tcPr>
          <w:p w14:paraId="701305F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1" w:type="dxa"/>
            <w:tcBorders>
              <w:top w:val="dotted" w:sz="4" w:space="0" w:color="auto"/>
              <w:left w:val="nil"/>
              <w:bottom w:val="dotted" w:sz="4" w:space="0" w:color="auto"/>
              <w:right w:val="double" w:sz="6" w:space="0" w:color="auto"/>
            </w:tcBorders>
            <w:shd w:val="clear" w:color="auto" w:fill="FFFFFF"/>
            <w:vAlign w:val="center"/>
            <w:hideMark/>
          </w:tcPr>
          <w:p w14:paraId="24D96F5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080E18DA" w14:textId="77777777" w:rsidTr="00617B60">
        <w:trPr>
          <w:gridAfter w:val="1"/>
          <w:wAfter w:w="6" w:type="dxa"/>
          <w:trHeight w:val="245"/>
          <w:jc w:val="center"/>
        </w:trPr>
        <w:tc>
          <w:tcPr>
            <w:tcW w:w="4313" w:type="dxa"/>
            <w:tcBorders>
              <w:top w:val="dashSmallGap" w:sz="4" w:space="0" w:color="auto"/>
              <w:left w:val="double" w:sz="6" w:space="0" w:color="auto"/>
              <w:bottom w:val="single" w:sz="4" w:space="0" w:color="auto"/>
              <w:right w:val="nil"/>
            </w:tcBorders>
            <w:noWrap/>
            <w:vAlign w:val="bottom"/>
            <w:hideMark/>
          </w:tcPr>
          <w:p w14:paraId="2F7BB02F" w14:textId="46DAA500" w:rsidR="00094A26" w:rsidRPr="00050FA4" w:rsidRDefault="009B1D6B" w:rsidP="00A95D23">
            <w:pPr>
              <w:rPr>
                <w:rFonts w:ascii="Garamond" w:eastAsia="Times New Roman" w:hAnsi="Garamond"/>
                <w:bCs/>
                <w:color w:val="0D0D0D" w:themeColor="text1" w:themeTint="F2"/>
                <w:sz w:val="18"/>
                <w:szCs w:val="18"/>
              </w:rPr>
            </w:pPr>
            <w:bookmarkStart w:id="125" w:name="RANGE!B21"/>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p.m. implicit interest rate on debt [7]</w:t>
            </w:r>
            <w:bookmarkEnd w:id="125"/>
          </w:p>
        </w:tc>
        <w:tc>
          <w:tcPr>
            <w:tcW w:w="981" w:type="dxa"/>
            <w:tcBorders>
              <w:top w:val="dashSmallGap" w:sz="4" w:space="0" w:color="auto"/>
              <w:left w:val="nil"/>
              <w:bottom w:val="single" w:sz="4" w:space="0" w:color="auto"/>
              <w:right w:val="single" w:sz="4" w:space="0" w:color="auto"/>
            </w:tcBorders>
            <w:shd w:val="clear" w:color="auto" w:fill="FFFFFF"/>
            <w:vAlign w:val="center"/>
            <w:hideMark/>
          </w:tcPr>
          <w:p w14:paraId="3722CE2C"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001" w:type="dxa"/>
            <w:tcBorders>
              <w:top w:val="dotted" w:sz="4" w:space="0" w:color="auto"/>
              <w:left w:val="single" w:sz="4" w:space="0" w:color="auto"/>
              <w:bottom w:val="single" w:sz="4" w:space="0" w:color="auto"/>
              <w:right w:val="dotted" w:sz="4" w:space="0" w:color="auto"/>
            </w:tcBorders>
            <w:vAlign w:val="center"/>
            <w:hideMark/>
          </w:tcPr>
          <w:p w14:paraId="4D4C325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3.1</w:t>
            </w:r>
          </w:p>
        </w:tc>
        <w:tc>
          <w:tcPr>
            <w:tcW w:w="981" w:type="dxa"/>
            <w:tcBorders>
              <w:top w:val="dotted" w:sz="4" w:space="0" w:color="auto"/>
              <w:left w:val="nil"/>
              <w:bottom w:val="single" w:sz="4" w:space="0" w:color="auto"/>
              <w:right w:val="dotted" w:sz="4" w:space="0" w:color="auto"/>
            </w:tcBorders>
            <w:vAlign w:val="center"/>
            <w:hideMark/>
          </w:tcPr>
          <w:p w14:paraId="7F33407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c>
          <w:tcPr>
            <w:tcW w:w="981" w:type="dxa"/>
            <w:tcBorders>
              <w:top w:val="dotted" w:sz="4" w:space="0" w:color="auto"/>
              <w:left w:val="nil"/>
              <w:bottom w:val="single" w:sz="4" w:space="0" w:color="auto"/>
              <w:right w:val="dotted" w:sz="4" w:space="0" w:color="auto"/>
            </w:tcBorders>
            <w:vAlign w:val="center"/>
            <w:hideMark/>
          </w:tcPr>
          <w:p w14:paraId="6C3C01E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3.6</w:t>
            </w:r>
          </w:p>
        </w:tc>
        <w:tc>
          <w:tcPr>
            <w:tcW w:w="981" w:type="dxa"/>
            <w:tcBorders>
              <w:top w:val="dotted" w:sz="4" w:space="0" w:color="auto"/>
              <w:left w:val="nil"/>
              <w:bottom w:val="single" w:sz="4" w:space="0" w:color="auto"/>
              <w:right w:val="dotted" w:sz="4" w:space="0" w:color="auto"/>
            </w:tcBorders>
            <w:vAlign w:val="center"/>
            <w:hideMark/>
          </w:tcPr>
          <w:p w14:paraId="552290A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3.9</w:t>
            </w:r>
          </w:p>
        </w:tc>
        <w:tc>
          <w:tcPr>
            <w:tcW w:w="981" w:type="dxa"/>
            <w:tcBorders>
              <w:top w:val="dotted" w:sz="4" w:space="0" w:color="auto"/>
              <w:left w:val="nil"/>
              <w:bottom w:val="single" w:sz="4" w:space="0" w:color="auto"/>
              <w:right w:val="double" w:sz="6" w:space="0" w:color="auto"/>
            </w:tcBorders>
            <w:vAlign w:val="center"/>
            <w:hideMark/>
          </w:tcPr>
          <w:p w14:paraId="2A1523E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4.3</w:t>
            </w:r>
          </w:p>
        </w:tc>
      </w:tr>
      <w:tr w:rsidR="00FA29AB" w:rsidRPr="00050FA4" w14:paraId="59D750B9" w14:textId="77777777" w:rsidTr="00617B60">
        <w:trPr>
          <w:trHeight w:val="245"/>
          <w:jc w:val="center"/>
        </w:trPr>
        <w:tc>
          <w:tcPr>
            <w:tcW w:w="10225" w:type="dxa"/>
            <w:gridSpan w:val="8"/>
            <w:tcBorders>
              <w:top w:val="single" w:sz="8" w:space="0" w:color="auto"/>
              <w:left w:val="double" w:sz="6" w:space="0" w:color="auto"/>
              <w:bottom w:val="single" w:sz="8" w:space="0" w:color="auto"/>
              <w:right w:val="nil"/>
            </w:tcBorders>
            <w:shd w:val="clear" w:color="auto" w:fill="FFFFFF"/>
            <w:vAlign w:val="center"/>
            <w:hideMark/>
          </w:tcPr>
          <w:p w14:paraId="1FDC19D2" w14:textId="77777777" w:rsidR="00094A26" w:rsidRPr="00050FA4" w:rsidRDefault="00094A26" w:rsidP="00A95D23">
            <w:pPr>
              <w:jc w:val="cente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Other relevant variables</w:t>
            </w:r>
          </w:p>
        </w:tc>
      </w:tr>
      <w:tr w:rsidR="00FA29AB" w:rsidRPr="00050FA4" w14:paraId="00C57C86" w14:textId="77777777" w:rsidTr="00617B60">
        <w:trPr>
          <w:gridAfter w:val="1"/>
          <w:wAfter w:w="6" w:type="dxa"/>
          <w:trHeight w:val="245"/>
          <w:jc w:val="center"/>
        </w:trPr>
        <w:tc>
          <w:tcPr>
            <w:tcW w:w="4313" w:type="dxa"/>
            <w:tcBorders>
              <w:top w:val="nil"/>
              <w:left w:val="double" w:sz="6" w:space="0" w:color="auto"/>
              <w:bottom w:val="dotted" w:sz="4" w:space="0" w:color="auto"/>
              <w:right w:val="dotted" w:sz="4" w:space="0" w:color="auto"/>
            </w:tcBorders>
            <w:noWrap/>
            <w:vAlign w:val="bottom"/>
            <w:hideMark/>
          </w:tcPr>
          <w:p w14:paraId="3440B554" w14:textId="7B3A564B" w:rsidR="00094A26" w:rsidRPr="00050FA4" w:rsidRDefault="009B1D6B" w:rsidP="00A95D23">
            <w:pPr>
              <w:rPr>
                <w:rFonts w:ascii="Garamond" w:eastAsia="Times New Roman" w:hAnsi="Garamond"/>
                <w:bCs/>
                <w:color w:val="0D0D0D" w:themeColor="text1" w:themeTint="F2"/>
                <w:sz w:val="18"/>
                <w:szCs w:val="18"/>
              </w:rPr>
            </w:pPr>
            <w:bookmarkStart w:id="126" w:name="RANGE!B23"/>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8. Liquid financial assets [8]</w:t>
            </w:r>
            <w:bookmarkEnd w:id="126"/>
          </w:p>
        </w:tc>
        <w:tc>
          <w:tcPr>
            <w:tcW w:w="981" w:type="dxa"/>
            <w:tcBorders>
              <w:top w:val="nil"/>
              <w:left w:val="nil"/>
              <w:bottom w:val="dotted" w:sz="4" w:space="0" w:color="auto"/>
              <w:right w:val="single" w:sz="4" w:space="0" w:color="auto"/>
            </w:tcBorders>
            <w:shd w:val="clear" w:color="auto" w:fill="FFFFFF"/>
            <w:vAlign w:val="center"/>
            <w:hideMark/>
          </w:tcPr>
          <w:p w14:paraId="3179357A" w14:textId="77777777" w:rsidR="00094A26" w:rsidRPr="00050FA4" w:rsidRDefault="00094A26" w:rsidP="00A95D23">
            <w:pPr>
              <w:jc w:val="center"/>
              <w:rPr>
                <w:rFonts w:ascii="Garamond" w:eastAsia="Times New Roman" w:hAnsi="Garamond"/>
                <w:color w:val="0D0D0D" w:themeColor="text1" w:themeTint="F2"/>
                <w:sz w:val="18"/>
                <w:szCs w:val="18"/>
              </w:rPr>
            </w:pPr>
            <w:bookmarkStart w:id="127" w:name="RANGE!D23"/>
            <w:r w:rsidRPr="00050FA4">
              <w:rPr>
                <w:rFonts w:ascii="Garamond" w:eastAsia="Times New Roman" w:hAnsi="Garamond"/>
                <w:color w:val="0D0D0D" w:themeColor="text1" w:themeTint="F2"/>
                <w:sz w:val="18"/>
                <w:szCs w:val="18"/>
              </w:rPr>
              <w:t> </w:t>
            </w:r>
            <w:bookmarkEnd w:id="127"/>
          </w:p>
        </w:tc>
        <w:tc>
          <w:tcPr>
            <w:tcW w:w="1001" w:type="dxa"/>
            <w:tcBorders>
              <w:top w:val="single" w:sz="4" w:space="0" w:color="auto"/>
              <w:left w:val="single" w:sz="4" w:space="0" w:color="auto"/>
              <w:bottom w:val="dotted" w:sz="4" w:space="0" w:color="auto"/>
              <w:right w:val="nil"/>
            </w:tcBorders>
            <w:shd w:val="clear" w:color="auto" w:fill="FFFFFF"/>
            <w:vAlign w:val="center"/>
            <w:hideMark/>
          </w:tcPr>
          <w:p w14:paraId="12055A9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0.5</w:t>
            </w:r>
          </w:p>
        </w:tc>
        <w:tc>
          <w:tcPr>
            <w:tcW w:w="981" w:type="dxa"/>
            <w:tcBorders>
              <w:top w:val="single" w:sz="4" w:space="0" w:color="auto"/>
              <w:left w:val="nil"/>
              <w:bottom w:val="dotted" w:sz="4" w:space="0" w:color="auto"/>
              <w:right w:val="nil"/>
            </w:tcBorders>
            <w:shd w:val="clear" w:color="auto" w:fill="FFFFFF"/>
            <w:vAlign w:val="center"/>
            <w:hideMark/>
          </w:tcPr>
          <w:p w14:paraId="72723C4F"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4.7</w:t>
            </w:r>
          </w:p>
        </w:tc>
        <w:tc>
          <w:tcPr>
            <w:tcW w:w="981" w:type="dxa"/>
            <w:tcBorders>
              <w:top w:val="single" w:sz="4" w:space="0" w:color="auto"/>
              <w:left w:val="nil"/>
              <w:bottom w:val="dotted" w:sz="4" w:space="0" w:color="auto"/>
              <w:right w:val="nil"/>
            </w:tcBorders>
            <w:shd w:val="clear" w:color="auto" w:fill="FFFFFF"/>
            <w:vAlign w:val="center"/>
            <w:hideMark/>
          </w:tcPr>
          <w:p w14:paraId="2380858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w:t>
            </w:r>
          </w:p>
        </w:tc>
        <w:tc>
          <w:tcPr>
            <w:tcW w:w="981" w:type="dxa"/>
            <w:tcBorders>
              <w:top w:val="single" w:sz="4" w:space="0" w:color="auto"/>
              <w:left w:val="nil"/>
              <w:bottom w:val="dotted" w:sz="4" w:space="0" w:color="auto"/>
              <w:right w:val="nil"/>
            </w:tcBorders>
            <w:shd w:val="clear" w:color="auto" w:fill="FFFFFF"/>
            <w:vAlign w:val="center"/>
            <w:hideMark/>
          </w:tcPr>
          <w:p w14:paraId="148F7C5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1.5</w:t>
            </w:r>
          </w:p>
        </w:tc>
        <w:tc>
          <w:tcPr>
            <w:tcW w:w="981" w:type="dxa"/>
            <w:tcBorders>
              <w:top w:val="single" w:sz="4" w:space="0" w:color="auto"/>
              <w:left w:val="nil"/>
              <w:bottom w:val="dotted" w:sz="4" w:space="0" w:color="auto"/>
              <w:right w:val="double" w:sz="6" w:space="0" w:color="auto"/>
            </w:tcBorders>
            <w:shd w:val="clear" w:color="auto" w:fill="FFFFFF"/>
            <w:vAlign w:val="center"/>
            <w:hideMark/>
          </w:tcPr>
          <w:p w14:paraId="5FA2B9F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1.1</w:t>
            </w:r>
          </w:p>
        </w:tc>
      </w:tr>
      <w:tr w:rsidR="00FA29AB" w:rsidRPr="00050FA4" w14:paraId="39CD1BB9" w14:textId="77777777" w:rsidTr="00617B60">
        <w:trPr>
          <w:gridAfter w:val="1"/>
          <w:wAfter w:w="6" w:type="dxa"/>
          <w:trHeight w:val="245"/>
          <w:jc w:val="center"/>
        </w:trPr>
        <w:tc>
          <w:tcPr>
            <w:tcW w:w="4313" w:type="dxa"/>
            <w:tcBorders>
              <w:top w:val="nil"/>
              <w:left w:val="double" w:sz="6" w:space="0" w:color="auto"/>
              <w:bottom w:val="double" w:sz="6" w:space="0" w:color="auto"/>
              <w:right w:val="dotted" w:sz="4" w:space="0" w:color="auto"/>
            </w:tcBorders>
            <w:shd w:val="clear" w:color="auto" w:fill="FFFFFF"/>
            <w:vAlign w:val="center"/>
            <w:hideMark/>
          </w:tcPr>
          <w:p w14:paraId="3346C5D8" w14:textId="51562901" w:rsidR="00094A26" w:rsidRPr="00050FA4" w:rsidRDefault="009B1D6B" w:rsidP="00A95D23">
            <w:pPr>
              <w:rPr>
                <w:rFonts w:ascii="Garamond" w:eastAsia="Times New Roman" w:hAnsi="Garamond"/>
                <w:bCs/>
                <w:color w:val="0D0D0D" w:themeColor="text1" w:themeTint="F2"/>
                <w:sz w:val="18"/>
                <w:szCs w:val="18"/>
              </w:rPr>
            </w:pPr>
            <w:r w:rsidRPr="00050FA4">
              <w:rPr>
                <w:rFonts w:ascii="Garamond" w:eastAsia="Times New Roman" w:hAnsi="Garamond"/>
                <w:bCs/>
                <w:color w:val="0D0D0D" w:themeColor="text1" w:themeTint="F2"/>
                <w:sz w:val="18"/>
                <w:szCs w:val="18"/>
              </w:rPr>
              <w:t xml:space="preserve"> </w:t>
            </w:r>
            <w:r w:rsidR="00094A26" w:rsidRPr="00050FA4">
              <w:rPr>
                <w:rFonts w:ascii="Garamond" w:eastAsia="Times New Roman" w:hAnsi="Garamond"/>
                <w:bCs/>
                <w:color w:val="0D0D0D" w:themeColor="text1" w:themeTint="F2"/>
                <w:sz w:val="18"/>
                <w:szCs w:val="18"/>
              </w:rPr>
              <w:t>9. Net financial debt (9 = 1 - 8)</w:t>
            </w:r>
          </w:p>
        </w:tc>
        <w:tc>
          <w:tcPr>
            <w:tcW w:w="981" w:type="dxa"/>
            <w:tcBorders>
              <w:top w:val="nil"/>
              <w:left w:val="nil"/>
              <w:bottom w:val="double" w:sz="6" w:space="0" w:color="auto"/>
              <w:right w:val="single" w:sz="4" w:space="0" w:color="auto"/>
            </w:tcBorders>
            <w:shd w:val="clear" w:color="auto" w:fill="FFFFFF"/>
            <w:vAlign w:val="center"/>
            <w:hideMark/>
          </w:tcPr>
          <w:p w14:paraId="3D20CCE8" w14:textId="77777777" w:rsidR="00094A26" w:rsidRPr="00050FA4" w:rsidRDefault="00094A26" w:rsidP="00A95D23">
            <w:pPr>
              <w:jc w:val="center"/>
              <w:rPr>
                <w:rFonts w:ascii="Garamond" w:eastAsia="Times New Roman" w:hAnsi="Garamond"/>
                <w:color w:val="0D0D0D" w:themeColor="text1" w:themeTint="F2"/>
                <w:sz w:val="18"/>
                <w:szCs w:val="18"/>
              </w:rPr>
            </w:pPr>
            <w:bookmarkStart w:id="128" w:name="RANGE!D24"/>
            <w:r w:rsidRPr="00050FA4">
              <w:rPr>
                <w:rFonts w:ascii="Garamond" w:eastAsia="Times New Roman" w:hAnsi="Garamond"/>
                <w:color w:val="0D0D0D" w:themeColor="text1" w:themeTint="F2"/>
                <w:sz w:val="18"/>
                <w:szCs w:val="18"/>
              </w:rPr>
              <w:t> </w:t>
            </w:r>
            <w:bookmarkEnd w:id="128"/>
          </w:p>
        </w:tc>
        <w:tc>
          <w:tcPr>
            <w:tcW w:w="1001" w:type="dxa"/>
            <w:tcBorders>
              <w:top w:val="dotted" w:sz="4" w:space="0" w:color="auto"/>
              <w:left w:val="single" w:sz="4" w:space="0" w:color="auto"/>
              <w:bottom w:val="double" w:sz="6" w:space="0" w:color="auto"/>
              <w:right w:val="nil"/>
            </w:tcBorders>
            <w:shd w:val="clear" w:color="auto" w:fill="FFFFFF"/>
            <w:vAlign w:val="center"/>
            <w:hideMark/>
          </w:tcPr>
          <w:p w14:paraId="2E61B2A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75.2</w:t>
            </w:r>
          </w:p>
        </w:tc>
        <w:tc>
          <w:tcPr>
            <w:tcW w:w="981" w:type="dxa"/>
            <w:tcBorders>
              <w:top w:val="dotted" w:sz="4" w:space="0" w:color="auto"/>
              <w:left w:val="nil"/>
              <w:bottom w:val="double" w:sz="6" w:space="0" w:color="auto"/>
              <w:right w:val="nil"/>
            </w:tcBorders>
            <w:shd w:val="clear" w:color="auto" w:fill="FFFFFF"/>
            <w:vAlign w:val="center"/>
            <w:hideMark/>
          </w:tcPr>
          <w:p w14:paraId="751005C3"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75.3</w:t>
            </w:r>
          </w:p>
        </w:tc>
        <w:tc>
          <w:tcPr>
            <w:tcW w:w="981" w:type="dxa"/>
            <w:tcBorders>
              <w:top w:val="dotted" w:sz="4" w:space="0" w:color="auto"/>
              <w:left w:val="nil"/>
              <w:bottom w:val="double" w:sz="6" w:space="0" w:color="auto"/>
              <w:right w:val="nil"/>
            </w:tcBorders>
            <w:shd w:val="clear" w:color="auto" w:fill="FFFFFF"/>
            <w:vAlign w:val="center"/>
            <w:hideMark/>
          </w:tcPr>
          <w:p w14:paraId="02B9FA2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77.1</w:t>
            </w:r>
          </w:p>
        </w:tc>
        <w:tc>
          <w:tcPr>
            <w:tcW w:w="981" w:type="dxa"/>
            <w:tcBorders>
              <w:top w:val="dotted" w:sz="4" w:space="0" w:color="auto"/>
              <w:left w:val="nil"/>
              <w:bottom w:val="double" w:sz="6" w:space="0" w:color="auto"/>
              <w:right w:val="nil"/>
            </w:tcBorders>
            <w:shd w:val="clear" w:color="auto" w:fill="FFFFFF"/>
            <w:vAlign w:val="center"/>
            <w:hideMark/>
          </w:tcPr>
          <w:p w14:paraId="33BEB52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76.1</w:t>
            </w:r>
          </w:p>
        </w:tc>
        <w:tc>
          <w:tcPr>
            <w:tcW w:w="981" w:type="dxa"/>
            <w:tcBorders>
              <w:top w:val="dotted" w:sz="4" w:space="0" w:color="auto"/>
              <w:left w:val="nil"/>
              <w:bottom w:val="double" w:sz="6" w:space="0" w:color="auto"/>
              <w:right w:val="double" w:sz="6" w:space="0" w:color="auto"/>
            </w:tcBorders>
            <w:shd w:val="clear" w:color="auto" w:fill="FFFFFF"/>
            <w:vAlign w:val="center"/>
            <w:hideMark/>
          </w:tcPr>
          <w:p w14:paraId="3638BD90"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74.7</w:t>
            </w:r>
          </w:p>
        </w:tc>
      </w:tr>
    </w:tbl>
    <w:p w14:paraId="71D3C0D3" w14:textId="77777777" w:rsidR="00094A26" w:rsidRPr="00050FA4" w:rsidRDefault="00094A26" w:rsidP="003F1DA7">
      <w:pPr>
        <w:ind w:firstLine="284"/>
        <w:rPr>
          <w:rFonts w:ascii="Garamond" w:hAnsi="Garamond"/>
          <w:color w:val="0D0D0D" w:themeColor="text1" w:themeTint="F2"/>
          <w:sz w:val="20"/>
          <w:szCs w:val="20"/>
        </w:rPr>
      </w:pPr>
    </w:p>
    <w:p w14:paraId="639943BB"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129" w:name="_Toc30661252"/>
      <w:bookmarkStart w:id="130" w:name="_Toc536784317"/>
      <w:bookmarkStart w:id="131" w:name="_Toc93325793"/>
      <w:r w:rsidRPr="00050FA4">
        <w:rPr>
          <w:rFonts w:ascii="Garamond" w:hAnsi="Garamond"/>
          <w:color w:val="0D0D0D" w:themeColor="text1" w:themeTint="F2"/>
          <w:sz w:val="20"/>
          <w:szCs w:val="20"/>
        </w:rPr>
        <w:t>Tabela 5: Zhvillime ciklike</w:t>
      </w:r>
      <w:bookmarkEnd w:id="129"/>
      <w:bookmarkEnd w:id="130"/>
      <w:bookmarkEnd w:id="131"/>
    </w:p>
    <w:tbl>
      <w:tblPr>
        <w:tblW w:w="10203" w:type="dxa"/>
        <w:jc w:val="center"/>
        <w:tblLook w:val="04A0" w:firstRow="1" w:lastRow="0" w:firstColumn="1" w:lastColumn="0" w:noHBand="0" w:noVBand="1"/>
      </w:tblPr>
      <w:tblGrid>
        <w:gridCol w:w="3973"/>
        <w:gridCol w:w="1039"/>
        <w:gridCol w:w="1235"/>
        <w:gridCol w:w="989"/>
        <w:gridCol w:w="989"/>
        <w:gridCol w:w="989"/>
        <w:gridCol w:w="989"/>
      </w:tblGrid>
      <w:tr w:rsidR="00FA29AB" w:rsidRPr="00050FA4" w14:paraId="505DEE43" w14:textId="77777777" w:rsidTr="00617B60">
        <w:trPr>
          <w:trHeight w:val="202"/>
          <w:jc w:val="center"/>
        </w:trPr>
        <w:tc>
          <w:tcPr>
            <w:tcW w:w="3973" w:type="dxa"/>
            <w:tcBorders>
              <w:top w:val="double" w:sz="6" w:space="0" w:color="000000"/>
              <w:left w:val="double" w:sz="6" w:space="0" w:color="000000"/>
              <w:bottom w:val="nil"/>
              <w:right w:val="nil"/>
            </w:tcBorders>
            <w:shd w:val="clear" w:color="auto" w:fill="FFFFFF"/>
            <w:vAlign w:val="center"/>
            <w:hideMark/>
          </w:tcPr>
          <w:p w14:paraId="09C83820"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 of GDP</w:t>
            </w:r>
          </w:p>
        </w:tc>
        <w:tc>
          <w:tcPr>
            <w:tcW w:w="1039" w:type="dxa"/>
            <w:tcBorders>
              <w:top w:val="double" w:sz="6" w:space="0" w:color="000000"/>
              <w:left w:val="single" w:sz="4" w:space="0" w:color="000000"/>
              <w:bottom w:val="nil"/>
              <w:right w:val="single" w:sz="4" w:space="0" w:color="000000"/>
            </w:tcBorders>
            <w:shd w:val="clear" w:color="auto" w:fill="FFFFFF"/>
            <w:vAlign w:val="center"/>
            <w:hideMark/>
          </w:tcPr>
          <w:p w14:paraId="611DD94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ESA Code</w:t>
            </w:r>
          </w:p>
        </w:tc>
        <w:tc>
          <w:tcPr>
            <w:tcW w:w="1235" w:type="dxa"/>
            <w:tcBorders>
              <w:top w:val="double" w:sz="6" w:space="0" w:color="000000"/>
              <w:left w:val="nil"/>
              <w:bottom w:val="nil"/>
              <w:right w:val="nil"/>
            </w:tcBorders>
            <w:shd w:val="clear" w:color="auto" w:fill="FFFFFF"/>
            <w:vAlign w:val="center"/>
            <w:hideMark/>
          </w:tcPr>
          <w:p w14:paraId="51252E5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9" w:type="dxa"/>
            <w:tcBorders>
              <w:top w:val="double" w:sz="6" w:space="0" w:color="000000"/>
              <w:left w:val="dotted" w:sz="4" w:space="0" w:color="000000"/>
              <w:bottom w:val="nil"/>
              <w:right w:val="dotted" w:sz="4" w:space="0" w:color="000000"/>
            </w:tcBorders>
            <w:shd w:val="clear" w:color="auto" w:fill="FFFFFF"/>
            <w:vAlign w:val="center"/>
            <w:hideMark/>
          </w:tcPr>
          <w:p w14:paraId="1A70A11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9" w:type="dxa"/>
            <w:tcBorders>
              <w:top w:val="double" w:sz="6" w:space="0" w:color="000000"/>
              <w:left w:val="nil"/>
              <w:bottom w:val="nil"/>
              <w:right w:val="dotted" w:sz="4" w:space="0" w:color="000000"/>
            </w:tcBorders>
            <w:shd w:val="clear" w:color="auto" w:fill="FFFFFF"/>
            <w:vAlign w:val="center"/>
            <w:hideMark/>
          </w:tcPr>
          <w:p w14:paraId="6DE1D4FC"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9" w:type="dxa"/>
            <w:tcBorders>
              <w:top w:val="double" w:sz="6" w:space="0" w:color="000000"/>
              <w:left w:val="nil"/>
              <w:bottom w:val="nil"/>
              <w:right w:val="dotted" w:sz="4" w:space="0" w:color="000000"/>
            </w:tcBorders>
            <w:shd w:val="clear" w:color="auto" w:fill="FFFFFF"/>
            <w:vAlign w:val="center"/>
            <w:hideMark/>
          </w:tcPr>
          <w:p w14:paraId="0BB4C6A1"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989" w:type="dxa"/>
            <w:tcBorders>
              <w:top w:val="double" w:sz="6" w:space="0" w:color="000000"/>
              <w:left w:val="nil"/>
              <w:bottom w:val="nil"/>
              <w:right w:val="double" w:sz="6" w:space="0" w:color="000000"/>
            </w:tcBorders>
            <w:shd w:val="clear" w:color="auto" w:fill="FFFFFF"/>
            <w:vAlign w:val="center"/>
            <w:hideMark/>
          </w:tcPr>
          <w:p w14:paraId="3134C45D"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5162417E" w14:textId="77777777" w:rsidTr="00617B60">
        <w:trPr>
          <w:trHeight w:val="191"/>
          <w:jc w:val="center"/>
        </w:trPr>
        <w:tc>
          <w:tcPr>
            <w:tcW w:w="3973" w:type="dxa"/>
            <w:tcBorders>
              <w:top w:val="nil"/>
              <w:left w:val="double" w:sz="6" w:space="0" w:color="000000"/>
              <w:bottom w:val="single" w:sz="4" w:space="0" w:color="000000"/>
              <w:right w:val="nil"/>
            </w:tcBorders>
            <w:shd w:val="clear" w:color="auto" w:fill="FFFFFF"/>
            <w:vAlign w:val="center"/>
            <w:hideMark/>
          </w:tcPr>
          <w:p w14:paraId="3E8A6F4F" w14:textId="71849C1B" w:rsidR="00094A26" w:rsidRPr="00050FA4" w:rsidRDefault="00094A26" w:rsidP="00617B60">
            <w:pPr>
              <w:jc w:val="center"/>
              <w:rPr>
                <w:rFonts w:ascii="Garamond" w:eastAsia="Times New Roman" w:hAnsi="Garamond"/>
                <w:b/>
                <w:color w:val="0D0D0D" w:themeColor="text1" w:themeTint="F2"/>
                <w:sz w:val="18"/>
                <w:szCs w:val="18"/>
              </w:rPr>
            </w:pPr>
          </w:p>
        </w:tc>
        <w:tc>
          <w:tcPr>
            <w:tcW w:w="1039" w:type="dxa"/>
            <w:tcBorders>
              <w:top w:val="nil"/>
              <w:left w:val="single" w:sz="4" w:space="0" w:color="000000"/>
              <w:bottom w:val="single" w:sz="4" w:space="0" w:color="000000"/>
              <w:right w:val="single" w:sz="4" w:space="0" w:color="000000"/>
            </w:tcBorders>
            <w:shd w:val="clear" w:color="auto" w:fill="FFFFFF"/>
            <w:vAlign w:val="center"/>
            <w:hideMark/>
          </w:tcPr>
          <w:p w14:paraId="5FDD03E9" w14:textId="0765B53E" w:rsidR="00094A26" w:rsidRPr="00050FA4" w:rsidRDefault="00094A26" w:rsidP="00617B60">
            <w:pPr>
              <w:jc w:val="center"/>
              <w:rPr>
                <w:rFonts w:ascii="Garamond" w:eastAsia="Times New Roman" w:hAnsi="Garamond"/>
                <w:b/>
                <w:color w:val="0D0D0D" w:themeColor="text1" w:themeTint="F2"/>
                <w:sz w:val="18"/>
                <w:szCs w:val="18"/>
              </w:rPr>
            </w:pPr>
          </w:p>
        </w:tc>
        <w:tc>
          <w:tcPr>
            <w:tcW w:w="1235" w:type="dxa"/>
            <w:tcBorders>
              <w:top w:val="nil"/>
              <w:left w:val="single" w:sz="4" w:space="0" w:color="000000"/>
              <w:bottom w:val="single" w:sz="4" w:space="0" w:color="000000"/>
              <w:right w:val="nil"/>
            </w:tcBorders>
            <w:shd w:val="clear" w:color="auto" w:fill="FFFFFF"/>
            <w:vAlign w:val="center"/>
            <w:hideMark/>
          </w:tcPr>
          <w:p w14:paraId="3CEBF629"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2020</w:t>
            </w:r>
          </w:p>
        </w:tc>
        <w:tc>
          <w:tcPr>
            <w:tcW w:w="989" w:type="dxa"/>
            <w:tcBorders>
              <w:top w:val="nil"/>
              <w:left w:val="dotted" w:sz="4" w:space="0" w:color="000000"/>
              <w:bottom w:val="single" w:sz="4" w:space="0" w:color="000000"/>
              <w:right w:val="dotted" w:sz="4" w:space="0" w:color="000000"/>
            </w:tcBorders>
            <w:shd w:val="clear" w:color="auto" w:fill="FFFFFF"/>
            <w:vAlign w:val="center"/>
            <w:hideMark/>
          </w:tcPr>
          <w:p w14:paraId="434F47AE"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2021</w:t>
            </w:r>
          </w:p>
        </w:tc>
        <w:tc>
          <w:tcPr>
            <w:tcW w:w="989" w:type="dxa"/>
            <w:tcBorders>
              <w:top w:val="nil"/>
              <w:left w:val="nil"/>
              <w:bottom w:val="single" w:sz="4" w:space="0" w:color="000000"/>
              <w:right w:val="dotted" w:sz="4" w:space="0" w:color="000000"/>
            </w:tcBorders>
            <w:shd w:val="clear" w:color="auto" w:fill="FFFFFF"/>
            <w:vAlign w:val="center"/>
            <w:hideMark/>
          </w:tcPr>
          <w:p w14:paraId="537DAE4F"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2022</w:t>
            </w:r>
          </w:p>
        </w:tc>
        <w:tc>
          <w:tcPr>
            <w:tcW w:w="989" w:type="dxa"/>
            <w:tcBorders>
              <w:top w:val="nil"/>
              <w:left w:val="nil"/>
              <w:bottom w:val="single" w:sz="4" w:space="0" w:color="000000"/>
              <w:right w:val="dotted" w:sz="4" w:space="0" w:color="000000"/>
            </w:tcBorders>
            <w:shd w:val="clear" w:color="auto" w:fill="FFFFFF"/>
            <w:vAlign w:val="center"/>
            <w:hideMark/>
          </w:tcPr>
          <w:p w14:paraId="1794ED36"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2023</w:t>
            </w:r>
          </w:p>
        </w:tc>
        <w:tc>
          <w:tcPr>
            <w:tcW w:w="989" w:type="dxa"/>
            <w:tcBorders>
              <w:top w:val="nil"/>
              <w:left w:val="nil"/>
              <w:bottom w:val="single" w:sz="4" w:space="0" w:color="000000"/>
              <w:right w:val="double" w:sz="6" w:space="0" w:color="000000"/>
            </w:tcBorders>
            <w:shd w:val="clear" w:color="auto" w:fill="FFFFFF"/>
            <w:vAlign w:val="center"/>
            <w:hideMark/>
          </w:tcPr>
          <w:p w14:paraId="475CE24B" w14:textId="77777777" w:rsidR="00094A26" w:rsidRPr="00050FA4" w:rsidRDefault="00094A26" w:rsidP="00617B60">
            <w:pPr>
              <w:jc w:val="center"/>
              <w:rPr>
                <w:rFonts w:ascii="Garamond" w:eastAsia="Times New Roman" w:hAnsi="Garamond"/>
                <w:b/>
                <w:color w:val="0D0D0D" w:themeColor="text1" w:themeTint="F2"/>
                <w:sz w:val="18"/>
                <w:szCs w:val="18"/>
              </w:rPr>
            </w:pPr>
            <w:r w:rsidRPr="00050FA4">
              <w:rPr>
                <w:rFonts w:ascii="Garamond" w:hAnsi="Garamond"/>
                <w:b/>
                <w:color w:val="0D0D0D" w:themeColor="text1" w:themeTint="F2"/>
                <w:sz w:val="18"/>
                <w:szCs w:val="18"/>
              </w:rPr>
              <w:t>2024</w:t>
            </w:r>
          </w:p>
        </w:tc>
      </w:tr>
      <w:tr w:rsidR="00FA29AB" w:rsidRPr="00050FA4" w14:paraId="7D33D347" w14:textId="77777777" w:rsidTr="00617B60">
        <w:trPr>
          <w:trHeight w:val="191"/>
          <w:jc w:val="center"/>
        </w:trPr>
        <w:tc>
          <w:tcPr>
            <w:tcW w:w="3973" w:type="dxa"/>
            <w:tcBorders>
              <w:top w:val="nil"/>
              <w:left w:val="double" w:sz="6" w:space="0" w:color="000000"/>
              <w:bottom w:val="dotted" w:sz="4" w:space="0" w:color="000000"/>
              <w:right w:val="nil"/>
            </w:tcBorders>
            <w:shd w:val="clear" w:color="auto" w:fill="FFFFFF"/>
            <w:vAlign w:val="bottom"/>
            <w:hideMark/>
          </w:tcPr>
          <w:p w14:paraId="41776E58" w14:textId="6F2B715E"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Real GDP growth (%, yoy)</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1DD0EB3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B1g</w:t>
            </w:r>
          </w:p>
        </w:tc>
        <w:tc>
          <w:tcPr>
            <w:tcW w:w="1235" w:type="dxa"/>
            <w:tcBorders>
              <w:top w:val="nil"/>
              <w:left w:val="nil"/>
              <w:bottom w:val="dotted" w:sz="4" w:space="0" w:color="000000"/>
              <w:right w:val="dotted" w:sz="4" w:space="0" w:color="000000"/>
            </w:tcBorders>
            <w:shd w:val="clear" w:color="auto" w:fill="FFFFFF"/>
            <w:vAlign w:val="bottom"/>
            <w:hideMark/>
          </w:tcPr>
          <w:p w14:paraId="72DBFD6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-4.0</w:t>
            </w:r>
          </w:p>
        </w:tc>
        <w:tc>
          <w:tcPr>
            <w:tcW w:w="989" w:type="dxa"/>
            <w:tcBorders>
              <w:top w:val="nil"/>
              <w:left w:val="nil"/>
              <w:bottom w:val="dotted" w:sz="4" w:space="0" w:color="000000"/>
              <w:right w:val="dotted" w:sz="4" w:space="0" w:color="000000"/>
            </w:tcBorders>
            <w:shd w:val="clear" w:color="auto" w:fill="FFFFFF"/>
            <w:vAlign w:val="bottom"/>
            <w:hideMark/>
          </w:tcPr>
          <w:p w14:paraId="7C96797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8.7</w:t>
            </w:r>
          </w:p>
        </w:tc>
        <w:tc>
          <w:tcPr>
            <w:tcW w:w="989" w:type="dxa"/>
            <w:tcBorders>
              <w:top w:val="nil"/>
              <w:left w:val="nil"/>
              <w:bottom w:val="dotted" w:sz="4" w:space="0" w:color="000000"/>
              <w:right w:val="dotted" w:sz="4" w:space="0" w:color="000000"/>
            </w:tcBorders>
            <w:shd w:val="clear" w:color="auto" w:fill="FFFFFF"/>
            <w:vAlign w:val="bottom"/>
            <w:hideMark/>
          </w:tcPr>
          <w:p w14:paraId="33BECB0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4.1</w:t>
            </w:r>
          </w:p>
        </w:tc>
        <w:tc>
          <w:tcPr>
            <w:tcW w:w="989" w:type="dxa"/>
            <w:tcBorders>
              <w:top w:val="nil"/>
              <w:left w:val="nil"/>
              <w:bottom w:val="dotted" w:sz="4" w:space="0" w:color="000000"/>
              <w:right w:val="dotted" w:sz="4" w:space="0" w:color="000000"/>
            </w:tcBorders>
            <w:shd w:val="clear" w:color="auto" w:fill="FFFFFF"/>
            <w:vAlign w:val="bottom"/>
            <w:hideMark/>
          </w:tcPr>
          <w:p w14:paraId="397FD50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4.2</w:t>
            </w:r>
          </w:p>
        </w:tc>
        <w:tc>
          <w:tcPr>
            <w:tcW w:w="989" w:type="dxa"/>
            <w:tcBorders>
              <w:top w:val="nil"/>
              <w:left w:val="nil"/>
              <w:bottom w:val="dotted" w:sz="4" w:space="0" w:color="000000"/>
              <w:right w:val="double" w:sz="6" w:space="0" w:color="000000"/>
            </w:tcBorders>
            <w:shd w:val="clear" w:color="auto" w:fill="FFFFFF"/>
            <w:vAlign w:val="bottom"/>
            <w:hideMark/>
          </w:tcPr>
          <w:p w14:paraId="781CA00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3.9</w:t>
            </w:r>
          </w:p>
        </w:tc>
      </w:tr>
      <w:tr w:rsidR="00FA29AB" w:rsidRPr="00050FA4" w14:paraId="092C034C" w14:textId="77777777" w:rsidTr="00617B60">
        <w:trPr>
          <w:trHeight w:val="224"/>
          <w:jc w:val="center"/>
        </w:trPr>
        <w:tc>
          <w:tcPr>
            <w:tcW w:w="3973" w:type="dxa"/>
            <w:tcBorders>
              <w:top w:val="nil"/>
              <w:left w:val="double" w:sz="6" w:space="0" w:color="000000"/>
              <w:bottom w:val="dotted" w:sz="4" w:space="0" w:color="000000"/>
              <w:right w:val="nil"/>
            </w:tcBorders>
            <w:shd w:val="clear" w:color="auto" w:fill="FFFFFF"/>
            <w:vAlign w:val="bottom"/>
            <w:hideMark/>
          </w:tcPr>
          <w:p w14:paraId="483D478C" w14:textId="2145A1E5"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 xml:space="preserve">Net lending of general government </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71EEB054"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EDP.B.9</w:t>
            </w:r>
          </w:p>
        </w:tc>
        <w:tc>
          <w:tcPr>
            <w:tcW w:w="1235" w:type="dxa"/>
            <w:tcBorders>
              <w:top w:val="nil"/>
              <w:left w:val="nil"/>
              <w:bottom w:val="dotted" w:sz="4" w:space="0" w:color="000000"/>
              <w:right w:val="dotted" w:sz="4" w:space="0" w:color="000000"/>
            </w:tcBorders>
            <w:shd w:val="clear" w:color="auto" w:fill="FFFFFF"/>
            <w:vAlign w:val="bottom"/>
            <w:hideMark/>
          </w:tcPr>
          <w:p w14:paraId="6CEF8AFD"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-6.8</w:t>
            </w:r>
          </w:p>
        </w:tc>
        <w:tc>
          <w:tcPr>
            <w:tcW w:w="989" w:type="dxa"/>
            <w:tcBorders>
              <w:top w:val="nil"/>
              <w:left w:val="nil"/>
              <w:bottom w:val="dotted" w:sz="4" w:space="0" w:color="000000"/>
              <w:right w:val="dotted" w:sz="4" w:space="0" w:color="000000"/>
            </w:tcBorders>
            <w:shd w:val="clear" w:color="auto" w:fill="FFFFFF"/>
            <w:vAlign w:val="bottom"/>
            <w:hideMark/>
          </w:tcPr>
          <w:p w14:paraId="3CB3EB2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-5.8</w:t>
            </w:r>
          </w:p>
        </w:tc>
        <w:tc>
          <w:tcPr>
            <w:tcW w:w="989" w:type="dxa"/>
            <w:tcBorders>
              <w:top w:val="nil"/>
              <w:left w:val="nil"/>
              <w:bottom w:val="dotted" w:sz="4" w:space="0" w:color="000000"/>
              <w:right w:val="dotted" w:sz="4" w:space="0" w:color="000000"/>
            </w:tcBorders>
            <w:shd w:val="clear" w:color="auto" w:fill="FFFFFF"/>
            <w:vAlign w:val="bottom"/>
            <w:hideMark/>
          </w:tcPr>
          <w:p w14:paraId="5D50BF2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-5.4</w:t>
            </w:r>
          </w:p>
        </w:tc>
        <w:tc>
          <w:tcPr>
            <w:tcW w:w="989" w:type="dxa"/>
            <w:tcBorders>
              <w:top w:val="nil"/>
              <w:left w:val="nil"/>
              <w:bottom w:val="dotted" w:sz="4" w:space="0" w:color="000000"/>
              <w:right w:val="dotted" w:sz="4" w:space="0" w:color="000000"/>
            </w:tcBorders>
            <w:shd w:val="clear" w:color="auto" w:fill="FFFFFF"/>
            <w:vAlign w:val="bottom"/>
            <w:hideMark/>
          </w:tcPr>
          <w:p w14:paraId="7DC3589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989" w:type="dxa"/>
            <w:tcBorders>
              <w:top w:val="nil"/>
              <w:left w:val="nil"/>
              <w:bottom w:val="dotted" w:sz="4" w:space="0" w:color="000000"/>
              <w:right w:val="double" w:sz="6" w:space="0" w:color="000000"/>
            </w:tcBorders>
            <w:shd w:val="clear" w:color="auto" w:fill="FFFFFF"/>
            <w:vAlign w:val="bottom"/>
            <w:hideMark/>
          </w:tcPr>
          <w:p w14:paraId="4A2BB0D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-2.8</w:t>
            </w:r>
          </w:p>
        </w:tc>
      </w:tr>
      <w:tr w:rsidR="00FA29AB" w:rsidRPr="00050FA4" w14:paraId="55105020" w14:textId="77777777" w:rsidTr="00617B60">
        <w:trPr>
          <w:trHeight w:val="224"/>
          <w:jc w:val="center"/>
        </w:trPr>
        <w:tc>
          <w:tcPr>
            <w:tcW w:w="3973" w:type="dxa"/>
            <w:tcBorders>
              <w:top w:val="nil"/>
              <w:left w:val="double" w:sz="6" w:space="0" w:color="000000"/>
              <w:bottom w:val="dotted" w:sz="4" w:space="0" w:color="000000"/>
              <w:right w:val="nil"/>
            </w:tcBorders>
            <w:shd w:val="clear" w:color="auto" w:fill="FFFFFF"/>
            <w:vAlign w:val="bottom"/>
            <w:hideMark/>
          </w:tcPr>
          <w:p w14:paraId="78873041" w14:textId="20FB9983"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w:t>
            </w:r>
            <w:r w:rsidR="009B1D6B" w:rsidRPr="00050FA4">
              <w:rPr>
                <w:rFonts w:ascii="Garamond" w:eastAsia="Times New Roman" w:hAnsi="Garamond"/>
                <w:color w:val="0D0D0D" w:themeColor="text1" w:themeTint="F2"/>
                <w:sz w:val="18"/>
                <w:szCs w:val="18"/>
              </w:rPr>
              <w:t xml:space="preserve"> </w:t>
            </w:r>
            <w:r w:rsidRPr="00050FA4">
              <w:rPr>
                <w:rFonts w:ascii="Garamond" w:eastAsia="Times New Roman" w:hAnsi="Garamond"/>
                <w:color w:val="0D0D0D" w:themeColor="text1" w:themeTint="F2"/>
                <w:sz w:val="18"/>
                <w:szCs w:val="18"/>
              </w:rPr>
              <w:t>Interest expenditure</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75532FE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EDP.D.41</w:t>
            </w:r>
          </w:p>
        </w:tc>
        <w:tc>
          <w:tcPr>
            <w:tcW w:w="1235" w:type="dxa"/>
            <w:tcBorders>
              <w:top w:val="nil"/>
              <w:left w:val="nil"/>
              <w:bottom w:val="dotted" w:sz="4" w:space="0" w:color="000000"/>
              <w:right w:val="dotted" w:sz="4" w:space="0" w:color="000000"/>
            </w:tcBorders>
            <w:shd w:val="clear" w:color="auto" w:fill="FFFFFF"/>
            <w:hideMark/>
          </w:tcPr>
          <w:p w14:paraId="1361F90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89" w:type="dxa"/>
            <w:tcBorders>
              <w:top w:val="nil"/>
              <w:left w:val="nil"/>
              <w:bottom w:val="dotted" w:sz="4" w:space="0" w:color="000000"/>
              <w:right w:val="dotted" w:sz="4" w:space="0" w:color="000000"/>
            </w:tcBorders>
            <w:shd w:val="clear" w:color="auto" w:fill="FFFFFF"/>
            <w:hideMark/>
          </w:tcPr>
          <w:p w14:paraId="309C47D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2.1</w:t>
            </w:r>
          </w:p>
        </w:tc>
        <w:tc>
          <w:tcPr>
            <w:tcW w:w="989" w:type="dxa"/>
            <w:tcBorders>
              <w:top w:val="nil"/>
              <w:left w:val="nil"/>
              <w:bottom w:val="dotted" w:sz="4" w:space="0" w:color="000000"/>
              <w:right w:val="dotted" w:sz="4" w:space="0" w:color="000000"/>
            </w:tcBorders>
            <w:shd w:val="clear" w:color="auto" w:fill="FFFFFF"/>
            <w:hideMark/>
          </w:tcPr>
          <w:p w14:paraId="767D781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2.7</w:t>
            </w:r>
          </w:p>
        </w:tc>
        <w:tc>
          <w:tcPr>
            <w:tcW w:w="989" w:type="dxa"/>
            <w:tcBorders>
              <w:top w:val="nil"/>
              <w:left w:val="nil"/>
              <w:bottom w:val="dotted" w:sz="4" w:space="0" w:color="000000"/>
              <w:right w:val="dotted" w:sz="4" w:space="0" w:color="000000"/>
            </w:tcBorders>
            <w:shd w:val="clear" w:color="auto" w:fill="FFFFFF"/>
            <w:hideMark/>
          </w:tcPr>
          <w:p w14:paraId="467615C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989" w:type="dxa"/>
            <w:tcBorders>
              <w:top w:val="nil"/>
              <w:left w:val="nil"/>
              <w:bottom w:val="dotted" w:sz="4" w:space="0" w:color="000000"/>
              <w:right w:val="double" w:sz="6" w:space="0" w:color="000000"/>
            </w:tcBorders>
            <w:shd w:val="clear" w:color="auto" w:fill="FFFFFF"/>
            <w:hideMark/>
          </w:tcPr>
          <w:p w14:paraId="3B2D548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3.2</w:t>
            </w:r>
          </w:p>
        </w:tc>
      </w:tr>
      <w:tr w:rsidR="00FA29AB" w:rsidRPr="00050FA4" w14:paraId="1B7C82AE" w14:textId="77777777" w:rsidTr="00617B60">
        <w:trPr>
          <w:trHeight w:val="213"/>
          <w:jc w:val="center"/>
        </w:trPr>
        <w:tc>
          <w:tcPr>
            <w:tcW w:w="3973" w:type="dxa"/>
            <w:tcBorders>
              <w:top w:val="nil"/>
              <w:left w:val="double" w:sz="6" w:space="0" w:color="000000"/>
              <w:bottom w:val="dotted" w:sz="4" w:space="0" w:color="000000"/>
              <w:right w:val="nil"/>
            </w:tcBorders>
            <w:shd w:val="clear" w:color="auto" w:fill="FFFFFF"/>
            <w:vAlign w:val="bottom"/>
            <w:hideMark/>
          </w:tcPr>
          <w:p w14:paraId="6DDEC55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 One-off and other temporary measures [1]</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1645CC7D"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hideMark/>
          </w:tcPr>
          <w:p w14:paraId="0EC2934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5998E9A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5A4883D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2AF760B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uble" w:sz="6" w:space="0" w:color="000000"/>
            </w:tcBorders>
            <w:hideMark/>
          </w:tcPr>
          <w:p w14:paraId="6F47405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20FF8202" w14:textId="77777777" w:rsidTr="00617B60">
        <w:trPr>
          <w:trHeight w:val="191"/>
          <w:jc w:val="center"/>
        </w:trPr>
        <w:tc>
          <w:tcPr>
            <w:tcW w:w="3973" w:type="dxa"/>
            <w:tcBorders>
              <w:top w:val="nil"/>
              <w:left w:val="double" w:sz="6" w:space="0" w:color="000000"/>
              <w:bottom w:val="single" w:sz="4" w:space="0" w:color="auto"/>
              <w:right w:val="nil"/>
            </w:tcBorders>
            <w:shd w:val="clear" w:color="auto" w:fill="FFFFFF"/>
            <w:vAlign w:val="bottom"/>
            <w:hideMark/>
          </w:tcPr>
          <w:p w14:paraId="12AE19D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 Potential GDP growth (%, yoy)</w:t>
            </w:r>
          </w:p>
        </w:tc>
        <w:tc>
          <w:tcPr>
            <w:tcW w:w="1039" w:type="dxa"/>
            <w:tcBorders>
              <w:top w:val="nil"/>
              <w:left w:val="single" w:sz="4" w:space="0" w:color="000000"/>
              <w:bottom w:val="single" w:sz="4" w:space="0" w:color="auto"/>
              <w:right w:val="single" w:sz="4" w:space="0" w:color="000000"/>
            </w:tcBorders>
            <w:shd w:val="clear" w:color="auto" w:fill="FFFFFF"/>
            <w:vAlign w:val="bottom"/>
            <w:hideMark/>
          </w:tcPr>
          <w:p w14:paraId="3C230628"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single" w:sz="4" w:space="0" w:color="auto"/>
              <w:right w:val="dotted" w:sz="4" w:space="0" w:color="000000"/>
            </w:tcBorders>
            <w:vAlign w:val="bottom"/>
            <w:hideMark/>
          </w:tcPr>
          <w:p w14:paraId="26B0025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989" w:type="dxa"/>
            <w:tcBorders>
              <w:top w:val="nil"/>
              <w:left w:val="nil"/>
              <w:bottom w:val="single" w:sz="4" w:space="0" w:color="auto"/>
              <w:right w:val="dotted" w:sz="4" w:space="0" w:color="000000"/>
            </w:tcBorders>
            <w:vAlign w:val="bottom"/>
            <w:hideMark/>
          </w:tcPr>
          <w:p w14:paraId="4956032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3.4</w:t>
            </w:r>
          </w:p>
        </w:tc>
        <w:tc>
          <w:tcPr>
            <w:tcW w:w="989" w:type="dxa"/>
            <w:tcBorders>
              <w:top w:val="nil"/>
              <w:left w:val="nil"/>
              <w:bottom w:val="single" w:sz="4" w:space="0" w:color="auto"/>
              <w:right w:val="dotted" w:sz="4" w:space="0" w:color="000000"/>
            </w:tcBorders>
            <w:vAlign w:val="bottom"/>
            <w:hideMark/>
          </w:tcPr>
          <w:p w14:paraId="03C45A5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3.7</w:t>
            </w:r>
          </w:p>
        </w:tc>
        <w:tc>
          <w:tcPr>
            <w:tcW w:w="989" w:type="dxa"/>
            <w:tcBorders>
              <w:top w:val="nil"/>
              <w:left w:val="nil"/>
              <w:bottom w:val="single" w:sz="4" w:space="0" w:color="auto"/>
              <w:right w:val="dotted" w:sz="4" w:space="0" w:color="000000"/>
            </w:tcBorders>
            <w:vAlign w:val="bottom"/>
            <w:hideMark/>
          </w:tcPr>
          <w:p w14:paraId="1ECBA88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3.8</w:t>
            </w:r>
          </w:p>
        </w:tc>
        <w:tc>
          <w:tcPr>
            <w:tcW w:w="989" w:type="dxa"/>
            <w:tcBorders>
              <w:top w:val="nil"/>
              <w:left w:val="nil"/>
              <w:bottom w:val="single" w:sz="4" w:space="0" w:color="auto"/>
              <w:right w:val="double" w:sz="6" w:space="0" w:color="000000"/>
            </w:tcBorders>
            <w:vAlign w:val="bottom"/>
            <w:hideMark/>
          </w:tcPr>
          <w:p w14:paraId="060C4D5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3.9</w:t>
            </w:r>
          </w:p>
        </w:tc>
      </w:tr>
      <w:tr w:rsidR="00FA29AB" w:rsidRPr="00050FA4" w14:paraId="24972224" w14:textId="77777777" w:rsidTr="00617B60">
        <w:trPr>
          <w:trHeight w:val="191"/>
          <w:jc w:val="center"/>
        </w:trPr>
        <w:tc>
          <w:tcPr>
            <w:tcW w:w="3973" w:type="dxa"/>
            <w:tcBorders>
              <w:top w:val="nil"/>
              <w:left w:val="double" w:sz="6" w:space="0" w:color="000000"/>
              <w:bottom w:val="dotted" w:sz="4" w:space="0" w:color="000000"/>
              <w:right w:val="nil"/>
            </w:tcBorders>
            <w:shd w:val="clear" w:color="auto" w:fill="FFFFFF"/>
            <w:vAlign w:val="bottom"/>
            <w:hideMark/>
          </w:tcPr>
          <w:p w14:paraId="052B4F30"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Contributions:</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69898A59"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vAlign w:val="bottom"/>
            <w:hideMark/>
          </w:tcPr>
          <w:p w14:paraId="5C8D751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89" w:type="dxa"/>
            <w:tcBorders>
              <w:top w:val="nil"/>
              <w:left w:val="nil"/>
              <w:bottom w:val="dotted" w:sz="4" w:space="0" w:color="000000"/>
              <w:right w:val="dotted" w:sz="4" w:space="0" w:color="000000"/>
            </w:tcBorders>
            <w:vAlign w:val="bottom"/>
            <w:hideMark/>
          </w:tcPr>
          <w:p w14:paraId="39D1B76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89" w:type="dxa"/>
            <w:tcBorders>
              <w:top w:val="nil"/>
              <w:left w:val="nil"/>
              <w:bottom w:val="dotted" w:sz="4" w:space="0" w:color="000000"/>
              <w:right w:val="dotted" w:sz="4" w:space="0" w:color="000000"/>
            </w:tcBorders>
            <w:vAlign w:val="bottom"/>
            <w:hideMark/>
          </w:tcPr>
          <w:p w14:paraId="3D754E7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89" w:type="dxa"/>
            <w:tcBorders>
              <w:top w:val="nil"/>
              <w:left w:val="nil"/>
              <w:bottom w:val="dotted" w:sz="4" w:space="0" w:color="000000"/>
              <w:right w:val="dotted" w:sz="4" w:space="0" w:color="000000"/>
            </w:tcBorders>
            <w:vAlign w:val="bottom"/>
            <w:hideMark/>
          </w:tcPr>
          <w:p w14:paraId="585034F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c>
          <w:tcPr>
            <w:tcW w:w="989" w:type="dxa"/>
            <w:tcBorders>
              <w:top w:val="nil"/>
              <w:left w:val="nil"/>
              <w:bottom w:val="dotted" w:sz="4" w:space="0" w:color="000000"/>
              <w:right w:val="double" w:sz="6" w:space="0" w:color="000000"/>
            </w:tcBorders>
            <w:vAlign w:val="bottom"/>
            <w:hideMark/>
          </w:tcPr>
          <w:p w14:paraId="180C229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 </w:t>
            </w:r>
          </w:p>
        </w:tc>
      </w:tr>
      <w:tr w:rsidR="00FA29AB" w:rsidRPr="00050FA4" w14:paraId="47931871" w14:textId="77777777" w:rsidTr="00617B60">
        <w:trPr>
          <w:trHeight w:val="224"/>
          <w:jc w:val="center"/>
        </w:trPr>
        <w:tc>
          <w:tcPr>
            <w:tcW w:w="3973" w:type="dxa"/>
            <w:tcBorders>
              <w:top w:val="nil"/>
              <w:left w:val="double" w:sz="6" w:space="0" w:color="000000"/>
              <w:bottom w:val="dotted" w:sz="4" w:space="0" w:color="000000"/>
              <w:right w:val="nil"/>
            </w:tcBorders>
            <w:shd w:val="clear" w:color="auto" w:fill="FFFFFF"/>
            <w:vAlign w:val="bottom"/>
            <w:hideMark/>
          </w:tcPr>
          <w:p w14:paraId="55059685"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labour</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526C452E"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hideMark/>
          </w:tcPr>
          <w:p w14:paraId="1EA6DFE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02E7C9B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1131C7C0"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3DC8BD8F"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uble" w:sz="6" w:space="0" w:color="000000"/>
            </w:tcBorders>
            <w:hideMark/>
          </w:tcPr>
          <w:p w14:paraId="591CF94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66D15C02" w14:textId="77777777" w:rsidTr="00617B60">
        <w:trPr>
          <w:trHeight w:val="224"/>
          <w:jc w:val="center"/>
        </w:trPr>
        <w:tc>
          <w:tcPr>
            <w:tcW w:w="3973" w:type="dxa"/>
            <w:tcBorders>
              <w:top w:val="nil"/>
              <w:left w:val="double" w:sz="6" w:space="0" w:color="000000"/>
              <w:bottom w:val="dotted" w:sz="4" w:space="0" w:color="000000"/>
              <w:right w:val="nil"/>
            </w:tcBorders>
            <w:shd w:val="clear" w:color="auto" w:fill="FFFFFF"/>
            <w:vAlign w:val="bottom"/>
            <w:hideMark/>
          </w:tcPr>
          <w:p w14:paraId="711D7B1E"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capital</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1309267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hideMark/>
          </w:tcPr>
          <w:p w14:paraId="61153A6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066DA05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36ABE751"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tted" w:sz="4" w:space="0" w:color="000000"/>
            </w:tcBorders>
            <w:hideMark/>
          </w:tcPr>
          <w:p w14:paraId="7BD5E87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tted" w:sz="4" w:space="0" w:color="000000"/>
              <w:right w:val="double" w:sz="6" w:space="0" w:color="000000"/>
            </w:tcBorders>
            <w:hideMark/>
          </w:tcPr>
          <w:p w14:paraId="5844E9F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452F0B8B" w14:textId="77777777" w:rsidTr="00617B60">
        <w:trPr>
          <w:trHeight w:val="191"/>
          <w:jc w:val="center"/>
        </w:trPr>
        <w:tc>
          <w:tcPr>
            <w:tcW w:w="3973" w:type="dxa"/>
            <w:tcBorders>
              <w:top w:val="nil"/>
              <w:left w:val="double" w:sz="6" w:space="0" w:color="000000"/>
              <w:bottom w:val="single" w:sz="4" w:space="0" w:color="auto"/>
              <w:right w:val="nil"/>
            </w:tcBorders>
            <w:shd w:val="clear" w:color="auto" w:fill="FFFFFF"/>
            <w:vAlign w:val="bottom"/>
            <w:hideMark/>
          </w:tcPr>
          <w:p w14:paraId="08C3B569" w14:textId="77777777" w:rsidR="00094A26" w:rsidRPr="00050FA4" w:rsidRDefault="00094A26"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total factor productivity</w:t>
            </w:r>
          </w:p>
        </w:tc>
        <w:tc>
          <w:tcPr>
            <w:tcW w:w="1039" w:type="dxa"/>
            <w:tcBorders>
              <w:top w:val="nil"/>
              <w:left w:val="single" w:sz="4" w:space="0" w:color="000000"/>
              <w:bottom w:val="single" w:sz="4" w:space="0" w:color="auto"/>
              <w:right w:val="single" w:sz="4" w:space="0" w:color="000000"/>
            </w:tcBorders>
            <w:shd w:val="clear" w:color="auto" w:fill="FFFFFF"/>
            <w:vAlign w:val="bottom"/>
            <w:hideMark/>
          </w:tcPr>
          <w:p w14:paraId="57133A36"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single" w:sz="4" w:space="0" w:color="auto"/>
              <w:right w:val="dotted" w:sz="4" w:space="0" w:color="000000"/>
            </w:tcBorders>
            <w:hideMark/>
          </w:tcPr>
          <w:p w14:paraId="17AD04E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single" w:sz="4" w:space="0" w:color="auto"/>
              <w:right w:val="dotted" w:sz="4" w:space="0" w:color="000000"/>
            </w:tcBorders>
            <w:hideMark/>
          </w:tcPr>
          <w:p w14:paraId="63A10EB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single" w:sz="4" w:space="0" w:color="auto"/>
              <w:right w:val="dotted" w:sz="4" w:space="0" w:color="000000"/>
            </w:tcBorders>
            <w:hideMark/>
          </w:tcPr>
          <w:p w14:paraId="34BE80A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single" w:sz="4" w:space="0" w:color="auto"/>
              <w:right w:val="dotted" w:sz="4" w:space="0" w:color="000000"/>
            </w:tcBorders>
            <w:hideMark/>
          </w:tcPr>
          <w:p w14:paraId="0B5AA8B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single" w:sz="4" w:space="0" w:color="auto"/>
              <w:right w:val="double" w:sz="6" w:space="0" w:color="000000"/>
            </w:tcBorders>
            <w:hideMark/>
          </w:tcPr>
          <w:p w14:paraId="3008303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r w:rsidR="00FA29AB" w:rsidRPr="00050FA4" w14:paraId="186E2A2C" w14:textId="77777777" w:rsidTr="00617B60">
        <w:trPr>
          <w:trHeight w:val="191"/>
          <w:jc w:val="center"/>
        </w:trPr>
        <w:tc>
          <w:tcPr>
            <w:tcW w:w="3973" w:type="dxa"/>
            <w:tcBorders>
              <w:top w:val="nil"/>
              <w:left w:val="double" w:sz="6" w:space="0" w:color="000000"/>
              <w:bottom w:val="dotted" w:sz="4" w:space="0" w:color="000000"/>
              <w:right w:val="nil"/>
            </w:tcBorders>
            <w:shd w:val="clear" w:color="auto" w:fill="FFFFFF"/>
            <w:vAlign w:val="bottom"/>
            <w:hideMark/>
          </w:tcPr>
          <w:p w14:paraId="38DAB19B" w14:textId="4ED65A88"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6. Output gap</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38DC668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vAlign w:val="bottom"/>
            <w:hideMark/>
          </w:tcPr>
          <w:p w14:paraId="7A56B72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w:t>
            </w:r>
          </w:p>
        </w:tc>
        <w:tc>
          <w:tcPr>
            <w:tcW w:w="989" w:type="dxa"/>
            <w:tcBorders>
              <w:top w:val="nil"/>
              <w:left w:val="nil"/>
              <w:bottom w:val="dotted" w:sz="4" w:space="0" w:color="000000"/>
              <w:right w:val="dotted" w:sz="4" w:space="0" w:color="000000"/>
            </w:tcBorders>
            <w:vAlign w:val="bottom"/>
            <w:hideMark/>
          </w:tcPr>
          <w:p w14:paraId="6BBDA9D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-0.7</w:t>
            </w:r>
          </w:p>
        </w:tc>
        <w:tc>
          <w:tcPr>
            <w:tcW w:w="989" w:type="dxa"/>
            <w:tcBorders>
              <w:top w:val="nil"/>
              <w:left w:val="nil"/>
              <w:bottom w:val="dotted" w:sz="4" w:space="0" w:color="000000"/>
              <w:right w:val="dotted" w:sz="4" w:space="0" w:color="000000"/>
            </w:tcBorders>
            <w:vAlign w:val="bottom"/>
            <w:hideMark/>
          </w:tcPr>
          <w:p w14:paraId="66296004"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c>
          <w:tcPr>
            <w:tcW w:w="989" w:type="dxa"/>
            <w:tcBorders>
              <w:top w:val="nil"/>
              <w:left w:val="nil"/>
              <w:bottom w:val="dotted" w:sz="4" w:space="0" w:color="000000"/>
              <w:right w:val="dotted" w:sz="4" w:space="0" w:color="000000"/>
            </w:tcBorders>
            <w:vAlign w:val="bottom"/>
            <w:hideMark/>
          </w:tcPr>
          <w:p w14:paraId="5C555B3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989" w:type="dxa"/>
            <w:tcBorders>
              <w:top w:val="nil"/>
              <w:left w:val="nil"/>
              <w:bottom w:val="dotted" w:sz="4" w:space="0" w:color="000000"/>
              <w:right w:val="double" w:sz="6" w:space="0" w:color="000000"/>
            </w:tcBorders>
            <w:vAlign w:val="bottom"/>
            <w:hideMark/>
          </w:tcPr>
          <w:p w14:paraId="5199E83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r>
      <w:tr w:rsidR="00FA29AB" w:rsidRPr="00050FA4" w14:paraId="06806020" w14:textId="77777777" w:rsidTr="00617B60">
        <w:trPr>
          <w:trHeight w:val="224"/>
          <w:jc w:val="center"/>
        </w:trPr>
        <w:tc>
          <w:tcPr>
            <w:tcW w:w="3973" w:type="dxa"/>
            <w:tcBorders>
              <w:top w:val="nil"/>
              <w:left w:val="double" w:sz="6" w:space="0" w:color="000000"/>
              <w:bottom w:val="single" w:sz="4" w:space="0" w:color="auto"/>
              <w:right w:val="nil"/>
            </w:tcBorders>
            <w:shd w:val="clear" w:color="auto" w:fill="FFFFFF"/>
            <w:vAlign w:val="bottom"/>
            <w:hideMark/>
          </w:tcPr>
          <w:p w14:paraId="5554A98F" w14:textId="354F9187"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7. Cyclical budgetary component</w:t>
            </w:r>
          </w:p>
        </w:tc>
        <w:tc>
          <w:tcPr>
            <w:tcW w:w="1039" w:type="dxa"/>
            <w:tcBorders>
              <w:top w:val="nil"/>
              <w:left w:val="single" w:sz="4" w:space="0" w:color="000000"/>
              <w:bottom w:val="single" w:sz="4" w:space="0" w:color="auto"/>
              <w:right w:val="single" w:sz="4" w:space="0" w:color="000000"/>
            </w:tcBorders>
            <w:shd w:val="clear" w:color="auto" w:fill="FFFFFF"/>
            <w:vAlign w:val="bottom"/>
            <w:hideMark/>
          </w:tcPr>
          <w:p w14:paraId="2BF9A90B"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single" w:sz="4" w:space="0" w:color="auto"/>
              <w:right w:val="dotted" w:sz="4" w:space="0" w:color="000000"/>
            </w:tcBorders>
            <w:vAlign w:val="bottom"/>
            <w:hideMark/>
          </w:tcPr>
          <w:p w14:paraId="23D6D98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-1.8</w:t>
            </w:r>
          </w:p>
        </w:tc>
        <w:tc>
          <w:tcPr>
            <w:tcW w:w="989" w:type="dxa"/>
            <w:tcBorders>
              <w:top w:val="nil"/>
              <w:left w:val="nil"/>
              <w:bottom w:val="single" w:sz="4" w:space="0" w:color="auto"/>
              <w:right w:val="dotted" w:sz="4" w:space="0" w:color="000000"/>
            </w:tcBorders>
            <w:vAlign w:val="bottom"/>
            <w:hideMark/>
          </w:tcPr>
          <w:p w14:paraId="0463AAF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-0.2</w:t>
            </w:r>
          </w:p>
        </w:tc>
        <w:tc>
          <w:tcPr>
            <w:tcW w:w="989" w:type="dxa"/>
            <w:tcBorders>
              <w:top w:val="nil"/>
              <w:left w:val="nil"/>
              <w:bottom w:val="single" w:sz="4" w:space="0" w:color="auto"/>
              <w:right w:val="dotted" w:sz="4" w:space="0" w:color="000000"/>
            </w:tcBorders>
            <w:vAlign w:val="bottom"/>
            <w:hideMark/>
          </w:tcPr>
          <w:p w14:paraId="7EA1C16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-0.1</w:t>
            </w:r>
          </w:p>
        </w:tc>
        <w:tc>
          <w:tcPr>
            <w:tcW w:w="989" w:type="dxa"/>
            <w:tcBorders>
              <w:top w:val="nil"/>
              <w:left w:val="nil"/>
              <w:bottom w:val="single" w:sz="4" w:space="0" w:color="auto"/>
              <w:right w:val="dotted" w:sz="4" w:space="0" w:color="000000"/>
            </w:tcBorders>
            <w:vAlign w:val="bottom"/>
            <w:hideMark/>
          </w:tcPr>
          <w:p w14:paraId="1E85952A"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9" w:type="dxa"/>
            <w:tcBorders>
              <w:top w:val="nil"/>
              <w:left w:val="nil"/>
              <w:bottom w:val="single" w:sz="4" w:space="0" w:color="auto"/>
              <w:right w:val="double" w:sz="6" w:space="0" w:color="000000"/>
            </w:tcBorders>
            <w:vAlign w:val="bottom"/>
            <w:hideMark/>
          </w:tcPr>
          <w:p w14:paraId="05B832C5"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r>
      <w:tr w:rsidR="00FA29AB" w:rsidRPr="00050FA4" w14:paraId="6606543A" w14:textId="77777777" w:rsidTr="00617B60">
        <w:trPr>
          <w:trHeight w:val="224"/>
          <w:jc w:val="center"/>
        </w:trPr>
        <w:tc>
          <w:tcPr>
            <w:tcW w:w="3973" w:type="dxa"/>
            <w:tcBorders>
              <w:top w:val="nil"/>
              <w:left w:val="double" w:sz="6" w:space="0" w:color="000000"/>
              <w:bottom w:val="dotted" w:sz="4" w:space="0" w:color="000000"/>
              <w:right w:val="nil"/>
            </w:tcBorders>
            <w:shd w:val="clear" w:color="auto" w:fill="FFFFFF"/>
            <w:vAlign w:val="bottom"/>
            <w:hideMark/>
          </w:tcPr>
          <w:p w14:paraId="05F453B7" w14:textId="2820E7BB"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8. Cyclically-adjusted balance (2-7)</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093C4DC7"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vAlign w:val="bottom"/>
            <w:hideMark/>
          </w:tcPr>
          <w:p w14:paraId="69808AE8"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-5.0</w:t>
            </w:r>
          </w:p>
        </w:tc>
        <w:tc>
          <w:tcPr>
            <w:tcW w:w="989" w:type="dxa"/>
            <w:tcBorders>
              <w:top w:val="nil"/>
              <w:left w:val="nil"/>
              <w:bottom w:val="dotted" w:sz="4" w:space="0" w:color="000000"/>
              <w:right w:val="dotted" w:sz="4" w:space="0" w:color="000000"/>
            </w:tcBorders>
            <w:vAlign w:val="bottom"/>
            <w:hideMark/>
          </w:tcPr>
          <w:p w14:paraId="035DC84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-5.6</w:t>
            </w:r>
          </w:p>
        </w:tc>
        <w:tc>
          <w:tcPr>
            <w:tcW w:w="989" w:type="dxa"/>
            <w:tcBorders>
              <w:top w:val="nil"/>
              <w:left w:val="nil"/>
              <w:bottom w:val="dotted" w:sz="4" w:space="0" w:color="000000"/>
              <w:right w:val="dotted" w:sz="4" w:space="0" w:color="000000"/>
            </w:tcBorders>
            <w:vAlign w:val="bottom"/>
            <w:hideMark/>
          </w:tcPr>
          <w:p w14:paraId="3FD988D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-5.3</w:t>
            </w:r>
          </w:p>
        </w:tc>
        <w:tc>
          <w:tcPr>
            <w:tcW w:w="989" w:type="dxa"/>
            <w:tcBorders>
              <w:top w:val="nil"/>
              <w:left w:val="nil"/>
              <w:bottom w:val="dotted" w:sz="4" w:space="0" w:color="000000"/>
              <w:right w:val="dotted" w:sz="4" w:space="0" w:color="000000"/>
            </w:tcBorders>
            <w:vAlign w:val="bottom"/>
            <w:hideMark/>
          </w:tcPr>
          <w:p w14:paraId="17635E4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-3.0</w:t>
            </w:r>
          </w:p>
        </w:tc>
        <w:tc>
          <w:tcPr>
            <w:tcW w:w="989" w:type="dxa"/>
            <w:tcBorders>
              <w:top w:val="nil"/>
              <w:left w:val="nil"/>
              <w:bottom w:val="dotted" w:sz="4" w:space="0" w:color="000000"/>
              <w:right w:val="double" w:sz="6" w:space="0" w:color="000000"/>
            </w:tcBorders>
            <w:vAlign w:val="bottom"/>
            <w:hideMark/>
          </w:tcPr>
          <w:p w14:paraId="5A255A4E"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r>
      <w:tr w:rsidR="00FA29AB" w:rsidRPr="00050FA4" w14:paraId="45DDC554" w14:textId="77777777" w:rsidTr="00617B60">
        <w:trPr>
          <w:trHeight w:val="224"/>
          <w:jc w:val="center"/>
        </w:trPr>
        <w:tc>
          <w:tcPr>
            <w:tcW w:w="3973" w:type="dxa"/>
            <w:tcBorders>
              <w:top w:val="nil"/>
              <w:left w:val="double" w:sz="6" w:space="0" w:color="000000"/>
              <w:bottom w:val="dotted" w:sz="4" w:space="0" w:color="000000"/>
              <w:right w:val="nil"/>
            </w:tcBorders>
            <w:shd w:val="clear" w:color="auto" w:fill="FFFFFF"/>
            <w:vAlign w:val="bottom"/>
            <w:hideMark/>
          </w:tcPr>
          <w:p w14:paraId="1BDA1282" w14:textId="2E55CCEC"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9. Cyclically-adjusted primary balance (8+3)</w:t>
            </w:r>
          </w:p>
        </w:tc>
        <w:tc>
          <w:tcPr>
            <w:tcW w:w="1039" w:type="dxa"/>
            <w:tcBorders>
              <w:top w:val="nil"/>
              <w:left w:val="single" w:sz="4" w:space="0" w:color="000000"/>
              <w:bottom w:val="dotted" w:sz="4" w:space="0" w:color="000000"/>
              <w:right w:val="single" w:sz="4" w:space="0" w:color="000000"/>
            </w:tcBorders>
            <w:shd w:val="clear" w:color="auto" w:fill="FFFFFF"/>
            <w:vAlign w:val="bottom"/>
            <w:hideMark/>
          </w:tcPr>
          <w:p w14:paraId="1804CC1D"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tted" w:sz="4" w:space="0" w:color="000000"/>
              <w:right w:val="dotted" w:sz="4" w:space="0" w:color="000000"/>
            </w:tcBorders>
            <w:vAlign w:val="bottom"/>
            <w:hideMark/>
          </w:tcPr>
          <w:p w14:paraId="0B17219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-2.9</w:t>
            </w:r>
          </w:p>
        </w:tc>
        <w:tc>
          <w:tcPr>
            <w:tcW w:w="989" w:type="dxa"/>
            <w:tcBorders>
              <w:top w:val="nil"/>
              <w:left w:val="nil"/>
              <w:bottom w:val="dotted" w:sz="4" w:space="0" w:color="000000"/>
              <w:right w:val="dotted" w:sz="4" w:space="0" w:color="000000"/>
            </w:tcBorders>
            <w:vAlign w:val="bottom"/>
            <w:hideMark/>
          </w:tcPr>
          <w:p w14:paraId="116F97E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-3.6</w:t>
            </w:r>
          </w:p>
        </w:tc>
        <w:tc>
          <w:tcPr>
            <w:tcW w:w="989" w:type="dxa"/>
            <w:tcBorders>
              <w:top w:val="nil"/>
              <w:left w:val="nil"/>
              <w:bottom w:val="dotted" w:sz="4" w:space="0" w:color="000000"/>
              <w:right w:val="dotted" w:sz="4" w:space="0" w:color="000000"/>
            </w:tcBorders>
            <w:vAlign w:val="bottom"/>
            <w:hideMark/>
          </w:tcPr>
          <w:p w14:paraId="01229BA3"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-2.6</w:t>
            </w:r>
          </w:p>
        </w:tc>
        <w:tc>
          <w:tcPr>
            <w:tcW w:w="989" w:type="dxa"/>
            <w:tcBorders>
              <w:top w:val="nil"/>
              <w:left w:val="nil"/>
              <w:bottom w:val="dotted" w:sz="4" w:space="0" w:color="000000"/>
              <w:right w:val="dotted" w:sz="4" w:space="0" w:color="000000"/>
            </w:tcBorders>
            <w:vAlign w:val="bottom"/>
            <w:hideMark/>
          </w:tcPr>
          <w:p w14:paraId="27B96A39"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0.0</w:t>
            </w:r>
          </w:p>
        </w:tc>
        <w:tc>
          <w:tcPr>
            <w:tcW w:w="989" w:type="dxa"/>
            <w:tcBorders>
              <w:top w:val="nil"/>
              <w:left w:val="nil"/>
              <w:bottom w:val="dotted" w:sz="4" w:space="0" w:color="000000"/>
              <w:right w:val="double" w:sz="6" w:space="0" w:color="000000"/>
            </w:tcBorders>
            <w:vAlign w:val="bottom"/>
            <w:hideMark/>
          </w:tcPr>
          <w:p w14:paraId="0F2CD46B"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0.3</w:t>
            </w:r>
          </w:p>
        </w:tc>
      </w:tr>
      <w:tr w:rsidR="00FA29AB" w:rsidRPr="00050FA4" w14:paraId="3068E608" w14:textId="77777777" w:rsidTr="00617B60">
        <w:trPr>
          <w:trHeight w:val="202"/>
          <w:jc w:val="center"/>
        </w:trPr>
        <w:tc>
          <w:tcPr>
            <w:tcW w:w="3973" w:type="dxa"/>
            <w:tcBorders>
              <w:top w:val="nil"/>
              <w:left w:val="double" w:sz="6" w:space="0" w:color="000000"/>
              <w:bottom w:val="double" w:sz="6" w:space="0" w:color="000000"/>
              <w:right w:val="nil"/>
            </w:tcBorders>
            <w:shd w:val="clear" w:color="auto" w:fill="FFFFFF"/>
            <w:vAlign w:val="bottom"/>
            <w:hideMark/>
          </w:tcPr>
          <w:p w14:paraId="67E80F67" w14:textId="11179C96" w:rsidR="00094A26"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094A26" w:rsidRPr="00050FA4">
              <w:rPr>
                <w:rFonts w:ascii="Garamond" w:eastAsia="Times New Roman" w:hAnsi="Garamond"/>
                <w:color w:val="0D0D0D" w:themeColor="text1" w:themeTint="F2"/>
                <w:sz w:val="18"/>
                <w:szCs w:val="18"/>
              </w:rPr>
              <w:t>10. Structural balance (8-4)</w:t>
            </w:r>
          </w:p>
        </w:tc>
        <w:tc>
          <w:tcPr>
            <w:tcW w:w="1039" w:type="dxa"/>
            <w:tcBorders>
              <w:top w:val="nil"/>
              <w:left w:val="single" w:sz="4" w:space="0" w:color="000000"/>
              <w:bottom w:val="double" w:sz="6" w:space="0" w:color="000000"/>
              <w:right w:val="single" w:sz="4" w:space="0" w:color="000000"/>
            </w:tcBorders>
            <w:shd w:val="clear" w:color="auto" w:fill="FFFFFF"/>
            <w:vAlign w:val="bottom"/>
            <w:hideMark/>
          </w:tcPr>
          <w:p w14:paraId="4CA3C985" w14:textId="77777777" w:rsidR="00094A26" w:rsidRPr="00050FA4" w:rsidRDefault="00094A26"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w:t>
            </w:r>
          </w:p>
        </w:tc>
        <w:tc>
          <w:tcPr>
            <w:tcW w:w="1235" w:type="dxa"/>
            <w:tcBorders>
              <w:top w:val="nil"/>
              <w:left w:val="nil"/>
              <w:bottom w:val="double" w:sz="6" w:space="0" w:color="000000"/>
              <w:right w:val="dotted" w:sz="4" w:space="0" w:color="000000"/>
            </w:tcBorders>
            <w:vAlign w:val="bottom"/>
            <w:hideMark/>
          </w:tcPr>
          <w:p w14:paraId="4276CAC2"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uble" w:sz="6" w:space="0" w:color="000000"/>
              <w:right w:val="dotted" w:sz="4" w:space="0" w:color="000000"/>
            </w:tcBorders>
            <w:vAlign w:val="bottom"/>
            <w:hideMark/>
          </w:tcPr>
          <w:p w14:paraId="624D4D5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uble" w:sz="6" w:space="0" w:color="000000"/>
              <w:right w:val="dotted" w:sz="4" w:space="0" w:color="000000"/>
            </w:tcBorders>
            <w:vAlign w:val="bottom"/>
            <w:hideMark/>
          </w:tcPr>
          <w:p w14:paraId="4A9CECC7"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uble" w:sz="6" w:space="0" w:color="000000"/>
              <w:right w:val="dotted" w:sz="4" w:space="0" w:color="000000"/>
            </w:tcBorders>
            <w:vAlign w:val="bottom"/>
            <w:hideMark/>
          </w:tcPr>
          <w:p w14:paraId="013476E6"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c>
          <w:tcPr>
            <w:tcW w:w="989" w:type="dxa"/>
            <w:tcBorders>
              <w:top w:val="nil"/>
              <w:left w:val="nil"/>
              <w:bottom w:val="double" w:sz="6" w:space="0" w:color="000000"/>
              <w:right w:val="double" w:sz="6" w:space="0" w:color="000000"/>
            </w:tcBorders>
            <w:vAlign w:val="bottom"/>
            <w:hideMark/>
          </w:tcPr>
          <w:p w14:paraId="54C1F88C" w14:textId="77777777" w:rsidR="00094A26" w:rsidRPr="00050FA4" w:rsidRDefault="00094A26" w:rsidP="00617B60">
            <w:pPr>
              <w:jc w:val="right"/>
              <w:rPr>
                <w:rFonts w:ascii="Garamond" w:eastAsia="Times New Roman" w:hAnsi="Garamond"/>
                <w:color w:val="0D0D0D" w:themeColor="text1" w:themeTint="F2"/>
                <w:sz w:val="18"/>
                <w:szCs w:val="18"/>
              </w:rPr>
            </w:pPr>
            <w:r w:rsidRPr="00050FA4">
              <w:rPr>
                <w:rFonts w:ascii="Garamond" w:hAnsi="Garamond"/>
                <w:color w:val="0D0D0D" w:themeColor="text1" w:themeTint="F2"/>
                <w:sz w:val="18"/>
                <w:szCs w:val="18"/>
              </w:rPr>
              <w:t>:</w:t>
            </w:r>
          </w:p>
        </w:tc>
      </w:tr>
    </w:tbl>
    <w:p w14:paraId="12C0885D" w14:textId="77777777" w:rsidR="00094A26" w:rsidRPr="00050FA4" w:rsidRDefault="00094A26" w:rsidP="003F1DA7">
      <w:pPr>
        <w:ind w:firstLine="284"/>
        <w:rPr>
          <w:rFonts w:ascii="Garamond" w:hAnsi="Garamond"/>
          <w:color w:val="0D0D0D" w:themeColor="text1" w:themeTint="F2"/>
          <w:sz w:val="20"/>
          <w:szCs w:val="20"/>
        </w:rPr>
      </w:pPr>
    </w:p>
    <w:p w14:paraId="7F3C1A51" w14:textId="77777777" w:rsidR="00094A26" w:rsidRPr="00050FA4" w:rsidRDefault="00094A26" w:rsidP="003F1DA7">
      <w:pPr>
        <w:pStyle w:val="Heading2"/>
        <w:ind w:left="0" w:firstLine="284"/>
        <w:rPr>
          <w:rFonts w:ascii="Garamond" w:hAnsi="Garamond"/>
          <w:color w:val="0D0D0D" w:themeColor="text1" w:themeTint="F2"/>
          <w:sz w:val="20"/>
          <w:szCs w:val="20"/>
        </w:rPr>
      </w:pPr>
      <w:bookmarkStart w:id="132" w:name="_Toc30661253"/>
      <w:bookmarkStart w:id="133" w:name="_Toc536784318"/>
      <w:bookmarkStart w:id="134" w:name="_Toc93325794"/>
      <w:r w:rsidRPr="00050FA4">
        <w:rPr>
          <w:rFonts w:ascii="Garamond" w:hAnsi="Garamond"/>
          <w:color w:val="0D0D0D" w:themeColor="text1" w:themeTint="F2"/>
          <w:sz w:val="20"/>
          <w:szCs w:val="20"/>
        </w:rPr>
        <w:t>Tabela 6: Divergjenca nga programi i mëparshëm</w:t>
      </w:r>
      <w:bookmarkEnd w:id="132"/>
      <w:bookmarkEnd w:id="133"/>
      <w:bookmarkEnd w:id="134"/>
    </w:p>
    <w:tbl>
      <w:tblPr>
        <w:tblW w:w="10298" w:type="dxa"/>
        <w:jc w:val="center"/>
        <w:tblLook w:val="04A0" w:firstRow="1" w:lastRow="0" w:firstColumn="1" w:lastColumn="0" w:noHBand="0" w:noVBand="1"/>
      </w:tblPr>
      <w:tblGrid>
        <w:gridCol w:w="4321"/>
        <w:gridCol w:w="1195"/>
        <w:gridCol w:w="1195"/>
        <w:gridCol w:w="1195"/>
        <w:gridCol w:w="1195"/>
        <w:gridCol w:w="1197"/>
      </w:tblGrid>
      <w:tr w:rsidR="00FA29AB" w:rsidRPr="00050FA4" w14:paraId="4B04B202" w14:textId="77777777" w:rsidTr="00617B60">
        <w:trPr>
          <w:trHeight w:val="307"/>
          <w:jc w:val="center"/>
        </w:trPr>
        <w:tc>
          <w:tcPr>
            <w:tcW w:w="4321" w:type="dxa"/>
            <w:vMerge w:val="restart"/>
            <w:tcBorders>
              <w:top w:val="double" w:sz="6" w:space="0" w:color="auto"/>
              <w:left w:val="double" w:sz="6" w:space="0" w:color="auto"/>
              <w:bottom w:val="single" w:sz="8" w:space="0" w:color="000000"/>
              <w:right w:val="single" w:sz="8" w:space="0" w:color="auto"/>
            </w:tcBorders>
            <w:shd w:val="clear" w:color="auto" w:fill="FFFFFF"/>
            <w:vAlign w:val="center"/>
            <w:hideMark/>
          </w:tcPr>
          <w:p w14:paraId="208E2B68" w14:textId="63E6C1B2" w:rsidR="002847F1" w:rsidRPr="00050FA4" w:rsidRDefault="002847F1" w:rsidP="00617B60">
            <w:pPr>
              <w:jc w:val="center"/>
              <w:rPr>
                <w:rFonts w:ascii="Garamond" w:eastAsia="Times New Roman" w:hAnsi="Garamond" w:cstheme="majorBidi"/>
                <w:b/>
                <w:color w:val="0D0D0D" w:themeColor="text1" w:themeTint="F2"/>
                <w:sz w:val="18"/>
                <w:szCs w:val="18"/>
              </w:rPr>
            </w:pPr>
          </w:p>
        </w:tc>
        <w:tc>
          <w:tcPr>
            <w:tcW w:w="1195" w:type="dxa"/>
            <w:tcBorders>
              <w:top w:val="double" w:sz="6" w:space="0" w:color="auto"/>
              <w:left w:val="nil"/>
              <w:bottom w:val="nil"/>
              <w:right w:val="dotted" w:sz="4" w:space="0" w:color="auto"/>
            </w:tcBorders>
            <w:shd w:val="clear" w:color="auto" w:fill="FFFFFF"/>
            <w:vAlign w:val="center"/>
            <w:hideMark/>
          </w:tcPr>
          <w:p w14:paraId="0924020A"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Year</w:t>
            </w:r>
          </w:p>
        </w:tc>
        <w:tc>
          <w:tcPr>
            <w:tcW w:w="1195" w:type="dxa"/>
            <w:tcBorders>
              <w:top w:val="double" w:sz="6" w:space="0" w:color="auto"/>
              <w:left w:val="nil"/>
              <w:bottom w:val="nil"/>
              <w:right w:val="dotted" w:sz="4" w:space="0" w:color="auto"/>
            </w:tcBorders>
            <w:shd w:val="clear" w:color="auto" w:fill="FFFFFF"/>
            <w:vAlign w:val="center"/>
            <w:hideMark/>
          </w:tcPr>
          <w:p w14:paraId="456EDCA9"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Year</w:t>
            </w:r>
          </w:p>
        </w:tc>
        <w:tc>
          <w:tcPr>
            <w:tcW w:w="1195" w:type="dxa"/>
            <w:tcBorders>
              <w:top w:val="double" w:sz="6" w:space="0" w:color="auto"/>
              <w:left w:val="nil"/>
              <w:bottom w:val="nil"/>
              <w:right w:val="dotted" w:sz="4" w:space="0" w:color="auto"/>
            </w:tcBorders>
            <w:shd w:val="clear" w:color="auto" w:fill="FFFFFF"/>
            <w:vAlign w:val="center"/>
            <w:hideMark/>
          </w:tcPr>
          <w:p w14:paraId="4914293B"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Year</w:t>
            </w:r>
          </w:p>
        </w:tc>
        <w:tc>
          <w:tcPr>
            <w:tcW w:w="1195" w:type="dxa"/>
            <w:tcBorders>
              <w:top w:val="double" w:sz="6" w:space="0" w:color="auto"/>
              <w:left w:val="nil"/>
              <w:bottom w:val="nil"/>
              <w:right w:val="dotted" w:sz="4" w:space="0" w:color="auto"/>
            </w:tcBorders>
            <w:shd w:val="clear" w:color="auto" w:fill="FFFFFF"/>
            <w:vAlign w:val="center"/>
            <w:hideMark/>
          </w:tcPr>
          <w:p w14:paraId="257E98E6"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Year</w:t>
            </w:r>
          </w:p>
        </w:tc>
        <w:tc>
          <w:tcPr>
            <w:tcW w:w="1196" w:type="dxa"/>
            <w:tcBorders>
              <w:top w:val="double" w:sz="6" w:space="0" w:color="auto"/>
              <w:left w:val="nil"/>
              <w:bottom w:val="nil"/>
              <w:right w:val="double" w:sz="6" w:space="0" w:color="auto"/>
            </w:tcBorders>
            <w:shd w:val="clear" w:color="auto" w:fill="FFFFFF"/>
            <w:vAlign w:val="center"/>
            <w:hideMark/>
          </w:tcPr>
          <w:p w14:paraId="04BC6894"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Year</w:t>
            </w:r>
          </w:p>
        </w:tc>
      </w:tr>
      <w:tr w:rsidR="00FA29AB" w:rsidRPr="00050FA4" w14:paraId="4CB6397F" w14:textId="77777777" w:rsidTr="00617B60">
        <w:trPr>
          <w:trHeight w:val="307"/>
          <w:jc w:val="center"/>
        </w:trPr>
        <w:tc>
          <w:tcPr>
            <w:tcW w:w="0" w:type="auto"/>
            <w:vMerge/>
            <w:tcBorders>
              <w:top w:val="double" w:sz="6" w:space="0" w:color="auto"/>
              <w:left w:val="double" w:sz="6" w:space="0" w:color="auto"/>
              <w:bottom w:val="single" w:sz="8" w:space="0" w:color="000000"/>
              <w:right w:val="single" w:sz="8" w:space="0" w:color="auto"/>
            </w:tcBorders>
            <w:vAlign w:val="center"/>
            <w:hideMark/>
          </w:tcPr>
          <w:p w14:paraId="0E2DD211"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p>
        </w:tc>
        <w:tc>
          <w:tcPr>
            <w:tcW w:w="1195" w:type="dxa"/>
            <w:tcBorders>
              <w:top w:val="nil"/>
              <w:left w:val="nil"/>
              <w:bottom w:val="single" w:sz="8" w:space="0" w:color="auto"/>
              <w:right w:val="dotted" w:sz="4" w:space="0" w:color="auto"/>
            </w:tcBorders>
            <w:shd w:val="clear" w:color="auto" w:fill="FFFFFF"/>
            <w:vAlign w:val="center"/>
            <w:hideMark/>
          </w:tcPr>
          <w:p w14:paraId="0EE099C4"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2020</w:t>
            </w:r>
          </w:p>
        </w:tc>
        <w:tc>
          <w:tcPr>
            <w:tcW w:w="1195" w:type="dxa"/>
            <w:tcBorders>
              <w:top w:val="nil"/>
              <w:left w:val="nil"/>
              <w:bottom w:val="single" w:sz="8" w:space="0" w:color="auto"/>
              <w:right w:val="dotted" w:sz="4" w:space="0" w:color="auto"/>
            </w:tcBorders>
            <w:shd w:val="clear" w:color="auto" w:fill="FFFFFF"/>
            <w:vAlign w:val="center"/>
            <w:hideMark/>
          </w:tcPr>
          <w:p w14:paraId="5977A189"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2021</w:t>
            </w:r>
          </w:p>
        </w:tc>
        <w:tc>
          <w:tcPr>
            <w:tcW w:w="1195" w:type="dxa"/>
            <w:tcBorders>
              <w:top w:val="nil"/>
              <w:left w:val="nil"/>
              <w:bottom w:val="single" w:sz="8" w:space="0" w:color="auto"/>
              <w:right w:val="dotted" w:sz="4" w:space="0" w:color="auto"/>
            </w:tcBorders>
            <w:shd w:val="clear" w:color="auto" w:fill="FFFFFF"/>
            <w:vAlign w:val="center"/>
            <w:hideMark/>
          </w:tcPr>
          <w:p w14:paraId="5D7CDA7C"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2022</w:t>
            </w:r>
          </w:p>
        </w:tc>
        <w:tc>
          <w:tcPr>
            <w:tcW w:w="1195" w:type="dxa"/>
            <w:tcBorders>
              <w:top w:val="nil"/>
              <w:left w:val="nil"/>
              <w:bottom w:val="single" w:sz="8" w:space="0" w:color="auto"/>
              <w:right w:val="dotted" w:sz="4" w:space="0" w:color="auto"/>
            </w:tcBorders>
            <w:shd w:val="clear" w:color="auto" w:fill="FFFFFF"/>
            <w:vAlign w:val="center"/>
            <w:hideMark/>
          </w:tcPr>
          <w:p w14:paraId="19D6BF76"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2023</w:t>
            </w:r>
          </w:p>
        </w:tc>
        <w:tc>
          <w:tcPr>
            <w:tcW w:w="1196" w:type="dxa"/>
            <w:tcBorders>
              <w:top w:val="nil"/>
              <w:left w:val="nil"/>
              <w:bottom w:val="single" w:sz="8" w:space="0" w:color="auto"/>
              <w:right w:val="double" w:sz="6" w:space="0" w:color="auto"/>
            </w:tcBorders>
            <w:shd w:val="clear" w:color="auto" w:fill="FFFFFF"/>
            <w:vAlign w:val="center"/>
            <w:hideMark/>
          </w:tcPr>
          <w:p w14:paraId="5E7BC15F" w14:textId="77777777" w:rsidR="002847F1" w:rsidRPr="00050FA4" w:rsidRDefault="002847F1" w:rsidP="00617B60">
            <w:pPr>
              <w:jc w:val="center"/>
              <w:rPr>
                <w:rFonts w:ascii="Garamond" w:eastAsia="Times New Roman"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2024</w:t>
            </w:r>
          </w:p>
        </w:tc>
      </w:tr>
      <w:tr w:rsidR="00FA29AB" w:rsidRPr="00050FA4" w14:paraId="79803B92" w14:textId="77777777" w:rsidTr="00617B60">
        <w:trPr>
          <w:trHeight w:val="307"/>
          <w:jc w:val="center"/>
        </w:trPr>
        <w:tc>
          <w:tcPr>
            <w:tcW w:w="10298" w:type="dxa"/>
            <w:gridSpan w:val="6"/>
            <w:tcBorders>
              <w:top w:val="single" w:sz="8" w:space="0" w:color="auto"/>
              <w:left w:val="double" w:sz="6" w:space="0" w:color="auto"/>
              <w:bottom w:val="single" w:sz="4" w:space="0" w:color="auto"/>
              <w:right w:val="double" w:sz="6" w:space="0" w:color="000000"/>
            </w:tcBorders>
            <w:shd w:val="clear" w:color="auto" w:fill="FFFFFF"/>
            <w:hideMark/>
          </w:tcPr>
          <w:p w14:paraId="05C88AC4" w14:textId="77777777" w:rsidR="002847F1" w:rsidRPr="00050FA4" w:rsidRDefault="002847F1" w:rsidP="00A95D23">
            <w:pPr>
              <w:jc w:val="center"/>
              <w:rPr>
                <w:rFonts w:ascii="Garamond" w:eastAsia="Times New Roman" w:hAnsi="Garamond" w:cstheme="majorBidi"/>
                <w:b/>
                <w:bCs/>
                <w:color w:val="0D0D0D" w:themeColor="text1" w:themeTint="F2"/>
                <w:sz w:val="18"/>
                <w:szCs w:val="18"/>
              </w:rPr>
            </w:pPr>
            <w:r w:rsidRPr="00050FA4">
              <w:rPr>
                <w:rFonts w:ascii="Garamond" w:eastAsia="Times New Roman" w:hAnsi="Garamond" w:cstheme="majorBidi"/>
                <w:b/>
                <w:bCs/>
                <w:color w:val="0D0D0D" w:themeColor="text1" w:themeTint="F2"/>
                <w:sz w:val="18"/>
                <w:szCs w:val="18"/>
              </w:rPr>
              <w:t>1. GDP growth (%, yoy)</w:t>
            </w:r>
          </w:p>
        </w:tc>
      </w:tr>
      <w:tr w:rsidR="00FA29AB" w:rsidRPr="00050FA4" w14:paraId="2124DC6B" w14:textId="77777777" w:rsidTr="00617B60">
        <w:trPr>
          <w:trHeight w:val="307"/>
          <w:jc w:val="center"/>
        </w:trPr>
        <w:tc>
          <w:tcPr>
            <w:tcW w:w="4321" w:type="dxa"/>
            <w:tcBorders>
              <w:top w:val="nil"/>
              <w:left w:val="double" w:sz="6" w:space="0" w:color="auto"/>
              <w:bottom w:val="dotted" w:sz="4" w:space="0" w:color="auto"/>
              <w:right w:val="single" w:sz="8" w:space="0" w:color="auto"/>
            </w:tcBorders>
            <w:shd w:val="clear" w:color="auto" w:fill="FFFFFF"/>
            <w:hideMark/>
          </w:tcPr>
          <w:p w14:paraId="477A3CFC"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Previous programme</w:t>
            </w:r>
          </w:p>
        </w:tc>
        <w:tc>
          <w:tcPr>
            <w:tcW w:w="1195" w:type="dxa"/>
            <w:tcBorders>
              <w:top w:val="nil"/>
              <w:left w:val="nil"/>
              <w:bottom w:val="dotted" w:sz="4" w:space="0" w:color="auto"/>
              <w:right w:val="dotted" w:sz="4" w:space="0" w:color="auto"/>
            </w:tcBorders>
            <w:hideMark/>
          </w:tcPr>
          <w:p w14:paraId="37826D95"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-4.4</w:t>
            </w:r>
          </w:p>
        </w:tc>
        <w:tc>
          <w:tcPr>
            <w:tcW w:w="1195" w:type="dxa"/>
            <w:tcBorders>
              <w:top w:val="nil"/>
              <w:left w:val="nil"/>
              <w:bottom w:val="dotted" w:sz="4" w:space="0" w:color="auto"/>
              <w:right w:val="dotted" w:sz="4" w:space="0" w:color="auto"/>
            </w:tcBorders>
            <w:hideMark/>
          </w:tcPr>
          <w:p w14:paraId="21B2C566"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5.5</w:t>
            </w:r>
          </w:p>
        </w:tc>
        <w:tc>
          <w:tcPr>
            <w:tcW w:w="1195" w:type="dxa"/>
            <w:tcBorders>
              <w:top w:val="nil"/>
              <w:left w:val="nil"/>
              <w:bottom w:val="dotted" w:sz="4" w:space="0" w:color="auto"/>
              <w:right w:val="dotted" w:sz="4" w:space="0" w:color="auto"/>
            </w:tcBorders>
            <w:hideMark/>
          </w:tcPr>
          <w:p w14:paraId="624B8C7B"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4.8</w:t>
            </w:r>
          </w:p>
        </w:tc>
        <w:tc>
          <w:tcPr>
            <w:tcW w:w="1195" w:type="dxa"/>
            <w:tcBorders>
              <w:top w:val="nil"/>
              <w:left w:val="nil"/>
              <w:bottom w:val="dotted" w:sz="4" w:space="0" w:color="auto"/>
              <w:right w:val="dotted" w:sz="4" w:space="0" w:color="auto"/>
            </w:tcBorders>
            <w:hideMark/>
          </w:tcPr>
          <w:p w14:paraId="07592DE4"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4.5</w:t>
            </w:r>
          </w:p>
        </w:tc>
        <w:tc>
          <w:tcPr>
            <w:tcW w:w="1196" w:type="dxa"/>
            <w:tcBorders>
              <w:top w:val="nil"/>
              <w:left w:val="nil"/>
              <w:bottom w:val="dotted" w:sz="4" w:space="0" w:color="auto"/>
              <w:right w:val="double" w:sz="6" w:space="0" w:color="auto"/>
            </w:tcBorders>
            <w:hideMark/>
          </w:tcPr>
          <w:p w14:paraId="03424A31"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3.9</w:t>
            </w:r>
          </w:p>
        </w:tc>
      </w:tr>
      <w:tr w:rsidR="00FA29AB" w:rsidRPr="00050FA4" w14:paraId="538BCDCF" w14:textId="77777777" w:rsidTr="00617B60">
        <w:trPr>
          <w:trHeight w:val="307"/>
          <w:jc w:val="center"/>
        </w:trPr>
        <w:tc>
          <w:tcPr>
            <w:tcW w:w="4321" w:type="dxa"/>
            <w:tcBorders>
              <w:top w:val="nil"/>
              <w:left w:val="double" w:sz="6" w:space="0" w:color="auto"/>
              <w:bottom w:val="dotted" w:sz="4" w:space="0" w:color="auto"/>
              <w:right w:val="single" w:sz="8" w:space="0" w:color="auto"/>
            </w:tcBorders>
            <w:shd w:val="clear" w:color="auto" w:fill="FFFFFF"/>
            <w:hideMark/>
          </w:tcPr>
          <w:p w14:paraId="1E28CB91"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Latest update</w:t>
            </w:r>
          </w:p>
        </w:tc>
        <w:tc>
          <w:tcPr>
            <w:tcW w:w="1195" w:type="dxa"/>
            <w:tcBorders>
              <w:top w:val="nil"/>
              <w:left w:val="nil"/>
              <w:bottom w:val="dotted" w:sz="4" w:space="0" w:color="auto"/>
              <w:right w:val="dotted" w:sz="4" w:space="0" w:color="auto"/>
            </w:tcBorders>
            <w:shd w:val="clear" w:color="auto" w:fill="FFFFFF"/>
            <w:hideMark/>
          </w:tcPr>
          <w:p w14:paraId="1E164A3A"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-4.0</w:t>
            </w:r>
          </w:p>
        </w:tc>
        <w:tc>
          <w:tcPr>
            <w:tcW w:w="1195" w:type="dxa"/>
            <w:tcBorders>
              <w:top w:val="nil"/>
              <w:left w:val="nil"/>
              <w:bottom w:val="dotted" w:sz="4" w:space="0" w:color="auto"/>
              <w:right w:val="dotted" w:sz="4" w:space="0" w:color="auto"/>
            </w:tcBorders>
            <w:shd w:val="clear" w:color="auto" w:fill="FFFFFF"/>
            <w:hideMark/>
          </w:tcPr>
          <w:p w14:paraId="582A50A9"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8.7</w:t>
            </w:r>
          </w:p>
        </w:tc>
        <w:tc>
          <w:tcPr>
            <w:tcW w:w="1195" w:type="dxa"/>
            <w:tcBorders>
              <w:top w:val="nil"/>
              <w:left w:val="nil"/>
              <w:bottom w:val="dotted" w:sz="4" w:space="0" w:color="auto"/>
              <w:right w:val="dotted" w:sz="4" w:space="0" w:color="auto"/>
            </w:tcBorders>
            <w:shd w:val="clear" w:color="auto" w:fill="FFFFFF"/>
            <w:hideMark/>
          </w:tcPr>
          <w:p w14:paraId="6A654912"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4.1</w:t>
            </w:r>
          </w:p>
        </w:tc>
        <w:tc>
          <w:tcPr>
            <w:tcW w:w="1195" w:type="dxa"/>
            <w:tcBorders>
              <w:top w:val="nil"/>
              <w:left w:val="nil"/>
              <w:bottom w:val="dotted" w:sz="4" w:space="0" w:color="auto"/>
              <w:right w:val="dotted" w:sz="4" w:space="0" w:color="auto"/>
            </w:tcBorders>
            <w:shd w:val="clear" w:color="auto" w:fill="FFFFFF"/>
            <w:hideMark/>
          </w:tcPr>
          <w:p w14:paraId="4AB12409"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4.2</w:t>
            </w:r>
          </w:p>
        </w:tc>
        <w:tc>
          <w:tcPr>
            <w:tcW w:w="1196" w:type="dxa"/>
            <w:tcBorders>
              <w:top w:val="nil"/>
              <w:left w:val="nil"/>
              <w:bottom w:val="dotted" w:sz="4" w:space="0" w:color="auto"/>
              <w:right w:val="double" w:sz="6" w:space="0" w:color="auto"/>
            </w:tcBorders>
            <w:shd w:val="clear" w:color="auto" w:fill="FFFFFF"/>
            <w:hideMark/>
          </w:tcPr>
          <w:p w14:paraId="08C047B6"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3.9</w:t>
            </w:r>
          </w:p>
        </w:tc>
      </w:tr>
      <w:tr w:rsidR="00FA29AB" w:rsidRPr="00050FA4" w14:paraId="0A9A4B6B" w14:textId="77777777" w:rsidTr="00617B60">
        <w:trPr>
          <w:trHeight w:val="307"/>
          <w:jc w:val="center"/>
        </w:trPr>
        <w:tc>
          <w:tcPr>
            <w:tcW w:w="4321" w:type="dxa"/>
            <w:tcBorders>
              <w:top w:val="nil"/>
              <w:left w:val="double" w:sz="6" w:space="0" w:color="auto"/>
              <w:bottom w:val="single" w:sz="8" w:space="0" w:color="auto"/>
              <w:right w:val="single" w:sz="8" w:space="0" w:color="auto"/>
            </w:tcBorders>
            <w:shd w:val="clear" w:color="auto" w:fill="FFFFFF"/>
            <w:hideMark/>
          </w:tcPr>
          <w:p w14:paraId="35635CFC"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Difference (percentage points)</w:t>
            </w:r>
          </w:p>
        </w:tc>
        <w:tc>
          <w:tcPr>
            <w:tcW w:w="1195" w:type="dxa"/>
            <w:tcBorders>
              <w:top w:val="nil"/>
              <w:left w:val="nil"/>
              <w:bottom w:val="single" w:sz="8" w:space="0" w:color="auto"/>
              <w:right w:val="dotted" w:sz="4" w:space="0" w:color="auto"/>
            </w:tcBorders>
            <w:shd w:val="clear" w:color="auto" w:fill="FFFFFF"/>
            <w:hideMark/>
          </w:tcPr>
          <w:p w14:paraId="3FF300C5"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0.4</w:t>
            </w:r>
          </w:p>
        </w:tc>
        <w:tc>
          <w:tcPr>
            <w:tcW w:w="1195" w:type="dxa"/>
            <w:tcBorders>
              <w:top w:val="nil"/>
              <w:left w:val="nil"/>
              <w:bottom w:val="single" w:sz="8" w:space="0" w:color="auto"/>
              <w:right w:val="dotted" w:sz="4" w:space="0" w:color="auto"/>
            </w:tcBorders>
            <w:shd w:val="clear" w:color="auto" w:fill="FFFFFF"/>
            <w:hideMark/>
          </w:tcPr>
          <w:p w14:paraId="68715B82"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3.3</w:t>
            </w:r>
          </w:p>
        </w:tc>
        <w:tc>
          <w:tcPr>
            <w:tcW w:w="1195" w:type="dxa"/>
            <w:tcBorders>
              <w:top w:val="nil"/>
              <w:left w:val="nil"/>
              <w:bottom w:val="single" w:sz="8" w:space="0" w:color="auto"/>
              <w:right w:val="dotted" w:sz="4" w:space="0" w:color="auto"/>
            </w:tcBorders>
            <w:shd w:val="clear" w:color="auto" w:fill="FFFFFF"/>
            <w:hideMark/>
          </w:tcPr>
          <w:p w14:paraId="5FD0712D"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-0.7</w:t>
            </w:r>
          </w:p>
        </w:tc>
        <w:tc>
          <w:tcPr>
            <w:tcW w:w="1195" w:type="dxa"/>
            <w:tcBorders>
              <w:top w:val="nil"/>
              <w:left w:val="nil"/>
              <w:bottom w:val="single" w:sz="8" w:space="0" w:color="auto"/>
              <w:right w:val="dotted" w:sz="4" w:space="0" w:color="auto"/>
            </w:tcBorders>
            <w:shd w:val="clear" w:color="auto" w:fill="FFFFFF"/>
            <w:hideMark/>
          </w:tcPr>
          <w:p w14:paraId="5A92BB37"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-0.3</w:t>
            </w:r>
          </w:p>
        </w:tc>
        <w:tc>
          <w:tcPr>
            <w:tcW w:w="1196" w:type="dxa"/>
            <w:tcBorders>
              <w:top w:val="nil"/>
              <w:left w:val="nil"/>
              <w:bottom w:val="single" w:sz="8" w:space="0" w:color="auto"/>
              <w:right w:val="double" w:sz="6" w:space="0" w:color="auto"/>
            </w:tcBorders>
            <w:shd w:val="clear" w:color="auto" w:fill="FFFFFF"/>
            <w:hideMark/>
          </w:tcPr>
          <w:p w14:paraId="4A250E16"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0.0</w:t>
            </w:r>
          </w:p>
        </w:tc>
      </w:tr>
      <w:tr w:rsidR="00FA29AB" w:rsidRPr="00050FA4" w14:paraId="6D3AD15E" w14:textId="77777777" w:rsidTr="00617B60">
        <w:trPr>
          <w:trHeight w:val="307"/>
          <w:jc w:val="center"/>
        </w:trPr>
        <w:tc>
          <w:tcPr>
            <w:tcW w:w="10298" w:type="dxa"/>
            <w:gridSpan w:val="6"/>
            <w:tcBorders>
              <w:top w:val="single" w:sz="8" w:space="0" w:color="auto"/>
              <w:left w:val="double" w:sz="6" w:space="0" w:color="auto"/>
              <w:bottom w:val="single" w:sz="4" w:space="0" w:color="auto"/>
              <w:right w:val="double" w:sz="6" w:space="0" w:color="000000"/>
            </w:tcBorders>
            <w:shd w:val="clear" w:color="auto" w:fill="FFFFFF"/>
            <w:hideMark/>
          </w:tcPr>
          <w:p w14:paraId="5C4C1126" w14:textId="0223C7F3" w:rsidR="002847F1" w:rsidRPr="00050FA4" w:rsidRDefault="002847F1" w:rsidP="00A95D23">
            <w:pPr>
              <w:jc w:val="center"/>
              <w:rPr>
                <w:rFonts w:ascii="Garamond" w:eastAsia="Times New Roman" w:hAnsi="Garamond" w:cstheme="majorBidi"/>
                <w:b/>
                <w:bCs/>
                <w:color w:val="0D0D0D" w:themeColor="text1" w:themeTint="F2"/>
                <w:sz w:val="18"/>
                <w:szCs w:val="18"/>
              </w:rPr>
            </w:pPr>
            <w:r w:rsidRPr="00050FA4">
              <w:rPr>
                <w:rFonts w:ascii="Garamond" w:eastAsia="Times New Roman" w:hAnsi="Garamond" w:cstheme="majorBidi"/>
                <w:b/>
                <w:bCs/>
                <w:color w:val="0D0D0D" w:themeColor="text1" w:themeTint="F2"/>
                <w:sz w:val="18"/>
                <w:szCs w:val="18"/>
              </w:rPr>
              <w:t>2. General government net lending</w:t>
            </w:r>
            <w:r w:rsidR="009B1D6B" w:rsidRPr="00050FA4">
              <w:rPr>
                <w:rFonts w:ascii="Garamond" w:eastAsia="Times New Roman" w:hAnsi="Garamond" w:cstheme="majorBidi"/>
                <w:b/>
                <w:bCs/>
                <w:color w:val="0D0D0D" w:themeColor="text1" w:themeTint="F2"/>
                <w:sz w:val="18"/>
                <w:szCs w:val="18"/>
              </w:rPr>
              <w:t xml:space="preserve"> </w:t>
            </w:r>
            <w:r w:rsidRPr="00050FA4">
              <w:rPr>
                <w:rFonts w:ascii="Garamond" w:eastAsia="Times New Roman" w:hAnsi="Garamond" w:cstheme="majorBidi"/>
                <w:b/>
                <w:bCs/>
                <w:color w:val="0D0D0D" w:themeColor="text1" w:themeTint="F2"/>
                <w:sz w:val="18"/>
                <w:szCs w:val="18"/>
              </w:rPr>
              <w:t>(% of GDP)</w:t>
            </w:r>
          </w:p>
        </w:tc>
      </w:tr>
      <w:tr w:rsidR="00FA29AB" w:rsidRPr="00050FA4" w14:paraId="70712690" w14:textId="77777777" w:rsidTr="00617B60">
        <w:trPr>
          <w:trHeight w:val="307"/>
          <w:jc w:val="center"/>
        </w:trPr>
        <w:tc>
          <w:tcPr>
            <w:tcW w:w="4321" w:type="dxa"/>
            <w:tcBorders>
              <w:top w:val="nil"/>
              <w:left w:val="double" w:sz="6" w:space="0" w:color="auto"/>
              <w:bottom w:val="dotted" w:sz="4" w:space="0" w:color="auto"/>
              <w:right w:val="single" w:sz="8" w:space="0" w:color="auto"/>
            </w:tcBorders>
            <w:shd w:val="clear" w:color="auto" w:fill="FFFFFF"/>
            <w:hideMark/>
          </w:tcPr>
          <w:p w14:paraId="047EF8F1"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Previous programme</w:t>
            </w:r>
          </w:p>
        </w:tc>
        <w:tc>
          <w:tcPr>
            <w:tcW w:w="1195" w:type="dxa"/>
            <w:tcBorders>
              <w:top w:val="nil"/>
              <w:left w:val="nil"/>
              <w:bottom w:val="dotted" w:sz="4" w:space="0" w:color="auto"/>
              <w:right w:val="dotted" w:sz="4" w:space="0" w:color="auto"/>
            </w:tcBorders>
            <w:hideMark/>
          </w:tcPr>
          <w:p w14:paraId="1620D759"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-6.7</w:t>
            </w:r>
          </w:p>
        </w:tc>
        <w:tc>
          <w:tcPr>
            <w:tcW w:w="1195" w:type="dxa"/>
            <w:tcBorders>
              <w:top w:val="nil"/>
              <w:left w:val="nil"/>
              <w:bottom w:val="dotted" w:sz="4" w:space="0" w:color="auto"/>
              <w:right w:val="dotted" w:sz="4" w:space="0" w:color="auto"/>
            </w:tcBorders>
            <w:hideMark/>
          </w:tcPr>
          <w:p w14:paraId="04F221BD"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-6.5</w:t>
            </w:r>
          </w:p>
        </w:tc>
        <w:tc>
          <w:tcPr>
            <w:tcW w:w="1195" w:type="dxa"/>
            <w:tcBorders>
              <w:top w:val="nil"/>
              <w:left w:val="nil"/>
              <w:bottom w:val="dotted" w:sz="4" w:space="0" w:color="auto"/>
              <w:right w:val="dotted" w:sz="4" w:space="0" w:color="auto"/>
            </w:tcBorders>
            <w:hideMark/>
          </w:tcPr>
          <w:p w14:paraId="5805102C"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-2.9</w:t>
            </w:r>
          </w:p>
        </w:tc>
        <w:tc>
          <w:tcPr>
            <w:tcW w:w="1195" w:type="dxa"/>
            <w:tcBorders>
              <w:top w:val="nil"/>
              <w:left w:val="nil"/>
              <w:bottom w:val="dotted" w:sz="4" w:space="0" w:color="auto"/>
              <w:right w:val="dotted" w:sz="4" w:space="0" w:color="auto"/>
            </w:tcBorders>
            <w:hideMark/>
          </w:tcPr>
          <w:p w14:paraId="554A50E2"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-2.3</w:t>
            </w:r>
          </w:p>
        </w:tc>
        <w:tc>
          <w:tcPr>
            <w:tcW w:w="1196" w:type="dxa"/>
            <w:tcBorders>
              <w:top w:val="nil"/>
              <w:left w:val="nil"/>
              <w:bottom w:val="dotted" w:sz="4" w:space="0" w:color="auto"/>
              <w:right w:val="double" w:sz="6" w:space="0" w:color="auto"/>
            </w:tcBorders>
            <w:hideMark/>
          </w:tcPr>
          <w:p w14:paraId="1F0DD355"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-2.0</w:t>
            </w:r>
          </w:p>
        </w:tc>
      </w:tr>
      <w:tr w:rsidR="00FA29AB" w:rsidRPr="00050FA4" w14:paraId="07C08F2C" w14:textId="77777777" w:rsidTr="00617B60">
        <w:trPr>
          <w:trHeight w:val="307"/>
          <w:jc w:val="center"/>
        </w:trPr>
        <w:tc>
          <w:tcPr>
            <w:tcW w:w="4321" w:type="dxa"/>
            <w:tcBorders>
              <w:top w:val="nil"/>
              <w:left w:val="double" w:sz="6" w:space="0" w:color="auto"/>
              <w:bottom w:val="dotted" w:sz="4" w:space="0" w:color="auto"/>
              <w:right w:val="single" w:sz="8" w:space="0" w:color="auto"/>
            </w:tcBorders>
            <w:shd w:val="clear" w:color="auto" w:fill="FFFFFF"/>
            <w:hideMark/>
          </w:tcPr>
          <w:p w14:paraId="3FE1557A"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Latest update</w:t>
            </w:r>
          </w:p>
        </w:tc>
        <w:tc>
          <w:tcPr>
            <w:tcW w:w="1195" w:type="dxa"/>
            <w:tcBorders>
              <w:top w:val="nil"/>
              <w:left w:val="nil"/>
              <w:bottom w:val="dotted" w:sz="4" w:space="0" w:color="auto"/>
              <w:right w:val="dotted" w:sz="4" w:space="0" w:color="auto"/>
            </w:tcBorders>
            <w:shd w:val="clear" w:color="auto" w:fill="FFFFFF"/>
            <w:hideMark/>
          </w:tcPr>
          <w:p w14:paraId="42990A34"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-6.8</w:t>
            </w:r>
          </w:p>
        </w:tc>
        <w:tc>
          <w:tcPr>
            <w:tcW w:w="1195" w:type="dxa"/>
            <w:tcBorders>
              <w:top w:val="nil"/>
              <w:left w:val="nil"/>
              <w:bottom w:val="dotted" w:sz="4" w:space="0" w:color="auto"/>
              <w:right w:val="dotted" w:sz="4" w:space="0" w:color="auto"/>
            </w:tcBorders>
            <w:shd w:val="clear" w:color="auto" w:fill="FFFFFF"/>
            <w:hideMark/>
          </w:tcPr>
          <w:p w14:paraId="0429416A"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-5.8</w:t>
            </w:r>
          </w:p>
        </w:tc>
        <w:tc>
          <w:tcPr>
            <w:tcW w:w="1195" w:type="dxa"/>
            <w:tcBorders>
              <w:top w:val="nil"/>
              <w:left w:val="nil"/>
              <w:bottom w:val="dotted" w:sz="4" w:space="0" w:color="auto"/>
              <w:right w:val="dotted" w:sz="4" w:space="0" w:color="auto"/>
            </w:tcBorders>
            <w:shd w:val="clear" w:color="auto" w:fill="FFFFFF"/>
            <w:hideMark/>
          </w:tcPr>
          <w:p w14:paraId="3DBF2ECA"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-5.4</w:t>
            </w:r>
          </w:p>
        </w:tc>
        <w:tc>
          <w:tcPr>
            <w:tcW w:w="1195" w:type="dxa"/>
            <w:tcBorders>
              <w:top w:val="nil"/>
              <w:left w:val="nil"/>
              <w:bottom w:val="dotted" w:sz="4" w:space="0" w:color="auto"/>
              <w:right w:val="dotted" w:sz="4" w:space="0" w:color="auto"/>
            </w:tcBorders>
            <w:shd w:val="clear" w:color="auto" w:fill="FFFFFF"/>
            <w:hideMark/>
          </w:tcPr>
          <w:p w14:paraId="6A72C675"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-2.9</w:t>
            </w:r>
          </w:p>
        </w:tc>
        <w:tc>
          <w:tcPr>
            <w:tcW w:w="1196" w:type="dxa"/>
            <w:tcBorders>
              <w:top w:val="nil"/>
              <w:left w:val="nil"/>
              <w:bottom w:val="dotted" w:sz="4" w:space="0" w:color="auto"/>
              <w:right w:val="double" w:sz="6" w:space="0" w:color="auto"/>
            </w:tcBorders>
            <w:shd w:val="clear" w:color="auto" w:fill="FFFFFF"/>
            <w:hideMark/>
          </w:tcPr>
          <w:p w14:paraId="503476DB"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-2.8</w:t>
            </w:r>
          </w:p>
        </w:tc>
      </w:tr>
      <w:tr w:rsidR="00FA29AB" w:rsidRPr="00050FA4" w14:paraId="6ABB48C4" w14:textId="77777777" w:rsidTr="00617B60">
        <w:trPr>
          <w:trHeight w:val="307"/>
          <w:jc w:val="center"/>
        </w:trPr>
        <w:tc>
          <w:tcPr>
            <w:tcW w:w="4321" w:type="dxa"/>
            <w:tcBorders>
              <w:top w:val="nil"/>
              <w:left w:val="double" w:sz="6" w:space="0" w:color="auto"/>
              <w:bottom w:val="single" w:sz="8" w:space="0" w:color="auto"/>
              <w:right w:val="single" w:sz="8" w:space="0" w:color="auto"/>
            </w:tcBorders>
            <w:shd w:val="clear" w:color="auto" w:fill="FFFFFF"/>
            <w:hideMark/>
          </w:tcPr>
          <w:p w14:paraId="014135C6"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Difference</w:t>
            </w:r>
          </w:p>
        </w:tc>
        <w:tc>
          <w:tcPr>
            <w:tcW w:w="1195" w:type="dxa"/>
            <w:tcBorders>
              <w:top w:val="nil"/>
              <w:left w:val="nil"/>
              <w:bottom w:val="single" w:sz="8" w:space="0" w:color="auto"/>
              <w:right w:val="dotted" w:sz="4" w:space="0" w:color="auto"/>
            </w:tcBorders>
            <w:shd w:val="clear" w:color="auto" w:fill="FFFFFF"/>
            <w:hideMark/>
          </w:tcPr>
          <w:p w14:paraId="3DB8958B"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-0.1</w:t>
            </w:r>
          </w:p>
        </w:tc>
        <w:tc>
          <w:tcPr>
            <w:tcW w:w="1195" w:type="dxa"/>
            <w:tcBorders>
              <w:top w:val="nil"/>
              <w:left w:val="nil"/>
              <w:bottom w:val="single" w:sz="8" w:space="0" w:color="auto"/>
              <w:right w:val="dotted" w:sz="4" w:space="0" w:color="auto"/>
            </w:tcBorders>
            <w:shd w:val="clear" w:color="auto" w:fill="FFFFFF"/>
            <w:hideMark/>
          </w:tcPr>
          <w:p w14:paraId="6D4DBA34"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0.6</w:t>
            </w:r>
          </w:p>
        </w:tc>
        <w:tc>
          <w:tcPr>
            <w:tcW w:w="1195" w:type="dxa"/>
            <w:tcBorders>
              <w:top w:val="nil"/>
              <w:left w:val="nil"/>
              <w:bottom w:val="single" w:sz="8" w:space="0" w:color="auto"/>
              <w:right w:val="dotted" w:sz="4" w:space="0" w:color="auto"/>
            </w:tcBorders>
            <w:shd w:val="clear" w:color="auto" w:fill="FFFFFF"/>
            <w:hideMark/>
          </w:tcPr>
          <w:p w14:paraId="59ED57D9"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-2.5</w:t>
            </w:r>
          </w:p>
        </w:tc>
        <w:tc>
          <w:tcPr>
            <w:tcW w:w="1195" w:type="dxa"/>
            <w:tcBorders>
              <w:top w:val="nil"/>
              <w:left w:val="nil"/>
              <w:bottom w:val="single" w:sz="8" w:space="0" w:color="auto"/>
              <w:right w:val="dotted" w:sz="4" w:space="0" w:color="auto"/>
            </w:tcBorders>
            <w:shd w:val="clear" w:color="auto" w:fill="FFFFFF"/>
            <w:hideMark/>
          </w:tcPr>
          <w:p w14:paraId="014FFC86"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-0.7</w:t>
            </w:r>
          </w:p>
        </w:tc>
        <w:tc>
          <w:tcPr>
            <w:tcW w:w="1196" w:type="dxa"/>
            <w:tcBorders>
              <w:top w:val="nil"/>
              <w:left w:val="nil"/>
              <w:bottom w:val="single" w:sz="8" w:space="0" w:color="auto"/>
              <w:right w:val="double" w:sz="6" w:space="0" w:color="auto"/>
            </w:tcBorders>
            <w:shd w:val="clear" w:color="auto" w:fill="FFFFFF"/>
            <w:hideMark/>
          </w:tcPr>
          <w:p w14:paraId="7497483D"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-0.8</w:t>
            </w:r>
          </w:p>
        </w:tc>
      </w:tr>
      <w:tr w:rsidR="00FA29AB" w:rsidRPr="00050FA4" w14:paraId="0930DC1A" w14:textId="77777777" w:rsidTr="00617B60">
        <w:trPr>
          <w:trHeight w:val="307"/>
          <w:jc w:val="center"/>
        </w:trPr>
        <w:tc>
          <w:tcPr>
            <w:tcW w:w="10298" w:type="dxa"/>
            <w:gridSpan w:val="6"/>
            <w:tcBorders>
              <w:top w:val="single" w:sz="8" w:space="0" w:color="auto"/>
              <w:left w:val="double" w:sz="6" w:space="0" w:color="auto"/>
              <w:bottom w:val="single" w:sz="4" w:space="0" w:color="auto"/>
              <w:right w:val="double" w:sz="6" w:space="0" w:color="000000"/>
            </w:tcBorders>
            <w:shd w:val="clear" w:color="auto" w:fill="FFFFFF"/>
            <w:hideMark/>
          </w:tcPr>
          <w:p w14:paraId="2DE36F48" w14:textId="77777777" w:rsidR="002847F1" w:rsidRPr="00050FA4" w:rsidRDefault="002847F1" w:rsidP="00A95D23">
            <w:pPr>
              <w:jc w:val="center"/>
              <w:rPr>
                <w:rFonts w:ascii="Garamond" w:eastAsia="Times New Roman" w:hAnsi="Garamond" w:cstheme="majorBidi"/>
                <w:b/>
                <w:bCs/>
                <w:color w:val="0D0D0D" w:themeColor="text1" w:themeTint="F2"/>
                <w:sz w:val="18"/>
                <w:szCs w:val="18"/>
              </w:rPr>
            </w:pPr>
            <w:r w:rsidRPr="00050FA4">
              <w:rPr>
                <w:rFonts w:ascii="Garamond" w:eastAsia="Times New Roman" w:hAnsi="Garamond" w:cstheme="majorBidi"/>
                <w:b/>
                <w:bCs/>
                <w:color w:val="0D0D0D" w:themeColor="text1" w:themeTint="F2"/>
                <w:sz w:val="18"/>
                <w:szCs w:val="18"/>
              </w:rPr>
              <w:t>3. General government gross debt (% of GDP)</w:t>
            </w:r>
          </w:p>
        </w:tc>
      </w:tr>
      <w:tr w:rsidR="00FA29AB" w:rsidRPr="00050FA4" w14:paraId="4AB1A214" w14:textId="77777777" w:rsidTr="00617B60">
        <w:trPr>
          <w:trHeight w:val="307"/>
          <w:jc w:val="center"/>
        </w:trPr>
        <w:tc>
          <w:tcPr>
            <w:tcW w:w="4321" w:type="dxa"/>
            <w:tcBorders>
              <w:top w:val="nil"/>
              <w:left w:val="double" w:sz="6" w:space="0" w:color="auto"/>
              <w:bottom w:val="dotted" w:sz="4" w:space="0" w:color="auto"/>
              <w:right w:val="single" w:sz="8" w:space="0" w:color="auto"/>
            </w:tcBorders>
            <w:shd w:val="clear" w:color="auto" w:fill="FFFFFF"/>
            <w:hideMark/>
          </w:tcPr>
          <w:p w14:paraId="327874BD"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Previous programme</w:t>
            </w:r>
          </w:p>
        </w:tc>
        <w:tc>
          <w:tcPr>
            <w:tcW w:w="1195" w:type="dxa"/>
            <w:tcBorders>
              <w:top w:val="nil"/>
              <w:left w:val="nil"/>
              <w:bottom w:val="dotted" w:sz="4" w:space="0" w:color="auto"/>
              <w:right w:val="dotted" w:sz="4" w:space="0" w:color="auto"/>
            </w:tcBorders>
            <w:hideMark/>
          </w:tcPr>
          <w:p w14:paraId="52233F57"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79.9</w:t>
            </w:r>
          </w:p>
        </w:tc>
        <w:tc>
          <w:tcPr>
            <w:tcW w:w="1195" w:type="dxa"/>
            <w:tcBorders>
              <w:top w:val="nil"/>
              <w:left w:val="nil"/>
              <w:bottom w:val="dotted" w:sz="4" w:space="0" w:color="auto"/>
              <w:right w:val="dotted" w:sz="4" w:space="0" w:color="auto"/>
            </w:tcBorders>
            <w:hideMark/>
          </w:tcPr>
          <w:p w14:paraId="2D41CDCA"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78.6</w:t>
            </w:r>
          </w:p>
        </w:tc>
        <w:tc>
          <w:tcPr>
            <w:tcW w:w="1195" w:type="dxa"/>
            <w:tcBorders>
              <w:top w:val="nil"/>
              <w:left w:val="nil"/>
              <w:bottom w:val="dotted" w:sz="4" w:space="0" w:color="auto"/>
              <w:right w:val="dotted" w:sz="4" w:space="0" w:color="auto"/>
            </w:tcBorders>
            <w:hideMark/>
          </w:tcPr>
          <w:p w14:paraId="50808869"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77.7</w:t>
            </w:r>
          </w:p>
        </w:tc>
        <w:tc>
          <w:tcPr>
            <w:tcW w:w="1195" w:type="dxa"/>
            <w:tcBorders>
              <w:top w:val="nil"/>
              <w:left w:val="nil"/>
              <w:bottom w:val="dotted" w:sz="4" w:space="0" w:color="auto"/>
              <w:right w:val="dotted" w:sz="4" w:space="0" w:color="auto"/>
            </w:tcBorders>
            <w:hideMark/>
          </w:tcPr>
          <w:p w14:paraId="6DFE0FAA"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75.6</w:t>
            </w:r>
          </w:p>
        </w:tc>
        <w:tc>
          <w:tcPr>
            <w:tcW w:w="1196" w:type="dxa"/>
            <w:tcBorders>
              <w:top w:val="nil"/>
              <w:left w:val="nil"/>
              <w:bottom w:val="dotted" w:sz="4" w:space="0" w:color="auto"/>
              <w:right w:val="double" w:sz="6" w:space="0" w:color="auto"/>
            </w:tcBorders>
            <w:hideMark/>
          </w:tcPr>
          <w:p w14:paraId="46ABDFB3"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73.7993</w:t>
            </w:r>
          </w:p>
        </w:tc>
      </w:tr>
      <w:tr w:rsidR="00FA29AB" w:rsidRPr="00050FA4" w14:paraId="5984D2C4" w14:textId="77777777" w:rsidTr="00617B60">
        <w:trPr>
          <w:trHeight w:val="307"/>
          <w:jc w:val="center"/>
        </w:trPr>
        <w:tc>
          <w:tcPr>
            <w:tcW w:w="4321" w:type="dxa"/>
            <w:tcBorders>
              <w:top w:val="nil"/>
              <w:left w:val="double" w:sz="6" w:space="0" w:color="auto"/>
              <w:bottom w:val="dotted" w:sz="4" w:space="0" w:color="auto"/>
              <w:right w:val="single" w:sz="8" w:space="0" w:color="auto"/>
            </w:tcBorders>
            <w:shd w:val="clear" w:color="auto" w:fill="FFFFFF"/>
            <w:hideMark/>
          </w:tcPr>
          <w:p w14:paraId="1BA3C11E" w14:textId="77777777" w:rsidR="002847F1" w:rsidRPr="00050FA4" w:rsidRDefault="002847F1" w:rsidP="00A95D23">
            <w:pPr>
              <w:rPr>
                <w:rFonts w:ascii="Garamond" w:eastAsia="Times New Roman" w:hAnsi="Garamond" w:cstheme="majorBidi"/>
                <w:color w:val="0D0D0D" w:themeColor="text1" w:themeTint="F2"/>
                <w:sz w:val="18"/>
                <w:szCs w:val="18"/>
              </w:rPr>
            </w:pPr>
            <w:r w:rsidRPr="00050FA4">
              <w:rPr>
                <w:rFonts w:ascii="Garamond" w:eastAsia="Times New Roman" w:hAnsi="Garamond" w:cstheme="majorBidi"/>
                <w:color w:val="0D0D0D" w:themeColor="text1" w:themeTint="F2"/>
                <w:sz w:val="18"/>
                <w:szCs w:val="18"/>
              </w:rPr>
              <w:t>Latest update</w:t>
            </w:r>
          </w:p>
        </w:tc>
        <w:tc>
          <w:tcPr>
            <w:tcW w:w="1195" w:type="dxa"/>
            <w:tcBorders>
              <w:top w:val="nil"/>
              <w:left w:val="nil"/>
              <w:bottom w:val="dotted" w:sz="4" w:space="0" w:color="auto"/>
              <w:right w:val="dotted" w:sz="4" w:space="0" w:color="auto"/>
            </w:tcBorders>
            <w:shd w:val="clear" w:color="auto" w:fill="FFFFFF"/>
            <w:hideMark/>
          </w:tcPr>
          <w:p w14:paraId="74346C4B"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75.7</w:t>
            </w:r>
          </w:p>
        </w:tc>
        <w:tc>
          <w:tcPr>
            <w:tcW w:w="1195" w:type="dxa"/>
            <w:tcBorders>
              <w:top w:val="nil"/>
              <w:left w:val="nil"/>
              <w:bottom w:val="dotted" w:sz="4" w:space="0" w:color="auto"/>
              <w:right w:val="dotted" w:sz="4" w:space="0" w:color="auto"/>
            </w:tcBorders>
            <w:shd w:val="clear" w:color="auto" w:fill="FFFFFF"/>
            <w:hideMark/>
          </w:tcPr>
          <w:p w14:paraId="1A2B75A1"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80.1</w:t>
            </w:r>
          </w:p>
        </w:tc>
        <w:tc>
          <w:tcPr>
            <w:tcW w:w="1195" w:type="dxa"/>
            <w:tcBorders>
              <w:top w:val="nil"/>
              <w:left w:val="nil"/>
              <w:bottom w:val="dotted" w:sz="4" w:space="0" w:color="auto"/>
              <w:right w:val="dotted" w:sz="4" w:space="0" w:color="auto"/>
            </w:tcBorders>
            <w:shd w:val="clear" w:color="auto" w:fill="FFFFFF"/>
            <w:hideMark/>
          </w:tcPr>
          <w:p w14:paraId="104C690C"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78.9</w:t>
            </w:r>
          </w:p>
        </w:tc>
        <w:tc>
          <w:tcPr>
            <w:tcW w:w="1195" w:type="dxa"/>
            <w:tcBorders>
              <w:top w:val="nil"/>
              <w:left w:val="nil"/>
              <w:bottom w:val="dotted" w:sz="4" w:space="0" w:color="auto"/>
              <w:right w:val="dotted" w:sz="4" w:space="0" w:color="auto"/>
            </w:tcBorders>
            <w:shd w:val="clear" w:color="auto" w:fill="FFFFFF"/>
            <w:hideMark/>
          </w:tcPr>
          <w:p w14:paraId="5E66B6BE"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77.7</w:t>
            </w:r>
          </w:p>
        </w:tc>
        <w:tc>
          <w:tcPr>
            <w:tcW w:w="1196" w:type="dxa"/>
            <w:tcBorders>
              <w:top w:val="nil"/>
              <w:left w:val="nil"/>
              <w:bottom w:val="dotted" w:sz="4" w:space="0" w:color="auto"/>
              <w:right w:val="double" w:sz="6" w:space="0" w:color="auto"/>
            </w:tcBorders>
            <w:shd w:val="clear" w:color="auto" w:fill="FFFFFF"/>
            <w:hideMark/>
          </w:tcPr>
          <w:p w14:paraId="257D7882"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75.8</w:t>
            </w:r>
          </w:p>
        </w:tc>
      </w:tr>
      <w:tr w:rsidR="00FA29AB" w:rsidRPr="00050FA4" w14:paraId="0E01C6CB" w14:textId="77777777" w:rsidTr="00617B60">
        <w:trPr>
          <w:trHeight w:val="307"/>
          <w:jc w:val="center"/>
        </w:trPr>
        <w:tc>
          <w:tcPr>
            <w:tcW w:w="4321" w:type="dxa"/>
            <w:tcBorders>
              <w:top w:val="nil"/>
              <w:left w:val="double" w:sz="6" w:space="0" w:color="auto"/>
              <w:bottom w:val="double" w:sz="6" w:space="0" w:color="auto"/>
              <w:right w:val="single" w:sz="8" w:space="0" w:color="auto"/>
            </w:tcBorders>
            <w:shd w:val="clear" w:color="auto" w:fill="FFFFFF"/>
            <w:hideMark/>
          </w:tcPr>
          <w:p w14:paraId="5796843D" w14:textId="4471EF2A" w:rsidR="002847F1" w:rsidRPr="00050FA4" w:rsidRDefault="002847F1" w:rsidP="00A95D23">
            <w:pPr>
              <w:rPr>
                <w:rFonts w:ascii="Garamond" w:eastAsia="Times New Roman" w:hAnsi="Garamond" w:cstheme="majorBidi"/>
                <w:color w:val="0D0D0D" w:themeColor="text1" w:themeTint="F2"/>
                <w:sz w:val="18"/>
                <w:szCs w:val="18"/>
              </w:rPr>
            </w:pPr>
            <w:bookmarkStart w:id="135" w:name="RANGE!B17"/>
            <w:r w:rsidRPr="00050FA4">
              <w:rPr>
                <w:rFonts w:ascii="Garamond" w:eastAsia="Times New Roman" w:hAnsi="Garamond" w:cstheme="majorBidi"/>
                <w:color w:val="0D0D0D" w:themeColor="text1" w:themeTint="F2"/>
                <w:sz w:val="18"/>
                <w:szCs w:val="18"/>
              </w:rPr>
              <w:t>Difference</w:t>
            </w:r>
            <w:bookmarkEnd w:id="135"/>
          </w:p>
        </w:tc>
        <w:tc>
          <w:tcPr>
            <w:tcW w:w="1195" w:type="dxa"/>
            <w:tcBorders>
              <w:top w:val="nil"/>
              <w:left w:val="nil"/>
              <w:bottom w:val="double" w:sz="6" w:space="0" w:color="auto"/>
              <w:right w:val="dotted" w:sz="4" w:space="0" w:color="auto"/>
            </w:tcBorders>
            <w:shd w:val="clear" w:color="auto" w:fill="FFFFFF"/>
            <w:hideMark/>
          </w:tcPr>
          <w:p w14:paraId="445C0C99"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-4.2</w:t>
            </w:r>
          </w:p>
        </w:tc>
        <w:tc>
          <w:tcPr>
            <w:tcW w:w="1195" w:type="dxa"/>
            <w:tcBorders>
              <w:top w:val="nil"/>
              <w:left w:val="nil"/>
              <w:bottom w:val="double" w:sz="6" w:space="0" w:color="auto"/>
              <w:right w:val="dotted" w:sz="4" w:space="0" w:color="auto"/>
            </w:tcBorders>
            <w:shd w:val="clear" w:color="auto" w:fill="FFFFFF"/>
            <w:hideMark/>
          </w:tcPr>
          <w:p w14:paraId="1A5C2DC4"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1.5</w:t>
            </w:r>
          </w:p>
        </w:tc>
        <w:tc>
          <w:tcPr>
            <w:tcW w:w="1195" w:type="dxa"/>
            <w:tcBorders>
              <w:top w:val="nil"/>
              <w:left w:val="nil"/>
              <w:bottom w:val="double" w:sz="6" w:space="0" w:color="auto"/>
              <w:right w:val="dotted" w:sz="4" w:space="0" w:color="auto"/>
            </w:tcBorders>
            <w:shd w:val="clear" w:color="auto" w:fill="FFFFFF"/>
            <w:hideMark/>
          </w:tcPr>
          <w:p w14:paraId="5D54660F"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1.2</w:t>
            </w:r>
          </w:p>
        </w:tc>
        <w:tc>
          <w:tcPr>
            <w:tcW w:w="1195" w:type="dxa"/>
            <w:tcBorders>
              <w:top w:val="nil"/>
              <w:left w:val="nil"/>
              <w:bottom w:val="double" w:sz="6" w:space="0" w:color="auto"/>
              <w:right w:val="dotted" w:sz="4" w:space="0" w:color="auto"/>
            </w:tcBorders>
            <w:shd w:val="clear" w:color="auto" w:fill="FFFFFF"/>
            <w:hideMark/>
          </w:tcPr>
          <w:p w14:paraId="09DC2D96"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2.1</w:t>
            </w:r>
          </w:p>
        </w:tc>
        <w:tc>
          <w:tcPr>
            <w:tcW w:w="1196" w:type="dxa"/>
            <w:tcBorders>
              <w:top w:val="nil"/>
              <w:left w:val="nil"/>
              <w:bottom w:val="double" w:sz="6" w:space="0" w:color="auto"/>
              <w:right w:val="double" w:sz="6" w:space="0" w:color="auto"/>
            </w:tcBorders>
            <w:shd w:val="clear" w:color="auto" w:fill="FFFFFF"/>
            <w:hideMark/>
          </w:tcPr>
          <w:p w14:paraId="5ECD88B1" w14:textId="77777777" w:rsidR="002847F1" w:rsidRPr="00050FA4" w:rsidRDefault="002847F1" w:rsidP="00617B60">
            <w:pPr>
              <w:jc w:val="right"/>
              <w:rPr>
                <w:rFonts w:ascii="Garamond" w:eastAsia="Times New Roman" w:hAnsi="Garamond" w:cstheme="majorBidi"/>
                <w:color w:val="0D0D0D" w:themeColor="text1" w:themeTint="F2"/>
                <w:sz w:val="18"/>
                <w:szCs w:val="18"/>
              </w:rPr>
            </w:pPr>
            <w:r w:rsidRPr="00050FA4">
              <w:rPr>
                <w:rFonts w:ascii="Garamond" w:hAnsi="Garamond" w:cstheme="majorBidi"/>
                <w:color w:val="0D0D0D" w:themeColor="text1" w:themeTint="F2"/>
                <w:sz w:val="18"/>
                <w:szCs w:val="18"/>
              </w:rPr>
              <w:t>2.0</w:t>
            </w:r>
          </w:p>
        </w:tc>
      </w:tr>
    </w:tbl>
    <w:p w14:paraId="0992DDDA" w14:textId="77777777" w:rsidR="002847F1" w:rsidRPr="00050FA4" w:rsidRDefault="002847F1" w:rsidP="003F1DA7">
      <w:pPr>
        <w:snapToGrid w:val="0"/>
        <w:ind w:firstLine="284"/>
        <w:rPr>
          <w:rFonts w:ascii="Garamond" w:hAnsi="Garamond" w:cstheme="majorBidi"/>
          <w:color w:val="0D0D0D" w:themeColor="text1" w:themeTint="F2"/>
          <w:sz w:val="20"/>
          <w:szCs w:val="20"/>
        </w:rPr>
      </w:pPr>
    </w:p>
    <w:p w14:paraId="756EA22B" w14:textId="48304A86" w:rsidR="00D61CAE" w:rsidRPr="00050FA4" w:rsidRDefault="00D61CAE" w:rsidP="003F1DA7">
      <w:pPr>
        <w:pStyle w:val="AAAAAAATEXXXX"/>
        <w:rPr>
          <w:lang w:val="sq-AL"/>
        </w:rPr>
      </w:pPr>
      <w:bookmarkStart w:id="136" w:name="_Toc93325795"/>
      <w:r w:rsidRPr="00050FA4">
        <w:rPr>
          <w:lang w:val="sq-AL"/>
        </w:rPr>
        <w:t>Tabela 8: Supozimet bazë mbi mjedisin e jashtëm ekonomik që qëndron në themel të kornizës së programit</w:t>
      </w:r>
      <w:bookmarkEnd w:id="136"/>
    </w:p>
    <w:tbl>
      <w:tblPr>
        <w:tblW w:w="10340" w:type="dxa"/>
        <w:jc w:val="center"/>
        <w:tblLook w:val="04A0" w:firstRow="1" w:lastRow="0" w:firstColumn="1" w:lastColumn="0" w:noHBand="0" w:noVBand="1"/>
      </w:tblPr>
      <w:tblGrid>
        <w:gridCol w:w="4620"/>
        <w:gridCol w:w="1420"/>
        <w:gridCol w:w="860"/>
        <w:gridCol w:w="860"/>
        <w:gridCol w:w="860"/>
        <w:gridCol w:w="860"/>
        <w:gridCol w:w="860"/>
      </w:tblGrid>
      <w:tr w:rsidR="00FA29AB" w:rsidRPr="00050FA4" w14:paraId="4514F1E5" w14:textId="77777777" w:rsidTr="00617B60">
        <w:trPr>
          <w:trHeight w:val="319"/>
          <w:jc w:val="center"/>
        </w:trPr>
        <w:tc>
          <w:tcPr>
            <w:tcW w:w="4620" w:type="dxa"/>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2A20D4FA" w14:textId="26A1B005" w:rsidR="00D61CAE" w:rsidRPr="00050FA4" w:rsidRDefault="00D61CAE" w:rsidP="00617B60">
            <w:pPr>
              <w:jc w:val="center"/>
              <w:rPr>
                <w:rFonts w:ascii="Garamond" w:eastAsia="Times New Roman" w:hAnsi="Garamond"/>
                <w:b/>
                <w:color w:val="0D0D0D" w:themeColor="text1" w:themeTint="F2"/>
                <w:sz w:val="18"/>
                <w:szCs w:val="18"/>
              </w:rPr>
            </w:pPr>
          </w:p>
        </w:tc>
        <w:tc>
          <w:tcPr>
            <w:tcW w:w="1420" w:type="dxa"/>
            <w:vMerge w:val="restart"/>
            <w:tcBorders>
              <w:top w:val="double" w:sz="6" w:space="0" w:color="auto"/>
              <w:left w:val="dotted" w:sz="4" w:space="0" w:color="auto"/>
              <w:bottom w:val="single" w:sz="8" w:space="0" w:color="000000"/>
              <w:right w:val="single" w:sz="8" w:space="0" w:color="000000"/>
            </w:tcBorders>
            <w:shd w:val="clear" w:color="auto" w:fill="FFFFFF"/>
            <w:vAlign w:val="center"/>
            <w:hideMark/>
          </w:tcPr>
          <w:p w14:paraId="4897570F"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Dimension</w:t>
            </w:r>
          </w:p>
        </w:tc>
        <w:tc>
          <w:tcPr>
            <w:tcW w:w="860" w:type="dxa"/>
            <w:tcBorders>
              <w:top w:val="double" w:sz="6" w:space="0" w:color="auto"/>
              <w:left w:val="nil"/>
              <w:bottom w:val="nil"/>
              <w:right w:val="dotted" w:sz="4" w:space="0" w:color="auto"/>
            </w:tcBorders>
            <w:shd w:val="clear" w:color="auto" w:fill="FFFFFF"/>
            <w:vAlign w:val="center"/>
            <w:hideMark/>
          </w:tcPr>
          <w:p w14:paraId="70F3A4ED"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60" w:type="dxa"/>
            <w:tcBorders>
              <w:top w:val="double" w:sz="6" w:space="0" w:color="auto"/>
              <w:left w:val="nil"/>
              <w:bottom w:val="nil"/>
              <w:right w:val="dotted" w:sz="4" w:space="0" w:color="auto"/>
            </w:tcBorders>
            <w:shd w:val="clear" w:color="auto" w:fill="FFFFFF"/>
            <w:vAlign w:val="center"/>
            <w:hideMark/>
          </w:tcPr>
          <w:p w14:paraId="4E0B0711"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60" w:type="dxa"/>
            <w:tcBorders>
              <w:top w:val="double" w:sz="6" w:space="0" w:color="auto"/>
              <w:left w:val="nil"/>
              <w:bottom w:val="nil"/>
              <w:right w:val="dotted" w:sz="4" w:space="0" w:color="auto"/>
            </w:tcBorders>
            <w:shd w:val="clear" w:color="auto" w:fill="FFFFFF"/>
            <w:vAlign w:val="center"/>
            <w:hideMark/>
          </w:tcPr>
          <w:p w14:paraId="181AF178"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60" w:type="dxa"/>
            <w:tcBorders>
              <w:top w:val="double" w:sz="6" w:space="0" w:color="auto"/>
              <w:left w:val="nil"/>
              <w:bottom w:val="nil"/>
              <w:right w:val="dotted" w:sz="4" w:space="0" w:color="auto"/>
            </w:tcBorders>
            <w:shd w:val="clear" w:color="auto" w:fill="FFFFFF"/>
            <w:vAlign w:val="center"/>
            <w:hideMark/>
          </w:tcPr>
          <w:p w14:paraId="5CAE3759"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c>
          <w:tcPr>
            <w:tcW w:w="860" w:type="dxa"/>
            <w:tcBorders>
              <w:top w:val="double" w:sz="6" w:space="0" w:color="auto"/>
              <w:left w:val="nil"/>
              <w:bottom w:val="nil"/>
              <w:right w:val="double" w:sz="6" w:space="0" w:color="auto"/>
            </w:tcBorders>
            <w:shd w:val="clear" w:color="auto" w:fill="FFFFFF"/>
            <w:vAlign w:val="center"/>
            <w:hideMark/>
          </w:tcPr>
          <w:p w14:paraId="228E385C"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Year</w:t>
            </w:r>
          </w:p>
        </w:tc>
      </w:tr>
      <w:tr w:rsidR="00FA29AB" w:rsidRPr="00050FA4" w14:paraId="2CCCF434" w14:textId="77777777" w:rsidTr="00617B60">
        <w:trPr>
          <w:trHeight w:val="319"/>
          <w:jc w:val="center"/>
        </w:trPr>
        <w:tc>
          <w:tcPr>
            <w:tcW w:w="0" w:type="auto"/>
            <w:vMerge/>
            <w:tcBorders>
              <w:top w:val="double" w:sz="6" w:space="0" w:color="auto"/>
              <w:left w:val="double" w:sz="6" w:space="0" w:color="auto"/>
              <w:bottom w:val="single" w:sz="8" w:space="0" w:color="000000"/>
              <w:right w:val="dotted" w:sz="4" w:space="0" w:color="auto"/>
            </w:tcBorders>
            <w:vAlign w:val="center"/>
            <w:hideMark/>
          </w:tcPr>
          <w:p w14:paraId="4F90BB2D" w14:textId="77777777" w:rsidR="00D61CAE" w:rsidRPr="00050FA4" w:rsidRDefault="00D61CAE" w:rsidP="00617B60">
            <w:pPr>
              <w:jc w:val="center"/>
              <w:rPr>
                <w:rFonts w:ascii="Garamond" w:eastAsia="Times New Roman" w:hAnsi="Garamond"/>
                <w:b/>
                <w:color w:val="0D0D0D" w:themeColor="text1" w:themeTint="F2"/>
                <w:sz w:val="18"/>
                <w:szCs w:val="18"/>
              </w:rPr>
            </w:pPr>
          </w:p>
        </w:tc>
        <w:tc>
          <w:tcPr>
            <w:tcW w:w="0" w:type="auto"/>
            <w:vMerge/>
            <w:tcBorders>
              <w:top w:val="double" w:sz="6" w:space="0" w:color="auto"/>
              <w:left w:val="dotted" w:sz="4" w:space="0" w:color="auto"/>
              <w:bottom w:val="single" w:sz="8" w:space="0" w:color="000000"/>
              <w:right w:val="single" w:sz="8" w:space="0" w:color="000000"/>
            </w:tcBorders>
            <w:vAlign w:val="center"/>
            <w:hideMark/>
          </w:tcPr>
          <w:p w14:paraId="7E699725" w14:textId="77777777" w:rsidR="00D61CAE" w:rsidRPr="00050FA4" w:rsidRDefault="00D61CAE" w:rsidP="00617B60">
            <w:pPr>
              <w:jc w:val="center"/>
              <w:rPr>
                <w:rFonts w:ascii="Garamond" w:eastAsia="Times New Roman" w:hAnsi="Garamond"/>
                <w:b/>
                <w:color w:val="0D0D0D" w:themeColor="text1" w:themeTint="F2"/>
                <w:sz w:val="18"/>
                <w:szCs w:val="18"/>
              </w:rPr>
            </w:pPr>
          </w:p>
        </w:tc>
        <w:tc>
          <w:tcPr>
            <w:tcW w:w="860" w:type="dxa"/>
            <w:tcBorders>
              <w:top w:val="nil"/>
              <w:left w:val="nil"/>
              <w:bottom w:val="single" w:sz="8" w:space="0" w:color="000000"/>
              <w:right w:val="dotted" w:sz="4" w:space="0" w:color="auto"/>
            </w:tcBorders>
            <w:shd w:val="clear" w:color="auto" w:fill="FFFFFF"/>
            <w:vAlign w:val="center"/>
            <w:hideMark/>
          </w:tcPr>
          <w:p w14:paraId="33D85290"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2020</w:t>
            </w:r>
          </w:p>
        </w:tc>
        <w:tc>
          <w:tcPr>
            <w:tcW w:w="860" w:type="dxa"/>
            <w:tcBorders>
              <w:top w:val="nil"/>
              <w:left w:val="nil"/>
              <w:bottom w:val="single" w:sz="8" w:space="0" w:color="000000"/>
              <w:right w:val="dotted" w:sz="4" w:space="0" w:color="auto"/>
            </w:tcBorders>
            <w:shd w:val="clear" w:color="auto" w:fill="FFFFFF"/>
            <w:vAlign w:val="center"/>
            <w:hideMark/>
          </w:tcPr>
          <w:p w14:paraId="0CE43C5A"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2021</w:t>
            </w:r>
          </w:p>
        </w:tc>
        <w:tc>
          <w:tcPr>
            <w:tcW w:w="860" w:type="dxa"/>
            <w:tcBorders>
              <w:top w:val="nil"/>
              <w:left w:val="nil"/>
              <w:bottom w:val="single" w:sz="8" w:space="0" w:color="000000"/>
              <w:right w:val="dotted" w:sz="4" w:space="0" w:color="auto"/>
            </w:tcBorders>
            <w:shd w:val="clear" w:color="auto" w:fill="FFFFFF"/>
            <w:vAlign w:val="center"/>
            <w:hideMark/>
          </w:tcPr>
          <w:p w14:paraId="2AEBFA99"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2022</w:t>
            </w:r>
          </w:p>
        </w:tc>
        <w:tc>
          <w:tcPr>
            <w:tcW w:w="860" w:type="dxa"/>
            <w:tcBorders>
              <w:top w:val="nil"/>
              <w:left w:val="nil"/>
              <w:bottom w:val="single" w:sz="8" w:space="0" w:color="000000"/>
              <w:right w:val="dotted" w:sz="4" w:space="0" w:color="auto"/>
            </w:tcBorders>
            <w:shd w:val="clear" w:color="auto" w:fill="FFFFFF"/>
            <w:vAlign w:val="center"/>
            <w:hideMark/>
          </w:tcPr>
          <w:p w14:paraId="39F9985F"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2023</w:t>
            </w:r>
          </w:p>
        </w:tc>
        <w:tc>
          <w:tcPr>
            <w:tcW w:w="860" w:type="dxa"/>
            <w:tcBorders>
              <w:top w:val="nil"/>
              <w:left w:val="nil"/>
              <w:bottom w:val="single" w:sz="8" w:space="0" w:color="000000"/>
              <w:right w:val="double" w:sz="6" w:space="0" w:color="auto"/>
            </w:tcBorders>
            <w:shd w:val="clear" w:color="auto" w:fill="FFFFFF"/>
            <w:vAlign w:val="center"/>
            <w:hideMark/>
          </w:tcPr>
          <w:p w14:paraId="375757B8" w14:textId="77777777" w:rsidR="00D61CAE" w:rsidRPr="00050FA4" w:rsidRDefault="00D61CAE" w:rsidP="00617B60">
            <w:pPr>
              <w:jc w:val="center"/>
              <w:rPr>
                <w:rFonts w:ascii="Garamond" w:eastAsia="Times New Roman" w:hAnsi="Garamond"/>
                <w:b/>
                <w:color w:val="0D0D0D" w:themeColor="text1" w:themeTint="F2"/>
                <w:sz w:val="18"/>
                <w:szCs w:val="18"/>
              </w:rPr>
            </w:pPr>
            <w:r w:rsidRPr="00050FA4">
              <w:rPr>
                <w:rFonts w:ascii="Garamond" w:eastAsia="Times New Roman" w:hAnsi="Garamond"/>
                <w:b/>
                <w:color w:val="0D0D0D" w:themeColor="text1" w:themeTint="F2"/>
                <w:sz w:val="18"/>
                <w:szCs w:val="18"/>
              </w:rPr>
              <w:t>2024</w:t>
            </w:r>
          </w:p>
        </w:tc>
      </w:tr>
      <w:tr w:rsidR="00FA29AB" w:rsidRPr="00050FA4" w14:paraId="37F5DE0C"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4DC137DF" w14:textId="6DDE2AF2"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lastRenderedPageBreak/>
              <w:t xml:space="preserve"> </w:t>
            </w:r>
            <w:r w:rsidR="00D61CAE" w:rsidRPr="00050FA4">
              <w:rPr>
                <w:rFonts w:ascii="Garamond" w:eastAsia="Times New Roman" w:hAnsi="Garamond"/>
                <w:color w:val="0D0D0D" w:themeColor="text1" w:themeTint="F2"/>
                <w:sz w:val="18"/>
                <w:szCs w:val="18"/>
              </w:rPr>
              <w:t>Short-term interest rate</w:t>
            </w:r>
          </w:p>
        </w:tc>
        <w:tc>
          <w:tcPr>
            <w:tcW w:w="1420" w:type="dxa"/>
            <w:tcBorders>
              <w:top w:val="nil"/>
              <w:left w:val="nil"/>
              <w:bottom w:val="dotted" w:sz="4" w:space="0" w:color="auto"/>
              <w:right w:val="single" w:sz="8" w:space="0" w:color="000000"/>
            </w:tcBorders>
            <w:shd w:val="clear" w:color="auto" w:fill="FFFFFF"/>
            <w:vAlign w:val="bottom"/>
            <w:hideMark/>
          </w:tcPr>
          <w:p w14:paraId="08893CB5"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13EAA54D"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-0.4</w:t>
            </w:r>
          </w:p>
        </w:tc>
        <w:tc>
          <w:tcPr>
            <w:tcW w:w="860" w:type="dxa"/>
            <w:tcBorders>
              <w:top w:val="nil"/>
              <w:left w:val="nil"/>
              <w:bottom w:val="dotted" w:sz="4" w:space="0" w:color="auto"/>
              <w:right w:val="dotted" w:sz="4" w:space="0" w:color="auto"/>
            </w:tcBorders>
            <w:vAlign w:val="bottom"/>
            <w:hideMark/>
          </w:tcPr>
          <w:p w14:paraId="2BD441A2"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-0.5</w:t>
            </w:r>
          </w:p>
        </w:tc>
        <w:tc>
          <w:tcPr>
            <w:tcW w:w="860" w:type="dxa"/>
            <w:tcBorders>
              <w:top w:val="nil"/>
              <w:left w:val="nil"/>
              <w:bottom w:val="dotted" w:sz="4" w:space="0" w:color="auto"/>
              <w:right w:val="dotted" w:sz="4" w:space="0" w:color="auto"/>
            </w:tcBorders>
            <w:vAlign w:val="bottom"/>
            <w:hideMark/>
          </w:tcPr>
          <w:p w14:paraId="08E6A258"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-0.5</w:t>
            </w:r>
          </w:p>
        </w:tc>
        <w:tc>
          <w:tcPr>
            <w:tcW w:w="860" w:type="dxa"/>
            <w:tcBorders>
              <w:top w:val="nil"/>
              <w:left w:val="nil"/>
              <w:bottom w:val="dotted" w:sz="4" w:space="0" w:color="auto"/>
              <w:right w:val="dotted" w:sz="4" w:space="0" w:color="auto"/>
            </w:tcBorders>
            <w:vAlign w:val="bottom"/>
            <w:hideMark/>
          </w:tcPr>
          <w:p w14:paraId="12EED02E"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-0.3</w:t>
            </w:r>
          </w:p>
        </w:tc>
        <w:tc>
          <w:tcPr>
            <w:tcW w:w="860" w:type="dxa"/>
            <w:tcBorders>
              <w:top w:val="nil"/>
              <w:left w:val="nil"/>
              <w:bottom w:val="dotted" w:sz="4" w:space="0" w:color="auto"/>
              <w:right w:val="double" w:sz="6" w:space="0" w:color="auto"/>
            </w:tcBorders>
            <w:vAlign w:val="bottom"/>
            <w:hideMark/>
          </w:tcPr>
          <w:p w14:paraId="6EB52FC0"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-0.3</w:t>
            </w:r>
          </w:p>
        </w:tc>
      </w:tr>
      <w:tr w:rsidR="00FA29AB" w:rsidRPr="00050FA4" w14:paraId="4A59BCC2"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6E545197" w14:textId="65A356B7"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Long-term interest rate</w:t>
            </w:r>
          </w:p>
        </w:tc>
        <w:tc>
          <w:tcPr>
            <w:tcW w:w="1420" w:type="dxa"/>
            <w:tcBorders>
              <w:top w:val="nil"/>
              <w:left w:val="nil"/>
              <w:bottom w:val="dotted" w:sz="4" w:space="0" w:color="auto"/>
              <w:right w:val="single" w:sz="8" w:space="0" w:color="000000"/>
            </w:tcBorders>
            <w:shd w:val="clear" w:color="auto" w:fill="FFFFFF"/>
            <w:vAlign w:val="bottom"/>
            <w:hideMark/>
          </w:tcPr>
          <w:p w14:paraId="33CB08E4"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0F20D033"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-0.5</w:t>
            </w:r>
          </w:p>
        </w:tc>
        <w:tc>
          <w:tcPr>
            <w:tcW w:w="860" w:type="dxa"/>
            <w:tcBorders>
              <w:top w:val="nil"/>
              <w:left w:val="nil"/>
              <w:bottom w:val="dotted" w:sz="4" w:space="0" w:color="auto"/>
              <w:right w:val="dotted" w:sz="4" w:space="0" w:color="auto"/>
            </w:tcBorders>
            <w:vAlign w:val="bottom"/>
            <w:hideMark/>
          </w:tcPr>
          <w:p w14:paraId="78DFDEEF"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-0.3</w:t>
            </w:r>
          </w:p>
        </w:tc>
        <w:tc>
          <w:tcPr>
            <w:tcW w:w="860" w:type="dxa"/>
            <w:tcBorders>
              <w:top w:val="nil"/>
              <w:left w:val="nil"/>
              <w:bottom w:val="dotted" w:sz="4" w:space="0" w:color="auto"/>
              <w:right w:val="dotted" w:sz="4" w:space="0" w:color="auto"/>
            </w:tcBorders>
            <w:vAlign w:val="bottom"/>
            <w:hideMark/>
          </w:tcPr>
          <w:p w14:paraId="3F786FAF"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-0.1</w:t>
            </w:r>
          </w:p>
        </w:tc>
        <w:tc>
          <w:tcPr>
            <w:tcW w:w="860" w:type="dxa"/>
            <w:tcBorders>
              <w:top w:val="nil"/>
              <w:left w:val="nil"/>
              <w:bottom w:val="dotted" w:sz="4" w:space="0" w:color="auto"/>
              <w:right w:val="dotted" w:sz="4" w:space="0" w:color="auto"/>
            </w:tcBorders>
            <w:vAlign w:val="bottom"/>
            <w:hideMark/>
          </w:tcPr>
          <w:p w14:paraId="0A6165F8"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0.1</w:t>
            </w:r>
          </w:p>
        </w:tc>
        <w:tc>
          <w:tcPr>
            <w:tcW w:w="860" w:type="dxa"/>
            <w:tcBorders>
              <w:top w:val="nil"/>
              <w:left w:val="nil"/>
              <w:bottom w:val="dotted" w:sz="4" w:space="0" w:color="auto"/>
              <w:right w:val="double" w:sz="6" w:space="0" w:color="auto"/>
            </w:tcBorders>
            <w:vAlign w:val="bottom"/>
            <w:hideMark/>
          </w:tcPr>
          <w:p w14:paraId="559182F4"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0.1</w:t>
            </w:r>
          </w:p>
        </w:tc>
      </w:tr>
      <w:tr w:rsidR="00FA29AB" w:rsidRPr="00050FA4" w14:paraId="04EF1730"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6FAB2A74" w14:textId="05D7560B"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 xml:space="preserve">USD/EUR exchange rate </w:t>
            </w:r>
          </w:p>
        </w:tc>
        <w:tc>
          <w:tcPr>
            <w:tcW w:w="1420" w:type="dxa"/>
            <w:tcBorders>
              <w:top w:val="nil"/>
              <w:left w:val="nil"/>
              <w:bottom w:val="dotted" w:sz="4" w:space="0" w:color="auto"/>
              <w:right w:val="single" w:sz="8" w:space="0" w:color="000000"/>
            </w:tcBorders>
            <w:shd w:val="clear" w:color="auto" w:fill="FFFFFF"/>
            <w:vAlign w:val="bottom"/>
            <w:hideMark/>
          </w:tcPr>
          <w:p w14:paraId="14888507"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54640BC6"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1.14</w:t>
            </w:r>
          </w:p>
        </w:tc>
        <w:tc>
          <w:tcPr>
            <w:tcW w:w="860" w:type="dxa"/>
            <w:tcBorders>
              <w:top w:val="nil"/>
              <w:left w:val="nil"/>
              <w:bottom w:val="dotted" w:sz="4" w:space="0" w:color="auto"/>
              <w:right w:val="dotted" w:sz="4" w:space="0" w:color="auto"/>
            </w:tcBorders>
            <w:vAlign w:val="bottom"/>
            <w:hideMark/>
          </w:tcPr>
          <w:p w14:paraId="1D24878B"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1.19</w:t>
            </w:r>
          </w:p>
        </w:tc>
        <w:tc>
          <w:tcPr>
            <w:tcW w:w="860" w:type="dxa"/>
            <w:tcBorders>
              <w:top w:val="nil"/>
              <w:left w:val="nil"/>
              <w:bottom w:val="dotted" w:sz="4" w:space="0" w:color="auto"/>
              <w:right w:val="dotted" w:sz="4" w:space="0" w:color="auto"/>
            </w:tcBorders>
            <w:vAlign w:val="bottom"/>
            <w:hideMark/>
          </w:tcPr>
          <w:p w14:paraId="1D70A675"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1.16</w:t>
            </w:r>
          </w:p>
        </w:tc>
        <w:tc>
          <w:tcPr>
            <w:tcW w:w="860" w:type="dxa"/>
            <w:tcBorders>
              <w:top w:val="nil"/>
              <w:left w:val="nil"/>
              <w:bottom w:val="dotted" w:sz="4" w:space="0" w:color="auto"/>
              <w:right w:val="dotted" w:sz="4" w:space="0" w:color="auto"/>
            </w:tcBorders>
            <w:vAlign w:val="bottom"/>
            <w:hideMark/>
          </w:tcPr>
          <w:p w14:paraId="05AE8A82"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1.16</w:t>
            </w:r>
          </w:p>
        </w:tc>
        <w:tc>
          <w:tcPr>
            <w:tcW w:w="860" w:type="dxa"/>
            <w:tcBorders>
              <w:top w:val="nil"/>
              <w:left w:val="nil"/>
              <w:bottom w:val="dotted" w:sz="4" w:space="0" w:color="auto"/>
              <w:right w:val="double" w:sz="6" w:space="0" w:color="auto"/>
            </w:tcBorders>
            <w:vAlign w:val="bottom"/>
            <w:hideMark/>
          </w:tcPr>
          <w:p w14:paraId="140452F4"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1.16</w:t>
            </w:r>
          </w:p>
        </w:tc>
      </w:tr>
      <w:tr w:rsidR="00FA29AB" w:rsidRPr="00050FA4" w14:paraId="51464A11"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635936EC" w14:textId="4CCAFB3B"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EUR Nominal effective exchange rate</w:t>
            </w:r>
          </w:p>
        </w:tc>
        <w:tc>
          <w:tcPr>
            <w:tcW w:w="1420" w:type="dxa"/>
            <w:tcBorders>
              <w:top w:val="nil"/>
              <w:left w:val="nil"/>
              <w:bottom w:val="dotted" w:sz="4" w:space="0" w:color="auto"/>
              <w:right w:val="single" w:sz="8" w:space="0" w:color="000000"/>
            </w:tcBorders>
            <w:shd w:val="clear" w:color="auto" w:fill="FFFFFF"/>
            <w:vAlign w:val="bottom"/>
            <w:hideMark/>
          </w:tcPr>
          <w:p w14:paraId="709CD532"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4BABDAB8"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3.94</w:t>
            </w:r>
          </w:p>
        </w:tc>
        <w:tc>
          <w:tcPr>
            <w:tcW w:w="860" w:type="dxa"/>
            <w:tcBorders>
              <w:top w:val="nil"/>
              <w:left w:val="nil"/>
              <w:bottom w:val="dotted" w:sz="4" w:space="0" w:color="auto"/>
              <w:right w:val="dotted" w:sz="4" w:space="0" w:color="auto"/>
            </w:tcBorders>
            <w:vAlign w:val="bottom"/>
            <w:hideMark/>
          </w:tcPr>
          <w:p w14:paraId="1AF2B2EA"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1.3</w:t>
            </w:r>
          </w:p>
        </w:tc>
        <w:tc>
          <w:tcPr>
            <w:tcW w:w="860" w:type="dxa"/>
            <w:tcBorders>
              <w:top w:val="nil"/>
              <w:left w:val="nil"/>
              <w:bottom w:val="dotted" w:sz="4" w:space="0" w:color="auto"/>
              <w:right w:val="dotted" w:sz="4" w:space="0" w:color="auto"/>
            </w:tcBorders>
            <w:vAlign w:val="bottom"/>
            <w:hideMark/>
          </w:tcPr>
          <w:p w14:paraId="6BC68E53"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-1.3</w:t>
            </w:r>
          </w:p>
        </w:tc>
        <w:tc>
          <w:tcPr>
            <w:tcW w:w="860" w:type="dxa"/>
            <w:tcBorders>
              <w:top w:val="nil"/>
              <w:left w:val="nil"/>
              <w:bottom w:val="dotted" w:sz="4" w:space="0" w:color="auto"/>
              <w:right w:val="dotted" w:sz="4" w:space="0" w:color="auto"/>
            </w:tcBorders>
            <w:vAlign w:val="bottom"/>
            <w:hideMark/>
          </w:tcPr>
          <w:p w14:paraId="3B4F05C1"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w:t>
            </w:r>
          </w:p>
        </w:tc>
        <w:tc>
          <w:tcPr>
            <w:tcW w:w="860" w:type="dxa"/>
            <w:tcBorders>
              <w:top w:val="nil"/>
              <w:left w:val="nil"/>
              <w:bottom w:val="dotted" w:sz="4" w:space="0" w:color="auto"/>
              <w:right w:val="double" w:sz="6" w:space="0" w:color="auto"/>
            </w:tcBorders>
            <w:vAlign w:val="bottom"/>
            <w:hideMark/>
          </w:tcPr>
          <w:p w14:paraId="619CA3D7"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0</w:t>
            </w:r>
          </w:p>
        </w:tc>
      </w:tr>
      <w:tr w:rsidR="00FA29AB" w:rsidRPr="00050FA4" w14:paraId="654035C0"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10945BA6" w14:textId="1534B762"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Exchange rate vis-à-vis the EUR</w:t>
            </w:r>
          </w:p>
        </w:tc>
        <w:tc>
          <w:tcPr>
            <w:tcW w:w="1420" w:type="dxa"/>
            <w:tcBorders>
              <w:top w:val="nil"/>
              <w:left w:val="nil"/>
              <w:bottom w:val="dotted" w:sz="4" w:space="0" w:color="auto"/>
              <w:right w:val="single" w:sz="8" w:space="0" w:color="000000"/>
            </w:tcBorders>
            <w:shd w:val="clear" w:color="auto" w:fill="FFFFFF"/>
            <w:vAlign w:val="bottom"/>
            <w:hideMark/>
          </w:tcPr>
          <w:p w14:paraId="268CB13E"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7E786B5D"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123.77</w:t>
            </w:r>
          </w:p>
        </w:tc>
        <w:tc>
          <w:tcPr>
            <w:tcW w:w="860" w:type="dxa"/>
            <w:tcBorders>
              <w:top w:val="nil"/>
              <w:left w:val="nil"/>
              <w:bottom w:val="dotted" w:sz="4" w:space="0" w:color="auto"/>
              <w:right w:val="dotted" w:sz="4" w:space="0" w:color="auto"/>
            </w:tcBorders>
            <w:vAlign w:val="bottom"/>
            <w:hideMark/>
          </w:tcPr>
          <w:p w14:paraId="6CBBD8CD"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122.46</w:t>
            </w:r>
          </w:p>
        </w:tc>
        <w:tc>
          <w:tcPr>
            <w:tcW w:w="860" w:type="dxa"/>
            <w:tcBorders>
              <w:top w:val="nil"/>
              <w:left w:val="nil"/>
              <w:bottom w:val="dotted" w:sz="4" w:space="0" w:color="auto"/>
              <w:right w:val="dotted" w:sz="4" w:space="0" w:color="auto"/>
            </w:tcBorders>
            <w:vAlign w:val="bottom"/>
            <w:hideMark/>
          </w:tcPr>
          <w:p w14:paraId="7D7920C9"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122.46</w:t>
            </w:r>
          </w:p>
        </w:tc>
        <w:tc>
          <w:tcPr>
            <w:tcW w:w="860" w:type="dxa"/>
            <w:tcBorders>
              <w:top w:val="nil"/>
              <w:left w:val="nil"/>
              <w:bottom w:val="dotted" w:sz="4" w:space="0" w:color="auto"/>
              <w:right w:val="dotted" w:sz="4" w:space="0" w:color="auto"/>
            </w:tcBorders>
            <w:vAlign w:val="bottom"/>
            <w:hideMark/>
          </w:tcPr>
          <w:p w14:paraId="2AEBCA03"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122.46</w:t>
            </w:r>
          </w:p>
        </w:tc>
        <w:tc>
          <w:tcPr>
            <w:tcW w:w="860" w:type="dxa"/>
            <w:tcBorders>
              <w:top w:val="nil"/>
              <w:left w:val="nil"/>
              <w:bottom w:val="dotted" w:sz="4" w:space="0" w:color="auto"/>
              <w:right w:val="double" w:sz="6" w:space="0" w:color="auto"/>
            </w:tcBorders>
            <w:vAlign w:val="bottom"/>
            <w:hideMark/>
          </w:tcPr>
          <w:p w14:paraId="32B1ACD5"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122.46</w:t>
            </w:r>
          </w:p>
        </w:tc>
      </w:tr>
      <w:tr w:rsidR="00FA29AB" w:rsidRPr="00050FA4" w14:paraId="3E0651FB"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6B5B06CD" w14:textId="1E6A3FFE"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Global GDP growth, excluding EU</w:t>
            </w:r>
          </w:p>
        </w:tc>
        <w:tc>
          <w:tcPr>
            <w:tcW w:w="1420" w:type="dxa"/>
            <w:tcBorders>
              <w:top w:val="nil"/>
              <w:left w:val="nil"/>
              <w:bottom w:val="dotted" w:sz="4" w:space="0" w:color="auto"/>
              <w:right w:val="single" w:sz="8" w:space="0" w:color="000000"/>
            </w:tcBorders>
            <w:shd w:val="clear" w:color="auto" w:fill="FFFFFF"/>
            <w:vAlign w:val="bottom"/>
            <w:hideMark/>
          </w:tcPr>
          <w:p w14:paraId="1E20D093"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6BEE52AB"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-2.9</w:t>
            </w:r>
          </w:p>
        </w:tc>
        <w:tc>
          <w:tcPr>
            <w:tcW w:w="860" w:type="dxa"/>
            <w:tcBorders>
              <w:top w:val="nil"/>
              <w:left w:val="nil"/>
              <w:bottom w:val="dotted" w:sz="4" w:space="0" w:color="auto"/>
              <w:right w:val="dotted" w:sz="4" w:space="0" w:color="auto"/>
            </w:tcBorders>
            <w:vAlign w:val="bottom"/>
            <w:hideMark/>
          </w:tcPr>
          <w:p w14:paraId="30E65DF6"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5.8</w:t>
            </w:r>
          </w:p>
        </w:tc>
        <w:tc>
          <w:tcPr>
            <w:tcW w:w="860" w:type="dxa"/>
            <w:tcBorders>
              <w:top w:val="nil"/>
              <w:left w:val="nil"/>
              <w:bottom w:val="dotted" w:sz="4" w:space="0" w:color="auto"/>
              <w:right w:val="dotted" w:sz="4" w:space="0" w:color="auto"/>
            </w:tcBorders>
            <w:vAlign w:val="bottom"/>
            <w:hideMark/>
          </w:tcPr>
          <w:p w14:paraId="10AF7951"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4.5</w:t>
            </w:r>
          </w:p>
        </w:tc>
        <w:tc>
          <w:tcPr>
            <w:tcW w:w="860" w:type="dxa"/>
            <w:tcBorders>
              <w:top w:val="nil"/>
              <w:left w:val="nil"/>
              <w:bottom w:val="dotted" w:sz="4" w:space="0" w:color="auto"/>
              <w:right w:val="dotted" w:sz="4" w:space="0" w:color="auto"/>
            </w:tcBorders>
            <w:vAlign w:val="bottom"/>
            <w:hideMark/>
          </w:tcPr>
          <w:p w14:paraId="36CDCED3"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3.7</w:t>
            </w:r>
          </w:p>
        </w:tc>
        <w:tc>
          <w:tcPr>
            <w:tcW w:w="860" w:type="dxa"/>
            <w:tcBorders>
              <w:top w:val="nil"/>
              <w:left w:val="nil"/>
              <w:bottom w:val="dotted" w:sz="4" w:space="0" w:color="auto"/>
              <w:right w:val="double" w:sz="6" w:space="0" w:color="auto"/>
            </w:tcBorders>
            <w:vAlign w:val="bottom"/>
            <w:hideMark/>
          </w:tcPr>
          <w:p w14:paraId="1084498D"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3.7</w:t>
            </w:r>
          </w:p>
        </w:tc>
      </w:tr>
      <w:tr w:rsidR="00FA29AB" w:rsidRPr="00050FA4" w14:paraId="1F34DDE1"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1383E706" w14:textId="5B6643CC"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EU GDP growth</w:t>
            </w:r>
          </w:p>
        </w:tc>
        <w:tc>
          <w:tcPr>
            <w:tcW w:w="1420" w:type="dxa"/>
            <w:tcBorders>
              <w:top w:val="nil"/>
              <w:left w:val="nil"/>
              <w:bottom w:val="dotted" w:sz="4" w:space="0" w:color="auto"/>
              <w:right w:val="single" w:sz="8" w:space="0" w:color="000000"/>
            </w:tcBorders>
            <w:shd w:val="clear" w:color="auto" w:fill="FFFFFF"/>
            <w:vAlign w:val="bottom"/>
            <w:hideMark/>
          </w:tcPr>
          <w:p w14:paraId="464286AE"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01358F37"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-5.9</w:t>
            </w:r>
          </w:p>
        </w:tc>
        <w:tc>
          <w:tcPr>
            <w:tcW w:w="860" w:type="dxa"/>
            <w:tcBorders>
              <w:top w:val="nil"/>
              <w:left w:val="nil"/>
              <w:bottom w:val="dotted" w:sz="4" w:space="0" w:color="auto"/>
              <w:right w:val="dotted" w:sz="4" w:space="0" w:color="auto"/>
            </w:tcBorders>
            <w:vAlign w:val="bottom"/>
            <w:hideMark/>
          </w:tcPr>
          <w:p w14:paraId="7EC3E7D3"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5.0</w:t>
            </w:r>
          </w:p>
        </w:tc>
        <w:tc>
          <w:tcPr>
            <w:tcW w:w="860" w:type="dxa"/>
            <w:tcBorders>
              <w:top w:val="nil"/>
              <w:left w:val="nil"/>
              <w:bottom w:val="dotted" w:sz="4" w:space="0" w:color="auto"/>
              <w:right w:val="dotted" w:sz="4" w:space="0" w:color="auto"/>
            </w:tcBorders>
            <w:vAlign w:val="bottom"/>
            <w:hideMark/>
          </w:tcPr>
          <w:p w14:paraId="3CA1885C"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4.3</w:t>
            </w:r>
          </w:p>
        </w:tc>
        <w:tc>
          <w:tcPr>
            <w:tcW w:w="860" w:type="dxa"/>
            <w:tcBorders>
              <w:top w:val="nil"/>
              <w:left w:val="nil"/>
              <w:bottom w:val="dotted" w:sz="4" w:space="0" w:color="auto"/>
              <w:right w:val="dotted" w:sz="4" w:space="0" w:color="auto"/>
            </w:tcBorders>
            <w:vAlign w:val="bottom"/>
            <w:hideMark/>
          </w:tcPr>
          <w:p w14:paraId="1BF8F66F"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2.5</w:t>
            </w:r>
          </w:p>
        </w:tc>
        <w:tc>
          <w:tcPr>
            <w:tcW w:w="860" w:type="dxa"/>
            <w:tcBorders>
              <w:top w:val="nil"/>
              <w:left w:val="nil"/>
              <w:bottom w:val="dotted" w:sz="4" w:space="0" w:color="auto"/>
              <w:right w:val="double" w:sz="6" w:space="0" w:color="auto"/>
            </w:tcBorders>
            <w:vAlign w:val="bottom"/>
            <w:hideMark/>
          </w:tcPr>
          <w:p w14:paraId="3912BEF7"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2.5</w:t>
            </w:r>
          </w:p>
        </w:tc>
      </w:tr>
      <w:tr w:rsidR="00FA29AB" w:rsidRPr="00050FA4" w14:paraId="3E7EDA9C"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4A30B38A" w14:textId="2BF6B1D0"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Growth of relevant foreign markets</w:t>
            </w:r>
          </w:p>
        </w:tc>
        <w:tc>
          <w:tcPr>
            <w:tcW w:w="1420" w:type="dxa"/>
            <w:tcBorders>
              <w:top w:val="nil"/>
              <w:left w:val="nil"/>
              <w:bottom w:val="dotted" w:sz="4" w:space="0" w:color="auto"/>
              <w:right w:val="single" w:sz="8" w:space="0" w:color="000000"/>
            </w:tcBorders>
            <w:shd w:val="clear" w:color="auto" w:fill="FFFFFF"/>
            <w:vAlign w:val="bottom"/>
            <w:hideMark/>
          </w:tcPr>
          <w:p w14:paraId="496494D1"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32ADEE0B"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w:t>
            </w:r>
          </w:p>
        </w:tc>
        <w:tc>
          <w:tcPr>
            <w:tcW w:w="860" w:type="dxa"/>
            <w:tcBorders>
              <w:top w:val="nil"/>
              <w:left w:val="nil"/>
              <w:bottom w:val="dotted" w:sz="4" w:space="0" w:color="auto"/>
              <w:right w:val="dotted" w:sz="4" w:space="0" w:color="auto"/>
            </w:tcBorders>
            <w:vAlign w:val="bottom"/>
            <w:hideMark/>
          </w:tcPr>
          <w:p w14:paraId="5591E6D9"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w:t>
            </w:r>
          </w:p>
        </w:tc>
        <w:tc>
          <w:tcPr>
            <w:tcW w:w="860" w:type="dxa"/>
            <w:tcBorders>
              <w:top w:val="nil"/>
              <w:left w:val="nil"/>
              <w:bottom w:val="dotted" w:sz="4" w:space="0" w:color="auto"/>
              <w:right w:val="dotted" w:sz="4" w:space="0" w:color="auto"/>
            </w:tcBorders>
            <w:vAlign w:val="bottom"/>
            <w:hideMark/>
          </w:tcPr>
          <w:p w14:paraId="5951FE47"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w:t>
            </w:r>
          </w:p>
        </w:tc>
        <w:tc>
          <w:tcPr>
            <w:tcW w:w="860" w:type="dxa"/>
            <w:tcBorders>
              <w:top w:val="nil"/>
              <w:left w:val="nil"/>
              <w:bottom w:val="dotted" w:sz="4" w:space="0" w:color="auto"/>
              <w:right w:val="dotted" w:sz="4" w:space="0" w:color="auto"/>
            </w:tcBorders>
            <w:vAlign w:val="bottom"/>
            <w:hideMark/>
          </w:tcPr>
          <w:p w14:paraId="3994D5C4"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w:t>
            </w:r>
          </w:p>
        </w:tc>
        <w:tc>
          <w:tcPr>
            <w:tcW w:w="860" w:type="dxa"/>
            <w:tcBorders>
              <w:top w:val="nil"/>
              <w:left w:val="nil"/>
              <w:bottom w:val="dotted" w:sz="4" w:space="0" w:color="auto"/>
              <w:right w:val="double" w:sz="6" w:space="0" w:color="auto"/>
            </w:tcBorders>
            <w:vAlign w:val="bottom"/>
            <w:hideMark/>
          </w:tcPr>
          <w:p w14:paraId="1DD9903B"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w:t>
            </w:r>
          </w:p>
        </w:tc>
      </w:tr>
      <w:tr w:rsidR="00FA29AB" w:rsidRPr="00050FA4" w14:paraId="3860C1F9" w14:textId="77777777" w:rsidTr="00617B60">
        <w:trPr>
          <w:trHeight w:val="319"/>
          <w:jc w:val="center"/>
        </w:trPr>
        <w:tc>
          <w:tcPr>
            <w:tcW w:w="4620" w:type="dxa"/>
            <w:tcBorders>
              <w:top w:val="nil"/>
              <w:left w:val="double" w:sz="6" w:space="0" w:color="auto"/>
              <w:bottom w:val="dotted" w:sz="4" w:space="0" w:color="auto"/>
              <w:right w:val="dotted" w:sz="4" w:space="0" w:color="auto"/>
            </w:tcBorders>
            <w:shd w:val="clear" w:color="auto" w:fill="FFFFFF"/>
            <w:vAlign w:val="bottom"/>
            <w:hideMark/>
          </w:tcPr>
          <w:p w14:paraId="23956ED6" w14:textId="34A6A894"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World import volumes, excluding EU</w:t>
            </w:r>
          </w:p>
        </w:tc>
        <w:tc>
          <w:tcPr>
            <w:tcW w:w="1420" w:type="dxa"/>
            <w:tcBorders>
              <w:top w:val="nil"/>
              <w:left w:val="nil"/>
              <w:bottom w:val="dotted" w:sz="4" w:space="0" w:color="auto"/>
              <w:right w:val="single" w:sz="8" w:space="0" w:color="000000"/>
            </w:tcBorders>
            <w:shd w:val="clear" w:color="auto" w:fill="FFFFFF"/>
            <w:vAlign w:val="bottom"/>
            <w:hideMark/>
          </w:tcPr>
          <w:p w14:paraId="36C9CB41"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tted" w:sz="4" w:space="0" w:color="auto"/>
              <w:right w:val="dotted" w:sz="4" w:space="0" w:color="auto"/>
            </w:tcBorders>
            <w:vAlign w:val="bottom"/>
            <w:hideMark/>
          </w:tcPr>
          <w:p w14:paraId="76874956"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-8.9</w:t>
            </w:r>
          </w:p>
        </w:tc>
        <w:tc>
          <w:tcPr>
            <w:tcW w:w="860" w:type="dxa"/>
            <w:tcBorders>
              <w:top w:val="nil"/>
              <w:left w:val="nil"/>
              <w:bottom w:val="dotted" w:sz="4" w:space="0" w:color="auto"/>
              <w:right w:val="dotted" w:sz="4" w:space="0" w:color="auto"/>
            </w:tcBorders>
            <w:vAlign w:val="bottom"/>
            <w:hideMark/>
          </w:tcPr>
          <w:p w14:paraId="3F156872"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9.3</w:t>
            </w:r>
          </w:p>
        </w:tc>
        <w:tc>
          <w:tcPr>
            <w:tcW w:w="860" w:type="dxa"/>
            <w:tcBorders>
              <w:top w:val="nil"/>
              <w:left w:val="nil"/>
              <w:bottom w:val="dotted" w:sz="4" w:space="0" w:color="auto"/>
              <w:right w:val="dotted" w:sz="4" w:space="0" w:color="auto"/>
            </w:tcBorders>
            <w:vAlign w:val="bottom"/>
            <w:hideMark/>
          </w:tcPr>
          <w:p w14:paraId="3354AF29"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6.1</w:t>
            </w:r>
          </w:p>
        </w:tc>
        <w:tc>
          <w:tcPr>
            <w:tcW w:w="860" w:type="dxa"/>
            <w:tcBorders>
              <w:top w:val="nil"/>
              <w:left w:val="nil"/>
              <w:bottom w:val="dotted" w:sz="4" w:space="0" w:color="auto"/>
              <w:right w:val="dotted" w:sz="4" w:space="0" w:color="auto"/>
            </w:tcBorders>
            <w:vAlign w:val="bottom"/>
            <w:hideMark/>
          </w:tcPr>
          <w:p w14:paraId="52D09840"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4.5</w:t>
            </w:r>
          </w:p>
        </w:tc>
        <w:tc>
          <w:tcPr>
            <w:tcW w:w="860" w:type="dxa"/>
            <w:tcBorders>
              <w:top w:val="nil"/>
              <w:left w:val="nil"/>
              <w:bottom w:val="dotted" w:sz="4" w:space="0" w:color="auto"/>
              <w:right w:val="double" w:sz="6" w:space="0" w:color="auto"/>
            </w:tcBorders>
            <w:vAlign w:val="bottom"/>
            <w:hideMark/>
          </w:tcPr>
          <w:p w14:paraId="276DBFB8"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4.5</w:t>
            </w:r>
          </w:p>
        </w:tc>
      </w:tr>
      <w:tr w:rsidR="00FA29AB" w:rsidRPr="00050FA4" w14:paraId="1D644A4C" w14:textId="77777777" w:rsidTr="00617B60">
        <w:trPr>
          <w:trHeight w:val="319"/>
          <w:jc w:val="center"/>
        </w:trPr>
        <w:tc>
          <w:tcPr>
            <w:tcW w:w="4620" w:type="dxa"/>
            <w:tcBorders>
              <w:top w:val="nil"/>
              <w:left w:val="double" w:sz="6" w:space="0" w:color="auto"/>
              <w:bottom w:val="double" w:sz="6" w:space="0" w:color="auto"/>
              <w:right w:val="dotted" w:sz="4" w:space="0" w:color="auto"/>
            </w:tcBorders>
            <w:shd w:val="clear" w:color="auto" w:fill="FFFFFF"/>
            <w:vAlign w:val="bottom"/>
            <w:hideMark/>
          </w:tcPr>
          <w:p w14:paraId="72FE35E9" w14:textId="5FCCE161" w:rsidR="00D61CAE" w:rsidRPr="00050FA4" w:rsidRDefault="009B1D6B" w:rsidP="00A95D23">
            <w:pP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 xml:space="preserve"> </w:t>
            </w:r>
            <w:r w:rsidR="00D61CAE" w:rsidRPr="00050FA4">
              <w:rPr>
                <w:rFonts w:ascii="Garamond" w:eastAsia="Times New Roman" w:hAnsi="Garamond"/>
                <w:color w:val="0D0D0D" w:themeColor="text1" w:themeTint="F2"/>
                <w:sz w:val="18"/>
                <w:szCs w:val="18"/>
              </w:rPr>
              <w:t>Oil prices (Brent, USD/barrel)</w:t>
            </w:r>
          </w:p>
        </w:tc>
        <w:tc>
          <w:tcPr>
            <w:tcW w:w="1420" w:type="dxa"/>
            <w:tcBorders>
              <w:top w:val="nil"/>
              <w:left w:val="nil"/>
              <w:bottom w:val="double" w:sz="6" w:space="0" w:color="auto"/>
              <w:right w:val="single" w:sz="8" w:space="0" w:color="000000"/>
            </w:tcBorders>
            <w:shd w:val="clear" w:color="auto" w:fill="FFFFFF"/>
            <w:vAlign w:val="bottom"/>
            <w:hideMark/>
          </w:tcPr>
          <w:p w14:paraId="1D671E4A" w14:textId="77777777" w:rsidR="00D61CAE" w:rsidRPr="00050FA4" w:rsidRDefault="00D61CAE" w:rsidP="00A95D23">
            <w:pPr>
              <w:jc w:val="center"/>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Annual average</w:t>
            </w:r>
          </w:p>
        </w:tc>
        <w:tc>
          <w:tcPr>
            <w:tcW w:w="860" w:type="dxa"/>
            <w:tcBorders>
              <w:top w:val="nil"/>
              <w:left w:val="nil"/>
              <w:bottom w:val="double" w:sz="6" w:space="0" w:color="auto"/>
              <w:right w:val="dotted" w:sz="4" w:space="0" w:color="auto"/>
            </w:tcBorders>
            <w:vAlign w:val="bottom"/>
            <w:hideMark/>
          </w:tcPr>
          <w:p w14:paraId="1801AD11"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43.4</w:t>
            </w:r>
          </w:p>
        </w:tc>
        <w:tc>
          <w:tcPr>
            <w:tcW w:w="860" w:type="dxa"/>
            <w:tcBorders>
              <w:top w:val="nil"/>
              <w:left w:val="nil"/>
              <w:bottom w:val="double" w:sz="6" w:space="0" w:color="auto"/>
              <w:right w:val="dotted" w:sz="4" w:space="0" w:color="auto"/>
            </w:tcBorders>
            <w:vAlign w:val="bottom"/>
            <w:hideMark/>
          </w:tcPr>
          <w:p w14:paraId="135910C9"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71.6</w:t>
            </w:r>
          </w:p>
        </w:tc>
        <w:tc>
          <w:tcPr>
            <w:tcW w:w="860" w:type="dxa"/>
            <w:tcBorders>
              <w:top w:val="nil"/>
              <w:left w:val="nil"/>
              <w:bottom w:val="double" w:sz="6" w:space="0" w:color="auto"/>
              <w:right w:val="dotted" w:sz="4" w:space="0" w:color="auto"/>
            </w:tcBorders>
            <w:vAlign w:val="bottom"/>
            <w:hideMark/>
          </w:tcPr>
          <w:p w14:paraId="5AE5BDEB"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78.9</w:t>
            </w:r>
          </w:p>
        </w:tc>
        <w:tc>
          <w:tcPr>
            <w:tcW w:w="860" w:type="dxa"/>
            <w:tcBorders>
              <w:top w:val="nil"/>
              <w:left w:val="nil"/>
              <w:bottom w:val="double" w:sz="6" w:space="0" w:color="auto"/>
              <w:right w:val="dotted" w:sz="4" w:space="0" w:color="auto"/>
            </w:tcBorders>
            <w:vAlign w:val="bottom"/>
            <w:hideMark/>
          </w:tcPr>
          <w:p w14:paraId="3AB3C47A"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72.3</w:t>
            </w:r>
          </w:p>
        </w:tc>
        <w:tc>
          <w:tcPr>
            <w:tcW w:w="860" w:type="dxa"/>
            <w:tcBorders>
              <w:top w:val="nil"/>
              <w:left w:val="nil"/>
              <w:bottom w:val="double" w:sz="6" w:space="0" w:color="auto"/>
              <w:right w:val="double" w:sz="6" w:space="0" w:color="auto"/>
            </w:tcBorders>
            <w:vAlign w:val="bottom"/>
            <w:hideMark/>
          </w:tcPr>
          <w:p w14:paraId="1D854993" w14:textId="77777777" w:rsidR="00D61CAE" w:rsidRPr="00050FA4" w:rsidRDefault="00D61CAE" w:rsidP="00617B60">
            <w:pPr>
              <w:jc w:val="right"/>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72.3</w:t>
            </w:r>
          </w:p>
        </w:tc>
      </w:tr>
      <w:tr w:rsidR="00FA29AB" w:rsidRPr="00050FA4" w14:paraId="2EA68ED4" w14:textId="77777777" w:rsidTr="00617B60">
        <w:trPr>
          <w:trHeight w:val="319"/>
          <w:jc w:val="center"/>
        </w:trPr>
        <w:tc>
          <w:tcPr>
            <w:tcW w:w="4620" w:type="dxa"/>
            <w:shd w:val="clear" w:color="auto" w:fill="FFFFFF"/>
            <w:noWrap/>
            <w:vAlign w:val="bottom"/>
            <w:hideMark/>
          </w:tcPr>
          <w:p w14:paraId="2B82FA6F"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b/>
                <w:bCs/>
                <w:color w:val="0D0D0D" w:themeColor="text1" w:themeTint="F2"/>
                <w:sz w:val="18"/>
                <w:szCs w:val="18"/>
              </w:rPr>
              <w:t>Source:</w:t>
            </w:r>
            <w:r w:rsidRPr="00050FA4">
              <w:rPr>
                <w:rFonts w:ascii="Garamond" w:eastAsia="Times New Roman" w:hAnsi="Garamond" w:cs="Arial"/>
                <w:color w:val="0D0D0D" w:themeColor="text1" w:themeTint="F2"/>
                <w:sz w:val="18"/>
                <w:szCs w:val="18"/>
              </w:rPr>
              <w:t xml:space="preserve"> European Economic Forecast - Autumn 2021 </w:t>
            </w:r>
          </w:p>
        </w:tc>
        <w:tc>
          <w:tcPr>
            <w:tcW w:w="1420" w:type="dxa"/>
            <w:shd w:val="clear" w:color="auto" w:fill="FFFFFF"/>
            <w:noWrap/>
            <w:vAlign w:val="bottom"/>
            <w:hideMark/>
          </w:tcPr>
          <w:p w14:paraId="5ACE5056"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37ECCF2E"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12D4ECAF"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0D88A84E"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4EAD6AB0"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6DE2BE2C"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r>
      <w:tr w:rsidR="00FA29AB" w:rsidRPr="00050FA4" w14:paraId="3CB815E7" w14:textId="77777777" w:rsidTr="00617B60">
        <w:trPr>
          <w:trHeight w:val="319"/>
          <w:jc w:val="center"/>
        </w:trPr>
        <w:tc>
          <w:tcPr>
            <w:tcW w:w="4620" w:type="dxa"/>
            <w:shd w:val="clear" w:color="auto" w:fill="FFFFFF"/>
            <w:noWrap/>
            <w:vAlign w:val="bottom"/>
            <w:hideMark/>
          </w:tcPr>
          <w:p w14:paraId="46C223C5" w14:textId="77777777" w:rsidR="00D61CAE" w:rsidRPr="00050FA4" w:rsidRDefault="00D61CAE" w:rsidP="00A95D23">
            <w:pPr>
              <w:jc w:val="both"/>
              <w:rPr>
                <w:rFonts w:ascii="Garamond" w:eastAsia="Times New Roman" w:hAnsi="Garamond"/>
                <w:color w:val="0D0D0D" w:themeColor="text1" w:themeTint="F2"/>
                <w:sz w:val="18"/>
                <w:szCs w:val="18"/>
              </w:rPr>
            </w:pPr>
            <w:r w:rsidRPr="00050FA4">
              <w:rPr>
                <w:rFonts w:ascii="Garamond" w:eastAsia="Times New Roman" w:hAnsi="Garamond"/>
                <w:color w:val="0D0D0D" w:themeColor="text1" w:themeTint="F2"/>
                <w:sz w:val="18"/>
                <w:szCs w:val="18"/>
              </w:rPr>
              <w:t>[1] If necessary, purely technical assumption.</w:t>
            </w:r>
          </w:p>
        </w:tc>
        <w:tc>
          <w:tcPr>
            <w:tcW w:w="1420" w:type="dxa"/>
            <w:shd w:val="clear" w:color="auto" w:fill="FFFFFF"/>
            <w:noWrap/>
            <w:vAlign w:val="bottom"/>
            <w:hideMark/>
          </w:tcPr>
          <w:p w14:paraId="20E324B8"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45046CC0"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55CCEDA5"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31C5C25C"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0ABE2116"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c>
          <w:tcPr>
            <w:tcW w:w="860" w:type="dxa"/>
            <w:shd w:val="clear" w:color="auto" w:fill="FFFFFF"/>
            <w:noWrap/>
            <w:vAlign w:val="bottom"/>
            <w:hideMark/>
          </w:tcPr>
          <w:p w14:paraId="3B07FE6B" w14:textId="77777777" w:rsidR="00D61CAE" w:rsidRPr="00050FA4" w:rsidRDefault="00D61CAE" w:rsidP="00A95D23">
            <w:pPr>
              <w:rPr>
                <w:rFonts w:ascii="Garamond" w:eastAsia="Times New Roman" w:hAnsi="Garamond" w:cs="Arial"/>
                <w:color w:val="0D0D0D" w:themeColor="text1" w:themeTint="F2"/>
                <w:sz w:val="18"/>
                <w:szCs w:val="18"/>
              </w:rPr>
            </w:pPr>
            <w:r w:rsidRPr="00050FA4">
              <w:rPr>
                <w:rFonts w:ascii="Garamond" w:eastAsia="Times New Roman" w:hAnsi="Garamond" w:cs="Arial"/>
                <w:color w:val="0D0D0D" w:themeColor="text1" w:themeTint="F2"/>
                <w:sz w:val="18"/>
                <w:szCs w:val="18"/>
              </w:rPr>
              <w:t> </w:t>
            </w:r>
          </w:p>
        </w:tc>
      </w:tr>
    </w:tbl>
    <w:p w14:paraId="71554055" w14:textId="77777777" w:rsidR="00D61CAE" w:rsidRPr="00050FA4" w:rsidRDefault="00D61CAE" w:rsidP="003F1DA7">
      <w:pPr>
        <w:snapToGrid w:val="0"/>
        <w:ind w:firstLine="284"/>
        <w:rPr>
          <w:rFonts w:ascii="Garamond" w:hAnsi="Garamond" w:cstheme="majorBidi"/>
          <w:color w:val="0D0D0D" w:themeColor="text1" w:themeTint="F2"/>
          <w:sz w:val="20"/>
          <w:szCs w:val="20"/>
        </w:rPr>
      </w:pPr>
    </w:p>
    <w:p w14:paraId="51E5AE39" w14:textId="0ED22FFC" w:rsidR="004A71FE" w:rsidRPr="00050FA4" w:rsidRDefault="004D1F24" w:rsidP="003F1DA7">
      <w:pPr>
        <w:pStyle w:val="AAAAAAATEXXXX"/>
        <w:rPr>
          <w:lang w:val="sq-AL"/>
        </w:rPr>
      </w:pPr>
      <w:bookmarkStart w:id="137" w:name="_Toc93325796"/>
      <w:r w:rsidRPr="00050FA4">
        <w:rPr>
          <w:lang w:val="sq-AL"/>
        </w:rPr>
        <w:t>Tabela</w:t>
      </w:r>
      <w:r w:rsidR="000B0C45" w:rsidRPr="00050FA4">
        <w:rPr>
          <w:lang w:val="sq-AL"/>
        </w:rPr>
        <w:t xml:space="preserve"> </w:t>
      </w:r>
      <w:r w:rsidR="00366A0A" w:rsidRPr="00050FA4">
        <w:rPr>
          <w:lang w:val="sq-AL"/>
        </w:rPr>
        <w:t>9a:</w:t>
      </w:r>
      <w:r w:rsidR="000B0C45" w:rsidRPr="00050FA4">
        <w:rPr>
          <w:lang w:val="sq-AL"/>
        </w:rPr>
        <w:t xml:space="preserve"> </w:t>
      </w:r>
      <w:r w:rsidRPr="00050FA4">
        <w:rPr>
          <w:lang w:val="sq-AL"/>
        </w:rPr>
        <w:t>Tabela e treguesve socialë</w:t>
      </w:r>
      <w:bookmarkEnd w:id="137"/>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3"/>
        <w:gridCol w:w="1135"/>
        <w:gridCol w:w="1135"/>
        <w:gridCol w:w="1136"/>
        <w:gridCol w:w="1135"/>
        <w:gridCol w:w="1135"/>
        <w:gridCol w:w="1136"/>
      </w:tblGrid>
      <w:tr w:rsidR="00FA29AB" w:rsidRPr="00050FA4" w14:paraId="39CB3AD0" w14:textId="77777777" w:rsidTr="00617B60">
        <w:trPr>
          <w:trHeight w:val="315"/>
          <w:jc w:val="center"/>
        </w:trPr>
        <w:tc>
          <w:tcPr>
            <w:tcW w:w="3673" w:type="dxa"/>
            <w:shd w:val="clear" w:color="auto" w:fill="auto"/>
            <w:noWrap/>
            <w:vAlign w:val="bottom"/>
            <w:hideMark/>
          </w:tcPr>
          <w:p w14:paraId="79109488" w14:textId="77777777" w:rsidR="002D3C56" w:rsidRPr="00050FA4" w:rsidRDefault="002D3C56" w:rsidP="00A95D23">
            <w:pPr>
              <w:rPr>
                <w:rFonts w:ascii="Garamond" w:eastAsia="Times New Roman" w:hAnsi="Garamond" w:cstheme="majorBidi"/>
                <w:color w:val="0D0D0D" w:themeColor="text1" w:themeTint="F2"/>
                <w:sz w:val="18"/>
                <w:szCs w:val="18"/>
                <w:lang w:eastAsia="sq-AL" w:bidi="he-IL"/>
              </w:rPr>
            </w:pPr>
          </w:p>
        </w:tc>
        <w:tc>
          <w:tcPr>
            <w:tcW w:w="1135" w:type="dxa"/>
            <w:shd w:val="clear" w:color="auto" w:fill="auto"/>
            <w:noWrap/>
            <w:vAlign w:val="center"/>
            <w:hideMark/>
          </w:tcPr>
          <w:p w14:paraId="0C1F28AF" w14:textId="77777777" w:rsidR="002D3C56" w:rsidRPr="00050FA4" w:rsidRDefault="002D3C56" w:rsidP="00617B60">
            <w:pPr>
              <w:jc w:val="center"/>
              <w:rPr>
                <w:rFonts w:ascii="Garamond" w:eastAsia="Times New Roman" w:hAnsi="Garamond" w:cstheme="majorBidi"/>
                <w:b/>
                <w:color w:val="0D0D0D" w:themeColor="text1" w:themeTint="F2"/>
                <w:sz w:val="18"/>
                <w:szCs w:val="18"/>
                <w:lang w:eastAsia="sq-AL" w:bidi="he-IL"/>
              </w:rPr>
            </w:pPr>
            <w:r w:rsidRPr="00050FA4">
              <w:rPr>
                <w:rFonts w:ascii="Garamond" w:eastAsia="Times New Roman" w:hAnsi="Garamond" w:cstheme="majorBidi"/>
                <w:b/>
                <w:color w:val="0D0D0D" w:themeColor="text1" w:themeTint="F2"/>
                <w:sz w:val="18"/>
                <w:szCs w:val="18"/>
                <w:lang w:eastAsia="sq-AL" w:bidi="he-IL"/>
              </w:rPr>
              <w:t>Burimi i të dhënave</w:t>
            </w:r>
          </w:p>
        </w:tc>
        <w:tc>
          <w:tcPr>
            <w:tcW w:w="1135" w:type="dxa"/>
            <w:shd w:val="clear" w:color="auto" w:fill="auto"/>
            <w:noWrap/>
            <w:vAlign w:val="center"/>
            <w:hideMark/>
          </w:tcPr>
          <w:p w14:paraId="22687E0B" w14:textId="77777777" w:rsidR="002D3C56" w:rsidRPr="00050FA4" w:rsidRDefault="002D3C56" w:rsidP="00617B60">
            <w:pPr>
              <w:jc w:val="center"/>
              <w:rPr>
                <w:rFonts w:ascii="Garamond" w:eastAsia="Times New Roman" w:hAnsi="Garamond" w:cstheme="majorBidi"/>
                <w:b/>
                <w:color w:val="0D0D0D" w:themeColor="text1" w:themeTint="F2"/>
                <w:sz w:val="18"/>
                <w:szCs w:val="18"/>
                <w:lang w:eastAsia="sq-AL" w:bidi="he-IL"/>
              </w:rPr>
            </w:pPr>
            <w:r w:rsidRPr="00050FA4">
              <w:rPr>
                <w:rFonts w:ascii="Garamond" w:eastAsia="Times New Roman" w:hAnsi="Garamond" w:cstheme="majorBidi"/>
                <w:b/>
                <w:color w:val="0D0D0D" w:themeColor="text1" w:themeTint="F2"/>
                <w:sz w:val="18"/>
                <w:szCs w:val="18"/>
                <w:lang w:eastAsia="sq-AL" w:bidi="he-IL"/>
              </w:rPr>
              <w:t>2017</w:t>
            </w:r>
          </w:p>
        </w:tc>
        <w:tc>
          <w:tcPr>
            <w:tcW w:w="1136" w:type="dxa"/>
            <w:shd w:val="clear" w:color="auto" w:fill="auto"/>
            <w:noWrap/>
            <w:vAlign w:val="center"/>
            <w:hideMark/>
          </w:tcPr>
          <w:p w14:paraId="1DB835E1" w14:textId="77777777" w:rsidR="002D3C56" w:rsidRPr="00050FA4" w:rsidRDefault="002D3C56" w:rsidP="00617B60">
            <w:pPr>
              <w:jc w:val="center"/>
              <w:rPr>
                <w:rFonts w:ascii="Garamond" w:eastAsia="Times New Roman" w:hAnsi="Garamond" w:cstheme="majorBidi"/>
                <w:b/>
                <w:color w:val="0D0D0D" w:themeColor="text1" w:themeTint="F2"/>
                <w:sz w:val="18"/>
                <w:szCs w:val="18"/>
                <w:lang w:eastAsia="sq-AL" w:bidi="he-IL"/>
              </w:rPr>
            </w:pPr>
            <w:r w:rsidRPr="00050FA4">
              <w:rPr>
                <w:rFonts w:ascii="Garamond" w:eastAsia="Times New Roman" w:hAnsi="Garamond" w:cstheme="majorBidi"/>
                <w:b/>
                <w:color w:val="0D0D0D" w:themeColor="text1" w:themeTint="F2"/>
                <w:sz w:val="18"/>
                <w:szCs w:val="18"/>
                <w:lang w:eastAsia="sq-AL" w:bidi="he-IL"/>
              </w:rPr>
              <w:t>2018</w:t>
            </w:r>
          </w:p>
        </w:tc>
        <w:tc>
          <w:tcPr>
            <w:tcW w:w="1135" w:type="dxa"/>
            <w:shd w:val="clear" w:color="auto" w:fill="auto"/>
            <w:noWrap/>
            <w:vAlign w:val="center"/>
            <w:hideMark/>
          </w:tcPr>
          <w:p w14:paraId="3EF7AFF6" w14:textId="77777777" w:rsidR="002D3C56" w:rsidRPr="00050FA4" w:rsidRDefault="002D3C56" w:rsidP="00617B60">
            <w:pPr>
              <w:jc w:val="center"/>
              <w:rPr>
                <w:rFonts w:ascii="Garamond" w:eastAsia="Times New Roman" w:hAnsi="Garamond" w:cstheme="majorBidi"/>
                <w:b/>
                <w:color w:val="0D0D0D" w:themeColor="text1" w:themeTint="F2"/>
                <w:sz w:val="18"/>
                <w:szCs w:val="18"/>
                <w:lang w:eastAsia="sq-AL" w:bidi="he-IL"/>
              </w:rPr>
            </w:pPr>
            <w:r w:rsidRPr="00050FA4">
              <w:rPr>
                <w:rFonts w:ascii="Garamond" w:eastAsia="Times New Roman" w:hAnsi="Garamond" w:cstheme="majorBidi"/>
                <w:b/>
                <w:color w:val="0D0D0D" w:themeColor="text1" w:themeTint="F2"/>
                <w:sz w:val="18"/>
                <w:szCs w:val="18"/>
                <w:lang w:eastAsia="sq-AL" w:bidi="he-IL"/>
              </w:rPr>
              <w:t>2019</w:t>
            </w:r>
          </w:p>
        </w:tc>
        <w:tc>
          <w:tcPr>
            <w:tcW w:w="1135" w:type="dxa"/>
            <w:shd w:val="clear" w:color="auto" w:fill="auto"/>
            <w:noWrap/>
            <w:vAlign w:val="center"/>
            <w:hideMark/>
          </w:tcPr>
          <w:p w14:paraId="3F264530" w14:textId="77777777" w:rsidR="002D3C56" w:rsidRPr="00050FA4" w:rsidRDefault="002D3C56" w:rsidP="00617B60">
            <w:pPr>
              <w:jc w:val="center"/>
              <w:rPr>
                <w:rFonts w:ascii="Garamond" w:eastAsia="Times New Roman" w:hAnsi="Garamond" w:cstheme="majorBidi"/>
                <w:b/>
                <w:color w:val="0D0D0D" w:themeColor="text1" w:themeTint="F2"/>
                <w:sz w:val="18"/>
                <w:szCs w:val="18"/>
                <w:lang w:eastAsia="sq-AL" w:bidi="he-IL"/>
              </w:rPr>
            </w:pPr>
            <w:r w:rsidRPr="00050FA4">
              <w:rPr>
                <w:rFonts w:ascii="Garamond" w:eastAsia="Times New Roman" w:hAnsi="Garamond" w:cstheme="majorBidi"/>
                <w:b/>
                <w:color w:val="0D0D0D" w:themeColor="text1" w:themeTint="F2"/>
                <w:sz w:val="18"/>
                <w:szCs w:val="18"/>
                <w:lang w:eastAsia="sq-AL" w:bidi="he-IL"/>
              </w:rPr>
              <w:t>2020</w:t>
            </w:r>
          </w:p>
        </w:tc>
        <w:tc>
          <w:tcPr>
            <w:tcW w:w="1136" w:type="dxa"/>
            <w:shd w:val="clear" w:color="auto" w:fill="auto"/>
            <w:noWrap/>
            <w:vAlign w:val="center"/>
            <w:hideMark/>
          </w:tcPr>
          <w:p w14:paraId="3A390D97" w14:textId="77777777" w:rsidR="002D3C56" w:rsidRPr="00050FA4" w:rsidRDefault="002D3C56" w:rsidP="00617B60">
            <w:pPr>
              <w:jc w:val="center"/>
              <w:rPr>
                <w:rFonts w:ascii="Garamond" w:eastAsia="Times New Roman" w:hAnsi="Garamond" w:cstheme="majorBidi"/>
                <w:b/>
                <w:color w:val="0D0D0D" w:themeColor="text1" w:themeTint="F2"/>
                <w:sz w:val="18"/>
                <w:szCs w:val="18"/>
                <w:lang w:eastAsia="sq-AL" w:bidi="he-IL"/>
              </w:rPr>
            </w:pPr>
            <w:r w:rsidRPr="00050FA4">
              <w:rPr>
                <w:rFonts w:ascii="Garamond" w:eastAsia="Times New Roman" w:hAnsi="Garamond" w:cstheme="majorBidi"/>
                <w:b/>
                <w:color w:val="0D0D0D" w:themeColor="text1" w:themeTint="F2"/>
                <w:sz w:val="18"/>
                <w:szCs w:val="18"/>
                <w:lang w:eastAsia="sq-AL" w:bidi="he-IL"/>
              </w:rPr>
              <w:t>2021 (Q2)</w:t>
            </w:r>
          </w:p>
        </w:tc>
      </w:tr>
      <w:tr w:rsidR="00FA29AB" w:rsidRPr="00050FA4" w14:paraId="3379D93F" w14:textId="77777777" w:rsidTr="00617B60">
        <w:trPr>
          <w:trHeight w:val="315"/>
          <w:jc w:val="center"/>
        </w:trPr>
        <w:tc>
          <w:tcPr>
            <w:tcW w:w="10485" w:type="dxa"/>
            <w:gridSpan w:val="7"/>
            <w:shd w:val="clear" w:color="auto" w:fill="auto"/>
            <w:noWrap/>
            <w:vAlign w:val="bottom"/>
          </w:tcPr>
          <w:p w14:paraId="449C190D" w14:textId="77777777" w:rsidR="002D3C56" w:rsidRPr="00050FA4" w:rsidRDefault="002D3C56" w:rsidP="00A95D23">
            <w:pPr>
              <w:jc w:val="cente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b/>
                <w:bCs/>
                <w:color w:val="0D0D0D" w:themeColor="text1" w:themeTint="F2"/>
                <w:sz w:val="18"/>
                <w:szCs w:val="18"/>
                <w:lang w:eastAsia="sq-AL" w:bidi="he-IL"/>
              </w:rPr>
              <w:t>Shanse të barabarta</w:t>
            </w:r>
          </w:p>
        </w:tc>
      </w:tr>
      <w:tr w:rsidR="00FA29AB" w:rsidRPr="00050FA4" w14:paraId="6ECB936E" w14:textId="77777777" w:rsidTr="00617B60">
        <w:trPr>
          <w:trHeight w:val="300"/>
          <w:jc w:val="center"/>
        </w:trPr>
        <w:tc>
          <w:tcPr>
            <w:tcW w:w="3673" w:type="dxa"/>
            <w:shd w:val="clear" w:color="auto" w:fill="auto"/>
            <w:noWrap/>
            <w:vAlign w:val="bottom"/>
            <w:hideMark/>
          </w:tcPr>
          <w:p w14:paraId="64901156" w14:textId="432661C4"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 Pjesëmarrja e të rriturve në mësim gjatë 12 muajve të fundit, mosha 25</w:t>
            </w:r>
            <w:r w:rsidR="000109D2" w:rsidRPr="00050FA4">
              <w:rPr>
                <w:rFonts w:ascii="Garamond" w:eastAsia="Times New Roman" w:hAnsi="Garamond" w:cstheme="majorBidi"/>
                <w:color w:val="0D0D0D" w:themeColor="text1" w:themeTint="F2"/>
                <w:sz w:val="18"/>
                <w:szCs w:val="18"/>
                <w:lang w:eastAsia="sq-AL" w:bidi="he-IL"/>
              </w:rPr>
              <w:t>–</w:t>
            </w:r>
            <w:r w:rsidRPr="00050FA4">
              <w:rPr>
                <w:rFonts w:ascii="Garamond" w:eastAsia="Times New Roman" w:hAnsi="Garamond" w:cstheme="majorBidi"/>
                <w:color w:val="0D0D0D" w:themeColor="text1" w:themeTint="F2"/>
                <w:sz w:val="18"/>
                <w:szCs w:val="18"/>
                <w:lang w:eastAsia="sq-AL" w:bidi="he-IL"/>
              </w:rPr>
              <w:t>64 vjeç</w:t>
            </w:r>
          </w:p>
        </w:tc>
        <w:tc>
          <w:tcPr>
            <w:tcW w:w="1135" w:type="dxa"/>
            <w:shd w:val="clear" w:color="auto" w:fill="auto"/>
            <w:noWrap/>
            <w:vAlign w:val="bottom"/>
            <w:hideMark/>
          </w:tcPr>
          <w:p w14:paraId="05F60D14" w14:textId="77777777"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INSTAT, LFS</w:t>
            </w:r>
            <w:r w:rsidRPr="00050FA4">
              <w:rPr>
                <w:rStyle w:val="FootnoteReference"/>
                <w:rFonts w:ascii="Garamond" w:eastAsia="Times New Roman" w:hAnsi="Garamond" w:cstheme="majorBidi"/>
                <w:color w:val="0D0D0D" w:themeColor="text1" w:themeTint="F2"/>
                <w:sz w:val="18"/>
                <w:szCs w:val="18"/>
                <w:lang w:eastAsia="sq-AL" w:bidi="he-IL"/>
              </w:rPr>
              <w:footnoteReference w:id="23"/>
            </w:r>
          </w:p>
        </w:tc>
        <w:tc>
          <w:tcPr>
            <w:tcW w:w="1135" w:type="dxa"/>
            <w:shd w:val="clear" w:color="auto" w:fill="auto"/>
            <w:noWrap/>
            <w:vAlign w:val="bottom"/>
            <w:hideMark/>
          </w:tcPr>
          <w:p w14:paraId="4B605CE8"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0.9</w:t>
            </w:r>
          </w:p>
        </w:tc>
        <w:tc>
          <w:tcPr>
            <w:tcW w:w="1136" w:type="dxa"/>
            <w:shd w:val="clear" w:color="auto" w:fill="auto"/>
            <w:noWrap/>
            <w:vAlign w:val="bottom"/>
            <w:hideMark/>
          </w:tcPr>
          <w:p w14:paraId="4AD9034D"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0.9</w:t>
            </w:r>
          </w:p>
        </w:tc>
        <w:tc>
          <w:tcPr>
            <w:tcW w:w="1135" w:type="dxa"/>
            <w:shd w:val="clear" w:color="auto" w:fill="auto"/>
            <w:noWrap/>
            <w:vAlign w:val="bottom"/>
            <w:hideMark/>
          </w:tcPr>
          <w:p w14:paraId="026084B5"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0.8</w:t>
            </w:r>
          </w:p>
        </w:tc>
        <w:tc>
          <w:tcPr>
            <w:tcW w:w="1135" w:type="dxa"/>
            <w:shd w:val="clear" w:color="auto" w:fill="auto"/>
            <w:noWrap/>
            <w:vAlign w:val="bottom"/>
            <w:hideMark/>
          </w:tcPr>
          <w:p w14:paraId="4BCFBE2A"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0.7</w:t>
            </w:r>
          </w:p>
        </w:tc>
        <w:tc>
          <w:tcPr>
            <w:tcW w:w="1136" w:type="dxa"/>
            <w:shd w:val="clear" w:color="auto" w:fill="auto"/>
            <w:noWrap/>
            <w:vAlign w:val="bottom"/>
            <w:hideMark/>
          </w:tcPr>
          <w:p w14:paraId="7BBF23C1"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0.9</w:t>
            </w:r>
          </w:p>
        </w:tc>
      </w:tr>
      <w:tr w:rsidR="00FA29AB" w:rsidRPr="00050FA4" w14:paraId="1D47F24E" w14:textId="77777777" w:rsidTr="00617B60">
        <w:trPr>
          <w:trHeight w:val="300"/>
          <w:jc w:val="center"/>
        </w:trPr>
        <w:tc>
          <w:tcPr>
            <w:tcW w:w="3673" w:type="dxa"/>
            <w:shd w:val="clear" w:color="auto" w:fill="auto"/>
            <w:noWrap/>
            <w:vAlign w:val="bottom"/>
            <w:hideMark/>
          </w:tcPr>
          <w:p w14:paraId="12E3C798" w14:textId="25FEBE77"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2. Përqindja e larguesve të hershëm nga arsimi dhe trajnimi, mosha 18</w:t>
            </w:r>
            <w:r w:rsidR="000109D2" w:rsidRPr="00050FA4">
              <w:rPr>
                <w:rFonts w:ascii="Garamond" w:eastAsia="Times New Roman" w:hAnsi="Garamond" w:cstheme="majorBidi"/>
                <w:color w:val="0D0D0D" w:themeColor="text1" w:themeTint="F2"/>
                <w:sz w:val="18"/>
                <w:szCs w:val="18"/>
                <w:lang w:eastAsia="sq-AL" w:bidi="he-IL"/>
              </w:rPr>
              <w:t>–</w:t>
            </w:r>
            <w:r w:rsidRPr="00050FA4">
              <w:rPr>
                <w:rFonts w:ascii="Garamond" w:eastAsia="Times New Roman" w:hAnsi="Garamond" w:cstheme="majorBidi"/>
                <w:color w:val="0D0D0D" w:themeColor="text1" w:themeTint="F2"/>
                <w:sz w:val="18"/>
                <w:szCs w:val="18"/>
                <w:lang w:eastAsia="sq-AL" w:bidi="he-IL"/>
              </w:rPr>
              <w:t>24</w:t>
            </w:r>
          </w:p>
        </w:tc>
        <w:tc>
          <w:tcPr>
            <w:tcW w:w="1135" w:type="dxa"/>
            <w:shd w:val="clear" w:color="auto" w:fill="auto"/>
            <w:noWrap/>
            <w:vAlign w:val="bottom"/>
            <w:hideMark/>
          </w:tcPr>
          <w:p w14:paraId="476CC399" w14:textId="77777777"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INSTAT, LFS</w:t>
            </w:r>
            <w:r w:rsidRPr="00050FA4">
              <w:rPr>
                <w:rStyle w:val="FootnoteReference"/>
                <w:rFonts w:ascii="Garamond" w:eastAsia="Times New Roman" w:hAnsi="Garamond" w:cstheme="majorBidi"/>
                <w:color w:val="0D0D0D" w:themeColor="text1" w:themeTint="F2"/>
                <w:sz w:val="18"/>
                <w:szCs w:val="18"/>
                <w:lang w:eastAsia="sq-AL" w:bidi="he-IL"/>
              </w:rPr>
              <w:footnoteReference w:id="24"/>
            </w:r>
          </w:p>
        </w:tc>
        <w:tc>
          <w:tcPr>
            <w:tcW w:w="1135" w:type="dxa"/>
            <w:shd w:val="clear" w:color="auto" w:fill="auto"/>
            <w:noWrap/>
            <w:vAlign w:val="bottom"/>
            <w:hideMark/>
          </w:tcPr>
          <w:p w14:paraId="329892F5"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19.6</w:t>
            </w:r>
          </w:p>
        </w:tc>
        <w:tc>
          <w:tcPr>
            <w:tcW w:w="1136" w:type="dxa"/>
            <w:shd w:val="clear" w:color="auto" w:fill="auto"/>
            <w:noWrap/>
            <w:vAlign w:val="bottom"/>
            <w:hideMark/>
          </w:tcPr>
          <w:p w14:paraId="224A9AB2"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17.4</w:t>
            </w:r>
          </w:p>
        </w:tc>
        <w:tc>
          <w:tcPr>
            <w:tcW w:w="1135" w:type="dxa"/>
            <w:shd w:val="clear" w:color="auto" w:fill="auto"/>
            <w:noWrap/>
            <w:vAlign w:val="bottom"/>
            <w:hideMark/>
          </w:tcPr>
          <w:p w14:paraId="231D6267"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16.3</w:t>
            </w:r>
          </w:p>
        </w:tc>
        <w:tc>
          <w:tcPr>
            <w:tcW w:w="1135" w:type="dxa"/>
            <w:shd w:val="clear" w:color="auto" w:fill="auto"/>
            <w:noWrap/>
            <w:vAlign w:val="bottom"/>
            <w:hideMark/>
          </w:tcPr>
          <w:p w14:paraId="3954C4B0"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15.6</w:t>
            </w:r>
          </w:p>
        </w:tc>
        <w:tc>
          <w:tcPr>
            <w:tcW w:w="1136" w:type="dxa"/>
            <w:shd w:val="clear" w:color="auto" w:fill="auto"/>
            <w:noWrap/>
            <w:vAlign w:val="bottom"/>
            <w:hideMark/>
          </w:tcPr>
          <w:p w14:paraId="040A616B"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p>
        </w:tc>
      </w:tr>
      <w:tr w:rsidR="00FA29AB" w:rsidRPr="00050FA4" w14:paraId="5FEC8F4E" w14:textId="77777777" w:rsidTr="00617B60">
        <w:trPr>
          <w:trHeight w:val="300"/>
          <w:jc w:val="center"/>
        </w:trPr>
        <w:tc>
          <w:tcPr>
            <w:tcW w:w="3673" w:type="dxa"/>
            <w:shd w:val="clear" w:color="auto" w:fill="auto"/>
            <w:noWrap/>
            <w:vAlign w:val="bottom"/>
            <w:hideMark/>
          </w:tcPr>
          <w:p w14:paraId="6C276928" w14:textId="3E089D1B"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 xml:space="preserve">3. Pjesa e popullsisë me aftësi të përgjithshme bazë </w:t>
            </w:r>
            <w:r w:rsidR="00C948AF" w:rsidRPr="00050FA4">
              <w:rPr>
                <w:rFonts w:ascii="Garamond" w:eastAsia="Times New Roman" w:hAnsi="Garamond" w:cstheme="majorBidi"/>
                <w:color w:val="0D0D0D" w:themeColor="text1" w:themeTint="F2"/>
                <w:sz w:val="18"/>
                <w:szCs w:val="18"/>
                <w:lang w:eastAsia="sq-AL" w:bidi="he-IL"/>
              </w:rPr>
              <w:t>digjital</w:t>
            </w:r>
            <w:r w:rsidRPr="00050FA4">
              <w:rPr>
                <w:rFonts w:ascii="Garamond" w:eastAsia="Times New Roman" w:hAnsi="Garamond" w:cstheme="majorBidi"/>
                <w:color w:val="0D0D0D" w:themeColor="text1" w:themeTint="F2"/>
                <w:sz w:val="18"/>
                <w:szCs w:val="18"/>
                <w:lang w:eastAsia="sq-AL" w:bidi="he-IL"/>
              </w:rPr>
              <w:t>e ose më lart, mosha 16</w:t>
            </w:r>
            <w:r w:rsidR="000109D2" w:rsidRPr="00050FA4">
              <w:rPr>
                <w:rFonts w:ascii="Garamond" w:eastAsia="Times New Roman" w:hAnsi="Garamond" w:cstheme="majorBidi"/>
                <w:color w:val="0D0D0D" w:themeColor="text1" w:themeTint="F2"/>
                <w:sz w:val="18"/>
                <w:szCs w:val="18"/>
                <w:lang w:eastAsia="sq-AL" w:bidi="he-IL"/>
              </w:rPr>
              <w:t>–</w:t>
            </w:r>
            <w:r w:rsidRPr="00050FA4">
              <w:rPr>
                <w:rFonts w:ascii="Garamond" w:eastAsia="Times New Roman" w:hAnsi="Garamond" w:cstheme="majorBidi"/>
                <w:color w:val="0D0D0D" w:themeColor="text1" w:themeTint="F2"/>
                <w:sz w:val="18"/>
                <w:szCs w:val="18"/>
                <w:lang w:eastAsia="sq-AL" w:bidi="he-IL"/>
              </w:rPr>
              <w:t>74</w:t>
            </w:r>
          </w:p>
        </w:tc>
        <w:tc>
          <w:tcPr>
            <w:tcW w:w="1135" w:type="dxa"/>
            <w:shd w:val="clear" w:color="auto" w:fill="auto"/>
            <w:noWrap/>
            <w:vAlign w:val="bottom"/>
            <w:hideMark/>
          </w:tcPr>
          <w:p w14:paraId="3EFA2708" w14:textId="77777777" w:rsidR="002D3C56" w:rsidRPr="00050FA4" w:rsidRDefault="002D3C56" w:rsidP="00A95D23">
            <w:pPr>
              <w:rPr>
                <w:rFonts w:ascii="Garamond" w:eastAsia="Times New Roman" w:hAnsi="Garamond" w:cstheme="majorBidi"/>
                <w:color w:val="0D0D0D" w:themeColor="text1" w:themeTint="F2"/>
                <w:sz w:val="18"/>
                <w:szCs w:val="18"/>
                <w:lang w:eastAsia="sq-AL" w:bidi="he-IL"/>
              </w:rPr>
            </w:pPr>
          </w:p>
        </w:tc>
        <w:tc>
          <w:tcPr>
            <w:tcW w:w="1135" w:type="dxa"/>
            <w:shd w:val="clear" w:color="auto" w:fill="auto"/>
            <w:noWrap/>
            <w:vAlign w:val="bottom"/>
            <w:hideMark/>
          </w:tcPr>
          <w:p w14:paraId="1DB82F5B"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p>
        </w:tc>
        <w:tc>
          <w:tcPr>
            <w:tcW w:w="1136" w:type="dxa"/>
            <w:shd w:val="clear" w:color="auto" w:fill="auto"/>
            <w:noWrap/>
            <w:vAlign w:val="bottom"/>
            <w:hideMark/>
          </w:tcPr>
          <w:p w14:paraId="3DFD7A8B"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p>
        </w:tc>
        <w:tc>
          <w:tcPr>
            <w:tcW w:w="1135" w:type="dxa"/>
            <w:shd w:val="clear" w:color="auto" w:fill="auto"/>
            <w:noWrap/>
            <w:vAlign w:val="bottom"/>
            <w:hideMark/>
          </w:tcPr>
          <w:p w14:paraId="40530116"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p>
        </w:tc>
        <w:tc>
          <w:tcPr>
            <w:tcW w:w="1135" w:type="dxa"/>
            <w:shd w:val="clear" w:color="auto" w:fill="auto"/>
            <w:noWrap/>
            <w:vAlign w:val="bottom"/>
            <w:hideMark/>
          </w:tcPr>
          <w:p w14:paraId="4B5D739F"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p>
        </w:tc>
        <w:tc>
          <w:tcPr>
            <w:tcW w:w="1136" w:type="dxa"/>
            <w:shd w:val="clear" w:color="auto" w:fill="auto"/>
            <w:noWrap/>
            <w:vAlign w:val="bottom"/>
            <w:hideMark/>
          </w:tcPr>
          <w:p w14:paraId="5B29714D"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p>
        </w:tc>
      </w:tr>
      <w:tr w:rsidR="00FA29AB" w:rsidRPr="00050FA4" w14:paraId="64EE8EF3" w14:textId="77777777" w:rsidTr="00617B60">
        <w:trPr>
          <w:trHeight w:val="300"/>
          <w:jc w:val="center"/>
        </w:trPr>
        <w:tc>
          <w:tcPr>
            <w:tcW w:w="3673" w:type="dxa"/>
            <w:shd w:val="clear" w:color="auto" w:fill="auto"/>
            <w:noWrap/>
            <w:vAlign w:val="bottom"/>
            <w:hideMark/>
          </w:tcPr>
          <w:p w14:paraId="1142989A" w14:textId="6864EC52"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4. Të rinjtë as në punësim, as në arsim apo trajnim (norma NEET), mosha 15</w:t>
            </w:r>
            <w:r w:rsidR="000109D2" w:rsidRPr="00050FA4">
              <w:rPr>
                <w:rFonts w:ascii="Garamond" w:eastAsia="Times New Roman" w:hAnsi="Garamond" w:cstheme="majorBidi"/>
                <w:color w:val="0D0D0D" w:themeColor="text1" w:themeTint="F2"/>
                <w:sz w:val="18"/>
                <w:szCs w:val="18"/>
                <w:lang w:eastAsia="sq-AL" w:bidi="he-IL"/>
              </w:rPr>
              <w:t>–</w:t>
            </w:r>
            <w:r w:rsidRPr="00050FA4">
              <w:rPr>
                <w:rFonts w:ascii="Garamond" w:eastAsia="Times New Roman" w:hAnsi="Garamond" w:cstheme="majorBidi"/>
                <w:color w:val="0D0D0D" w:themeColor="text1" w:themeTint="F2"/>
                <w:sz w:val="18"/>
                <w:szCs w:val="18"/>
                <w:lang w:eastAsia="sq-AL" w:bidi="he-IL"/>
              </w:rPr>
              <w:t>29</w:t>
            </w:r>
          </w:p>
        </w:tc>
        <w:tc>
          <w:tcPr>
            <w:tcW w:w="1135" w:type="dxa"/>
            <w:shd w:val="clear" w:color="auto" w:fill="auto"/>
            <w:noWrap/>
            <w:vAlign w:val="bottom"/>
            <w:hideMark/>
          </w:tcPr>
          <w:p w14:paraId="42E509B0" w14:textId="77777777"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INSTAT, LFS</w:t>
            </w:r>
            <w:r w:rsidRPr="00050FA4">
              <w:rPr>
                <w:rStyle w:val="FootnoteReference"/>
                <w:rFonts w:ascii="Garamond" w:eastAsia="Times New Roman" w:hAnsi="Garamond" w:cstheme="majorBidi"/>
                <w:color w:val="0D0D0D" w:themeColor="text1" w:themeTint="F2"/>
                <w:sz w:val="18"/>
                <w:szCs w:val="18"/>
                <w:lang w:eastAsia="sq-AL" w:bidi="he-IL"/>
              </w:rPr>
              <w:footnoteReference w:id="25"/>
            </w:r>
          </w:p>
        </w:tc>
        <w:tc>
          <w:tcPr>
            <w:tcW w:w="1135" w:type="dxa"/>
            <w:shd w:val="clear" w:color="auto" w:fill="auto"/>
            <w:noWrap/>
            <w:vAlign w:val="bottom"/>
            <w:hideMark/>
          </w:tcPr>
          <w:p w14:paraId="67B17230"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29.7</w:t>
            </w:r>
          </w:p>
        </w:tc>
        <w:tc>
          <w:tcPr>
            <w:tcW w:w="1136" w:type="dxa"/>
            <w:shd w:val="clear" w:color="auto" w:fill="auto"/>
            <w:noWrap/>
            <w:vAlign w:val="bottom"/>
            <w:hideMark/>
          </w:tcPr>
          <w:p w14:paraId="1D767FB2"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28.6</w:t>
            </w:r>
          </w:p>
        </w:tc>
        <w:tc>
          <w:tcPr>
            <w:tcW w:w="1135" w:type="dxa"/>
            <w:shd w:val="clear" w:color="auto" w:fill="auto"/>
            <w:noWrap/>
            <w:vAlign w:val="bottom"/>
            <w:hideMark/>
          </w:tcPr>
          <w:p w14:paraId="660D847D"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26.6</w:t>
            </w:r>
          </w:p>
        </w:tc>
        <w:tc>
          <w:tcPr>
            <w:tcW w:w="1135" w:type="dxa"/>
            <w:shd w:val="clear" w:color="auto" w:fill="auto"/>
            <w:noWrap/>
            <w:vAlign w:val="bottom"/>
            <w:hideMark/>
          </w:tcPr>
          <w:p w14:paraId="2FA08B6C"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27.9</w:t>
            </w:r>
          </w:p>
        </w:tc>
        <w:tc>
          <w:tcPr>
            <w:tcW w:w="1136" w:type="dxa"/>
            <w:shd w:val="clear" w:color="auto" w:fill="auto"/>
            <w:noWrap/>
            <w:vAlign w:val="bottom"/>
            <w:hideMark/>
          </w:tcPr>
          <w:p w14:paraId="3D118A2C"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25.9</w:t>
            </w:r>
          </w:p>
        </w:tc>
      </w:tr>
      <w:tr w:rsidR="00FA29AB" w:rsidRPr="00050FA4" w14:paraId="784DA769" w14:textId="77777777" w:rsidTr="00617B60">
        <w:trPr>
          <w:trHeight w:val="300"/>
          <w:jc w:val="center"/>
        </w:trPr>
        <w:tc>
          <w:tcPr>
            <w:tcW w:w="3673" w:type="dxa"/>
            <w:shd w:val="clear" w:color="auto" w:fill="auto"/>
            <w:noWrap/>
            <w:vAlign w:val="bottom"/>
            <w:hideMark/>
          </w:tcPr>
          <w:p w14:paraId="2EEEFFBB" w14:textId="2895B1F6"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5. Hendeku gjinor në shkallën e punësimit, mosha 20</w:t>
            </w:r>
            <w:r w:rsidR="000109D2" w:rsidRPr="00050FA4">
              <w:rPr>
                <w:rFonts w:ascii="Garamond" w:eastAsia="Times New Roman" w:hAnsi="Garamond" w:cstheme="majorBidi"/>
                <w:color w:val="0D0D0D" w:themeColor="text1" w:themeTint="F2"/>
                <w:sz w:val="18"/>
                <w:szCs w:val="18"/>
                <w:lang w:eastAsia="sq-AL" w:bidi="he-IL"/>
              </w:rPr>
              <w:t>–</w:t>
            </w:r>
            <w:r w:rsidRPr="00050FA4">
              <w:rPr>
                <w:rFonts w:ascii="Garamond" w:eastAsia="Times New Roman" w:hAnsi="Garamond" w:cstheme="majorBidi"/>
                <w:color w:val="0D0D0D" w:themeColor="text1" w:themeTint="F2"/>
                <w:sz w:val="18"/>
                <w:szCs w:val="18"/>
                <w:lang w:eastAsia="sq-AL" w:bidi="he-IL"/>
              </w:rPr>
              <w:t>64 vjeç</w:t>
            </w:r>
          </w:p>
        </w:tc>
        <w:tc>
          <w:tcPr>
            <w:tcW w:w="1135" w:type="dxa"/>
            <w:shd w:val="clear" w:color="auto" w:fill="auto"/>
            <w:noWrap/>
            <w:vAlign w:val="bottom"/>
            <w:hideMark/>
          </w:tcPr>
          <w:p w14:paraId="21D581A7" w14:textId="77777777" w:rsidR="002D3C56" w:rsidRPr="00050FA4" w:rsidRDefault="002D3C56" w:rsidP="00A95D23">
            <w:pPr>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INSTAT, LFS</w:t>
            </w:r>
          </w:p>
        </w:tc>
        <w:tc>
          <w:tcPr>
            <w:tcW w:w="1135" w:type="dxa"/>
            <w:shd w:val="clear" w:color="auto" w:fill="auto"/>
            <w:noWrap/>
            <w:vAlign w:val="bottom"/>
            <w:hideMark/>
          </w:tcPr>
          <w:p w14:paraId="16DB998B"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16.5</w:t>
            </w:r>
          </w:p>
        </w:tc>
        <w:tc>
          <w:tcPr>
            <w:tcW w:w="1136" w:type="dxa"/>
            <w:shd w:val="clear" w:color="auto" w:fill="auto"/>
            <w:noWrap/>
            <w:vAlign w:val="bottom"/>
            <w:hideMark/>
          </w:tcPr>
          <w:p w14:paraId="019E33FB"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16.5</w:t>
            </w:r>
          </w:p>
        </w:tc>
        <w:tc>
          <w:tcPr>
            <w:tcW w:w="1135" w:type="dxa"/>
            <w:shd w:val="clear" w:color="auto" w:fill="auto"/>
            <w:noWrap/>
            <w:vAlign w:val="bottom"/>
            <w:hideMark/>
          </w:tcPr>
          <w:p w14:paraId="2D3CC66D"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15</w:t>
            </w:r>
          </w:p>
        </w:tc>
        <w:tc>
          <w:tcPr>
            <w:tcW w:w="1135" w:type="dxa"/>
            <w:shd w:val="clear" w:color="auto" w:fill="auto"/>
            <w:noWrap/>
            <w:vAlign w:val="bottom"/>
            <w:hideMark/>
          </w:tcPr>
          <w:p w14:paraId="0F951DD1"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15.2</w:t>
            </w:r>
          </w:p>
        </w:tc>
        <w:tc>
          <w:tcPr>
            <w:tcW w:w="1136" w:type="dxa"/>
            <w:shd w:val="clear" w:color="auto" w:fill="auto"/>
            <w:noWrap/>
            <w:vAlign w:val="bottom"/>
            <w:hideMark/>
          </w:tcPr>
          <w:p w14:paraId="66A58E36" w14:textId="77777777" w:rsidR="002D3C56" w:rsidRPr="00050FA4" w:rsidRDefault="002D3C56" w:rsidP="00617B60">
            <w:pPr>
              <w:jc w:val="right"/>
              <w:rPr>
                <w:rFonts w:ascii="Garamond" w:eastAsia="Times New Roman" w:hAnsi="Garamond" w:cstheme="majorBidi"/>
                <w:color w:val="0D0D0D" w:themeColor="text1" w:themeTint="F2"/>
                <w:sz w:val="18"/>
                <w:szCs w:val="18"/>
                <w:lang w:eastAsia="sq-AL" w:bidi="he-IL"/>
              </w:rPr>
            </w:pPr>
            <w:r w:rsidRPr="00050FA4">
              <w:rPr>
                <w:rFonts w:ascii="Garamond" w:eastAsia="Times New Roman" w:hAnsi="Garamond" w:cstheme="majorBidi"/>
                <w:color w:val="0D0D0D" w:themeColor="text1" w:themeTint="F2"/>
                <w:sz w:val="18"/>
                <w:szCs w:val="18"/>
                <w:lang w:eastAsia="sq-AL" w:bidi="he-IL"/>
              </w:rPr>
              <w:t>16.2</w:t>
            </w:r>
          </w:p>
        </w:tc>
      </w:tr>
      <w:tr w:rsidR="00FA29AB" w:rsidRPr="00050FA4" w14:paraId="72D4C041" w14:textId="77777777" w:rsidTr="00617B60">
        <w:trPr>
          <w:trHeight w:val="315"/>
          <w:jc w:val="center"/>
        </w:trPr>
        <w:tc>
          <w:tcPr>
            <w:tcW w:w="3673" w:type="dxa"/>
            <w:shd w:val="clear" w:color="auto" w:fill="auto"/>
            <w:noWrap/>
            <w:vAlign w:val="bottom"/>
            <w:hideMark/>
          </w:tcPr>
          <w:p w14:paraId="194E4352" w14:textId="55128C82"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6. Raporti i pjesës së kuin</w:t>
            </w:r>
            <w:r w:rsidR="00870786" w:rsidRPr="00050FA4">
              <w:rPr>
                <w:sz w:val="18"/>
                <w:szCs w:val="18"/>
                <w:lang w:val="sq-AL" w:eastAsia="sq-AL" w:bidi="he-IL"/>
              </w:rPr>
              <w:t>tilit të të ardhurave - S80/S20</w:t>
            </w:r>
          </w:p>
        </w:tc>
        <w:tc>
          <w:tcPr>
            <w:tcW w:w="1135" w:type="dxa"/>
            <w:shd w:val="clear" w:color="auto" w:fill="auto"/>
            <w:noWrap/>
            <w:vAlign w:val="bottom"/>
            <w:hideMark/>
          </w:tcPr>
          <w:p w14:paraId="6A79722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501D72C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7.5</w:t>
            </w:r>
          </w:p>
        </w:tc>
        <w:tc>
          <w:tcPr>
            <w:tcW w:w="1136" w:type="dxa"/>
            <w:shd w:val="clear" w:color="auto" w:fill="auto"/>
            <w:noWrap/>
            <w:vAlign w:val="bottom"/>
            <w:hideMark/>
          </w:tcPr>
          <w:p w14:paraId="14C8F4A4"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7</w:t>
            </w:r>
          </w:p>
        </w:tc>
        <w:tc>
          <w:tcPr>
            <w:tcW w:w="1135" w:type="dxa"/>
            <w:shd w:val="clear" w:color="auto" w:fill="auto"/>
            <w:noWrap/>
            <w:vAlign w:val="bottom"/>
            <w:hideMark/>
          </w:tcPr>
          <w:p w14:paraId="7C5E01D4"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6.4</w:t>
            </w:r>
          </w:p>
        </w:tc>
        <w:tc>
          <w:tcPr>
            <w:tcW w:w="1135" w:type="dxa"/>
            <w:shd w:val="clear" w:color="auto" w:fill="auto"/>
            <w:noWrap/>
            <w:vAlign w:val="bottom"/>
            <w:hideMark/>
          </w:tcPr>
          <w:p w14:paraId="3D792271"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6B2B2FC6"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4A7EACBF" w14:textId="77777777" w:rsidTr="00617B60">
        <w:trPr>
          <w:trHeight w:val="315"/>
          <w:jc w:val="center"/>
        </w:trPr>
        <w:tc>
          <w:tcPr>
            <w:tcW w:w="10485" w:type="dxa"/>
            <w:gridSpan w:val="7"/>
            <w:shd w:val="clear" w:color="auto" w:fill="auto"/>
            <w:noWrap/>
            <w:vAlign w:val="bottom"/>
          </w:tcPr>
          <w:p w14:paraId="66E06B3B" w14:textId="77777777" w:rsidR="002D3C56" w:rsidRPr="00050FA4" w:rsidRDefault="002D3C56" w:rsidP="00A95D23">
            <w:pPr>
              <w:pStyle w:val="AAAAAAATEXXXX"/>
              <w:ind w:firstLine="0"/>
              <w:rPr>
                <w:sz w:val="18"/>
                <w:szCs w:val="18"/>
                <w:lang w:val="sq-AL" w:eastAsia="sq-AL" w:bidi="he-IL"/>
              </w:rPr>
            </w:pPr>
            <w:r w:rsidRPr="00050FA4">
              <w:rPr>
                <w:b/>
                <w:bCs/>
                <w:sz w:val="18"/>
                <w:szCs w:val="18"/>
                <w:lang w:val="sq-AL" w:eastAsia="sq-AL" w:bidi="he-IL"/>
              </w:rPr>
              <w:t>Kushtet e punës</w:t>
            </w:r>
          </w:p>
        </w:tc>
      </w:tr>
      <w:tr w:rsidR="00FA29AB" w:rsidRPr="00050FA4" w14:paraId="2CA0DCE7" w14:textId="77777777" w:rsidTr="00617B60">
        <w:trPr>
          <w:trHeight w:val="300"/>
          <w:jc w:val="center"/>
        </w:trPr>
        <w:tc>
          <w:tcPr>
            <w:tcW w:w="3673" w:type="dxa"/>
            <w:shd w:val="clear" w:color="auto" w:fill="auto"/>
            <w:noWrap/>
            <w:vAlign w:val="bottom"/>
            <w:hideMark/>
          </w:tcPr>
          <w:p w14:paraId="78B5EDF4" w14:textId="66D0DE7D"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7. Niveli i punësimit, mosha 20</w:t>
            </w:r>
            <w:r w:rsidR="000109D2" w:rsidRPr="00050FA4">
              <w:rPr>
                <w:rFonts w:eastAsia="Times New Roman" w:cstheme="majorBidi"/>
                <w:color w:val="0D0D0D" w:themeColor="text1" w:themeTint="F2"/>
                <w:sz w:val="18"/>
                <w:szCs w:val="18"/>
                <w:lang w:val="sq-AL" w:eastAsia="sq-AL" w:bidi="he-IL"/>
              </w:rPr>
              <w:t>–</w:t>
            </w:r>
            <w:r w:rsidRPr="00050FA4">
              <w:rPr>
                <w:sz w:val="18"/>
                <w:szCs w:val="18"/>
                <w:lang w:val="sq-AL" w:eastAsia="sq-AL" w:bidi="he-IL"/>
              </w:rPr>
              <w:t>64</w:t>
            </w:r>
          </w:p>
        </w:tc>
        <w:tc>
          <w:tcPr>
            <w:tcW w:w="1135" w:type="dxa"/>
            <w:shd w:val="clear" w:color="auto" w:fill="auto"/>
            <w:noWrap/>
            <w:vAlign w:val="bottom"/>
            <w:hideMark/>
          </w:tcPr>
          <w:p w14:paraId="7676B04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INSTAT, LFS</w:t>
            </w:r>
            <w:r w:rsidRPr="00050FA4">
              <w:rPr>
                <w:rStyle w:val="FootnoteReference"/>
                <w:rFonts w:eastAsia="Times New Roman" w:cstheme="majorBidi"/>
                <w:color w:val="0D0D0D" w:themeColor="text1" w:themeTint="F2"/>
                <w:sz w:val="18"/>
                <w:szCs w:val="18"/>
                <w:lang w:val="sq-AL" w:eastAsia="sq-AL" w:bidi="he-IL"/>
              </w:rPr>
              <w:footnoteReference w:id="26"/>
            </w:r>
          </w:p>
        </w:tc>
        <w:tc>
          <w:tcPr>
            <w:tcW w:w="1135" w:type="dxa"/>
            <w:shd w:val="clear" w:color="auto" w:fill="auto"/>
            <w:noWrap/>
            <w:vAlign w:val="bottom"/>
            <w:hideMark/>
          </w:tcPr>
          <w:p w14:paraId="4255CA18"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63.9</w:t>
            </w:r>
          </w:p>
        </w:tc>
        <w:tc>
          <w:tcPr>
            <w:tcW w:w="1136" w:type="dxa"/>
            <w:shd w:val="clear" w:color="auto" w:fill="auto"/>
            <w:noWrap/>
            <w:vAlign w:val="bottom"/>
            <w:hideMark/>
          </w:tcPr>
          <w:p w14:paraId="7036D202"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65.6</w:t>
            </w:r>
          </w:p>
        </w:tc>
        <w:tc>
          <w:tcPr>
            <w:tcW w:w="1135" w:type="dxa"/>
            <w:shd w:val="clear" w:color="auto" w:fill="auto"/>
            <w:noWrap/>
            <w:vAlign w:val="bottom"/>
            <w:hideMark/>
          </w:tcPr>
          <w:p w14:paraId="0223880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67.1</w:t>
            </w:r>
          </w:p>
        </w:tc>
        <w:tc>
          <w:tcPr>
            <w:tcW w:w="1135" w:type="dxa"/>
            <w:shd w:val="clear" w:color="auto" w:fill="auto"/>
            <w:noWrap/>
            <w:vAlign w:val="bottom"/>
            <w:hideMark/>
          </w:tcPr>
          <w:p w14:paraId="2825F3DF"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66.3</w:t>
            </w:r>
          </w:p>
        </w:tc>
        <w:tc>
          <w:tcPr>
            <w:tcW w:w="1136" w:type="dxa"/>
            <w:shd w:val="clear" w:color="auto" w:fill="auto"/>
            <w:noWrap/>
            <w:vAlign w:val="bottom"/>
            <w:hideMark/>
          </w:tcPr>
          <w:p w14:paraId="53097380"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66.2</w:t>
            </w:r>
          </w:p>
        </w:tc>
      </w:tr>
      <w:tr w:rsidR="00FA29AB" w:rsidRPr="00050FA4" w14:paraId="0CAFC2CA" w14:textId="77777777" w:rsidTr="00617B60">
        <w:trPr>
          <w:trHeight w:val="300"/>
          <w:jc w:val="center"/>
        </w:trPr>
        <w:tc>
          <w:tcPr>
            <w:tcW w:w="3673" w:type="dxa"/>
            <w:shd w:val="clear" w:color="auto" w:fill="auto"/>
            <w:noWrap/>
            <w:vAlign w:val="bottom"/>
            <w:hideMark/>
          </w:tcPr>
          <w:p w14:paraId="324756DF" w14:textId="1D9B610B"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8. Niveli i papunësisë, mosha 15</w:t>
            </w:r>
            <w:r w:rsidR="000109D2" w:rsidRPr="00050FA4">
              <w:rPr>
                <w:rFonts w:eastAsia="Times New Roman" w:cstheme="majorBidi"/>
                <w:color w:val="0D0D0D" w:themeColor="text1" w:themeTint="F2"/>
                <w:sz w:val="18"/>
                <w:szCs w:val="18"/>
                <w:lang w:val="sq-AL" w:eastAsia="sq-AL" w:bidi="he-IL"/>
              </w:rPr>
              <w:t>–</w:t>
            </w:r>
            <w:r w:rsidRPr="00050FA4">
              <w:rPr>
                <w:sz w:val="18"/>
                <w:szCs w:val="18"/>
                <w:lang w:val="sq-AL" w:eastAsia="sq-AL" w:bidi="he-IL"/>
              </w:rPr>
              <w:t>74</w:t>
            </w:r>
          </w:p>
        </w:tc>
        <w:tc>
          <w:tcPr>
            <w:tcW w:w="1135" w:type="dxa"/>
            <w:shd w:val="clear" w:color="auto" w:fill="auto"/>
            <w:noWrap/>
            <w:vAlign w:val="bottom"/>
            <w:hideMark/>
          </w:tcPr>
          <w:p w14:paraId="75DC7164"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INSTAT, LFS</w:t>
            </w:r>
            <w:r w:rsidRPr="00050FA4">
              <w:rPr>
                <w:rStyle w:val="FootnoteReference"/>
                <w:rFonts w:eastAsia="Times New Roman" w:cstheme="majorBidi"/>
                <w:color w:val="0D0D0D" w:themeColor="text1" w:themeTint="F2"/>
                <w:sz w:val="18"/>
                <w:szCs w:val="18"/>
                <w:lang w:val="sq-AL" w:eastAsia="sq-AL" w:bidi="he-IL"/>
              </w:rPr>
              <w:footnoteReference w:id="27"/>
            </w:r>
          </w:p>
        </w:tc>
        <w:tc>
          <w:tcPr>
            <w:tcW w:w="1135" w:type="dxa"/>
            <w:shd w:val="clear" w:color="auto" w:fill="auto"/>
            <w:noWrap/>
            <w:vAlign w:val="bottom"/>
            <w:hideMark/>
          </w:tcPr>
          <w:p w14:paraId="24F6F501"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13.7</w:t>
            </w:r>
          </w:p>
        </w:tc>
        <w:tc>
          <w:tcPr>
            <w:tcW w:w="1136" w:type="dxa"/>
            <w:shd w:val="clear" w:color="auto" w:fill="auto"/>
            <w:noWrap/>
            <w:vAlign w:val="bottom"/>
            <w:hideMark/>
          </w:tcPr>
          <w:p w14:paraId="3121DB97"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12.3</w:t>
            </w:r>
          </w:p>
        </w:tc>
        <w:tc>
          <w:tcPr>
            <w:tcW w:w="1135" w:type="dxa"/>
            <w:shd w:val="clear" w:color="auto" w:fill="auto"/>
            <w:noWrap/>
            <w:vAlign w:val="bottom"/>
            <w:hideMark/>
          </w:tcPr>
          <w:p w14:paraId="7AF1FA7B"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11.5</w:t>
            </w:r>
          </w:p>
        </w:tc>
        <w:tc>
          <w:tcPr>
            <w:tcW w:w="1135" w:type="dxa"/>
            <w:shd w:val="clear" w:color="auto" w:fill="auto"/>
            <w:noWrap/>
            <w:vAlign w:val="bottom"/>
            <w:hideMark/>
          </w:tcPr>
          <w:p w14:paraId="30233D97"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11.7</w:t>
            </w:r>
          </w:p>
        </w:tc>
        <w:tc>
          <w:tcPr>
            <w:tcW w:w="1136" w:type="dxa"/>
            <w:shd w:val="clear" w:color="000000" w:fill="FFFFFF"/>
            <w:noWrap/>
            <w:vAlign w:val="bottom"/>
            <w:hideMark/>
          </w:tcPr>
          <w:p w14:paraId="52FE9BE7"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11.7</w:t>
            </w:r>
          </w:p>
        </w:tc>
      </w:tr>
      <w:tr w:rsidR="00FA29AB" w:rsidRPr="00050FA4" w14:paraId="4480E126" w14:textId="77777777" w:rsidTr="00617B60">
        <w:trPr>
          <w:trHeight w:val="300"/>
          <w:jc w:val="center"/>
        </w:trPr>
        <w:tc>
          <w:tcPr>
            <w:tcW w:w="3673" w:type="dxa"/>
            <w:shd w:val="clear" w:color="auto" w:fill="auto"/>
            <w:noWrap/>
            <w:vAlign w:val="bottom"/>
            <w:hideMark/>
          </w:tcPr>
          <w:p w14:paraId="4DD07901" w14:textId="48A96ECB"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9. Niveli i papunësisë afatgjatë, mosha 15</w:t>
            </w:r>
            <w:r w:rsidR="000109D2" w:rsidRPr="00050FA4">
              <w:rPr>
                <w:rFonts w:eastAsia="Times New Roman" w:cstheme="majorBidi"/>
                <w:color w:val="0D0D0D" w:themeColor="text1" w:themeTint="F2"/>
                <w:sz w:val="18"/>
                <w:szCs w:val="18"/>
                <w:lang w:val="sq-AL" w:eastAsia="sq-AL" w:bidi="he-IL"/>
              </w:rPr>
              <w:t>–</w:t>
            </w:r>
            <w:r w:rsidRPr="00050FA4">
              <w:rPr>
                <w:sz w:val="18"/>
                <w:szCs w:val="18"/>
                <w:lang w:val="sq-AL" w:eastAsia="sq-AL" w:bidi="he-IL"/>
              </w:rPr>
              <w:t>74</w:t>
            </w:r>
          </w:p>
        </w:tc>
        <w:tc>
          <w:tcPr>
            <w:tcW w:w="1135" w:type="dxa"/>
            <w:shd w:val="clear" w:color="auto" w:fill="auto"/>
            <w:noWrap/>
            <w:vAlign w:val="bottom"/>
            <w:hideMark/>
          </w:tcPr>
          <w:p w14:paraId="51BEE8FD"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INSTAT, LFS</w:t>
            </w:r>
            <w:r w:rsidRPr="00050FA4">
              <w:rPr>
                <w:rStyle w:val="FootnoteReference"/>
                <w:rFonts w:eastAsia="Times New Roman" w:cstheme="majorBidi"/>
                <w:color w:val="0D0D0D" w:themeColor="text1" w:themeTint="F2"/>
                <w:sz w:val="18"/>
                <w:szCs w:val="18"/>
                <w:lang w:val="sq-AL" w:eastAsia="sq-AL" w:bidi="he-IL"/>
              </w:rPr>
              <w:footnoteReference w:id="28"/>
            </w:r>
          </w:p>
        </w:tc>
        <w:tc>
          <w:tcPr>
            <w:tcW w:w="1135" w:type="dxa"/>
            <w:shd w:val="clear" w:color="auto" w:fill="auto"/>
            <w:noWrap/>
            <w:vAlign w:val="bottom"/>
            <w:hideMark/>
          </w:tcPr>
          <w:p w14:paraId="23FD12A5"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8.9</w:t>
            </w:r>
          </w:p>
        </w:tc>
        <w:tc>
          <w:tcPr>
            <w:tcW w:w="1136" w:type="dxa"/>
            <w:shd w:val="clear" w:color="auto" w:fill="auto"/>
            <w:noWrap/>
            <w:vAlign w:val="bottom"/>
            <w:hideMark/>
          </w:tcPr>
          <w:p w14:paraId="3EC10A8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8.3</w:t>
            </w:r>
          </w:p>
        </w:tc>
        <w:tc>
          <w:tcPr>
            <w:tcW w:w="1135" w:type="dxa"/>
            <w:shd w:val="clear" w:color="auto" w:fill="auto"/>
            <w:noWrap/>
            <w:vAlign w:val="bottom"/>
            <w:hideMark/>
          </w:tcPr>
          <w:p w14:paraId="0EBD9491"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7.3</w:t>
            </w:r>
          </w:p>
        </w:tc>
        <w:tc>
          <w:tcPr>
            <w:tcW w:w="1135" w:type="dxa"/>
            <w:shd w:val="clear" w:color="auto" w:fill="auto"/>
            <w:noWrap/>
            <w:vAlign w:val="bottom"/>
            <w:hideMark/>
          </w:tcPr>
          <w:p w14:paraId="19F94902"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7.0</w:t>
            </w:r>
          </w:p>
        </w:tc>
        <w:tc>
          <w:tcPr>
            <w:tcW w:w="1136" w:type="dxa"/>
            <w:shd w:val="clear" w:color="auto" w:fill="auto"/>
            <w:noWrap/>
            <w:vAlign w:val="bottom"/>
          </w:tcPr>
          <w:p w14:paraId="0B728C6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8.0</w:t>
            </w:r>
          </w:p>
        </w:tc>
      </w:tr>
      <w:tr w:rsidR="00FA29AB" w:rsidRPr="00050FA4" w14:paraId="4DF697DB" w14:textId="77777777" w:rsidTr="00617B60">
        <w:trPr>
          <w:trHeight w:val="315"/>
          <w:jc w:val="center"/>
        </w:trPr>
        <w:tc>
          <w:tcPr>
            <w:tcW w:w="3673" w:type="dxa"/>
            <w:shd w:val="clear" w:color="auto" w:fill="auto"/>
            <w:noWrap/>
            <w:vAlign w:val="bottom"/>
            <w:hideMark/>
          </w:tcPr>
          <w:p w14:paraId="1F4A3C35"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10. Të ardhurat bruto të disponueshme të familjeve në terma realë, për frymë</w:t>
            </w:r>
          </w:p>
        </w:tc>
        <w:tc>
          <w:tcPr>
            <w:tcW w:w="1135" w:type="dxa"/>
            <w:shd w:val="clear" w:color="auto" w:fill="auto"/>
            <w:noWrap/>
            <w:vAlign w:val="bottom"/>
            <w:hideMark/>
          </w:tcPr>
          <w:p w14:paraId="7DF48914"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293BBD94"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4370</w:t>
            </w:r>
          </w:p>
        </w:tc>
        <w:tc>
          <w:tcPr>
            <w:tcW w:w="1136" w:type="dxa"/>
            <w:shd w:val="clear" w:color="auto" w:fill="auto"/>
            <w:noWrap/>
            <w:vAlign w:val="bottom"/>
            <w:hideMark/>
          </w:tcPr>
          <w:p w14:paraId="73E48D3C"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4688</w:t>
            </w:r>
          </w:p>
        </w:tc>
        <w:tc>
          <w:tcPr>
            <w:tcW w:w="1135" w:type="dxa"/>
            <w:shd w:val="clear" w:color="auto" w:fill="auto"/>
            <w:noWrap/>
            <w:vAlign w:val="bottom"/>
            <w:hideMark/>
          </w:tcPr>
          <w:p w14:paraId="220B390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4992</w:t>
            </w:r>
          </w:p>
        </w:tc>
        <w:tc>
          <w:tcPr>
            <w:tcW w:w="1135" w:type="dxa"/>
            <w:shd w:val="clear" w:color="auto" w:fill="auto"/>
            <w:noWrap/>
            <w:vAlign w:val="bottom"/>
            <w:hideMark/>
          </w:tcPr>
          <w:p w14:paraId="23976955"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02B0A6AB"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302CB439" w14:textId="77777777" w:rsidTr="00617B60">
        <w:trPr>
          <w:trHeight w:val="315"/>
          <w:jc w:val="center"/>
        </w:trPr>
        <w:tc>
          <w:tcPr>
            <w:tcW w:w="10485" w:type="dxa"/>
            <w:gridSpan w:val="7"/>
            <w:shd w:val="clear" w:color="auto" w:fill="auto"/>
            <w:noWrap/>
            <w:vAlign w:val="bottom"/>
          </w:tcPr>
          <w:p w14:paraId="082C8D13" w14:textId="77777777" w:rsidR="002D3C56" w:rsidRPr="00050FA4" w:rsidRDefault="002D3C56" w:rsidP="00A95D23">
            <w:pPr>
              <w:pStyle w:val="AAAAAAATEXXXX"/>
              <w:ind w:firstLine="0"/>
              <w:rPr>
                <w:sz w:val="18"/>
                <w:szCs w:val="18"/>
                <w:lang w:val="sq-AL" w:eastAsia="sq-AL" w:bidi="he-IL"/>
              </w:rPr>
            </w:pPr>
            <w:r w:rsidRPr="00050FA4">
              <w:rPr>
                <w:b/>
                <w:bCs/>
                <w:sz w:val="18"/>
                <w:szCs w:val="18"/>
                <w:lang w:val="sq-AL" w:eastAsia="sq-AL" w:bidi="he-IL"/>
              </w:rPr>
              <w:t>Social protection and inclusion</w:t>
            </w:r>
          </w:p>
        </w:tc>
      </w:tr>
      <w:tr w:rsidR="00FA29AB" w:rsidRPr="00050FA4" w14:paraId="01A2989F" w14:textId="77777777" w:rsidTr="00617B60">
        <w:trPr>
          <w:trHeight w:val="300"/>
          <w:jc w:val="center"/>
        </w:trPr>
        <w:tc>
          <w:tcPr>
            <w:tcW w:w="3673" w:type="dxa"/>
            <w:shd w:val="clear" w:color="auto" w:fill="auto"/>
            <w:noWrap/>
            <w:vAlign w:val="bottom"/>
            <w:hideMark/>
          </w:tcPr>
          <w:p w14:paraId="3E0AA987"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11. Shkalla e rrezikut nga varfëria ose e përjashtimit social (AROPE)</w:t>
            </w:r>
          </w:p>
        </w:tc>
        <w:tc>
          <w:tcPr>
            <w:tcW w:w="1135" w:type="dxa"/>
            <w:shd w:val="clear" w:color="auto" w:fill="auto"/>
            <w:noWrap/>
            <w:vAlign w:val="bottom"/>
            <w:hideMark/>
          </w:tcPr>
          <w:p w14:paraId="3A166A1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08F02011"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51.8</w:t>
            </w:r>
          </w:p>
        </w:tc>
        <w:tc>
          <w:tcPr>
            <w:tcW w:w="1136" w:type="dxa"/>
            <w:shd w:val="clear" w:color="auto" w:fill="auto"/>
            <w:noWrap/>
            <w:vAlign w:val="bottom"/>
            <w:hideMark/>
          </w:tcPr>
          <w:p w14:paraId="7F0AD263"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49</w:t>
            </w:r>
          </w:p>
        </w:tc>
        <w:tc>
          <w:tcPr>
            <w:tcW w:w="1135" w:type="dxa"/>
            <w:shd w:val="clear" w:color="auto" w:fill="auto"/>
            <w:noWrap/>
            <w:vAlign w:val="bottom"/>
            <w:hideMark/>
          </w:tcPr>
          <w:p w14:paraId="5D36123B"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46.2</w:t>
            </w:r>
          </w:p>
        </w:tc>
        <w:tc>
          <w:tcPr>
            <w:tcW w:w="1135" w:type="dxa"/>
            <w:shd w:val="clear" w:color="auto" w:fill="auto"/>
            <w:noWrap/>
            <w:vAlign w:val="bottom"/>
            <w:hideMark/>
          </w:tcPr>
          <w:p w14:paraId="7E663B6B"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33027DD8"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0DE9BB53" w14:textId="77777777" w:rsidTr="00617B60">
        <w:trPr>
          <w:trHeight w:val="300"/>
          <w:jc w:val="center"/>
        </w:trPr>
        <w:tc>
          <w:tcPr>
            <w:tcW w:w="3673" w:type="dxa"/>
            <w:shd w:val="clear" w:color="auto" w:fill="auto"/>
            <w:noWrap/>
            <w:vAlign w:val="bottom"/>
            <w:hideMark/>
          </w:tcPr>
          <w:p w14:paraId="55C5B45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12. Shkalla e rrezikut nga varfëria ose e përjashtimit social (AROPE) për fëmijët (0-17)</w:t>
            </w:r>
          </w:p>
        </w:tc>
        <w:tc>
          <w:tcPr>
            <w:tcW w:w="1135" w:type="dxa"/>
            <w:shd w:val="clear" w:color="auto" w:fill="auto"/>
            <w:noWrap/>
            <w:vAlign w:val="bottom"/>
            <w:hideMark/>
          </w:tcPr>
          <w:p w14:paraId="1CA58B97"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15E8CE17"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54.8</w:t>
            </w:r>
          </w:p>
        </w:tc>
        <w:tc>
          <w:tcPr>
            <w:tcW w:w="1136" w:type="dxa"/>
            <w:shd w:val="clear" w:color="auto" w:fill="auto"/>
            <w:noWrap/>
            <w:vAlign w:val="bottom"/>
            <w:hideMark/>
          </w:tcPr>
          <w:p w14:paraId="1F36FE9B"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52.4</w:t>
            </w:r>
          </w:p>
        </w:tc>
        <w:tc>
          <w:tcPr>
            <w:tcW w:w="1135" w:type="dxa"/>
            <w:shd w:val="clear" w:color="auto" w:fill="auto"/>
            <w:noWrap/>
            <w:vAlign w:val="bottom"/>
            <w:hideMark/>
          </w:tcPr>
          <w:p w14:paraId="1BD24745"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49.4</w:t>
            </w:r>
          </w:p>
        </w:tc>
        <w:tc>
          <w:tcPr>
            <w:tcW w:w="1135" w:type="dxa"/>
            <w:shd w:val="clear" w:color="auto" w:fill="auto"/>
            <w:noWrap/>
            <w:vAlign w:val="bottom"/>
            <w:hideMark/>
          </w:tcPr>
          <w:p w14:paraId="6D04D610"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6D952643"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47ADD39D" w14:textId="77777777" w:rsidTr="00617B60">
        <w:trPr>
          <w:trHeight w:val="300"/>
          <w:jc w:val="center"/>
        </w:trPr>
        <w:tc>
          <w:tcPr>
            <w:tcW w:w="3673" w:type="dxa"/>
            <w:shd w:val="clear" w:color="auto" w:fill="auto"/>
            <w:noWrap/>
            <w:vAlign w:val="bottom"/>
            <w:hideMark/>
          </w:tcPr>
          <w:p w14:paraId="5AC410A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13. Ndikimi i transfertave sociale (përveç pensioneve) në uljen e varfërisë</w:t>
            </w:r>
          </w:p>
        </w:tc>
        <w:tc>
          <w:tcPr>
            <w:tcW w:w="1135" w:type="dxa"/>
            <w:shd w:val="clear" w:color="auto" w:fill="auto"/>
            <w:noWrap/>
            <w:vAlign w:val="bottom"/>
            <w:hideMark/>
          </w:tcPr>
          <w:p w14:paraId="2EC0BF8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33804921"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27.1</w:t>
            </w:r>
          </w:p>
        </w:tc>
        <w:tc>
          <w:tcPr>
            <w:tcW w:w="1136" w:type="dxa"/>
            <w:shd w:val="clear" w:color="auto" w:fill="auto"/>
            <w:noWrap/>
            <w:vAlign w:val="bottom"/>
            <w:hideMark/>
          </w:tcPr>
          <w:p w14:paraId="5B823B79"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26.3</w:t>
            </w:r>
          </w:p>
        </w:tc>
        <w:tc>
          <w:tcPr>
            <w:tcW w:w="1135" w:type="dxa"/>
            <w:shd w:val="clear" w:color="auto" w:fill="auto"/>
            <w:noWrap/>
            <w:vAlign w:val="bottom"/>
            <w:hideMark/>
          </w:tcPr>
          <w:p w14:paraId="2E306B8C"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26.1</w:t>
            </w:r>
          </w:p>
        </w:tc>
        <w:tc>
          <w:tcPr>
            <w:tcW w:w="1135" w:type="dxa"/>
            <w:shd w:val="clear" w:color="auto" w:fill="auto"/>
            <w:noWrap/>
            <w:vAlign w:val="bottom"/>
            <w:hideMark/>
          </w:tcPr>
          <w:p w14:paraId="129AA47E"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51A525F4"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683A5415" w14:textId="77777777" w:rsidTr="00617B60">
        <w:trPr>
          <w:trHeight w:val="300"/>
          <w:jc w:val="center"/>
        </w:trPr>
        <w:tc>
          <w:tcPr>
            <w:tcW w:w="3673" w:type="dxa"/>
            <w:shd w:val="clear" w:color="auto" w:fill="auto"/>
            <w:noWrap/>
            <w:vAlign w:val="bottom"/>
            <w:hideMark/>
          </w:tcPr>
          <w:p w14:paraId="729BFCE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14. Hendeku i punësimit të aftësisë së kufizuar, mosha 20-64</w:t>
            </w:r>
          </w:p>
        </w:tc>
        <w:tc>
          <w:tcPr>
            <w:tcW w:w="1135" w:type="dxa"/>
            <w:shd w:val="clear" w:color="auto" w:fill="auto"/>
            <w:noWrap/>
            <w:vAlign w:val="bottom"/>
            <w:hideMark/>
          </w:tcPr>
          <w:p w14:paraId="654340ED" w14:textId="77777777" w:rsidR="002D3C56" w:rsidRPr="00050FA4" w:rsidRDefault="002D3C56" w:rsidP="00A95D23">
            <w:pPr>
              <w:pStyle w:val="AAAAAAATEXXXX"/>
              <w:ind w:firstLine="0"/>
              <w:rPr>
                <w:sz w:val="18"/>
                <w:szCs w:val="18"/>
                <w:lang w:val="sq-AL" w:eastAsia="sq-AL" w:bidi="he-IL"/>
              </w:rPr>
            </w:pPr>
          </w:p>
        </w:tc>
        <w:tc>
          <w:tcPr>
            <w:tcW w:w="1135" w:type="dxa"/>
            <w:shd w:val="clear" w:color="auto" w:fill="auto"/>
            <w:noWrap/>
            <w:vAlign w:val="bottom"/>
            <w:hideMark/>
          </w:tcPr>
          <w:p w14:paraId="601EB7B6"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157AA560" w14:textId="77777777" w:rsidR="002D3C56" w:rsidRPr="00050FA4" w:rsidRDefault="002D3C56" w:rsidP="00617B60">
            <w:pPr>
              <w:pStyle w:val="AAAAAAATEXXXX"/>
              <w:ind w:firstLine="0"/>
              <w:jc w:val="right"/>
              <w:rPr>
                <w:sz w:val="18"/>
                <w:szCs w:val="18"/>
                <w:lang w:val="sq-AL" w:eastAsia="sq-AL" w:bidi="he-IL"/>
              </w:rPr>
            </w:pPr>
          </w:p>
        </w:tc>
        <w:tc>
          <w:tcPr>
            <w:tcW w:w="1135" w:type="dxa"/>
            <w:shd w:val="clear" w:color="auto" w:fill="auto"/>
            <w:noWrap/>
            <w:vAlign w:val="bottom"/>
            <w:hideMark/>
          </w:tcPr>
          <w:p w14:paraId="1D2708B4" w14:textId="77777777" w:rsidR="002D3C56" w:rsidRPr="00050FA4" w:rsidRDefault="002D3C56" w:rsidP="00617B60">
            <w:pPr>
              <w:pStyle w:val="AAAAAAATEXXXX"/>
              <w:ind w:firstLine="0"/>
              <w:jc w:val="right"/>
              <w:rPr>
                <w:sz w:val="18"/>
                <w:szCs w:val="18"/>
                <w:lang w:val="sq-AL" w:eastAsia="sq-AL" w:bidi="he-IL"/>
              </w:rPr>
            </w:pPr>
          </w:p>
        </w:tc>
        <w:tc>
          <w:tcPr>
            <w:tcW w:w="1135" w:type="dxa"/>
            <w:shd w:val="clear" w:color="auto" w:fill="auto"/>
            <w:noWrap/>
            <w:vAlign w:val="bottom"/>
            <w:hideMark/>
          </w:tcPr>
          <w:p w14:paraId="7D859709"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09003693"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47065F25" w14:textId="77777777" w:rsidTr="00617B60">
        <w:trPr>
          <w:trHeight w:val="300"/>
          <w:jc w:val="center"/>
        </w:trPr>
        <w:tc>
          <w:tcPr>
            <w:tcW w:w="3673" w:type="dxa"/>
            <w:shd w:val="clear" w:color="auto" w:fill="auto"/>
            <w:noWrap/>
            <w:vAlign w:val="bottom"/>
            <w:hideMark/>
          </w:tcPr>
          <w:p w14:paraId="20B889B0"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lastRenderedPageBreak/>
              <w:t>15. Shkalla e mbingarkesës së kostos së banesave</w:t>
            </w:r>
          </w:p>
        </w:tc>
        <w:tc>
          <w:tcPr>
            <w:tcW w:w="1135" w:type="dxa"/>
            <w:shd w:val="clear" w:color="auto" w:fill="auto"/>
            <w:noWrap/>
            <w:vAlign w:val="bottom"/>
            <w:hideMark/>
          </w:tcPr>
          <w:p w14:paraId="6286F988"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6F1FB304"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9.2</w:t>
            </w:r>
          </w:p>
        </w:tc>
        <w:tc>
          <w:tcPr>
            <w:tcW w:w="1136" w:type="dxa"/>
            <w:shd w:val="clear" w:color="auto" w:fill="auto"/>
            <w:noWrap/>
            <w:vAlign w:val="bottom"/>
            <w:hideMark/>
          </w:tcPr>
          <w:p w14:paraId="2E238DC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6</w:t>
            </w:r>
          </w:p>
        </w:tc>
        <w:tc>
          <w:tcPr>
            <w:tcW w:w="1135" w:type="dxa"/>
            <w:shd w:val="clear" w:color="auto" w:fill="auto"/>
            <w:noWrap/>
            <w:vAlign w:val="bottom"/>
            <w:hideMark/>
          </w:tcPr>
          <w:p w14:paraId="2502BF5F"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5.5</w:t>
            </w:r>
          </w:p>
        </w:tc>
        <w:tc>
          <w:tcPr>
            <w:tcW w:w="1135" w:type="dxa"/>
            <w:shd w:val="clear" w:color="auto" w:fill="auto"/>
            <w:noWrap/>
            <w:vAlign w:val="bottom"/>
            <w:hideMark/>
          </w:tcPr>
          <w:p w14:paraId="75745C33"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0C0215AE"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06AC755E" w14:textId="77777777" w:rsidTr="00617B60">
        <w:trPr>
          <w:trHeight w:val="300"/>
          <w:jc w:val="center"/>
        </w:trPr>
        <w:tc>
          <w:tcPr>
            <w:tcW w:w="3673" w:type="dxa"/>
            <w:shd w:val="clear" w:color="auto" w:fill="auto"/>
            <w:noWrap/>
            <w:vAlign w:val="bottom"/>
            <w:hideMark/>
          </w:tcPr>
          <w:p w14:paraId="5A7CEB5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16. Fëmijët e moshës më pak se 3 vjeç në kujdesin zyrtar të fëmijëve</w:t>
            </w:r>
          </w:p>
        </w:tc>
        <w:tc>
          <w:tcPr>
            <w:tcW w:w="1135" w:type="dxa"/>
            <w:shd w:val="clear" w:color="auto" w:fill="auto"/>
            <w:noWrap/>
            <w:vAlign w:val="bottom"/>
            <w:hideMark/>
          </w:tcPr>
          <w:p w14:paraId="055DBE88" w14:textId="77777777" w:rsidR="002D3C56" w:rsidRPr="00050FA4" w:rsidRDefault="002D3C56" w:rsidP="00A95D23">
            <w:pPr>
              <w:pStyle w:val="AAAAAAATEXXXX"/>
              <w:ind w:firstLine="0"/>
              <w:rPr>
                <w:sz w:val="18"/>
                <w:szCs w:val="18"/>
                <w:lang w:val="sq-AL" w:eastAsia="sq-AL" w:bidi="he-IL"/>
              </w:rPr>
            </w:pPr>
          </w:p>
        </w:tc>
        <w:tc>
          <w:tcPr>
            <w:tcW w:w="1135" w:type="dxa"/>
            <w:shd w:val="clear" w:color="auto" w:fill="auto"/>
            <w:noWrap/>
            <w:vAlign w:val="bottom"/>
            <w:hideMark/>
          </w:tcPr>
          <w:p w14:paraId="78630AEB"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0AA6DD53" w14:textId="77777777" w:rsidR="002D3C56" w:rsidRPr="00050FA4" w:rsidRDefault="002D3C56" w:rsidP="00617B60">
            <w:pPr>
              <w:pStyle w:val="AAAAAAATEXXXX"/>
              <w:ind w:firstLine="0"/>
              <w:jc w:val="right"/>
              <w:rPr>
                <w:sz w:val="18"/>
                <w:szCs w:val="18"/>
                <w:lang w:val="sq-AL" w:eastAsia="sq-AL" w:bidi="he-IL"/>
              </w:rPr>
            </w:pPr>
          </w:p>
        </w:tc>
        <w:tc>
          <w:tcPr>
            <w:tcW w:w="1135" w:type="dxa"/>
            <w:shd w:val="clear" w:color="auto" w:fill="auto"/>
            <w:noWrap/>
            <w:vAlign w:val="bottom"/>
            <w:hideMark/>
          </w:tcPr>
          <w:p w14:paraId="3E8567AF" w14:textId="77777777" w:rsidR="002D3C56" w:rsidRPr="00050FA4" w:rsidRDefault="002D3C56" w:rsidP="00617B60">
            <w:pPr>
              <w:pStyle w:val="AAAAAAATEXXXX"/>
              <w:ind w:firstLine="0"/>
              <w:jc w:val="right"/>
              <w:rPr>
                <w:sz w:val="18"/>
                <w:szCs w:val="18"/>
                <w:lang w:val="sq-AL" w:eastAsia="sq-AL" w:bidi="he-IL"/>
              </w:rPr>
            </w:pPr>
          </w:p>
        </w:tc>
        <w:tc>
          <w:tcPr>
            <w:tcW w:w="1135" w:type="dxa"/>
            <w:shd w:val="clear" w:color="auto" w:fill="auto"/>
            <w:noWrap/>
            <w:vAlign w:val="bottom"/>
            <w:hideMark/>
          </w:tcPr>
          <w:p w14:paraId="1EE776B3"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30C16780"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55DBF2AE" w14:textId="77777777" w:rsidTr="00617B60">
        <w:trPr>
          <w:trHeight w:val="315"/>
          <w:jc w:val="center"/>
        </w:trPr>
        <w:tc>
          <w:tcPr>
            <w:tcW w:w="3673" w:type="dxa"/>
            <w:shd w:val="clear" w:color="auto" w:fill="auto"/>
            <w:noWrap/>
            <w:vAlign w:val="bottom"/>
            <w:hideMark/>
          </w:tcPr>
          <w:p w14:paraId="211F3EC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17. Vetë-raportuar nevojat e paplotësuara për kujdes mjekësor</w:t>
            </w:r>
          </w:p>
        </w:tc>
        <w:tc>
          <w:tcPr>
            <w:tcW w:w="1135" w:type="dxa"/>
            <w:shd w:val="clear" w:color="auto" w:fill="auto"/>
            <w:noWrap/>
            <w:vAlign w:val="bottom"/>
            <w:hideMark/>
          </w:tcPr>
          <w:p w14:paraId="46B8823B"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EU-SILC</w:t>
            </w:r>
          </w:p>
        </w:tc>
        <w:tc>
          <w:tcPr>
            <w:tcW w:w="1135" w:type="dxa"/>
            <w:shd w:val="clear" w:color="auto" w:fill="auto"/>
            <w:noWrap/>
            <w:vAlign w:val="bottom"/>
            <w:hideMark/>
          </w:tcPr>
          <w:p w14:paraId="2F68E9C6"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19</w:t>
            </w:r>
          </w:p>
        </w:tc>
        <w:tc>
          <w:tcPr>
            <w:tcW w:w="1136" w:type="dxa"/>
            <w:shd w:val="clear" w:color="auto" w:fill="auto"/>
            <w:noWrap/>
            <w:vAlign w:val="bottom"/>
            <w:hideMark/>
          </w:tcPr>
          <w:p w14:paraId="66DD30B0"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21.5</w:t>
            </w:r>
          </w:p>
        </w:tc>
        <w:tc>
          <w:tcPr>
            <w:tcW w:w="1135" w:type="dxa"/>
            <w:shd w:val="clear" w:color="auto" w:fill="auto"/>
            <w:noWrap/>
            <w:vAlign w:val="bottom"/>
            <w:hideMark/>
          </w:tcPr>
          <w:p w14:paraId="4EA1AF05" w14:textId="77777777" w:rsidR="002D3C56" w:rsidRPr="00050FA4" w:rsidRDefault="002D3C56" w:rsidP="00617B60">
            <w:pPr>
              <w:pStyle w:val="AAAAAAATEXXXX"/>
              <w:ind w:firstLine="0"/>
              <w:jc w:val="right"/>
              <w:rPr>
                <w:sz w:val="18"/>
                <w:szCs w:val="18"/>
                <w:lang w:val="sq-AL" w:eastAsia="sq-AL" w:bidi="he-IL"/>
              </w:rPr>
            </w:pPr>
            <w:r w:rsidRPr="00050FA4">
              <w:rPr>
                <w:sz w:val="18"/>
                <w:szCs w:val="18"/>
                <w:lang w:val="sq-AL" w:eastAsia="sq-AL" w:bidi="he-IL"/>
              </w:rPr>
              <w:t>21.2</w:t>
            </w:r>
          </w:p>
        </w:tc>
        <w:tc>
          <w:tcPr>
            <w:tcW w:w="1135" w:type="dxa"/>
            <w:shd w:val="clear" w:color="auto" w:fill="auto"/>
            <w:noWrap/>
            <w:vAlign w:val="bottom"/>
            <w:hideMark/>
          </w:tcPr>
          <w:p w14:paraId="2BC43FEA" w14:textId="77777777" w:rsidR="002D3C56" w:rsidRPr="00050FA4" w:rsidRDefault="002D3C56" w:rsidP="00617B60">
            <w:pPr>
              <w:pStyle w:val="AAAAAAATEXXXX"/>
              <w:ind w:firstLine="0"/>
              <w:jc w:val="right"/>
              <w:rPr>
                <w:sz w:val="18"/>
                <w:szCs w:val="18"/>
                <w:lang w:val="sq-AL" w:eastAsia="sq-AL" w:bidi="he-IL"/>
              </w:rPr>
            </w:pPr>
          </w:p>
        </w:tc>
        <w:tc>
          <w:tcPr>
            <w:tcW w:w="1136" w:type="dxa"/>
            <w:shd w:val="clear" w:color="auto" w:fill="auto"/>
            <w:noWrap/>
            <w:vAlign w:val="bottom"/>
            <w:hideMark/>
          </w:tcPr>
          <w:p w14:paraId="22D4B978" w14:textId="77777777" w:rsidR="002D3C56" w:rsidRPr="00050FA4" w:rsidRDefault="002D3C56" w:rsidP="00617B60">
            <w:pPr>
              <w:pStyle w:val="AAAAAAATEXXXX"/>
              <w:ind w:firstLine="0"/>
              <w:jc w:val="right"/>
              <w:rPr>
                <w:sz w:val="18"/>
                <w:szCs w:val="18"/>
                <w:lang w:val="sq-AL" w:eastAsia="sq-AL" w:bidi="he-IL"/>
              </w:rPr>
            </w:pPr>
          </w:p>
        </w:tc>
      </w:tr>
    </w:tbl>
    <w:p w14:paraId="18C28261" w14:textId="77777777" w:rsidR="002D3C56" w:rsidRPr="00050FA4" w:rsidRDefault="002D3C56" w:rsidP="003F1DA7">
      <w:pPr>
        <w:pStyle w:val="AAAAAAATEXXXX"/>
        <w:rPr>
          <w:sz w:val="20"/>
          <w:szCs w:val="20"/>
          <w:lang w:val="sq-AL"/>
        </w:rPr>
      </w:pPr>
    </w:p>
    <w:p w14:paraId="73598F3B" w14:textId="13659D05" w:rsidR="004A71FE" w:rsidRPr="00050FA4" w:rsidRDefault="004D1F24" w:rsidP="003F1DA7">
      <w:pPr>
        <w:pStyle w:val="AAAAAAATEXXXX"/>
        <w:rPr>
          <w:lang w:val="sq-AL"/>
        </w:rPr>
      </w:pPr>
      <w:bookmarkStart w:id="138" w:name="_Toc93325797"/>
      <w:r w:rsidRPr="00050FA4">
        <w:rPr>
          <w:lang w:val="sq-AL"/>
        </w:rPr>
        <w:t>Tabela</w:t>
      </w:r>
      <w:r w:rsidR="000B0C45" w:rsidRPr="00050FA4">
        <w:rPr>
          <w:lang w:val="sq-AL"/>
        </w:rPr>
        <w:t xml:space="preserve"> </w:t>
      </w:r>
      <w:r w:rsidR="00835FA3" w:rsidRPr="00050FA4">
        <w:rPr>
          <w:lang w:val="sq-AL"/>
        </w:rPr>
        <w:t>9b:</w:t>
      </w:r>
      <w:r w:rsidR="000B0C45" w:rsidRPr="00050FA4">
        <w:rPr>
          <w:lang w:val="sq-AL"/>
        </w:rPr>
        <w:t xml:space="preserve"> </w:t>
      </w:r>
      <w:r w:rsidR="00B2062A" w:rsidRPr="00050FA4">
        <w:rPr>
          <w:lang w:val="sq-AL"/>
        </w:rPr>
        <w:t>Tregues</w:t>
      </w:r>
      <w:r w:rsidR="002D3C56" w:rsidRPr="00050FA4">
        <w:rPr>
          <w:lang w:val="sq-AL"/>
        </w:rPr>
        <w:t xml:space="preserve"> të tjerë</w:t>
      </w:r>
      <w:bookmarkEnd w:id="138"/>
    </w:p>
    <w:tbl>
      <w:tblPr>
        <w:tblW w:w="10480" w:type="dxa"/>
        <w:jc w:val="center"/>
        <w:tblLayout w:type="fixed"/>
        <w:tblLook w:val="04A0" w:firstRow="1" w:lastRow="0" w:firstColumn="1" w:lastColumn="0" w:noHBand="0" w:noVBand="1"/>
      </w:tblPr>
      <w:tblGrid>
        <w:gridCol w:w="3676"/>
        <w:gridCol w:w="1134"/>
        <w:gridCol w:w="963"/>
        <w:gridCol w:w="964"/>
        <w:gridCol w:w="964"/>
        <w:gridCol w:w="964"/>
        <w:gridCol w:w="964"/>
        <w:gridCol w:w="851"/>
      </w:tblGrid>
      <w:tr w:rsidR="00FA29AB" w:rsidRPr="00050FA4" w14:paraId="1C318014" w14:textId="77777777" w:rsidTr="00617B60">
        <w:trPr>
          <w:trHeight w:val="315"/>
          <w:jc w:val="center"/>
        </w:trPr>
        <w:tc>
          <w:tcPr>
            <w:tcW w:w="3676" w:type="dxa"/>
            <w:tcBorders>
              <w:top w:val="single" w:sz="8" w:space="0" w:color="auto"/>
              <w:left w:val="single" w:sz="8" w:space="0" w:color="auto"/>
              <w:bottom w:val="nil"/>
              <w:right w:val="single" w:sz="4" w:space="0" w:color="auto"/>
            </w:tcBorders>
            <w:shd w:val="clear" w:color="auto" w:fill="auto"/>
            <w:noWrap/>
            <w:vAlign w:val="center"/>
            <w:hideMark/>
          </w:tcPr>
          <w:p w14:paraId="26A2F1DF" w14:textId="77777777" w:rsidR="002D3C56" w:rsidRPr="00050FA4" w:rsidRDefault="002D3C56" w:rsidP="00617B60">
            <w:pPr>
              <w:pStyle w:val="AAAAAAATEXXXX"/>
              <w:ind w:firstLine="0"/>
              <w:jc w:val="center"/>
              <w:rPr>
                <w:b/>
                <w:sz w:val="18"/>
                <w:szCs w:val="18"/>
                <w:lang w:val="sq-AL" w:eastAsia="sq-AL" w:bidi="he-IL"/>
              </w:rPr>
            </w:pPr>
          </w:p>
        </w:tc>
        <w:tc>
          <w:tcPr>
            <w:tcW w:w="1134" w:type="dxa"/>
            <w:tcBorders>
              <w:top w:val="single" w:sz="8" w:space="0" w:color="auto"/>
              <w:left w:val="nil"/>
              <w:bottom w:val="nil"/>
              <w:right w:val="single" w:sz="4" w:space="0" w:color="auto"/>
            </w:tcBorders>
            <w:shd w:val="clear" w:color="auto" w:fill="auto"/>
            <w:noWrap/>
            <w:vAlign w:val="center"/>
            <w:hideMark/>
          </w:tcPr>
          <w:p w14:paraId="5425AD49"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Burimi i të dhënave</w:t>
            </w:r>
          </w:p>
        </w:tc>
        <w:tc>
          <w:tcPr>
            <w:tcW w:w="963" w:type="dxa"/>
            <w:tcBorders>
              <w:top w:val="single" w:sz="8" w:space="0" w:color="auto"/>
              <w:left w:val="nil"/>
              <w:bottom w:val="nil"/>
              <w:right w:val="single" w:sz="4" w:space="0" w:color="auto"/>
            </w:tcBorders>
            <w:shd w:val="clear" w:color="auto" w:fill="auto"/>
            <w:noWrap/>
            <w:vAlign w:val="center"/>
            <w:hideMark/>
          </w:tcPr>
          <w:p w14:paraId="4475A8FA"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2017</w:t>
            </w:r>
          </w:p>
        </w:tc>
        <w:tc>
          <w:tcPr>
            <w:tcW w:w="964" w:type="dxa"/>
            <w:tcBorders>
              <w:top w:val="single" w:sz="8" w:space="0" w:color="auto"/>
              <w:left w:val="nil"/>
              <w:bottom w:val="nil"/>
              <w:right w:val="single" w:sz="4" w:space="0" w:color="auto"/>
            </w:tcBorders>
            <w:shd w:val="clear" w:color="auto" w:fill="auto"/>
            <w:noWrap/>
            <w:vAlign w:val="center"/>
            <w:hideMark/>
          </w:tcPr>
          <w:p w14:paraId="70E06864"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2018</w:t>
            </w:r>
          </w:p>
        </w:tc>
        <w:tc>
          <w:tcPr>
            <w:tcW w:w="964" w:type="dxa"/>
            <w:tcBorders>
              <w:top w:val="single" w:sz="8" w:space="0" w:color="auto"/>
              <w:left w:val="nil"/>
              <w:bottom w:val="nil"/>
              <w:right w:val="single" w:sz="4" w:space="0" w:color="auto"/>
            </w:tcBorders>
            <w:shd w:val="clear" w:color="auto" w:fill="auto"/>
            <w:noWrap/>
            <w:vAlign w:val="center"/>
            <w:hideMark/>
          </w:tcPr>
          <w:p w14:paraId="6C11C1E8"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2019</w:t>
            </w:r>
          </w:p>
        </w:tc>
        <w:tc>
          <w:tcPr>
            <w:tcW w:w="964" w:type="dxa"/>
            <w:tcBorders>
              <w:top w:val="single" w:sz="8" w:space="0" w:color="auto"/>
              <w:left w:val="nil"/>
              <w:bottom w:val="nil"/>
              <w:right w:val="single" w:sz="4" w:space="0" w:color="auto"/>
            </w:tcBorders>
            <w:shd w:val="clear" w:color="auto" w:fill="auto"/>
            <w:noWrap/>
            <w:vAlign w:val="center"/>
            <w:hideMark/>
          </w:tcPr>
          <w:p w14:paraId="0048CB9C"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2020</w:t>
            </w:r>
          </w:p>
        </w:tc>
        <w:tc>
          <w:tcPr>
            <w:tcW w:w="964" w:type="dxa"/>
            <w:tcBorders>
              <w:top w:val="single" w:sz="8" w:space="0" w:color="auto"/>
              <w:left w:val="nil"/>
              <w:bottom w:val="nil"/>
              <w:right w:val="single" w:sz="8" w:space="0" w:color="auto"/>
            </w:tcBorders>
            <w:shd w:val="clear" w:color="auto" w:fill="auto"/>
            <w:noWrap/>
            <w:vAlign w:val="center"/>
            <w:hideMark/>
          </w:tcPr>
          <w:p w14:paraId="03B7C990"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2021 Q1</w:t>
            </w:r>
          </w:p>
        </w:tc>
        <w:tc>
          <w:tcPr>
            <w:tcW w:w="851" w:type="dxa"/>
            <w:tcBorders>
              <w:top w:val="single" w:sz="8" w:space="0" w:color="auto"/>
              <w:left w:val="nil"/>
              <w:bottom w:val="nil"/>
              <w:right w:val="single" w:sz="8" w:space="0" w:color="auto"/>
            </w:tcBorders>
            <w:vAlign w:val="center"/>
          </w:tcPr>
          <w:p w14:paraId="3CBC3B08" w14:textId="77777777" w:rsidR="002D3C56" w:rsidRPr="00050FA4" w:rsidRDefault="002D3C56" w:rsidP="00617B60">
            <w:pPr>
              <w:pStyle w:val="AAAAAAATEXXXX"/>
              <w:ind w:firstLine="0"/>
              <w:jc w:val="center"/>
              <w:rPr>
                <w:b/>
                <w:sz w:val="18"/>
                <w:szCs w:val="18"/>
                <w:lang w:val="sq-AL" w:eastAsia="sq-AL" w:bidi="he-IL"/>
              </w:rPr>
            </w:pPr>
            <w:r w:rsidRPr="00050FA4">
              <w:rPr>
                <w:b/>
                <w:sz w:val="18"/>
                <w:szCs w:val="18"/>
                <w:lang w:val="sq-AL" w:eastAsia="sq-AL" w:bidi="he-IL"/>
              </w:rPr>
              <w:t>2021 Q2</w:t>
            </w:r>
          </w:p>
        </w:tc>
      </w:tr>
      <w:tr w:rsidR="00FA29AB" w:rsidRPr="00050FA4" w14:paraId="76D3C495"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20B4E9E" w14:textId="11995621"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Tregues të tjerë social</w:t>
            </w:r>
            <w:r w:rsidR="000109D2" w:rsidRPr="00050FA4">
              <w:rPr>
                <w:b/>
                <w:bCs/>
                <w:sz w:val="18"/>
                <w:szCs w:val="18"/>
                <w:lang w:val="sq-AL" w:eastAsia="sq-AL" w:bidi="he-IL"/>
              </w:rPr>
              <w:t>ë</w:t>
            </w:r>
            <w:r w:rsidRPr="00050FA4">
              <w:rPr>
                <w:b/>
                <w:bCs/>
                <w:sz w:val="18"/>
                <w:szCs w:val="18"/>
                <w:lang w:val="sq-AL" w:eastAsia="sq-AL" w:bidi="he-IL"/>
              </w:rPr>
              <w:t xml:space="preserve"> dhe shëndetësor</w:t>
            </w:r>
          </w:p>
        </w:tc>
      </w:tr>
      <w:tr w:rsidR="00FA29AB" w:rsidRPr="00050FA4" w14:paraId="38E277FA"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3529896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 Shpenzimet publike për mbrojtjen sociale në % të PBB-së</w:t>
            </w:r>
          </w:p>
        </w:tc>
        <w:tc>
          <w:tcPr>
            <w:tcW w:w="1134" w:type="dxa"/>
            <w:tcBorders>
              <w:top w:val="nil"/>
              <w:left w:val="nil"/>
              <w:bottom w:val="single" w:sz="4" w:space="0" w:color="auto"/>
              <w:right w:val="single" w:sz="4" w:space="0" w:color="auto"/>
            </w:tcBorders>
            <w:shd w:val="clear" w:color="auto" w:fill="auto"/>
            <w:noWrap/>
            <w:vAlign w:val="bottom"/>
            <w:hideMark/>
          </w:tcPr>
          <w:p w14:paraId="158834D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MFE, INSTAT</w:t>
            </w:r>
          </w:p>
        </w:tc>
        <w:tc>
          <w:tcPr>
            <w:tcW w:w="963" w:type="dxa"/>
            <w:tcBorders>
              <w:top w:val="nil"/>
              <w:left w:val="nil"/>
              <w:bottom w:val="single" w:sz="4" w:space="0" w:color="auto"/>
              <w:right w:val="single" w:sz="4" w:space="0" w:color="auto"/>
            </w:tcBorders>
            <w:shd w:val="clear" w:color="auto" w:fill="auto"/>
            <w:noWrap/>
            <w:vAlign w:val="bottom"/>
            <w:hideMark/>
          </w:tcPr>
          <w:p w14:paraId="255F02F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9.29</w:t>
            </w:r>
          </w:p>
        </w:tc>
        <w:tc>
          <w:tcPr>
            <w:tcW w:w="964" w:type="dxa"/>
            <w:tcBorders>
              <w:top w:val="nil"/>
              <w:left w:val="nil"/>
              <w:bottom w:val="single" w:sz="4" w:space="0" w:color="auto"/>
              <w:right w:val="single" w:sz="4" w:space="0" w:color="auto"/>
            </w:tcBorders>
            <w:shd w:val="clear" w:color="auto" w:fill="auto"/>
            <w:noWrap/>
            <w:vAlign w:val="bottom"/>
            <w:hideMark/>
          </w:tcPr>
          <w:p w14:paraId="490119FD"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9.23</w:t>
            </w:r>
          </w:p>
        </w:tc>
        <w:tc>
          <w:tcPr>
            <w:tcW w:w="964" w:type="dxa"/>
            <w:tcBorders>
              <w:top w:val="nil"/>
              <w:left w:val="nil"/>
              <w:bottom w:val="single" w:sz="4" w:space="0" w:color="auto"/>
              <w:right w:val="single" w:sz="4" w:space="0" w:color="auto"/>
            </w:tcBorders>
            <w:shd w:val="clear" w:color="auto" w:fill="auto"/>
            <w:noWrap/>
            <w:vAlign w:val="bottom"/>
            <w:hideMark/>
          </w:tcPr>
          <w:p w14:paraId="4A4EE676"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9.40</w:t>
            </w:r>
          </w:p>
        </w:tc>
        <w:tc>
          <w:tcPr>
            <w:tcW w:w="964" w:type="dxa"/>
            <w:tcBorders>
              <w:top w:val="nil"/>
              <w:left w:val="nil"/>
              <w:bottom w:val="single" w:sz="4" w:space="0" w:color="auto"/>
              <w:right w:val="single" w:sz="4" w:space="0" w:color="auto"/>
            </w:tcBorders>
            <w:shd w:val="clear" w:color="auto" w:fill="auto"/>
            <w:noWrap/>
            <w:vAlign w:val="bottom"/>
            <w:hideMark/>
          </w:tcPr>
          <w:p w14:paraId="4FEC17C1"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10.99</w:t>
            </w:r>
          </w:p>
        </w:tc>
        <w:tc>
          <w:tcPr>
            <w:tcW w:w="964" w:type="dxa"/>
            <w:tcBorders>
              <w:top w:val="nil"/>
              <w:left w:val="nil"/>
              <w:bottom w:val="single" w:sz="4" w:space="0" w:color="auto"/>
              <w:right w:val="single" w:sz="8" w:space="0" w:color="auto"/>
            </w:tcBorders>
            <w:shd w:val="clear" w:color="auto" w:fill="auto"/>
            <w:noWrap/>
            <w:vAlign w:val="bottom"/>
            <w:hideMark/>
          </w:tcPr>
          <w:p w14:paraId="2F582D9E"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64DACC74"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4F87613C"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632172A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 Shpenzimet publike të kujdesit shëndetësor në % të PBB-së</w:t>
            </w:r>
          </w:p>
        </w:tc>
        <w:tc>
          <w:tcPr>
            <w:tcW w:w="1134" w:type="dxa"/>
            <w:tcBorders>
              <w:top w:val="nil"/>
              <w:left w:val="nil"/>
              <w:bottom w:val="single" w:sz="4" w:space="0" w:color="auto"/>
              <w:right w:val="single" w:sz="4" w:space="0" w:color="auto"/>
            </w:tcBorders>
            <w:shd w:val="clear" w:color="auto" w:fill="auto"/>
            <w:noWrap/>
            <w:vAlign w:val="bottom"/>
            <w:hideMark/>
          </w:tcPr>
          <w:p w14:paraId="15378F44"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MFE, INSTAT</w:t>
            </w:r>
          </w:p>
        </w:tc>
        <w:tc>
          <w:tcPr>
            <w:tcW w:w="963" w:type="dxa"/>
            <w:tcBorders>
              <w:top w:val="nil"/>
              <w:left w:val="nil"/>
              <w:bottom w:val="single" w:sz="4" w:space="0" w:color="auto"/>
              <w:right w:val="single" w:sz="4" w:space="0" w:color="auto"/>
            </w:tcBorders>
            <w:shd w:val="clear" w:color="auto" w:fill="auto"/>
            <w:noWrap/>
            <w:vAlign w:val="bottom"/>
            <w:hideMark/>
          </w:tcPr>
          <w:p w14:paraId="0F7FD216"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2.92</w:t>
            </w:r>
          </w:p>
        </w:tc>
        <w:tc>
          <w:tcPr>
            <w:tcW w:w="964" w:type="dxa"/>
            <w:tcBorders>
              <w:top w:val="nil"/>
              <w:left w:val="nil"/>
              <w:bottom w:val="single" w:sz="4" w:space="0" w:color="auto"/>
              <w:right w:val="single" w:sz="4" w:space="0" w:color="auto"/>
            </w:tcBorders>
            <w:shd w:val="clear" w:color="auto" w:fill="auto"/>
            <w:noWrap/>
            <w:vAlign w:val="bottom"/>
            <w:hideMark/>
          </w:tcPr>
          <w:p w14:paraId="35AB5A2E"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2.99</w:t>
            </w:r>
          </w:p>
        </w:tc>
        <w:tc>
          <w:tcPr>
            <w:tcW w:w="964" w:type="dxa"/>
            <w:tcBorders>
              <w:top w:val="nil"/>
              <w:left w:val="nil"/>
              <w:bottom w:val="single" w:sz="4" w:space="0" w:color="auto"/>
              <w:right w:val="single" w:sz="4" w:space="0" w:color="auto"/>
            </w:tcBorders>
            <w:shd w:val="clear" w:color="auto" w:fill="auto"/>
            <w:noWrap/>
            <w:vAlign w:val="bottom"/>
            <w:hideMark/>
          </w:tcPr>
          <w:p w14:paraId="09AF556E"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3.03</w:t>
            </w:r>
          </w:p>
        </w:tc>
        <w:tc>
          <w:tcPr>
            <w:tcW w:w="964" w:type="dxa"/>
            <w:tcBorders>
              <w:top w:val="nil"/>
              <w:left w:val="nil"/>
              <w:bottom w:val="single" w:sz="4" w:space="0" w:color="auto"/>
              <w:right w:val="single" w:sz="4" w:space="0" w:color="auto"/>
            </w:tcBorders>
            <w:shd w:val="clear" w:color="auto" w:fill="auto"/>
            <w:noWrap/>
            <w:vAlign w:val="bottom"/>
            <w:hideMark/>
          </w:tcPr>
          <w:p w14:paraId="266D11B6"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3.19</w:t>
            </w:r>
          </w:p>
        </w:tc>
        <w:tc>
          <w:tcPr>
            <w:tcW w:w="964" w:type="dxa"/>
            <w:tcBorders>
              <w:top w:val="nil"/>
              <w:left w:val="nil"/>
              <w:bottom w:val="single" w:sz="4" w:space="0" w:color="auto"/>
              <w:right w:val="single" w:sz="8" w:space="0" w:color="auto"/>
            </w:tcBorders>
            <w:shd w:val="clear" w:color="auto" w:fill="auto"/>
            <w:noWrap/>
            <w:vAlign w:val="bottom"/>
            <w:hideMark/>
          </w:tcPr>
          <w:p w14:paraId="414D4829"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4CD62CF4"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4A8C2A33"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17AA176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3. Pagesat nga xhepi i familjeve si % e shpenzimeve totale shëndetësore</w:t>
            </w:r>
          </w:p>
        </w:tc>
        <w:tc>
          <w:tcPr>
            <w:tcW w:w="1134" w:type="dxa"/>
            <w:tcBorders>
              <w:top w:val="nil"/>
              <w:left w:val="nil"/>
              <w:bottom w:val="single" w:sz="4" w:space="0" w:color="auto"/>
              <w:right w:val="single" w:sz="4" w:space="0" w:color="auto"/>
            </w:tcBorders>
            <w:shd w:val="clear" w:color="auto" w:fill="auto"/>
            <w:noWrap/>
            <w:vAlign w:val="bottom"/>
            <w:hideMark/>
          </w:tcPr>
          <w:p w14:paraId="7350DE1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006565D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4CFF926F"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03A19D2C"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6A17519C"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1BA2C975"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4F1743AD" w14:textId="77777777" w:rsidR="002D3C56" w:rsidRPr="00050FA4" w:rsidRDefault="002D3C56" w:rsidP="00617B60">
            <w:pPr>
              <w:pStyle w:val="AAAAAAATEXXXX"/>
              <w:ind w:firstLine="0"/>
              <w:jc w:val="right"/>
              <w:rPr>
                <w:sz w:val="18"/>
                <w:szCs w:val="18"/>
                <w:lang w:val="sq-AL" w:eastAsia="sq-AL" w:bidi="he-IL"/>
              </w:rPr>
            </w:pPr>
          </w:p>
        </w:tc>
      </w:tr>
      <w:tr w:rsidR="00FA29AB" w:rsidRPr="00050FA4" w14:paraId="651BB701"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7E3BC50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4. Përqindja e popullsisë që nuk mbulohet nga sigurimet shëndetësore</w:t>
            </w:r>
          </w:p>
        </w:tc>
        <w:tc>
          <w:tcPr>
            <w:tcW w:w="1134" w:type="dxa"/>
            <w:tcBorders>
              <w:top w:val="nil"/>
              <w:left w:val="nil"/>
              <w:bottom w:val="single" w:sz="4" w:space="0" w:color="auto"/>
              <w:right w:val="single" w:sz="4" w:space="0" w:color="auto"/>
            </w:tcBorders>
            <w:shd w:val="clear" w:color="auto" w:fill="auto"/>
            <w:noWrap/>
            <w:vAlign w:val="bottom"/>
            <w:hideMark/>
          </w:tcPr>
          <w:p w14:paraId="5601DFCD"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20F3A1E7"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3D96DA0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5F36565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429A483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33D1BB0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0FFFD85A" w14:textId="77777777" w:rsidR="002D3C56" w:rsidRPr="00050FA4" w:rsidRDefault="002D3C56" w:rsidP="00A95D23">
            <w:pPr>
              <w:pStyle w:val="AAAAAAATEXXXX"/>
              <w:ind w:firstLine="0"/>
              <w:rPr>
                <w:sz w:val="18"/>
                <w:szCs w:val="18"/>
                <w:lang w:val="sq-AL" w:eastAsia="sq-AL" w:bidi="he-IL"/>
              </w:rPr>
            </w:pPr>
          </w:p>
        </w:tc>
      </w:tr>
      <w:tr w:rsidR="00FA29AB" w:rsidRPr="00050FA4" w14:paraId="56727872"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7348980C"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5. Raporti i mjekëve për 1000 banorë</w:t>
            </w:r>
          </w:p>
        </w:tc>
        <w:tc>
          <w:tcPr>
            <w:tcW w:w="1134" w:type="dxa"/>
            <w:tcBorders>
              <w:top w:val="nil"/>
              <w:left w:val="nil"/>
              <w:bottom w:val="single" w:sz="4" w:space="0" w:color="auto"/>
              <w:right w:val="single" w:sz="4" w:space="0" w:color="auto"/>
            </w:tcBorders>
            <w:shd w:val="clear" w:color="auto" w:fill="auto"/>
            <w:noWrap/>
            <w:vAlign w:val="bottom"/>
            <w:hideMark/>
          </w:tcPr>
          <w:p w14:paraId="42FDF9C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2463ECA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287BC18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2EBD1F1B"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285F2354"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64DB2328"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45E0A6F9" w14:textId="77777777" w:rsidR="002D3C56" w:rsidRPr="00050FA4" w:rsidRDefault="002D3C56" w:rsidP="00A95D23">
            <w:pPr>
              <w:pStyle w:val="AAAAAAATEXXXX"/>
              <w:ind w:firstLine="0"/>
              <w:rPr>
                <w:sz w:val="18"/>
                <w:szCs w:val="18"/>
                <w:lang w:val="sq-AL" w:eastAsia="sq-AL" w:bidi="he-IL"/>
              </w:rPr>
            </w:pPr>
          </w:p>
        </w:tc>
      </w:tr>
      <w:tr w:rsidR="00FA29AB" w:rsidRPr="00050FA4" w14:paraId="3889C76C"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00838D07"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6. Raporti i infermierëve për 1000 banorë</w:t>
            </w:r>
          </w:p>
        </w:tc>
        <w:tc>
          <w:tcPr>
            <w:tcW w:w="1134" w:type="dxa"/>
            <w:tcBorders>
              <w:top w:val="nil"/>
              <w:left w:val="nil"/>
              <w:bottom w:val="nil"/>
              <w:right w:val="single" w:sz="4" w:space="0" w:color="auto"/>
            </w:tcBorders>
            <w:shd w:val="clear" w:color="auto" w:fill="auto"/>
            <w:noWrap/>
            <w:vAlign w:val="bottom"/>
            <w:hideMark/>
          </w:tcPr>
          <w:p w14:paraId="51C5F054"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nil"/>
              <w:right w:val="single" w:sz="4" w:space="0" w:color="auto"/>
            </w:tcBorders>
            <w:shd w:val="clear" w:color="auto" w:fill="auto"/>
            <w:noWrap/>
            <w:vAlign w:val="bottom"/>
            <w:hideMark/>
          </w:tcPr>
          <w:p w14:paraId="31A1957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1EF0D2F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17D97565"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0C795140"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8" w:space="0" w:color="auto"/>
            </w:tcBorders>
            <w:shd w:val="clear" w:color="auto" w:fill="auto"/>
            <w:noWrap/>
            <w:vAlign w:val="bottom"/>
            <w:hideMark/>
          </w:tcPr>
          <w:p w14:paraId="252EC88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nil"/>
              <w:right w:val="single" w:sz="8" w:space="0" w:color="auto"/>
            </w:tcBorders>
          </w:tcPr>
          <w:p w14:paraId="0ECF0F47" w14:textId="77777777" w:rsidR="002D3C56" w:rsidRPr="00050FA4" w:rsidRDefault="002D3C56" w:rsidP="00A95D23">
            <w:pPr>
              <w:pStyle w:val="AAAAAAATEXXXX"/>
              <w:ind w:firstLine="0"/>
              <w:rPr>
                <w:sz w:val="18"/>
                <w:szCs w:val="18"/>
                <w:lang w:val="sq-AL" w:eastAsia="sq-AL" w:bidi="he-IL"/>
              </w:rPr>
            </w:pPr>
          </w:p>
        </w:tc>
      </w:tr>
      <w:tr w:rsidR="00FA29AB" w:rsidRPr="00050FA4" w14:paraId="58609634"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8B44FA8" w14:textId="77777777"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Mjedisi</w:t>
            </w:r>
          </w:p>
        </w:tc>
      </w:tr>
      <w:tr w:rsidR="00FA29AB" w:rsidRPr="00050FA4" w14:paraId="2872ECAD"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0C6F2F3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7. Të ardhurat totale nga taksat mjedisore si pjesë e të ardhurave totale nga taksat dhe kontributet sociale</w:t>
            </w:r>
          </w:p>
        </w:tc>
        <w:tc>
          <w:tcPr>
            <w:tcW w:w="1134" w:type="dxa"/>
            <w:tcBorders>
              <w:top w:val="nil"/>
              <w:left w:val="nil"/>
              <w:bottom w:val="single" w:sz="4" w:space="0" w:color="auto"/>
              <w:right w:val="single" w:sz="4" w:space="0" w:color="auto"/>
            </w:tcBorders>
            <w:shd w:val="clear" w:color="auto" w:fill="auto"/>
            <w:noWrap/>
            <w:vAlign w:val="bottom"/>
            <w:hideMark/>
          </w:tcPr>
          <w:p w14:paraId="20743C0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262EF47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7264531D"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0DD564F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4E9015A7"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089B760C"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4F0C5DAF" w14:textId="77777777" w:rsidR="002D3C56" w:rsidRPr="00050FA4" w:rsidRDefault="002D3C56" w:rsidP="00A95D23">
            <w:pPr>
              <w:pStyle w:val="AAAAAAATEXXXX"/>
              <w:ind w:firstLine="0"/>
              <w:rPr>
                <w:sz w:val="18"/>
                <w:szCs w:val="18"/>
                <w:lang w:val="sq-AL" w:eastAsia="sq-AL" w:bidi="he-IL"/>
              </w:rPr>
            </w:pPr>
          </w:p>
        </w:tc>
      </w:tr>
      <w:tr w:rsidR="00FA29AB" w:rsidRPr="00050FA4" w14:paraId="68713798"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5BEE641D"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8. Emetimet e gazeve serrë për frymë</w:t>
            </w:r>
          </w:p>
        </w:tc>
        <w:tc>
          <w:tcPr>
            <w:tcW w:w="1134" w:type="dxa"/>
            <w:tcBorders>
              <w:top w:val="nil"/>
              <w:left w:val="nil"/>
              <w:bottom w:val="single" w:sz="4" w:space="0" w:color="auto"/>
              <w:right w:val="single" w:sz="4" w:space="0" w:color="auto"/>
            </w:tcBorders>
            <w:shd w:val="clear" w:color="auto" w:fill="auto"/>
            <w:noWrap/>
            <w:vAlign w:val="bottom"/>
            <w:hideMark/>
          </w:tcPr>
          <w:p w14:paraId="6383A05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4BAC55AC"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2D5F764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424A91D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41C9901D"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6CAA8C6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65D99D37" w14:textId="77777777" w:rsidR="002D3C56" w:rsidRPr="00050FA4" w:rsidRDefault="002D3C56" w:rsidP="00A95D23">
            <w:pPr>
              <w:pStyle w:val="AAAAAAATEXXXX"/>
              <w:ind w:firstLine="0"/>
              <w:rPr>
                <w:sz w:val="18"/>
                <w:szCs w:val="18"/>
                <w:lang w:val="sq-AL" w:eastAsia="sq-AL" w:bidi="he-IL"/>
              </w:rPr>
            </w:pPr>
          </w:p>
        </w:tc>
      </w:tr>
      <w:tr w:rsidR="00FA29AB" w:rsidRPr="00050FA4" w14:paraId="3CF97C26"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5A6EC2A5"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9. Gjenerimi i mbetjeve duke përjashtuar mbetjet kryesore minerale</w:t>
            </w:r>
          </w:p>
        </w:tc>
        <w:tc>
          <w:tcPr>
            <w:tcW w:w="1134" w:type="dxa"/>
            <w:tcBorders>
              <w:top w:val="nil"/>
              <w:left w:val="nil"/>
              <w:bottom w:val="nil"/>
              <w:right w:val="single" w:sz="4" w:space="0" w:color="auto"/>
            </w:tcBorders>
            <w:shd w:val="clear" w:color="auto" w:fill="auto"/>
            <w:noWrap/>
            <w:vAlign w:val="bottom"/>
            <w:hideMark/>
          </w:tcPr>
          <w:p w14:paraId="662E1A84"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nil"/>
              <w:right w:val="single" w:sz="4" w:space="0" w:color="auto"/>
            </w:tcBorders>
            <w:shd w:val="clear" w:color="auto" w:fill="auto"/>
            <w:noWrap/>
            <w:vAlign w:val="bottom"/>
            <w:hideMark/>
          </w:tcPr>
          <w:p w14:paraId="11BC2D5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7B24585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3C5D02F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57480BDB"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8" w:space="0" w:color="auto"/>
            </w:tcBorders>
            <w:shd w:val="clear" w:color="auto" w:fill="auto"/>
            <w:noWrap/>
            <w:vAlign w:val="bottom"/>
            <w:hideMark/>
          </w:tcPr>
          <w:p w14:paraId="01FBC500"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nil"/>
              <w:right w:val="single" w:sz="8" w:space="0" w:color="auto"/>
            </w:tcBorders>
          </w:tcPr>
          <w:p w14:paraId="32C14ED1" w14:textId="77777777" w:rsidR="002D3C56" w:rsidRPr="00050FA4" w:rsidRDefault="002D3C56" w:rsidP="00A95D23">
            <w:pPr>
              <w:pStyle w:val="AAAAAAATEXXXX"/>
              <w:ind w:firstLine="0"/>
              <w:rPr>
                <w:sz w:val="18"/>
                <w:szCs w:val="18"/>
                <w:lang w:val="sq-AL" w:eastAsia="sq-AL" w:bidi="he-IL"/>
              </w:rPr>
            </w:pPr>
          </w:p>
        </w:tc>
      </w:tr>
      <w:tr w:rsidR="00FA29AB" w:rsidRPr="00050FA4" w14:paraId="44969643"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A1C8E94" w14:textId="593721F2"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 xml:space="preserve">Ekonomia </w:t>
            </w:r>
            <w:r w:rsidR="00C948AF" w:rsidRPr="00050FA4">
              <w:rPr>
                <w:b/>
                <w:bCs/>
                <w:sz w:val="18"/>
                <w:szCs w:val="18"/>
                <w:lang w:val="sq-AL" w:eastAsia="sq-AL" w:bidi="he-IL"/>
              </w:rPr>
              <w:t>digjital</w:t>
            </w:r>
            <w:r w:rsidRPr="00050FA4">
              <w:rPr>
                <w:b/>
                <w:bCs/>
                <w:sz w:val="18"/>
                <w:szCs w:val="18"/>
                <w:lang w:val="sq-AL" w:eastAsia="sq-AL" w:bidi="he-IL"/>
              </w:rPr>
              <w:t>e</w:t>
            </w:r>
          </w:p>
        </w:tc>
      </w:tr>
      <w:tr w:rsidR="00FA29AB" w:rsidRPr="00050FA4" w14:paraId="5C020AC5" w14:textId="77777777" w:rsidTr="00957675">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600F61A7"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10. Përqindja e familjeve me akses me brez të gjerë (të lëvizshme dhe fikse)</w:t>
            </w:r>
          </w:p>
        </w:tc>
        <w:tc>
          <w:tcPr>
            <w:tcW w:w="1134" w:type="dxa"/>
            <w:tcBorders>
              <w:top w:val="nil"/>
              <w:left w:val="nil"/>
              <w:bottom w:val="single" w:sz="4" w:space="0" w:color="auto"/>
              <w:right w:val="single" w:sz="4" w:space="0" w:color="auto"/>
            </w:tcBorders>
            <w:shd w:val="clear" w:color="auto" w:fill="auto"/>
            <w:noWrap/>
            <w:vAlign w:val="bottom"/>
            <w:hideMark/>
          </w:tcPr>
          <w:p w14:paraId="4922314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Anketa e përdorimit të TIK nga familjet dhe individët</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14:paraId="3FC9B3C2"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NA</w:t>
            </w:r>
          </w:p>
        </w:tc>
        <w:tc>
          <w:tcPr>
            <w:tcW w:w="964" w:type="dxa"/>
            <w:tcBorders>
              <w:top w:val="nil"/>
              <w:left w:val="nil"/>
              <w:bottom w:val="single" w:sz="4" w:space="0" w:color="auto"/>
              <w:right w:val="single" w:sz="4" w:space="0" w:color="auto"/>
            </w:tcBorders>
            <w:shd w:val="clear" w:color="auto" w:fill="auto"/>
            <w:noWrap/>
            <w:vAlign w:val="bottom"/>
            <w:hideMark/>
          </w:tcPr>
          <w:p w14:paraId="3801E51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83.6</w:t>
            </w:r>
          </w:p>
        </w:tc>
        <w:tc>
          <w:tcPr>
            <w:tcW w:w="964" w:type="dxa"/>
            <w:tcBorders>
              <w:top w:val="nil"/>
              <w:left w:val="nil"/>
              <w:bottom w:val="single" w:sz="4" w:space="0" w:color="auto"/>
              <w:right w:val="single" w:sz="4" w:space="0" w:color="auto"/>
            </w:tcBorders>
            <w:shd w:val="clear" w:color="auto" w:fill="auto"/>
            <w:noWrap/>
            <w:vAlign w:val="bottom"/>
            <w:hideMark/>
          </w:tcPr>
          <w:p w14:paraId="3BBE14AC"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85.45</w:t>
            </w:r>
          </w:p>
        </w:tc>
        <w:tc>
          <w:tcPr>
            <w:tcW w:w="964" w:type="dxa"/>
            <w:tcBorders>
              <w:top w:val="nil"/>
              <w:left w:val="nil"/>
              <w:bottom w:val="single" w:sz="4" w:space="0" w:color="auto"/>
              <w:right w:val="single" w:sz="4" w:space="0" w:color="auto"/>
            </w:tcBorders>
            <w:shd w:val="clear" w:color="auto" w:fill="auto"/>
            <w:noWrap/>
            <w:vAlign w:val="bottom"/>
            <w:hideMark/>
          </w:tcPr>
          <w:p w14:paraId="062BCD4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87.2</w:t>
            </w:r>
            <w:r w:rsidRPr="00050FA4">
              <w:rPr>
                <w:rStyle w:val="FootnoteReference"/>
                <w:rFonts w:cstheme="majorBidi"/>
                <w:color w:val="0D0D0D" w:themeColor="text1" w:themeTint="F2"/>
                <w:sz w:val="18"/>
                <w:szCs w:val="18"/>
                <w:lang w:val="sq-AL"/>
              </w:rPr>
              <w:footnoteReference w:id="29"/>
            </w:r>
          </w:p>
        </w:tc>
        <w:tc>
          <w:tcPr>
            <w:tcW w:w="964" w:type="dxa"/>
            <w:tcBorders>
              <w:top w:val="nil"/>
              <w:left w:val="nil"/>
              <w:bottom w:val="single" w:sz="4" w:space="0" w:color="auto"/>
              <w:right w:val="single" w:sz="4" w:space="0" w:color="auto"/>
            </w:tcBorders>
            <w:shd w:val="clear" w:color="auto" w:fill="auto"/>
            <w:noWrap/>
            <w:vAlign w:val="bottom"/>
            <w:hideMark/>
          </w:tcPr>
          <w:p w14:paraId="596DBDA8"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0</w:t>
            </w:r>
          </w:p>
        </w:tc>
        <w:tc>
          <w:tcPr>
            <w:tcW w:w="851" w:type="dxa"/>
            <w:tcBorders>
              <w:top w:val="nil"/>
              <w:left w:val="nil"/>
              <w:bottom w:val="single" w:sz="4" w:space="0" w:color="auto"/>
              <w:right w:val="single" w:sz="8" w:space="0" w:color="auto"/>
            </w:tcBorders>
          </w:tcPr>
          <w:p w14:paraId="6211B2B7" w14:textId="77777777" w:rsidR="002D3C56" w:rsidRPr="00050FA4" w:rsidRDefault="002D3C56" w:rsidP="00B02860">
            <w:pPr>
              <w:pStyle w:val="AAAAAAATEXXXX"/>
              <w:ind w:firstLine="0"/>
              <w:jc w:val="right"/>
              <w:rPr>
                <w:sz w:val="18"/>
                <w:szCs w:val="18"/>
                <w:lang w:val="sq-AL" w:eastAsia="sq-AL" w:bidi="he-IL"/>
              </w:rPr>
            </w:pPr>
          </w:p>
        </w:tc>
      </w:tr>
      <w:tr w:rsidR="00FA29AB" w:rsidRPr="00050FA4" w14:paraId="3D88FD55" w14:textId="77777777" w:rsidTr="00957675">
        <w:trPr>
          <w:trHeight w:val="315"/>
          <w:jc w:val="center"/>
        </w:trPr>
        <w:tc>
          <w:tcPr>
            <w:tcW w:w="3676" w:type="dxa"/>
            <w:tcBorders>
              <w:top w:val="nil"/>
              <w:left w:val="single" w:sz="8" w:space="0" w:color="auto"/>
              <w:bottom w:val="nil"/>
              <w:right w:val="single" w:sz="4" w:space="0" w:color="auto"/>
            </w:tcBorders>
            <w:shd w:val="clear" w:color="auto" w:fill="auto"/>
            <w:noWrap/>
            <w:hideMark/>
          </w:tcPr>
          <w:p w14:paraId="5563FDCF"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11. Pjesa e popullsisë totale që përdor internetin [NB: popullsia 16-74]</w:t>
            </w:r>
          </w:p>
        </w:tc>
        <w:tc>
          <w:tcPr>
            <w:tcW w:w="1134" w:type="dxa"/>
            <w:tcBorders>
              <w:top w:val="nil"/>
              <w:left w:val="nil"/>
              <w:bottom w:val="nil"/>
              <w:right w:val="single" w:sz="4" w:space="0" w:color="auto"/>
            </w:tcBorders>
            <w:shd w:val="clear" w:color="auto" w:fill="auto"/>
            <w:noWrap/>
            <w:vAlign w:val="bottom"/>
            <w:hideMark/>
          </w:tcPr>
          <w:p w14:paraId="780CCAA8"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Anketa e përdorimit të TIK nga familjet dhe individët</w:t>
            </w:r>
          </w:p>
        </w:tc>
        <w:tc>
          <w:tcPr>
            <w:tcW w:w="963" w:type="dxa"/>
            <w:tcBorders>
              <w:top w:val="nil"/>
              <w:left w:val="nil"/>
              <w:bottom w:val="nil"/>
              <w:right w:val="single" w:sz="4" w:space="0" w:color="auto"/>
            </w:tcBorders>
            <w:shd w:val="clear" w:color="auto" w:fill="auto"/>
            <w:noWrap/>
            <w:vAlign w:val="bottom"/>
            <w:hideMark/>
          </w:tcPr>
          <w:p w14:paraId="1DC794C8"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NA</w:t>
            </w:r>
          </w:p>
        </w:tc>
        <w:tc>
          <w:tcPr>
            <w:tcW w:w="964" w:type="dxa"/>
            <w:tcBorders>
              <w:top w:val="nil"/>
              <w:left w:val="nil"/>
              <w:bottom w:val="nil"/>
              <w:right w:val="single" w:sz="4" w:space="0" w:color="auto"/>
            </w:tcBorders>
            <w:shd w:val="clear" w:color="auto" w:fill="auto"/>
            <w:noWrap/>
            <w:vAlign w:val="bottom"/>
            <w:hideMark/>
          </w:tcPr>
          <w:p w14:paraId="0CA378F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62.6</w:t>
            </w:r>
          </w:p>
        </w:tc>
        <w:tc>
          <w:tcPr>
            <w:tcW w:w="964" w:type="dxa"/>
            <w:tcBorders>
              <w:top w:val="nil"/>
              <w:left w:val="nil"/>
              <w:bottom w:val="nil"/>
              <w:right w:val="single" w:sz="4" w:space="0" w:color="auto"/>
            </w:tcBorders>
            <w:shd w:val="clear" w:color="auto" w:fill="auto"/>
            <w:noWrap/>
            <w:vAlign w:val="bottom"/>
            <w:hideMark/>
          </w:tcPr>
          <w:p w14:paraId="7664CAC3"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68.6</w:t>
            </w:r>
          </w:p>
        </w:tc>
        <w:tc>
          <w:tcPr>
            <w:tcW w:w="964" w:type="dxa"/>
            <w:tcBorders>
              <w:top w:val="nil"/>
              <w:left w:val="nil"/>
              <w:bottom w:val="nil"/>
              <w:right w:val="single" w:sz="4" w:space="0" w:color="auto"/>
            </w:tcBorders>
            <w:shd w:val="clear" w:color="auto" w:fill="auto"/>
            <w:noWrap/>
            <w:vAlign w:val="bottom"/>
            <w:hideMark/>
          </w:tcPr>
          <w:p w14:paraId="13C380AC"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72.2</w:t>
            </w:r>
          </w:p>
        </w:tc>
        <w:tc>
          <w:tcPr>
            <w:tcW w:w="964" w:type="dxa"/>
            <w:tcBorders>
              <w:top w:val="nil"/>
              <w:left w:val="nil"/>
              <w:bottom w:val="nil"/>
              <w:right w:val="single" w:sz="8" w:space="0" w:color="auto"/>
            </w:tcBorders>
            <w:shd w:val="clear" w:color="auto" w:fill="auto"/>
            <w:noWrap/>
            <w:vAlign w:val="bottom"/>
            <w:hideMark/>
          </w:tcPr>
          <w:p w14:paraId="4E2BF44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0</w:t>
            </w:r>
          </w:p>
        </w:tc>
        <w:tc>
          <w:tcPr>
            <w:tcW w:w="851" w:type="dxa"/>
            <w:tcBorders>
              <w:top w:val="nil"/>
              <w:left w:val="nil"/>
              <w:bottom w:val="nil"/>
              <w:right w:val="single" w:sz="8" w:space="0" w:color="auto"/>
            </w:tcBorders>
          </w:tcPr>
          <w:p w14:paraId="0746ADDF" w14:textId="77777777" w:rsidR="002D3C56" w:rsidRPr="00050FA4" w:rsidRDefault="002D3C56" w:rsidP="00B02860">
            <w:pPr>
              <w:pStyle w:val="AAAAAAATEXXXX"/>
              <w:ind w:firstLine="0"/>
              <w:jc w:val="right"/>
              <w:rPr>
                <w:sz w:val="18"/>
                <w:szCs w:val="18"/>
                <w:lang w:val="sq-AL" w:eastAsia="sq-AL" w:bidi="he-IL"/>
              </w:rPr>
            </w:pPr>
          </w:p>
        </w:tc>
      </w:tr>
      <w:tr w:rsidR="00FA29AB" w:rsidRPr="00050FA4" w14:paraId="75CD6A7D" w14:textId="77777777" w:rsidTr="00957675">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4B6B7DFF" w14:textId="77777777" w:rsidR="002D3C56" w:rsidRPr="00050FA4" w:rsidRDefault="002D3C56" w:rsidP="00957675">
            <w:pPr>
              <w:pStyle w:val="AAAAAAATEXXXX"/>
              <w:ind w:firstLine="0"/>
              <w:jc w:val="left"/>
              <w:rPr>
                <w:b/>
                <w:bCs/>
                <w:sz w:val="18"/>
                <w:szCs w:val="18"/>
                <w:lang w:val="sq-AL" w:eastAsia="sq-AL" w:bidi="he-IL"/>
              </w:rPr>
            </w:pPr>
            <w:r w:rsidRPr="00050FA4">
              <w:rPr>
                <w:b/>
                <w:bCs/>
                <w:sz w:val="18"/>
                <w:szCs w:val="18"/>
                <w:lang w:val="sq-AL" w:eastAsia="sq-AL" w:bidi="he-IL"/>
              </w:rPr>
              <w:t>Energjia</w:t>
            </w:r>
          </w:p>
        </w:tc>
      </w:tr>
      <w:tr w:rsidR="00FA29AB" w:rsidRPr="00050FA4" w14:paraId="4A598761" w14:textId="77777777" w:rsidTr="00957675">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647B28DB"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12. Varësia nga importet e energjisë (%)</w:t>
            </w:r>
          </w:p>
        </w:tc>
        <w:tc>
          <w:tcPr>
            <w:tcW w:w="1134" w:type="dxa"/>
            <w:tcBorders>
              <w:top w:val="nil"/>
              <w:left w:val="nil"/>
              <w:bottom w:val="single" w:sz="4" w:space="0" w:color="auto"/>
              <w:right w:val="single" w:sz="4" w:space="0" w:color="auto"/>
            </w:tcBorders>
            <w:shd w:val="clear" w:color="auto" w:fill="auto"/>
            <w:noWrap/>
            <w:hideMark/>
          </w:tcPr>
          <w:p w14:paraId="63DB45AE" w14:textId="66512D52" w:rsidR="002D3C56" w:rsidRPr="00050FA4" w:rsidRDefault="002D3C56" w:rsidP="00A95D23">
            <w:pPr>
              <w:pStyle w:val="AAAAAAATEXXXX"/>
              <w:ind w:firstLine="0"/>
              <w:rPr>
                <w:sz w:val="18"/>
                <w:szCs w:val="18"/>
                <w:lang w:val="sq-AL" w:eastAsia="sq-AL" w:bidi="he-IL"/>
              </w:rPr>
            </w:pPr>
            <w:r w:rsidRPr="00050FA4">
              <w:rPr>
                <w:sz w:val="18"/>
                <w:szCs w:val="18"/>
                <w:lang w:val="sq-AL"/>
              </w:rPr>
              <w:t>INSTAT (</w:t>
            </w:r>
            <w:r w:rsidR="000109D2" w:rsidRPr="00050FA4">
              <w:rPr>
                <w:sz w:val="18"/>
                <w:szCs w:val="18"/>
                <w:lang w:val="sq-AL"/>
              </w:rPr>
              <w:t xml:space="preserve">të </w:t>
            </w:r>
            <w:r w:rsidRPr="00050FA4">
              <w:rPr>
                <w:sz w:val="18"/>
                <w:szCs w:val="18"/>
                <w:lang w:val="sq-AL"/>
              </w:rPr>
              <w:t>dhënat administrative nga AKBN)</w:t>
            </w:r>
          </w:p>
        </w:tc>
        <w:tc>
          <w:tcPr>
            <w:tcW w:w="963" w:type="dxa"/>
            <w:tcBorders>
              <w:top w:val="nil"/>
              <w:left w:val="nil"/>
              <w:bottom w:val="single" w:sz="4" w:space="0" w:color="auto"/>
              <w:right w:val="single" w:sz="4" w:space="0" w:color="auto"/>
            </w:tcBorders>
            <w:shd w:val="clear" w:color="auto" w:fill="auto"/>
            <w:noWrap/>
            <w:vAlign w:val="bottom"/>
            <w:hideMark/>
          </w:tcPr>
          <w:p w14:paraId="6E0D022B"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38.23</w:t>
            </w:r>
          </w:p>
        </w:tc>
        <w:tc>
          <w:tcPr>
            <w:tcW w:w="964" w:type="dxa"/>
            <w:tcBorders>
              <w:top w:val="nil"/>
              <w:left w:val="nil"/>
              <w:bottom w:val="single" w:sz="4" w:space="0" w:color="auto"/>
              <w:right w:val="single" w:sz="4" w:space="0" w:color="auto"/>
            </w:tcBorders>
            <w:shd w:val="clear" w:color="auto" w:fill="auto"/>
            <w:noWrap/>
            <w:vAlign w:val="bottom"/>
            <w:hideMark/>
          </w:tcPr>
          <w:p w14:paraId="04192349"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21.14</w:t>
            </w:r>
          </w:p>
        </w:tc>
        <w:tc>
          <w:tcPr>
            <w:tcW w:w="964" w:type="dxa"/>
            <w:tcBorders>
              <w:top w:val="nil"/>
              <w:left w:val="nil"/>
              <w:bottom w:val="single" w:sz="4" w:space="0" w:color="auto"/>
              <w:right w:val="single" w:sz="4" w:space="0" w:color="auto"/>
            </w:tcBorders>
            <w:shd w:val="clear" w:color="auto" w:fill="auto"/>
            <w:noWrap/>
            <w:vAlign w:val="bottom"/>
            <w:hideMark/>
          </w:tcPr>
          <w:p w14:paraId="536B5E2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31.55</w:t>
            </w:r>
          </w:p>
        </w:tc>
        <w:tc>
          <w:tcPr>
            <w:tcW w:w="964" w:type="dxa"/>
            <w:tcBorders>
              <w:top w:val="nil"/>
              <w:left w:val="nil"/>
              <w:bottom w:val="single" w:sz="4" w:space="0" w:color="auto"/>
              <w:right w:val="single" w:sz="4" w:space="0" w:color="auto"/>
            </w:tcBorders>
            <w:shd w:val="clear" w:color="auto" w:fill="auto"/>
            <w:noWrap/>
            <w:vAlign w:val="bottom"/>
            <w:hideMark/>
          </w:tcPr>
          <w:p w14:paraId="590774E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0</w:t>
            </w:r>
          </w:p>
        </w:tc>
        <w:tc>
          <w:tcPr>
            <w:tcW w:w="964" w:type="dxa"/>
            <w:tcBorders>
              <w:top w:val="nil"/>
              <w:left w:val="nil"/>
              <w:bottom w:val="single" w:sz="4" w:space="0" w:color="auto"/>
              <w:right w:val="single" w:sz="8" w:space="0" w:color="auto"/>
            </w:tcBorders>
            <w:shd w:val="clear" w:color="auto" w:fill="auto"/>
            <w:noWrap/>
            <w:vAlign w:val="bottom"/>
            <w:hideMark/>
          </w:tcPr>
          <w:p w14:paraId="0E1BA18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 xml:space="preserve"> </w:t>
            </w:r>
          </w:p>
        </w:tc>
        <w:tc>
          <w:tcPr>
            <w:tcW w:w="851" w:type="dxa"/>
            <w:tcBorders>
              <w:top w:val="nil"/>
              <w:left w:val="nil"/>
              <w:bottom w:val="single" w:sz="4" w:space="0" w:color="auto"/>
              <w:right w:val="single" w:sz="8" w:space="0" w:color="auto"/>
            </w:tcBorders>
          </w:tcPr>
          <w:p w14:paraId="550F6319" w14:textId="77777777" w:rsidR="002D3C56" w:rsidRPr="00050FA4" w:rsidRDefault="002D3C56" w:rsidP="00B02860">
            <w:pPr>
              <w:pStyle w:val="AAAAAAATEXXXX"/>
              <w:ind w:firstLine="0"/>
              <w:jc w:val="right"/>
              <w:rPr>
                <w:sz w:val="18"/>
                <w:szCs w:val="18"/>
                <w:lang w:val="sq-AL" w:eastAsia="sq-AL" w:bidi="he-IL"/>
              </w:rPr>
            </w:pPr>
          </w:p>
        </w:tc>
      </w:tr>
      <w:tr w:rsidR="00FA29AB" w:rsidRPr="00050FA4" w14:paraId="55C43E2D" w14:textId="77777777" w:rsidTr="00957675">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67AB7126"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13. Intensiteti i energjisë: Kilogram ekuivalent nafte (KGOE) për mijë euro</w:t>
            </w:r>
          </w:p>
        </w:tc>
        <w:tc>
          <w:tcPr>
            <w:tcW w:w="1134" w:type="dxa"/>
            <w:tcBorders>
              <w:top w:val="nil"/>
              <w:left w:val="nil"/>
              <w:bottom w:val="single" w:sz="4" w:space="0" w:color="auto"/>
              <w:right w:val="single" w:sz="4" w:space="0" w:color="auto"/>
            </w:tcBorders>
            <w:shd w:val="clear" w:color="auto" w:fill="auto"/>
            <w:noWrap/>
            <w:hideMark/>
          </w:tcPr>
          <w:p w14:paraId="3720A1A3" w14:textId="68FEBBC7" w:rsidR="002D3C56" w:rsidRPr="00050FA4" w:rsidRDefault="002D3C56" w:rsidP="00A95D23">
            <w:pPr>
              <w:pStyle w:val="AAAAAAATEXXXX"/>
              <w:ind w:firstLine="0"/>
              <w:rPr>
                <w:sz w:val="18"/>
                <w:szCs w:val="18"/>
                <w:lang w:val="sq-AL" w:eastAsia="sq-AL" w:bidi="he-IL"/>
              </w:rPr>
            </w:pPr>
            <w:r w:rsidRPr="00050FA4">
              <w:rPr>
                <w:sz w:val="18"/>
                <w:szCs w:val="18"/>
                <w:lang w:val="sq-AL"/>
              </w:rPr>
              <w:t>INSTAT (</w:t>
            </w:r>
            <w:r w:rsidR="000109D2" w:rsidRPr="00050FA4">
              <w:rPr>
                <w:sz w:val="18"/>
                <w:szCs w:val="18"/>
                <w:lang w:val="sq-AL"/>
              </w:rPr>
              <w:t xml:space="preserve">të </w:t>
            </w:r>
            <w:r w:rsidRPr="00050FA4">
              <w:rPr>
                <w:sz w:val="18"/>
                <w:szCs w:val="18"/>
                <w:lang w:val="sq-AL"/>
              </w:rPr>
              <w:t>dhënat administrative nga AKBN)</w:t>
            </w:r>
          </w:p>
        </w:tc>
        <w:tc>
          <w:tcPr>
            <w:tcW w:w="963" w:type="dxa"/>
            <w:tcBorders>
              <w:top w:val="nil"/>
              <w:left w:val="nil"/>
              <w:bottom w:val="single" w:sz="4" w:space="0" w:color="auto"/>
              <w:right w:val="single" w:sz="4" w:space="0" w:color="auto"/>
            </w:tcBorders>
            <w:shd w:val="clear" w:color="auto" w:fill="auto"/>
            <w:noWrap/>
            <w:vAlign w:val="bottom"/>
            <w:hideMark/>
          </w:tcPr>
          <w:p w14:paraId="79E5B417"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N/A</w:t>
            </w:r>
          </w:p>
        </w:tc>
        <w:tc>
          <w:tcPr>
            <w:tcW w:w="964" w:type="dxa"/>
            <w:tcBorders>
              <w:top w:val="nil"/>
              <w:left w:val="nil"/>
              <w:bottom w:val="single" w:sz="4" w:space="0" w:color="auto"/>
              <w:right w:val="single" w:sz="4" w:space="0" w:color="auto"/>
            </w:tcBorders>
            <w:shd w:val="clear" w:color="auto" w:fill="auto"/>
            <w:noWrap/>
            <w:vAlign w:val="bottom"/>
            <w:hideMark/>
          </w:tcPr>
          <w:p w14:paraId="7C3ADA4D"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N/A</w:t>
            </w:r>
          </w:p>
        </w:tc>
        <w:tc>
          <w:tcPr>
            <w:tcW w:w="964" w:type="dxa"/>
            <w:tcBorders>
              <w:top w:val="nil"/>
              <w:left w:val="nil"/>
              <w:bottom w:val="single" w:sz="4" w:space="0" w:color="auto"/>
              <w:right w:val="single" w:sz="4" w:space="0" w:color="auto"/>
            </w:tcBorders>
            <w:shd w:val="clear" w:color="auto" w:fill="auto"/>
            <w:noWrap/>
            <w:vAlign w:val="bottom"/>
            <w:hideMark/>
          </w:tcPr>
          <w:p w14:paraId="78D5B73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N/A</w:t>
            </w:r>
          </w:p>
        </w:tc>
        <w:tc>
          <w:tcPr>
            <w:tcW w:w="964" w:type="dxa"/>
            <w:tcBorders>
              <w:top w:val="nil"/>
              <w:left w:val="nil"/>
              <w:bottom w:val="single" w:sz="4" w:space="0" w:color="auto"/>
              <w:right w:val="single" w:sz="4" w:space="0" w:color="auto"/>
            </w:tcBorders>
            <w:shd w:val="clear" w:color="auto" w:fill="auto"/>
            <w:noWrap/>
            <w:vAlign w:val="bottom"/>
            <w:hideMark/>
          </w:tcPr>
          <w:p w14:paraId="39E324A1"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N/A</w:t>
            </w:r>
          </w:p>
        </w:tc>
        <w:tc>
          <w:tcPr>
            <w:tcW w:w="964" w:type="dxa"/>
            <w:tcBorders>
              <w:top w:val="nil"/>
              <w:left w:val="nil"/>
              <w:bottom w:val="single" w:sz="4" w:space="0" w:color="auto"/>
              <w:right w:val="single" w:sz="8" w:space="0" w:color="auto"/>
            </w:tcBorders>
            <w:shd w:val="clear" w:color="auto" w:fill="auto"/>
            <w:noWrap/>
            <w:vAlign w:val="center"/>
            <w:hideMark/>
          </w:tcPr>
          <w:p w14:paraId="5A01185E"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0</w:t>
            </w:r>
          </w:p>
        </w:tc>
        <w:tc>
          <w:tcPr>
            <w:tcW w:w="851" w:type="dxa"/>
            <w:tcBorders>
              <w:top w:val="nil"/>
              <w:left w:val="nil"/>
              <w:bottom w:val="single" w:sz="4" w:space="0" w:color="auto"/>
              <w:right w:val="single" w:sz="8" w:space="0" w:color="auto"/>
            </w:tcBorders>
          </w:tcPr>
          <w:p w14:paraId="7710ACDB" w14:textId="77777777" w:rsidR="002D3C56" w:rsidRPr="00050FA4" w:rsidRDefault="002D3C56" w:rsidP="00B02860">
            <w:pPr>
              <w:pStyle w:val="AAAAAAATEXXXX"/>
              <w:ind w:firstLine="0"/>
              <w:jc w:val="right"/>
              <w:rPr>
                <w:sz w:val="18"/>
                <w:szCs w:val="18"/>
                <w:lang w:val="sq-AL" w:eastAsia="sq-AL" w:bidi="he-IL"/>
              </w:rPr>
            </w:pPr>
          </w:p>
        </w:tc>
      </w:tr>
      <w:tr w:rsidR="00FA29AB" w:rsidRPr="00050FA4" w14:paraId="0418AB97" w14:textId="77777777" w:rsidTr="00957675">
        <w:trPr>
          <w:trHeight w:val="315"/>
          <w:jc w:val="center"/>
        </w:trPr>
        <w:tc>
          <w:tcPr>
            <w:tcW w:w="3676" w:type="dxa"/>
            <w:tcBorders>
              <w:top w:val="nil"/>
              <w:left w:val="single" w:sz="8" w:space="0" w:color="auto"/>
              <w:bottom w:val="nil"/>
              <w:right w:val="single" w:sz="4" w:space="0" w:color="auto"/>
            </w:tcBorders>
            <w:shd w:val="clear" w:color="auto" w:fill="auto"/>
            <w:noWrap/>
            <w:hideMark/>
          </w:tcPr>
          <w:p w14:paraId="64921E7C"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14. Pjesa e burimeve të rinovueshme të energjisë (BRE) në konsumin final të energjisë (%)</w:t>
            </w:r>
          </w:p>
        </w:tc>
        <w:tc>
          <w:tcPr>
            <w:tcW w:w="1134" w:type="dxa"/>
            <w:tcBorders>
              <w:top w:val="nil"/>
              <w:left w:val="nil"/>
              <w:bottom w:val="nil"/>
              <w:right w:val="single" w:sz="4" w:space="0" w:color="auto"/>
            </w:tcBorders>
            <w:shd w:val="clear" w:color="auto" w:fill="auto"/>
            <w:noWrap/>
            <w:hideMark/>
          </w:tcPr>
          <w:p w14:paraId="54A86897" w14:textId="4C3BFBC8" w:rsidR="002D3C56" w:rsidRPr="00050FA4" w:rsidRDefault="002D3C56" w:rsidP="00A95D23">
            <w:pPr>
              <w:pStyle w:val="AAAAAAATEXXXX"/>
              <w:ind w:firstLine="0"/>
              <w:rPr>
                <w:sz w:val="18"/>
                <w:szCs w:val="18"/>
                <w:lang w:val="sq-AL" w:eastAsia="sq-AL" w:bidi="he-IL"/>
              </w:rPr>
            </w:pPr>
            <w:r w:rsidRPr="00050FA4">
              <w:rPr>
                <w:sz w:val="18"/>
                <w:szCs w:val="18"/>
                <w:lang w:val="sq-AL"/>
              </w:rPr>
              <w:t>INSTAT (</w:t>
            </w:r>
            <w:r w:rsidR="000109D2" w:rsidRPr="00050FA4">
              <w:rPr>
                <w:sz w:val="18"/>
                <w:szCs w:val="18"/>
                <w:lang w:val="sq-AL"/>
              </w:rPr>
              <w:t xml:space="preserve">të </w:t>
            </w:r>
            <w:r w:rsidRPr="00050FA4">
              <w:rPr>
                <w:sz w:val="18"/>
                <w:szCs w:val="18"/>
                <w:lang w:val="sq-AL"/>
              </w:rPr>
              <w:t>dhënat administrative nga AKBN)</w:t>
            </w:r>
          </w:p>
        </w:tc>
        <w:tc>
          <w:tcPr>
            <w:tcW w:w="963" w:type="dxa"/>
            <w:tcBorders>
              <w:top w:val="nil"/>
              <w:left w:val="nil"/>
              <w:bottom w:val="nil"/>
              <w:right w:val="single" w:sz="4" w:space="0" w:color="auto"/>
            </w:tcBorders>
            <w:shd w:val="clear" w:color="auto" w:fill="auto"/>
            <w:noWrap/>
            <w:vAlign w:val="bottom"/>
            <w:hideMark/>
          </w:tcPr>
          <w:p w14:paraId="5BC1581F"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34.46</w:t>
            </w:r>
          </w:p>
        </w:tc>
        <w:tc>
          <w:tcPr>
            <w:tcW w:w="964" w:type="dxa"/>
            <w:tcBorders>
              <w:top w:val="nil"/>
              <w:left w:val="nil"/>
              <w:bottom w:val="nil"/>
              <w:right w:val="single" w:sz="4" w:space="0" w:color="auto"/>
            </w:tcBorders>
            <w:shd w:val="clear" w:color="auto" w:fill="auto"/>
            <w:noWrap/>
            <w:vAlign w:val="bottom"/>
            <w:hideMark/>
          </w:tcPr>
          <w:p w14:paraId="235E935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34.86</w:t>
            </w:r>
          </w:p>
        </w:tc>
        <w:tc>
          <w:tcPr>
            <w:tcW w:w="964" w:type="dxa"/>
            <w:tcBorders>
              <w:top w:val="nil"/>
              <w:left w:val="nil"/>
              <w:bottom w:val="nil"/>
              <w:right w:val="single" w:sz="4" w:space="0" w:color="auto"/>
            </w:tcBorders>
            <w:shd w:val="clear" w:color="auto" w:fill="auto"/>
            <w:noWrap/>
            <w:vAlign w:val="bottom"/>
            <w:hideMark/>
          </w:tcPr>
          <w:p w14:paraId="7E47A15C"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30.58</w:t>
            </w:r>
          </w:p>
        </w:tc>
        <w:tc>
          <w:tcPr>
            <w:tcW w:w="964" w:type="dxa"/>
            <w:tcBorders>
              <w:top w:val="nil"/>
              <w:left w:val="nil"/>
              <w:bottom w:val="nil"/>
              <w:right w:val="single" w:sz="4" w:space="0" w:color="auto"/>
            </w:tcBorders>
            <w:shd w:val="clear" w:color="auto" w:fill="auto"/>
            <w:noWrap/>
            <w:vAlign w:val="bottom"/>
            <w:hideMark/>
          </w:tcPr>
          <w:p w14:paraId="1D063312"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33.53</w:t>
            </w:r>
          </w:p>
        </w:tc>
        <w:tc>
          <w:tcPr>
            <w:tcW w:w="964" w:type="dxa"/>
            <w:tcBorders>
              <w:top w:val="nil"/>
              <w:left w:val="nil"/>
              <w:bottom w:val="nil"/>
              <w:right w:val="single" w:sz="8" w:space="0" w:color="auto"/>
            </w:tcBorders>
            <w:shd w:val="clear" w:color="auto" w:fill="auto"/>
            <w:noWrap/>
            <w:vAlign w:val="bottom"/>
            <w:hideMark/>
          </w:tcPr>
          <w:p w14:paraId="11E1FBB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 xml:space="preserve"> </w:t>
            </w:r>
          </w:p>
        </w:tc>
        <w:tc>
          <w:tcPr>
            <w:tcW w:w="851" w:type="dxa"/>
            <w:tcBorders>
              <w:top w:val="nil"/>
              <w:left w:val="nil"/>
              <w:bottom w:val="nil"/>
              <w:right w:val="single" w:sz="8" w:space="0" w:color="auto"/>
            </w:tcBorders>
          </w:tcPr>
          <w:p w14:paraId="2581EAC7" w14:textId="77777777" w:rsidR="002D3C56" w:rsidRPr="00050FA4" w:rsidRDefault="002D3C56" w:rsidP="00B02860">
            <w:pPr>
              <w:pStyle w:val="AAAAAAATEXXXX"/>
              <w:ind w:firstLine="0"/>
              <w:jc w:val="right"/>
              <w:rPr>
                <w:sz w:val="18"/>
                <w:szCs w:val="18"/>
                <w:lang w:val="sq-AL" w:eastAsia="sq-AL" w:bidi="he-IL"/>
              </w:rPr>
            </w:pPr>
          </w:p>
        </w:tc>
      </w:tr>
      <w:tr w:rsidR="00FA29AB" w:rsidRPr="00050FA4" w14:paraId="35C84F4A" w14:textId="77777777" w:rsidTr="00957675">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417B646C" w14:textId="77777777" w:rsidR="002D3C56" w:rsidRPr="00050FA4" w:rsidRDefault="002D3C56" w:rsidP="00957675">
            <w:pPr>
              <w:pStyle w:val="AAAAAAATEXXXX"/>
              <w:ind w:firstLine="0"/>
              <w:jc w:val="left"/>
              <w:rPr>
                <w:b/>
                <w:bCs/>
                <w:sz w:val="18"/>
                <w:szCs w:val="18"/>
                <w:lang w:val="sq-AL" w:eastAsia="sq-AL" w:bidi="he-IL"/>
              </w:rPr>
            </w:pPr>
            <w:r w:rsidRPr="00050FA4">
              <w:rPr>
                <w:b/>
                <w:bCs/>
                <w:sz w:val="18"/>
                <w:szCs w:val="18"/>
                <w:lang w:val="sq-AL" w:eastAsia="sq-AL" w:bidi="he-IL"/>
              </w:rPr>
              <w:t>Transporti</w:t>
            </w:r>
          </w:p>
        </w:tc>
      </w:tr>
      <w:tr w:rsidR="00FA29AB" w:rsidRPr="00050FA4" w14:paraId="2B4D177B" w14:textId="77777777" w:rsidTr="00957675">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60968B5E"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15. Dendësia e rrjetit hekurudhor (metra linjë për km</w:t>
            </w:r>
            <w:r w:rsidRPr="00050FA4">
              <w:rPr>
                <w:sz w:val="18"/>
                <w:szCs w:val="18"/>
                <w:vertAlign w:val="superscript"/>
                <w:lang w:val="sq-AL" w:eastAsia="sq-AL" w:bidi="he-IL"/>
              </w:rPr>
              <w:t>2</w:t>
            </w:r>
            <w:r w:rsidRPr="00050FA4">
              <w:rPr>
                <w:sz w:val="18"/>
                <w:szCs w:val="18"/>
                <w:lang w:val="sq-AL" w:eastAsia="sq-AL" w:bidi="he-IL"/>
              </w:rPr>
              <w:t xml:space="preserve"> sipërfaqe)</w:t>
            </w:r>
          </w:p>
        </w:tc>
        <w:tc>
          <w:tcPr>
            <w:tcW w:w="1134" w:type="dxa"/>
            <w:tcBorders>
              <w:top w:val="nil"/>
              <w:left w:val="nil"/>
              <w:bottom w:val="single" w:sz="4" w:space="0" w:color="auto"/>
              <w:right w:val="single" w:sz="4" w:space="0" w:color="auto"/>
            </w:tcBorders>
            <w:shd w:val="clear" w:color="auto" w:fill="auto"/>
            <w:noWrap/>
            <w:vAlign w:val="bottom"/>
            <w:hideMark/>
          </w:tcPr>
          <w:p w14:paraId="0A6D8BEA" w14:textId="77777777" w:rsidR="002D3C56" w:rsidRPr="00050FA4" w:rsidRDefault="002D3C56" w:rsidP="00A95D23">
            <w:pPr>
              <w:pStyle w:val="AAAAAAATEXXXX"/>
              <w:ind w:firstLine="0"/>
              <w:rPr>
                <w:sz w:val="18"/>
                <w:szCs w:val="18"/>
                <w:lang w:val="sq-AL" w:eastAsia="sq-AL"/>
              </w:rPr>
            </w:pPr>
            <w:r w:rsidRPr="00050FA4">
              <w:rPr>
                <w:sz w:val="18"/>
                <w:szCs w:val="18"/>
                <w:lang w:val="sq-AL"/>
              </w:rPr>
              <w:t>MIE, llogaritjet e INSTAT</w:t>
            </w:r>
          </w:p>
        </w:tc>
        <w:tc>
          <w:tcPr>
            <w:tcW w:w="963" w:type="dxa"/>
            <w:tcBorders>
              <w:top w:val="nil"/>
              <w:left w:val="nil"/>
              <w:bottom w:val="single" w:sz="4" w:space="0" w:color="auto"/>
              <w:right w:val="single" w:sz="4" w:space="0" w:color="auto"/>
            </w:tcBorders>
            <w:shd w:val="clear" w:color="auto" w:fill="auto"/>
            <w:noWrap/>
            <w:vAlign w:val="bottom"/>
            <w:hideMark/>
          </w:tcPr>
          <w:p w14:paraId="279D3FA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11.62</w:t>
            </w:r>
          </w:p>
        </w:tc>
        <w:tc>
          <w:tcPr>
            <w:tcW w:w="964" w:type="dxa"/>
            <w:tcBorders>
              <w:top w:val="nil"/>
              <w:left w:val="nil"/>
              <w:bottom w:val="single" w:sz="4" w:space="0" w:color="auto"/>
              <w:right w:val="single" w:sz="4" w:space="0" w:color="auto"/>
            </w:tcBorders>
            <w:shd w:val="clear" w:color="auto" w:fill="auto"/>
            <w:noWrap/>
            <w:vAlign w:val="bottom"/>
            <w:hideMark/>
          </w:tcPr>
          <w:p w14:paraId="56A0245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11.62</w:t>
            </w:r>
          </w:p>
        </w:tc>
        <w:tc>
          <w:tcPr>
            <w:tcW w:w="964" w:type="dxa"/>
            <w:tcBorders>
              <w:top w:val="nil"/>
              <w:left w:val="nil"/>
              <w:bottom w:val="single" w:sz="4" w:space="0" w:color="auto"/>
              <w:right w:val="single" w:sz="4" w:space="0" w:color="auto"/>
            </w:tcBorders>
            <w:shd w:val="clear" w:color="auto" w:fill="auto"/>
            <w:noWrap/>
            <w:vAlign w:val="bottom"/>
            <w:hideMark/>
          </w:tcPr>
          <w:p w14:paraId="589DFCCF"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5.88</w:t>
            </w:r>
          </w:p>
        </w:tc>
        <w:tc>
          <w:tcPr>
            <w:tcW w:w="964" w:type="dxa"/>
            <w:tcBorders>
              <w:top w:val="nil"/>
              <w:left w:val="nil"/>
              <w:bottom w:val="single" w:sz="4" w:space="0" w:color="auto"/>
              <w:right w:val="single" w:sz="4" w:space="0" w:color="auto"/>
            </w:tcBorders>
            <w:shd w:val="clear" w:color="auto" w:fill="auto"/>
            <w:noWrap/>
            <w:vAlign w:val="bottom"/>
            <w:hideMark/>
          </w:tcPr>
          <w:p w14:paraId="3FF872AE"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7.79</w:t>
            </w:r>
          </w:p>
        </w:tc>
        <w:tc>
          <w:tcPr>
            <w:tcW w:w="964" w:type="dxa"/>
            <w:tcBorders>
              <w:top w:val="nil"/>
              <w:left w:val="nil"/>
              <w:bottom w:val="single" w:sz="4" w:space="0" w:color="auto"/>
              <w:right w:val="single" w:sz="8" w:space="0" w:color="auto"/>
            </w:tcBorders>
            <w:shd w:val="clear" w:color="auto" w:fill="auto"/>
            <w:noWrap/>
            <w:vAlign w:val="bottom"/>
            <w:hideMark/>
          </w:tcPr>
          <w:p w14:paraId="3954631D"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756B2A92" w14:textId="77777777" w:rsidR="002D3C56" w:rsidRPr="00050FA4" w:rsidRDefault="002D3C56" w:rsidP="00A95D23">
            <w:pPr>
              <w:pStyle w:val="AAAAAAATEXXXX"/>
              <w:ind w:firstLine="0"/>
              <w:rPr>
                <w:sz w:val="18"/>
                <w:szCs w:val="18"/>
                <w:lang w:val="sq-AL" w:eastAsia="sq-AL" w:bidi="he-IL"/>
              </w:rPr>
            </w:pPr>
          </w:p>
        </w:tc>
      </w:tr>
      <w:tr w:rsidR="00FA29AB" w:rsidRPr="00050FA4" w14:paraId="6F5992AF" w14:textId="77777777" w:rsidTr="00957675">
        <w:trPr>
          <w:trHeight w:val="315"/>
          <w:jc w:val="center"/>
        </w:trPr>
        <w:tc>
          <w:tcPr>
            <w:tcW w:w="3676" w:type="dxa"/>
            <w:tcBorders>
              <w:top w:val="nil"/>
              <w:left w:val="single" w:sz="8" w:space="0" w:color="auto"/>
              <w:bottom w:val="nil"/>
              <w:right w:val="single" w:sz="4" w:space="0" w:color="auto"/>
            </w:tcBorders>
            <w:shd w:val="clear" w:color="auto" w:fill="auto"/>
            <w:noWrap/>
            <w:hideMark/>
          </w:tcPr>
          <w:p w14:paraId="478A87A6" w14:textId="77777777" w:rsidR="002D3C56" w:rsidRPr="00050FA4" w:rsidRDefault="002D3C56" w:rsidP="00957675">
            <w:pPr>
              <w:pStyle w:val="AAAAAAATEXXXX"/>
              <w:ind w:firstLine="0"/>
              <w:jc w:val="left"/>
              <w:rPr>
                <w:sz w:val="18"/>
                <w:szCs w:val="18"/>
                <w:lang w:val="sq-AL" w:eastAsia="sq-AL" w:bidi="he-IL"/>
              </w:rPr>
            </w:pPr>
            <w:r w:rsidRPr="00050FA4">
              <w:rPr>
                <w:sz w:val="18"/>
                <w:szCs w:val="18"/>
                <w:lang w:val="sq-AL" w:eastAsia="sq-AL" w:bidi="he-IL"/>
              </w:rPr>
              <w:t>16. Shkalla e motorizimit (makina pasagjerësh për 1000 banorë)</w:t>
            </w:r>
          </w:p>
        </w:tc>
        <w:tc>
          <w:tcPr>
            <w:tcW w:w="1134" w:type="dxa"/>
            <w:tcBorders>
              <w:top w:val="nil"/>
              <w:left w:val="nil"/>
              <w:bottom w:val="nil"/>
              <w:right w:val="single" w:sz="4" w:space="0" w:color="auto"/>
            </w:tcBorders>
            <w:shd w:val="clear" w:color="auto" w:fill="auto"/>
            <w:noWrap/>
            <w:vAlign w:val="bottom"/>
            <w:hideMark/>
          </w:tcPr>
          <w:p w14:paraId="2882CD7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rPr>
              <w:t xml:space="preserve">MIE, llogaritjet e </w:t>
            </w:r>
            <w:r w:rsidRPr="00050FA4">
              <w:rPr>
                <w:sz w:val="18"/>
                <w:szCs w:val="18"/>
                <w:lang w:val="sq-AL"/>
              </w:rPr>
              <w:lastRenderedPageBreak/>
              <w:t>INSTAT</w:t>
            </w:r>
          </w:p>
        </w:tc>
        <w:tc>
          <w:tcPr>
            <w:tcW w:w="963" w:type="dxa"/>
            <w:tcBorders>
              <w:top w:val="nil"/>
              <w:left w:val="nil"/>
              <w:bottom w:val="nil"/>
              <w:right w:val="single" w:sz="4" w:space="0" w:color="auto"/>
            </w:tcBorders>
            <w:shd w:val="clear" w:color="auto" w:fill="auto"/>
            <w:noWrap/>
            <w:vAlign w:val="center"/>
            <w:hideMark/>
          </w:tcPr>
          <w:p w14:paraId="3D10FFC2"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lastRenderedPageBreak/>
              <w:t>146.9</w:t>
            </w:r>
          </w:p>
        </w:tc>
        <w:tc>
          <w:tcPr>
            <w:tcW w:w="964" w:type="dxa"/>
            <w:tcBorders>
              <w:top w:val="nil"/>
              <w:left w:val="nil"/>
              <w:bottom w:val="nil"/>
              <w:right w:val="single" w:sz="4" w:space="0" w:color="auto"/>
            </w:tcBorders>
            <w:shd w:val="clear" w:color="auto" w:fill="auto"/>
            <w:noWrap/>
            <w:vAlign w:val="center"/>
            <w:hideMark/>
          </w:tcPr>
          <w:p w14:paraId="503091C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160.5</w:t>
            </w:r>
          </w:p>
        </w:tc>
        <w:tc>
          <w:tcPr>
            <w:tcW w:w="964" w:type="dxa"/>
            <w:tcBorders>
              <w:top w:val="nil"/>
              <w:left w:val="nil"/>
              <w:bottom w:val="nil"/>
              <w:right w:val="single" w:sz="4" w:space="0" w:color="auto"/>
            </w:tcBorders>
            <w:shd w:val="clear" w:color="auto" w:fill="auto"/>
            <w:noWrap/>
            <w:vAlign w:val="center"/>
            <w:hideMark/>
          </w:tcPr>
          <w:p w14:paraId="7255C3D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175.0</w:t>
            </w:r>
          </w:p>
        </w:tc>
        <w:tc>
          <w:tcPr>
            <w:tcW w:w="964" w:type="dxa"/>
            <w:tcBorders>
              <w:top w:val="nil"/>
              <w:left w:val="nil"/>
              <w:bottom w:val="nil"/>
              <w:right w:val="single" w:sz="4" w:space="0" w:color="auto"/>
            </w:tcBorders>
            <w:shd w:val="clear" w:color="auto" w:fill="auto"/>
            <w:noWrap/>
            <w:vAlign w:val="center"/>
            <w:hideMark/>
          </w:tcPr>
          <w:p w14:paraId="5F4686DD"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191.8</w:t>
            </w:r>
          </w:p>
        </w:tc>
        <w:tc>
          <w:tcPr>
            <w:tcW w:w="964" w:type="dxa"/>
            <w:tcBorders>
              <w:top w:val="nil"/>
              <w:left w:val="nil"/>
              <w:bottom w:val="nil"/>
              <w:right w:val="single" w:sz="8" w:space="0" w:color="auto"/>
            </w:tcBorders>
            <w:shd w:val="clear" w:color="auto" w:fill="auto"/>
            <w:noWrap/>
            <w:vAlign w:val="bottom"/>
            <w:hideMark/>
          </w:tcPr>
          <w:p w14:paraId="2FB0A706" w14:textId="77777777" w:rsidR="002D3C56" w:rsidRPr="00050FA4" w:rsidRDefault="002D3C56" w:rsidP="00B02860">
            <w:pPr>
              <w:pStyle w:val="AAAAAAATEXXXX"/>
              <w:ind w:firstLine="0"/>
              <w:jc w:val="right"/>
              <w:rPr>
                <w:sz w:val="18"/>
                <w:szCs w:val="18"/>
                <w:lang w:val="sq-AL" w:eastAsia="sq-AL" w:bidi="he-IL"/>
              </w:rPr>
            </w:pPr>
          </w:p>
        </w:tc>
        <w:tc>
          <w:tcPr>
            <w:tcW w:w="851" w:type="dxa"/>
            <w:tcBorders>
              <w:top w:val="nil"/>
              <w:left w:val="nil"/>
              <w:bottom w:val="nil"/>
              <w:right w:val="single" w:sz="8" w:space="0" w:color="auto"/>
            </w:tcBorders>
          </w:tcPr>
          <w:p w14:paraId="270469BF" w14:textId="77777777" w:rsidR="002D3C56" w:rsidRPr="00050FA4" w:rsidRDefault="002D3C56" w:rsidP="00A95D23">
            <w:pPr>
              <w:pStyle w:val="AAAAAAATEXXXX"/>
              <w:ind w:firstLine="0"/>
              <w:rPr>
                <w:sz w:val="18"/>
                <w:szCs w:val="18"/>
                <w:lang w:val="sq-AL" w:eastAsia="sq-AL" w:bidi="he-IL"/>
              </w:rPr>
            </w:pPr>
          </w:p>
        </w:tc>
      </w:tr>
      <w:tr w:rsidR="00FA29AB" w:rsidRPr="00050FA4" w14:paraId="45ECE740"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A5D3CA8" w14:textId="77777777"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lastRenderedPageBreak/>
              <w:t>Bujqësia</w:t>
            </w:r>
          </w:p>
        </w:tc>
      </w:tr>
      <w:tr w:rsidR="00FA29AB" w:rsidRPr="00050FA4" w14:paraId="6DF7AC1D"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2C706382" w14:textId="0C1CC3F8"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17. Pjesa e vlerës së shtuar bruto (</w:t>
            </w:r>
            <w:r w:rsidR="000109D2" w:rsidRPr="00050FA4">
              <w:rPr>
                <w:sz w:val="18"/>
                <w:szCs w:val="18"/>
                <w:lang w:val="sq-AL" w:eastAsia="sq-AL" w:bidi="he-IL"/>
              </w:rPr>
              <w:t>bujqësia, pylltaria dhe peshkimi)</w:t>
            </w:r>
          </w:p>
        </w:tc>
        <w:tc>
          <w:tcPr>
            <w:tcW w:w="1134" w:type="dxa"/>
            <w:tcBorders>
              <w:top w:val="nil"/>
              <w:left w:val="nil"/>
              <w:bottom w:val="single" w:sz="4" w:space="0" w:color="auto"/>
              <w:right w:val="single" w:sz="4" w:space="0" w:color="auto"/>
            </w:tcBorders>
            <w:shd w:val="clear" w:color="auto" w:fill="auto"/>
            <w:noWrap/>
            <w:vAlign w:val="bottom"/>
            <w:hideMark/>
          </w:tcPr>
          <w:p w14:paraId="6EA6433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w:t>
            </w:r>
            <w:r w:rsidRPr="00050FA4">
              <w:rPr>
                <w:rStyle w:val="FootnoteReference"/>
                <w:rFonts w:eastAsia="Times New Roman" w:cstheme="majorBidi"/>
                <w:color w:val="0D0D0D" w:themeColor="text1" w:themeTint="F2"/>
                <w:sz w:val="18"/>
                <w:szCs w:val="18"/>
                <w:lang w:val="sq-AL" w:eastAsia="sq-AL" w:bidi="he-IL"/>
              </w:rPr>
              <w:footnoteReference w:id="30"/>
            </w:r>
          </w:p>
        </w:tc>
        <w:tc>
          <w:tcPr>
            <w:tcW w:w="963" w:type="dxa"/>
            <w:tcBorders>
              <w:top w:val="nil"/>
              <w:left w:val="nil"/>
              <w:bottom w:val="single" w:sz="4" w:space="0" w:color="auto"/>
              <w:right w:val="single" w:sz="4" w:space="0" w:color="auto"/>
            </w:tcBorders>
            <w:shd w:val="clear" w:color="auto" w:fill="auto"/>
            <w:noWrap/>
            <w:vAlign w:val="center"/>
            <w:hideMark/>
          </w:tcPr>
          <w:p w14:paraId="7B6DC91B"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21.8</w:t>
            </w:r>
          </w:p>
        </w:tc>
        <w:tc>
          <w:tcPr>
            <w:tcW w:w="964" w:type="dxa"/>
            <w:tcBorders>
              <w:top w:val="nil"/>
              <w:left w:val="nil"/>
              <w:bottom w:val="single" w:sz="4" w:space="0" w:color="auto"/>
              <w:right w:val="single" w:sz="4" w:space="0" w:color="auto"/>
            </w:tcBorders>
            <w:shd w:val="clear" w:color="auto" w:fill="auto"/>
            <w:noWrap/>
            <w:vAlign w:val="center"/>
            <w:hideMark/>
          </w:tcPr>
          <w:p w14:paraId="3DC9042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21.1</w:t>
            </w:r>
          </w:p>
        </w:tc>
        <w:tc>
          <w:tcPr>
            <w:tcW w:w="964" w:type="dxa"/>
            <w:tcBorders>
              <w:top w:val="nil"/>
              <w:left w:val="nil"/>
              <w:bottom w:val="single" w:sz="4" w:space="0" w:color="auto"/>
              <w:right w:val="single" w:sz="4" w:space="0" w:color="auto"/>
            </w:tcBorders>
            <w:shd w:val="clear" w:color="auto" w:fill="auto"/>
            <w:noWrap/>
            <w:vAlign w:val="center"/>
            <w:hideMark/>
          </w:tcPr>
          <w:p w14:paraId="63B0081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21.0</w:t>
            </w:r>
          </w:p>
        </w:tc>
        <w:tc>
          <w:tcPr>
            <w:tcW w:w="964" w:type="dxa"/>
            <w:tcBorders>
              <w:top w:val="nil"/>
              <w:left w:val="nil"/>
              <w:bottom w:val="single" w:sz="4" w:space="0" w:color="auto"/>
              <w:right w:val="single" w:sz="4" w:space="0" w:color="auto"/>
            </w:tcBorders>
            <w:shd w:val="clear" w:color="auto" w:fill="auto"/>
            <w:noWrap/>
            <w:vAlign w:val="center"/>
            <w:hideMark/>
          </w:tcPr>
          <w:p w14:paraId="7332D9E7"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21.8</w:t>
            </w:r>
          </w:p>
        </w:tc>
        <w:tc>
          <w:tcPr>
            <w:tcW w:w="964" w:type="dxa"/>
            <w:tcBorders>
              <w:top w:val="nil"/>
              <w:left w:val="nil"/>
              <w:bottom w:val="single" w:sz="4" w:space="0" w:color="auto"/>
              <w:right w:val="single" w:sz="8" w:space="0" w:color="auto"/>
            </w:tcBorders>
            <w:shd w:val="clear" w:color="auto" w:fill="auto"/>
            <w:noWrap/>
            <w:vAlign w:val="center"/>
            <w:hideMark/>
          </w:tcPr>
          <w:p w14:paraId="00DE6FAE"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23.2</w:t>
            </w:r>
          </w:p>
        </w:tc>
        <w:tc>
          <w:tcPr>
            <w:tcW w:w="851" w:type="dxa"/>
            <w:tcBorders>
              <w:top w:val="nil"/>
              <w:left w:val="nil"/>
              <w:bottom w:val="single" w:sz="4" w:space="0" w:color="auto"/>
              <w:right w:val="single" w:sz="8" w:space="0" w:color="auto"/>
            </w:tcBorders>
            <w:vAlign w:val="center"/>
          </w:tcPr>
          <w:p w14:paraId="706F03F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25.9</w:t>
            </w:r>
          </w:p>
        </w:tc>
      </w:tr>
      <w:tr w:rsidR="00FA29AB" w:rsidRPr="00050FA4" w14:paraId="45218117"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5192BF4F" w14:textId="4C071CFF"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18. Pjesa e punësimit (</w:t>
            </w:r>
            <w:r w:rsidR="000109D2" w:rsidRPr="00050FA4">
              <w:rPr>
                <w:sz w:val="18"/>
                <w:szCs w:val="18"/>
                <w:lang w:val="sq-AL" w:eastAsia="sq-AL" w:bidi="he-IL"/>
              </w:rPr>
              <w:t>bujqësia, pylltaria dhe peshkimi)</w:t>
            </w:r>
          </w:p>
        </w:tc>
        <w:tc>
          <w:tcPr>
            <w:tcW w:w="1134" w:type="dxa"/>
            <w:tcBorders>
              <w:top w:val="nil"/>
              <w:left w:val="nil"/>
              <w:bottom w:val="single" w:sz="4" w:space="0" w:color="auto"/>
              <w:right w:val="single" w:sz="4" w:space="0" w:color="auto"/>
            </w:tcBorders>
            <w:shd w:val="clear" w:color="auto" w:fill="auto"/>
            <w:noWrap/>
            <w:vAlign w:val="bottom"/>
            <w:hideMark/>
          </w:tcPr>
          <w:p w14:paraId="05C20D6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w:t>
            </w:r>
            <w:r w:rsidRPr="00050FA4">
              <w:rPr>
                <w:rStyle w:val="FootnoteReference"/>
                <w:rFonts w:eastAsia="Times New Roman" w:cstheme="majorBidi"/>
                <w:color w:val="0D0D0D" w:themeColor="text1" w:themeTint="F2"/>
                <w:sz w:val="18"/>
                <w:szCs w:val="18"/>
                <w:lang w:val="sq-AL" w:eastAsia="sq-AL" w:bidi="he-IL"/>
              </w:rPr>
              <w:footnoteReference w:id="31"/>
            </w:r>
          </w:p>
        </w:tc>
        <w:tc>
          <w:tcPr>
            <w:tcW w:w="963" w:type="dxa"/>
            <w:tcBorders>
              <w:top w:val="nil"/>
              <w:left w:val="nil"/>
              <w:bottom w:val="single" w:sz="4" w:space="0" w:color="auto"/>
              <w:right w:val="single" w:sz="4" w:space="0" w:color="auto"/>
            </w:tcBorders>
            <w:shd w:val="clear" w:color="auto" w:fill="auto"/>
            <w:noWrap/>
            <w:vAlign w:val="center"/>
            <w:hideMark/>
          </w:tcPr>
          <w:p w14:paraId="0088B16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38.2</w:t>
            </w:r>
          </w:p>
        </w:tc>
        <w:tc>
          <w:tcPr>
            <w:tcW w:w="964" w:type="dxa"/>
            <w:tcBorders>
              <w:top w:val="nil"/>
              <w:left w:val="nil"/>
              <w:bottom w:val="single" w:sz="4" w:space="0" w:color="auto"/>
              <w:right w:val="single" w:sz="4" w:space="0" w:color="auto"/>
            </w:tcBorders>
            <w:shd w:val="clear" w:color="auto" w:fill="auto"/>
            <w:noWrap/>
            <w:vAlign w:val="center"/>
            <w:hideMark/>
          </w:tcPr>
          <w:p w14:paraId="170ADB32"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37.4</w:t>
            </w:r>
          </w:p>
        </w:tc>
        <w:tc>
          <w:tcPr>
            <w:tcW w:w="964" w:type="dxa"/>
            <w:tcBorders>
              <w:top w:val="nil"/>
              <w:left w:val="nil"/>
              <w:bottom w:val="single" w:sz="4" w:space="0" w:color="auto"/>
              <w:right w:val="single" w:sz="4" w:space="0" w:color="auto"/>
            </w:tcBorders>
            <w:shd w:val="clear" w:color="auto" w:fill="auto"/>
            <w:noWrap/>
            <w:vAlign w:val="center"/>
            <w:hideMark/>
          </w:tcPr>
          <w:p w14:paraId="1687BCAC"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36.4</w:t>
            </w:r>
          </w:p>
        </w:tc>
        <w:tc>
          <w:tcPr>
            <w:tcW w:w="964" w:type="dxa"/>
            <w:tcBorders>
              <w:top w:val="nil"/>
              <w:left w:val="nil"/>
              <w:bottom w:val="single" w:sz="4" w:space="0" w:color="auto"/>
              <w:right w:val="single" w:sz="4" w:space="0" w:color="auto"/>
            </w:tcBorders>
            <w:shd w:val="clear" w:color="auto" w:fill="auto"/>
            <w:noWrap/>
            <w:vAlign w:val="center"/>
            <w:hideMark/>
          </w:tcPr>
          <w:p w14:paraId="705DD79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36.1</w:t>
            </w:r>
          </w:p>
        </w:tc>
        <w:tc>
          <w:tcPr>
            <w:tcW w:w="964" w:type="dxa"/>
            <w:tcBorders>
              <w:top w:val="nil"/>
              <w:left w:val="nil"/>
              <w:bottom w:val="single" w:sz="4" w:space="0" w:color="auto"/>
              <w:right w:val="single" w:sz="8" w:space="0" w:color="auto"/>
            </w:tcBorders>
            <w:shd w:val="clear" w:color="auto" w:fill="auto"/>
            <w:noWrap/>
            <w:vAlign w:val="center"/>
            <w:hideMark/>
          </w:tcPr>
          <w:p w14:paraId="5B253195"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33.9</w:t>
            </w:r>
          </w:p>
        </w:tc>
        <w:tc>
          <w:tcPr>
            <w:tcW w:w="851" w:type="dxa"/>
            <w:tcBorders>
              <w:top w:val="nil"/>
              <w:left w:val="nil"/>
              <w:bottom w:val="single" w:sz="4" w:space="0" w:color="auto"/>
              <w:right w:val="single" w:sz="8" w:space="0" w:color="auto"/>
            </w:tcBorders>
            <w:vAlign w:val="center"/>
          </w:tcPr>
          <w:p w14:paraId="3CEC0250"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33.6</w:t>
            </w:r>
          </w:p>
        </w:tc>
      </w:tr>
      <w:tr w:rsidR="00FA29AB" w:rsidRPr="00050FA4" w14:paraId="021B8918"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31623AE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19. Sipërfaqja bujqësore e shfrytëzuar (% e sipërfaqes totale të tokës)</w:t>
            </w:r>
            <w:r w:rsidRPr="00050FA4">
              <w:rPr>
                <w:rStyle w:val="FootnoteReference"/>
                <w:rFonts w:eastAsia="Times New Roman" w:cstheme="majorBidi"/>
                <w:color w:val="0D0D0D" w:themeColor="text1" w:themeTint="F2"/>
                <w:sz w:val="18"/>
                <w:szCs w:val="18"/>
                <w:lang w:val="sq-AL" w:eastAsia="sq-AL" w:bidi="he-IL"/>
              </w:rPr>
              <w:footnoteReference w:id="32"/>
            </w:r>
          </w:p>
        </w:tc>
        <w:tc>
          <w:tcPr>
            <w:tcW w:w="1134" w:type="dxa"/>
            <w:tcBorders>
              <w:top w:val="nil"/>
              <w:left w:val="nil"/>
              <w:bottom w:val="nil"/>
              <w:right w:val="single" w:sz="4" w:space="0" w:color="auto"/>
            </w:tcBorders>
            <w:shd w:val="clear" w:color="auto" w:fill="auto"/>
            <w:noWrap/>
            <w:vAlign w:val="bottom"/>
            <w:hideMark/>
          </w:tcPr>
          <w:p w14:paraId="2079965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nil"/>
              <w:right w:val="single" w:sz="4" w:space="0" w:color="auto"/>
            </w:tcBorders>
            <w:shd w:val="clear" w:color="auto" w:fill="auto"/>
            <w:noWrap/>
            <w:vAlign w:val="bottom"/>
          </w:tcPr>
          <w:p w14:paraId="73886D53" w14:textId="77777777" w:rsidR="002D3C56" w:rsidRPr="00050FA4" w:rsidRDefault="002D3C56" w:rsidP="00B02860">
            <w:pPr>
              <w:pStyle w:val="AAAAAAATEXXXX"/>
              <w:ind w:firstLine="0"/>
              <w:jc w:val="right"/>
              <w:rPr>
                <w:sz w:val="18"/>
                <w:szCs w:val="18"/>
                <w:lang w:val="sq-AL" w:eastAsia="sq-AL" w:bidi="he-IL"/>
              </w:rPr>
            </w:pPr>
          </w:p>
        </w:tc>
        <w:tc>
          <w:tcPr>
            <w:tcW w:w="964" w:type="dxa"/>
            <w:tcBorders>
              <w:top w:val="nil"/>
              <w:left w:val="nil"/>
              <w:bottom w:val="nil"/>
              <w:right w:val="single" w:sz="4" w:space="0" w:color="auto"/>
            </w:tcBorders>
            <w:shd w:val="clear" w:color="auto" w:fill="auto"/>
            <w:noWrap/>
            <w:vAlign w:val="bottom"/>
          </w:tcPr>
          <w:p w14:paraId="53D7096E" w14:textId="77777777" w:rsidR="002D3C56" w:rsidRPr="00050FA4" w:rsidRDefault="002D3C56" w:rsidP="00B02860">
            <w:pPr>
              <w:pStyle w:val="AAAAAAATEXXXX"/>
              <w:ind w:firstLine="0"/>
              <w:jc w:val="right"/>
              <w:rPr>
                <w:sz w:val="18"/>
                <w:szCs w:val="18"/>
                <w:lang w:val="sq-AL" w:eastAsia="sq-AL" w:bidi="he-IL"/>
              </w:rPr>
            </w:pPr>
          </w:p>
        </w:tc>
        <w:tc>
          <w:tcPr>
            <w:tcW w:w="964" w:type="dxa"/>
            <w:tcBorders>
              <w:top w:val="nil"/>
              <w:left w:val="nil"/>
              <w:bottom w:val="nil"/>
              <w:right w:val="single" w:sz="4" w:space="0" w:color="auto"/>
            </w:tcBorders>
            <w:shd w:val="clear" w:color="auto" w:fill="auto"/>
            <w:noWrap/>
            <w:vAlign w:val="bottom"/>
          </w:tcPr>
          <w:p w14:paraId="7B919999" w14:textId="77777777" w:rsidR="002D3C56" w:rsidRPr="00050FA4" w:rsidRDefault="002D3C56" w:rsidP="00B02860">
            <w:pPr>
              <w:pStyle w:val="AAAAAAATEXXXX"/>
              <w:ind w:firstLine="0"/>
              <w:jc w:val="right"/>
              <w:rPr>
                <w:sz w:val="18"/>
                <w:szCs w:val="18"/>
                <w:lang w:val="sq-AL" w:eastAsia="sq-AL" w:bidi="he-IL"/>
              </w:rPr>
            </w:pPr>
          </w:p>
        </w:tc>
        <w:tc>
          <w:tcPr>
            <w:tcW w:w="964" w:type="dxa"/>
            <w:tcBorders>
              <w:top w:val="nil"/>
              <w:left w:val="nil"/>
              <w:bottom w:val="nil"/>
              <w:right w:val="single" w:sz="4" w:space="0" w:color="auto"/>
            </w:tcBorders>
            <w:shd w:val="clear" w:color="auto" w:fill="auto"/>
            <w:noWrap/>
            <w:vAlign w:val="bottom"/>
          </w:tcPr>
          <w:p w14:paraId="1BBE7E37" w14:textId="77777777" w:rsidR="002D3C56" w:rsidRPr="00050FA4" w:rsidRDefault="002D3C56" w:rsidP="00B02860">
            <w:pPr>
              <w:pStyle w:val="AAAAAAATEXXXX"/>
              <w:ind w:firstLine="0"/>
              <w:jc w:val="right"/>
              <w:rPr>
                <w:sz w:val="18"/>
                <w:szCs w:val="18"/>
                <w:lang w:val="sq-AL" w:eastAsia="sq-AL" w:bidi="he-IL"/>
              </w:rPr>
            </w:pPr>
          </w:p>
        </w:tc>
        <w:tc>
          <w:tcPr>
            <w:tcW w:w="964" w:type="dxa"/>
            <w:tcBorders>
              <w:top w:val="nil"/>
              <w:left w:val="nil"/>
              <w:bottom w:val="nil"/>
              <w:right w:val="single" w:sz="8" w:space="0" w:color="auto"/>
            </w:tcBorders>
            <w:shd w:val="clear" w:color="auto" w:fill="auto"/>
            <w:noWrap/>
            <w:vAlign w:val="bottom"/>
          </w:tcPr>
          <w:p w14:paraId="75FCD2BA" w14:textId="77777777" w:rsidR="002D3C56" w:rsidRPr="00050FA4" w:rsidRDefault="002D3C56" w:rsidP="00B02860">
            <w:pPr>
              <w:pStyle w:val="AAAAAAATEXXXX"/>
              <w:ind w:firstLine="0"/>
              <w:jc w:val="right"/>
              <w:rPr>
                <w:sz w:val="18"/>
                <w:szCs w:val="18"/>
                <w:lang w:val="sq-AL" w:eastAsia="sq-AL" w:bidi="he-IL"/>
              </w:rPr>
            </w:pPr>
          </w:p>
        </w:tc>
        <w:tc>
          <w:tcPr>
            <w:tcW w:w="851" w:type="dxa"/>
            <w:tcBorders>
              <w:top w:val="nil"/>
              <w:left w:val="nil"/>
              <w:bottom w:val="nil"/>
              <w:right w:val="single" w:sz="8" w:space="0" w:color="auto"/>
            </w:tcBorders>
          </w:tcPr>
          <w:p w14:paraId="7F2D2619" w14:textId="77777777" w:rsidR="002D3C56" w:rsidRPr="00050FA4" w:rsidRDefault="002D3C56" w:rsidP="00B02860">
            <w:pPr>
              <w:pStyle w:val="AAAAAAATEXXXX"/>
              <w:ind w:firstLine="0"/>
              <w:jc w:val="right"/>
              <w:rPr>
                <w:sz w:val="18"/>
                <w:szCs w:val="18"/>
                <w:lang w:val="sq-AL" w:eastAsia="sq-AL" w:bidi="he-IL"/>
              </w:rPr>
            </w:pPr>
          </w:p>
        </w:tc>
      </w:tr>
      <w:tr w:rsidR="00FA29AB" w:rsidRPr="00050FA4" w14:paraId="0BD81631"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5670281" w14:textId="77777777"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Industria (përjashtuar ndërtimi)</w:t>
            </w:r>
          </w:p>
        </w:tc>
      </w:tr>
      <w:tr w:rsidR="00FA29AB" w:rsidRPr="00050FA4" w14:paraId="26A1D19D"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7BD7FBA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20. Pjesa e vlerës së shtuar bruto</w:t>
            </w:r>
          </w:p>
        </w:tc>
        <w:tc>
          <w:tcPr>
            <w:tcW w:w="1134" w:type="dxa"/>
            <w:tcBorders>
              <w:top w:val="nil"/>
              <w:left w:val="nil"/>
              <w:bottom w:val="single" w:sz="4" w:space="0" w:color="auto"/>
              <w:right w:val="single" w:sz="4" w:space="0" w:color="auto"/>
            </w:tcBorders>
            <w:shd w:val="clear" w:color="auto" w:fill="auto"/>
            <w:noWrap/>
            <w:vAlign w:val="bottom"/>
            <w:hideMark/>
          </w:tcPr>
          <w:p w14:paraId="27DD920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w:t>
            </w:r>
            <w:r w:rsidRPr="00050FA4">
              <w:rPr>
                <w:rStyle w:val="FootnoteReference"/>
                <w:rFonts w:eastAsia="Times New Roman" w:cstheme="majorBidi"/>
                <w:color w:val="0D0D0D" w:themeColor="text1" w:themeTint="F2"/>
                <w:sz w:val="18"/>
                <w:szCs w:val="18"/>
                <w:lang w:val="sq-AL" w:eastAsia="sq-AL" w:bidi="he-IL"/>
              </w:rPr>
              <w:footnoteReference w:id="33"/>
            </w:r>
          </w:p>
        </w:tc>
        <w:tc>
          <w:tcPr>
            <w:tcW w:w="963" w:type="dxa"/>
            <w:tcBorders>
              <w:top w:val="nil"/>
              <w:left w:val="nil"/>
              <w:bottom w:val="single" w:sz="4" w:space="0" w:color="auto"/>
              <w:right w:val="single" w:sz="4" w:space="0" w:color="auto"/>
            </w:tcBorders>
            <w:shd w:val="clear" w:color="auto" w:fill="auto"/>
            <w:noWrap/>
            <w:vAlign w:val="center"/>
            <w:hideMark/>
          </w:tcPr>
          <w:p w14:paraId="7A36F884"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12.8</w:t>
            </w:r>
          </w:p>
        </w:tc>
        <w:tc>
          <w:tcPr>
            <w:tcW w:w="964" w:type="dxa"/>
            <w:tcBorders>
              <w:top w:val="nil"/>
              <w:left w:val="nil"/>
              <w:bottom w:val="single" w:sz="4" w:space="0" w:color="auto"/>
              <w:right w:val="single" w:sz="4" w:space="0" w:color="auto"/>
            </w:tcBorders>
            <w:shd w:val="clear" w:color="auto" w:fill="auto"/>
            <w:noWrap/>
            <w:vAlign w:val="center"/>
            <w:hideMark/>
          </w:tcPr>
          <w:p w14:paraId="29E8DD16"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14.1</w:t>
            </w:r>
          </w:p>
        </w:tc>
        <w:tc>
          <w:tcPr>
            <w:tcW w:w="964" w:type="dxa"/>
            <w:tcBorders>
              <w:top w:val="nil"/>
              <w:left w:val="nil"/>
              <w:bottom w:val="single" w:sz="4" w:space="0" w:color="auto"/>
              <w:right w:val="single" w:sz="4" w:space="0" w:color="auto"/>
            </w:tcBorders>
            <w:shd w:val="clear" w:color="auto" w:fill="auto"/>
            <w:noWrap/>
            <w:vAlign w:val="center"/>
            <w:hideMark/>
          </w:tcPr>
          <w:p w14:paraId="657655A7"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13.8</w:t>
            </w:r>
          </w:p>
        </w:tc>
        <w:tc>
          <w:tcPr>
            <w:tcW w:w="964" w:type="dxa"/>
            <w:tcBorders>
              <w:top w:val="nil"/>
              <w:left w:val="nil"/>
              <w:bottom w:val="single" w:sz="4" w:space="0" w:color="auto"/>
              <w:right w:val="single" w:sz="4" w:space="0" w:color="auto"/>
            </w:tcBorders>
            <w:shd w:val="clear" w:color="auto" w:fill="auto"/>
            <w:noWrap/>
            <w:vAlign w:val="center"/>
            <w:hideMark/>
          </w:tcPr>
          <w:p w14:paraId="07C0DE82"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12.5</w:t>
            </w:r>
          </w:p>
        </w:tc>
        <w:tc>
          <w:tcPr>
            <w:tcW w:w="964" w:type="dxa"/>
            <w:tcBorders>
              <w:top w:val="nil"/>
              <w:left w:val="nil"/>
              <w:bottom w:val="single" w:sz="4" w:space="0" w:color="auto"/>
              <w:right w:val="single" w:sz="8" w:space="0" w:color="auto"/>
            </w:tcBorders>
            <w:shd w:val="clear" w:color="auto" w:fill="auto"/>
            <w:noWrap/>
            <w:vAlign w:val="center"/>
            <w:hideMark/>
          </w:tcPr>
          <w:p w14:paraId="0D24D7DA"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14.7</w:t>
            </w:r>
          </w:p>
        </w:tc>
        <w:tc>
          <w:tcPr>
            <w:tcW w:w="851" w:type="dxa"/>
            <w:tcBorders>
              <w:top w:val="nil"/>
              <w:left w:val="nil"/>
              <w:bottom w:val="single" w:sz="4" w:space="0" w:color="auto"/>
              <w:right w:val="single" w:sz="8" w:space="0" w:color="auto"/>
            </w:tcBorders>
            <w:vAlign w:val="center"/>
          </w:tcPr>
          <w:p w14:paraId="597989A1" w14:textId="77777777" w:rsidR="002D3C56" w:rsidRPr="00050FA4" w:rsidRDefault="002D3C56" w:rsidP="00B02860">
            <w:pPr>
              <w:pStyle w:val="AAAAAAATEXXXX"/>
              <w:ind w:firstLine="0"/>
              <w:jc w:val="right"/>
              <w:rPr>
                <w:sz w:val="18"/>
                <w:szCs w:val="18"/>
                <w:lang w:val="sq-AL" w:eastAsia="sq-AL" w:bidi="he-IL"/>
              </w:rPr>
            </w:pPr>
            <w:r w:rsidRPr="00050FA4">
              <w:rPr>
                <w:sz w:val="18"/>
                <w:szCs w:val="18"/>
                <w:lang w:val="sq-AL"/>
              </w:rPr>
              <w:t>13.8</w:t>
            </w:r>
          </w:p>
        </w:tc>
      </w:tr>
      <w:tr w:rsidR="00FA29AB" w:rsidRPr="00050FA4" w14:paraId="2DCD84B1"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28F32BA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21. Kontributi në punësim (% e punësimit total)</w:t>
            </w:r>
          </w:p>
        </w:tc>
        <w:tc>
          <w:tcPr>
            <w:tcW w:w="1134" w:type="dxa"/>
            <w:tcBorders>
              <w:top w:val="nil"/>
              <w:left w:val="nil"/>
              <w:bottom w:val="nil"/>
              <w:right w:val="single" w:sz="4" w:space="0" w:color="auto"/>
            </w:tcBorders>
            <w:shd w:val="clear" w:color="auto" w:fill="auto"/>
            <w:noWrap/>
            <w:vAlign w:val="bottom"/>
            <w:hideMark/>
          </w:tcPr>
          <w:p w14:paraId="13DDB727"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w:t>
            </w:r>
            <w:r w:rsidRPr="00050FA4">
              <w:rPr>
                <w:rStyle w:val="FootnoteReference"/>
                <w:rFonts w:eastAsia="Times New Roman" w:cstheme="majorBidi"/>
                <w:color w:val="0D0D0D" w:themeColor="text1" w:themeTint="F2"/>
                <w:sz w:val="18"/>
                <w:szCs w:val="18"/>
                <w:lang w:val="sq-AL" w:eastAsia="sq-AL" w:bidi="he-IL"/>
              </w:rPr>
              <w:footnoteReference w:id="34"/>
            </w:r>
          </w:p>
        </w:tc>
        <w:tc>
          <w:tcPr>
            <w:tcW w:w="963" w:type="dxa"/>
            <w:tcBorders>
              <w:top w:val="nil"/>
              <w:left w:val="nil"/>
              <w:bottom w:val="nil"/>
              <w:right w:val="single" w:sz="4" w:space="0" w:color="auto"/>
            </w:tcBorders>
            <w:shd w:val="clear" w:color="auto" w:fill="auto"/>
            <w:noWrap/>
            <w:vAlign w:val="center"/>
            <w:hideMark/>
          </w:tcPr>
          <w:p w14:paraId="3BC809B7"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12.5</w:t>
            </w:r>
          </w:p>
        </w:tc>
        <w:tc>
          <w:tcPr>
            <w:tcW w:w="964" w:type="dxa"/>
            <w:tcBorders>
              <w:top w:val="nil"/>
              <w:left w:val="nil"/>
              <w:bottom w:val="nil"/>
              <w:right w:val="single" w:sz="4" w:space="0" w:color="auto"/>
            </w:tcBorders>
            <w:shd w:val="clear" w:color="auto" w:fill="auto"/>
            <w:noWrap/>
            <w:vAlign w:val="center"/>
            <w:hideMark/>
          </w:tcPr>
          <w:p w14:paraId="04299451"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12.7</w:t>
            </w:r>
          </w:p>
        </w:tc>
        <w:tc>
          <w:tcPr>
            <w:tcW w:w="964" w:type="dxa"/>
            <w:tcBorders>
              <w:top w:val="nil"/>
              <w:left w:val="nil"/>
              <w:bottom w:val="nil"/>
              <w:right w:val="single" w:sz="4" w:space="0" w:color="auto"/>
            </w:tcBorders>
            <w:shd w:val="clear" w:color="auto" w:fill="auto"/>
            <w:noWrap/>
            <w:vAlign w:val="center"/>
            <w:hideMark/>
          </w:tcPr>
          <w:p w14:paraId="4A2B8AF1"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13.1</w:t>
            </w:r>
          </w:p>
        </w:tc>
        <w:tc>
          <w:tcPr>
            <w:tcW w:w="964" w:type="dxa"/>
            <w:tcBorders>
              <w:top w:val="nil"/>
              <w:left w:val="nil"/>
              <w:bottom w:val="nil"/>
              <w:right w:val="single" w:sz="4" w:space="0" w:color="auto"/>
            </w:tcBorders>
            <w:shd w:val="clear" w:color="auto" w:fill="auto"/>
            <w:noWrap/>
            <w:vAlign w:val="center"/>
            <w:hideMark/>
          </w:tcPr>
          <w:p w14:paraId="037E1D24"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13.5</w:t>
            </w:r>
          </w:p>
        </w:tc>
        <w:tc>
          <w:tcPr>
            <w:tcW w:w="964" w:type="dxa"/>
            <w:tcBorders>
              <w:top w:val="nil"/>
              <w:left w:val="nil"/>
              <w:bottom w:val="nil"/>
              <w:right w:val="single" w:sz="8" w:space="0" w:color="auto"/>
            </w:tcBorders>
            <w:shd w:val="clear" w:color="auto" w:fill="auto"/>
            <w:noWrap/>
            <w:vAlign w:val="center"/>
            <w:hideMark/>
          </w:tcPr>
          <w:p w14:paraId="18309C89"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13.3</w:t>
            </w:r>
          </w:p>
        </w:tc>
        <w:tc>
          <w:tcPr>
            <w:tcW w:w="851" w:type="dxa"/>
            <w:tcBorders>
              <w:top w:val="nil"/>
              <w:left w:val="nil"/>
              <w:bottom w:val="nil"/>
              <w:right w:val="single" w:sz="8" w:space="0" w:color="auto"/>
            </w:tcBorders>
            <w:vAlign w:val="center"/>
          </w:tcPr>
          <w:p w14:paraId="1BF1FEED"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13.4</w:t>
            </w:r>
          </w:p>
        </w:tc>
      </w:tr>
      <w:tr w:rsidR="00FA29AB" w:rsidRPr="00050FA4" w14:paraId="7DAFF7E7"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06855CA" w14:textId="77777777"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Shërbimet</w:t>
            </w:r>
          </w:p>
        </w:tc>
      </w:tr>
      <w:tr w:rsidR="00FA29AB" w:rsidRPr="00050FA4" w14:paraId="3AF1DE16"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62C64ABB"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22. Pjesa e vlerës së shtuar bruto</w:t>
            </w:r>
          </w:p>
        </w:tc>
        <w:tc>
          <w:tcPr>
            <w:tcW w:w="1134" w:type="dxa"/>
            <w:tcBorders>
              <w:top w:val="nil"/>
              <w:left w:val="nil"/>
              <w:bottom w:val="single" w:sz="4" w:space="0" w:color="auto"/>
              <w:right w:val="single" w:sz="4" w:space="0" w:color="auto"/>
            </w:tcBorders>
            <w:shd w:val="clear" w:color="auto" w:fill="auto"/>
            <w:noWrap/>
            <w:vAlign w:val="bottom"/>
            <w:hideMark/>
          </w:tcPr>
          <w:p w14:paraId="6C2DE4D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w:t>
            </w:r>
            <w:r w:rsidRPr="00050FA4">
              <w:rPr>
                <w:rStyle w:val="FootnoteReference"/>
                <w:rFonts w:eastAsia="Times New Roman" w:cstheme="majorBidi"/>
                <w:color w:val="0D0D0D" w:themeColor="text1" w:themeTint="F2"/>
                <w:sz w:val="18"/>
                <w:szCs w:val="18"/>
                <w:lang w:val="sq-AL" w:eastAsia="sq-AL" w:bidi="he-IL"/>
              </w:rPr>
              <w:footnoteReference w:id="35"/>
            </w:r>
          </w:p>
        </w:tc>
        <w:tc>
          <w:tcPr>
            <w:tcW w:w="963" w:type="dxa"/>
            <w:tcBorders>
              <w:top w:val="nil"/>
              <w:left w:val="nil"/>
              <w:bottom w:val="single" w:sz="4" w:space="0" w:color="auto"/>
              <w:right w:val="single" w:sz="4" w:space="0" w:color="auto"/>
            </w:tcBorders>
            <w:shd w:val="clear" w:color="auto" w:fill="auto"/>
            <w:noWrap/>
            <w:vAlign w:val="center"/>
            <w:hideMark/>
          </w:tcPr>
          <w:p w14:paraId="37B0DE14"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54.9</w:t>
            </w:r>
          </w:p>
        </w:tc>
        <w:tc>
          <w:tcPr>
            <w:tcW w:w="964" w:type="dxa"/>
            <w:tcBorders>
              <w:top w:val="nil"/>
              <w:left w:val="nil"/>
              <w:bottom w:val="single" w:sz="4" w:space="0" w:color="auto"/>
              <w:right w:val="single" w:sz="4" w:space="0" w:color="auto"/>
            </w:tcBorders>
            <w:shd w:val="clear" w:color="auto" w:fill="auto"/>
            <w:noWrap/>
            <w:vAlign w:val="center"/>
            <w:hideMark/>
          </w:tcPr>
          <w:p w14:paraId="17447451"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54.6</w:t>
            </w:r>
          </w:p>
        </w:tc>
        <w:tc>
          <w:tcPr>
            <w:tcW w:w="964" w:type="dxa"/>
            <w:tcBorders>
              <w:top w:val="nil"/>
              <w:left w:val="nil"/>
              <w:bottom w:val="single" w:sz="4" w:space="0" w:color="auto"/>
              <w:right w:val="single" w:sz="4" w:space="0" w:color="auto"/>
            </w:tcBorders>
            <w:shd w:val="clear" w:color="auto" w:fill="auto"/>
            <w:noWrap/>
            <w:vAlign w:val="center"/>
            <w:hideMark/>
          </w:tcPr>
          <w:p w14:paraId="382F131B"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55.4</w:t>
            </w:r>
          </w:p>
        </w:tc>
        <w:tc>
          <w:tcPr>
            <w:tcW w:w="964" w:type="dxa"/>
            <w:tcBorders>
              <w:top w:val="nil"/>
              <w:left w:val="nil"/>
              <w:bottom w:val="single" w:sz="4" w:space="0" w:color="auto"/>
              <w:right w:val="single" w:sz="4" w:space="0" w:color="auto"/>
            </w:tcBorders>
            <w:shd w:val="clear" w:color="auto" w:fill="auto"/>
            <w:noWrap/>
            <w:vAlign w:val="center"/>
            <w:hideMark/>
          </w:tcPr>
          <w:p w14:paraId="00FCB7D2"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55.2</w:t>
            </w:r>
          </w:p>
        </w:tc>
        <w:tc>
          <w:tcPr>
            <w:tcW w:w="964" w:type="dxa"/>
            <w:tcBorders>
              <w:top w:val="nil"/>
              <w:left w:val="nil"/>
              <w:bottom w:val="single" w:sz="4" w:space="0" w:color="auto"/>
              <w:right w:val="single" w:sz="8" w:space="0" w:color="auto"/>
            </w:tcBorders>
            <w:shd w:val="clear" w:color="auto" w:fill="auto"/>
            <w:noWrap/>
            <w:vAlign w:val="center"/>
            <w:hideMark/>
          </w:tcPr>
          <w:p w14:paraId="7A24B1ED"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53.8</w:t>
            </w:r>
          </w:p>
        </w:tc>
        <w:tc>
          <w:tcPr>
            <w:tcW w:w="851" w:type="dxa"/>
            <w:tcBorders>
              <w:top w:val="nil"/>
              <w:left w:val="nil"/>
              <w:bottom w:val="single" w:sz="4" w:space="0" w:color="auto"/>
              <w:right w:val="single" w:sz="8" w:space="0" w:color="auto"/>
            </w:tcBorders>
            <w:vAlign w:val="center"/>
          </w:tcPr>
          <w:p w14:paraId="6CCACB9B"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49.1</w:t>
            </w:r>
          </w:p>
        </w:tc>
      </w:tr>
      <w:tr w:rsidR="00FA29AB" w:rsidRPr="00050FA4" w14:paraId="7E224DA6"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6BE1D7AB" w14:textId="10352B63"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23. Kontributi në punësim (% e punësimit </w:t>
            </w:r>
            <w:r w:rsidR="000109D2" w:rsidRPr="00050FA4">
              <w:rPr>
                <w:sz w:val="18"/>
                <w:szCs w:val="18"/>
                <w:lang w:val="sq-AL" w:eastAsia="sq-AL" w:bidi="he-IL"/>
              </w:rPr>
              <w:t>totali</w:t>
            </w:r>
            <w:r w:rsidRPr="00050FA4">
              <w:rPr>
                <w:sz w:val="18"/>
                <w:szCs w:val="18"/>
                <w:lang w:val="sq-AL" w:eastAsia="sq-AL" w:bidi="he-IL"/>
              </w:rPr>
              <w:t>)</w:t>
            </w:r>
          </w:p>
        </w:tc>
        <w:tc>
          <w:tcPr>
            <w:tcW w:w="1134" w:type="dxa"/>
            <w:tcBorders>
              <w:top w:val="nil"/>
              <w:left w:val="nil"/>
              <w:bottom w:val="nil"/>
              <w:right w:val="single" w:sz="4" w:space="0" w:color="auto"/>
            </w:tcBorders>
            <w:shd w:val="clear" w:color="auto" w:fill="auto"/>
            <w:noWrap/>
            <w:vAlign w:val="bottom"/>
            <w:hideMark/>
          </w:tcPr>
          <w:p w14:paraId="521BA79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w:t>
            </w:r>
            <w:r w:rsidRPr="00050FA4">
              <w:rPr>
                <w:rStyle w:val="FootnoteReference"/>
                <w:rFonts w:eastAsia="Times New Roman" w:cstheme="majorBidi"/>
                <w:color w:val="0D0D0D" w:themeColor="text1" w:themeTint="F2"/>
                <w:sz w:val="18"/>
                <w:szCs w:val="18"/>
                <w:lang w:val="sq-AL" w:eastAsia="sq-AL" w:bidi="he-IL"/>
              </w:rPr>
              <w:footnoteReference w:id="36"/>
            </w:r>
          </w:p>
        </w:tc>
        <w:tc>
          <w:tcPr>
            <w:tcW w:w="963" w:type="dxa"/>
            <w:tcBorders>
              <w:top w:val="nil"/>
              <w:left w:val="nil"/>
              <w:bottom w:val="nil"/>
              <w:right w:val="single" w:sz="4" w:space="0" w:color="auto"/>
            </w:tcBorders>
            <w:shd w:val="clear" w:color="auto" w:fill="auto"/>
            <w:noWrap/>
            <w:vAlign w:val="center"/>
            <w:hideMark/>
          </w:tcPr>
          <w:p w14:paraId="09FA32D7"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42.4</w:t>
            </w:r>
          </w:p>
        </w:tc>
        <w:tc>
          <w:tcPr>
            <w:tcW w:w="964" w:type="dxa"/>
            <w:tcBorders>
              <w:top w:val="nil"/>
              <w:left w:val="nil"/>
              <w:bottom w:val="nil"/>
              <w:right w:val="single" w:sz="4" w:space="0" w:color="auto"/>
            </w:tcBorders>
            <w:shd w:val="clear" w:color="auto" w:fill="auto"/>
            <w:noWrap/>
            <w:vAlign w:val="center"/>
            <w:hideMark/>
          </w:tcPr>
          <w:p w14:paraId="5E7D1ECC"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42.9</w:t>
            </w:r>
          </w:p>
        </w:tc>
        <w:tc>
          <w:tcPr>
            <w:tcW w:w="964" w:type="dxa"/>
            <w:tcBorders>
              <w:top w:val="nil"/>
              <w:left w:val="nil"/>
              <w:bottom w:val="nil"/>
              <w:right w:val="single" w:sz="4" w:space="0" w:color="auto"/>
            </w:tcBorders>
            <w:shd w:val="clear" w:color="auto" w:fill="auto"/>
            <w:noWrap/>
            <w:vAlign w:val="center"/>
            <w:hideMark/>
          </w:tcPr>
          <w:p w14:paraId="011356E6"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43.5</w:t>
            </w:r>
          </w:p>
        </w:tc>
        <w:tc>
          <w:tcPr>
            <w:tcW w:w="964" w:type="dxa"/>
            <w:tcBorders>
              <w:top w:val="nil"/>
              <w:left w:val="nil"/>
              <w:bottom w:val="nil"/>
              <w:right w:val="single" w:sz="4" w:space="0" w:color="auto"/>
            </w:tcBorders>
            <w:shd w:val="clear" w:color="auto" w:fill="auto"/>
            <w:noWrap/>
            <w:vAlign w:val="center"/>
            <w:hideMark/>
          </w:tcPr>
          <w:p w14:paraId="5DF9606A"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43.4</w:t>
            </w:r>
          </w:p>
        </w:tc>
        <w:tc>
          <w:tcPr>
            <w:tcW w:w="964" w:type="dxa"/>
            <w:tcBorders>
              <w:top w:val="nil"/>
              <w:left w:val="nil"/>
              <w:bottom w:val="nil"/>
              <w:right w:val="single" w:sz="8" w:space="0" w:color="auto"/>
            </w:tcBorders>
            <w:shd w:val="clear" w:color="auto" w:fill="auto"/>
            <w:noWrap/>
            <w:vAlign w:val="center"/>
            <w:hideMark/>
          </w:tcPr>
          <w:p w14:paraId="42F49874"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44.6</w:t>
            </w:r>
          </w:p>
        </w:tc>
        <w:tc>
          <w:tcPr>
            <w:tcW w:w="851" w:type="dxa"/>
            <w:tcBorders>
              <w:top w:val="nil"/>
              <w:left w:val="nil"/>
              <w:bottom w:val="nil"/>
              <w:right w:val="single" w:sz="8" w:space="0" w:color="auto"/>
            </w:tcBorders>
            <w:vAlign w:val="center"/>
          </w:tcPr>
          <w:p w14:paraId="3C896632"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44.6</w:t>
            </w:r>
          </w:p>
        </w:tc>
      </w:tr>
      <w:tr w:rsidR="00FA29AB" w:rsidRPr="00050FA4" w14:paraId="647FF244"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509D012" w14:textId="77777777"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Mjedisi i biznesit</w:t>
            </w:r>
          </w:p>
        </w:tc>
      </w:tr>
      <w:tr w:rsidR="00FA29AB" w:rsidRPr="00050FA4" w14:paraId="21304EC0"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1B7E0F98" w14:textId="7B40CA03"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24. Renditja në Indeksin e Konkurrueshmërisë Globale (</w:t>
            </w:r>
            <w:r w:rsidR="000109D2" w:rsidRPr="00050FA4">
              <w:rPr>
                <w:sz w:val="18"/>
                <w:szCs w:val="18"/>
                <w:lang w:val="sq-AL" w:eastAsia="sq-AL" w:bidi="he-IL"/>
              </w:rPr>
              <w:t>Burimi</w:t>
            </w:r>
            <w:r w:rsidRPr="00050FA4">
              <w:rPr>
                <w:sz w:val="18"/>
                <w:szCs w:val="18"/>
                <w:lang w:val="sq-AL" w:eastAsia="sq-AL" w:bidi="he-IL"/>
              </w:rPr>
              <w:t>: Forumi Ekonomik Botëror)</w:t>
            </w:r>
          </w:p>
        </w:tc>
        <w:tc>
          <w:tcPr>
            <w:tcW w:w="1134" w:type="dxa"/>
            <w:tcBorders>
              <w:top w:val="nil"/>
              <w:left w:val="nil"/>
              <w:bottom w:val="single" w:sz="4" w:space="0" w:color="auto"/>
              <w:right w:val="single" w:sz="4" w:space="0" w:color="auto"/>
            </w:tcBorders>
            <w:shd w:val="clear" w:color="auto" w:fill="auto"/>
            <w:noWrap/>
            <w:vAlign w:val="bottom"/>
            <w:hideMark/>
          </w:tcPr>
          <w:p w14:paraId="4E28FB7B"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15447F8B"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7FDDB38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773C956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6A3BC6E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124AD1A8"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5B59DAEB" w14:textId="77777777" w:rsidR="002D3C56" w:rsidRPr="00050FA4" w:rsidRDefault="002D3C56" w:rsidP="00A95D23">
            <w:pPr>
              <w:pStyle w:val="AAAAAAATEXXXX"/>
              <w:ind w:firstLine="0"/>
              <w:rPr>
                <w:sz w:val="18"/>
                <w:szCs w:val="18"/>
                <w:lang w:val="sq-AL" w:eastAsia="sq-AL" w:bidi="he-IL"/>
              </w:rPr>
            </w:pPr>
          </w:p>
        </w:tc>
      </w:tr>
      <w:tr w:rsidR="00FA29AB" w:rsidRPr="00050FA4" w14:paraId="5CE8A125"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5549EC5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25. Pjesa e vlerësuar e ekonomisë informale në PBB (si % e PBB-së) (Burimi: FMN)</w:t>
            </w:r>
          </w:p>
        </w:tc>
        <w:tc>
          <w:tcPr>
            <w:tcW w:w="1134" w:type="dxa"/>
            <w:tcBorders>
              <w:top w:val="nil"/>
              <w:left w:val="nil"/>
              <w:bottom w:val="nil"/>
              <w:right w:val="single" w:sz="4" w:space="0" w:color="auto"/>
            </w:tcBorders>
            <w:shd w:val="clear" w:color="auto" w:fill="auto"/>
            <w:noWrap/>
            <w:vAlign w:val="bottom"/>
            <w:hideMark/>
          </w:tcPr>
          <w:p w14:paraId="0FFDE370"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nil"/>
              <w:right w:val="single" w:sz="4" w:space="0" w:color="auto"/>
            </w:tcBorders>
            <w:shd w:val="clear" w:color="auto" w:fill="auto"/>
            <w:noWrap/>
            <w:vAlign w:val="bottom"/>
            <w:hideMark/>
          </w:tcPr>
          <w:p w14:paraId="1A0AFAE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3247769C"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7A9E1596"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1DAF104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8" w:space="0" w:color="auto"/>
            </w:tcBorders>
            <w:shd w:val="clear" w:color="auto" w:fill="auto"/>
            <w:noWrap/>
            <w:vAlign w:val="bottom"/>
            <w:hideMark/>
          </w:tcPr>
          <w:p w14:paraId="6011611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nil"/>
              <w:right w:val="single" w:sz="8" w:space="0" w:color="auto"/>
            </w:tcBorders>
          </w:tcPr>
          <w:p w14:paraId="15C5B620" w14:textId="77777777" w:rsidR="002D3C56" w:rsidRPr="00050FA4" w:rsidRDefault="002D3C56" w:rsidP="00A95D23">
            <w:pPr>
              <w:pStyle w:val="AAAAAAATEXXXX"/>
              <w:ind w:firstLine="0"/>
              <w:rPr>
                <w:sz w:val="18"/>
                <w:szCs w:val="18"/>
                <w:lang w:val="sq-AL" w:eastAsia="sq-AL" w:bidi="he-IL"/>
              </w:rPr>
            </w:pPr>
          </w:p>
        </w:tc>
      </w:tr>
      <w:tr w:rsidR="00FA29AB" w:rsidRPr="00050FA4" w14:paraId="7FB46E61"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37AF922" w14:textId="77777777" w:rsidR="002D3C56" w:rsidRPr="00050FA4" w:rsidRDefault="002D3C56" w:rsidP="00A95D23">
            <w:pPr>
              <w:pStyle w:val="AAAAAAATEXXXX"/>
              <w:ind w:firstLine="0"/>
              <w:rPr>
                <w:b/>
                <w:bCs/>
                <w:sz w:val="18"/>
                <w:szCs w:val="18"/>
                <w:lang w:val="sq-AL" w:eastAsia="sq-AL" w:bidi="he-IL"/>
              </w:rPr>
            </w:pPr>
            <w:r w:rsidRPr="00050FA4">
              <w:rPr>
                <w:b/>
                <w:bCs/>
                <w:sz w:val="18"/>
                <w:szCs w:val="18"/>
                <w:lang w:val="sq-AL" w:eastAsia="sq-AL" w:bidi="he-IL"/>
              </w:rPr>
              <w:t>Kërkim, zhvillim dhe inovacion</w:t>
            </w:r>
          </w:p>
        </w:tc>
      </w:tr>
      <w:tr w:rsidR="00FA29AB" w:rsidRPr="00050FA4" w14:paraId="6BE0D716" w14:textId="77777777" w:rsidTr="00617B60">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vAlign w:val="bottom"/>
            <w:hideMark/>
          </w:tcPr>
          <w:p w14:paraId="47FB880F" w14:textId="44809161"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26. Intensiteti i K&amp;</w:t>
            </w:r>
            <w:r w:rsidR="000109D2" w:rsidRPr="00050FA4">
              <w:rPr>
                <w:sz w:val="18"/>
                <w:szCs w:val="18"/>
                <w:lang w:val="sq-AL" w:eastAsia="sq-AL" w:bidi="he-IL"/>
              </w:rPr>
              <w:t xml:space="preserve">ZH </w:t>
            </w:r>
            <w:r w:rsidRPr="00050FA4">
              <w:rPr>
                <w:sz w:val="18"/>
                <w:szCs w:val="18"/>
                <w:lang w:val="sq-AL" w:eastAsia="sq-AL" w:bidi="he-IL"/>
              </w:rPr>
              <w:t>i PBB-së (shpenzimet për R&amp;D si % e PBB-së)</w:t>
            </w:r>
          </w:p>
        </w:tc>
        <w:tc>
          <w:tcPr>
            <w:tcW w:w="1134" w:type="dxa"/>
            <w:tcBorders>
              <w:top w:val="nil"/>
              <w:left w:val="nil"/>
              <w:bottom w:val="single" w:sz="4" w:space="0" w:color="auto"/>
              <w:right w:val="single" w:sz="4" w:space="0" w:color="auto"/>
            </w:tcBorders>
            <w:shd w:val="clear" w:color="auto" w:fill="auto"/>
            <w:noWrap/>
            <w:vAlign w:val="bottom"/>
            <w:hideMark/>
          </w:tcPr>
          <w:p w14:paraId="179F750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single" w:sz="4" w:space="0" w:color="auto"/>
              <w:right w:val="single" w:sz="4" w:space="0" w:color="auto"/>
            </w:tcBorders>
            <w:shd w:val="clear" w:color="auto" w:fill="auto"/>
            <w:noWrap/>
            <w:vAlign w:val="bottom"/>
            <w:hideMark/>
          </w:tcPr>
          <w:p w14:paraId="5B585AC3"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679EDBE8"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546730C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4" w:space="0" w:color="auto"/>
            </w:tcBorders>
            <w:shd w:val="clear" w:color="auto" w:fill="auto"/>
            <w:noWrap/>
            <w:vAlign w:val="bottom"/>
            <w:hideMark/>
          </w:tcPr>
          <w:p w14:paraId="15C7A999"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single" w:sz="4" w:space="0" w:color="auto"/>
              <w:right w:val="single" w:sz="8" w:space="0" w:color="auto"/>
            </w:tcBorders>
            <w:shd w:val="clear" w:color="auto" w:fill="auto"/>
            <w:noWrap/>
            <w:vAlign w:val="bottom"/>
            <w:hideMark/>
          </w:tcPr>
          <w:p w14:paraId="27C221DC"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single" w:sz="4" w:space="0" w:color="auto"/>
              <w:right w:val="single" w:sz="8" w:space="0" w:color="auto"/>
            </w:tcBorders>
          </w:tcPr>
          <w:p w14:paraId="5D99AF24" w14:textId="77777777" w:rsidR="002D3C56" w:rsidRPr="00050FA4" w:rsidRDefault="002D3C56" w:rsidP="00A95D23">
            <w:pPr>
              <w:pStyle w:val="AAAAAAATEXXXX"/>
              <w:ind w:firstLine="0"/>
              <w:rPr>
                <w:sz w:val="18"/>
                <w:szCs w:val="18"/>
                <w:lang w:val="sq-AL" w:eastAsia="sq-AL" w:bidi="he-IL"/>
              </w:rPr>
            </w:pPr>
          </w:p>
        </w:tc>
      </w:tr>
      <w:tr w:rsidR="00FA29AB" w:rsidRPr="00050FA4" w14:paraId="1A7FDA37" w14:textId="77777777" w:rsidTr="00617B60">
        <w:trPr>
          <w:trHeight w:val="315"/>
          <w:jc w:val="center"/>
        </w:trPr>
        <w:tc>
          <w:tcPr>
            <w:tcW w:w="3676" w:type="dxa"/>
            <w:tcBorders>
              <w:top w:val="nil"/>
              <w:left w:val="single" w:sz="8" w:space="0" w:color="auto"/>
              <w:bottom w:val="nil"/>
              <w:right w:val="single" w:sz="4" w:space="0" w:color="auto"/>
            </w:tcBorders>
            <w:shd w:val="clear" w:color="auto" w:fill="auto"/>
            <w:noWrap/>
            <w:vAlign w:val="bottom"/>
            <w:hideMark/>
          </w:tcPr>
          <w:p w14:paraId="2BA84D1F" w14:textId="695A2DED"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27. Shpenzimet për K&amp;</w:t>
            </w:r>
            <w:r w:rsidR="000109D2" w:rsidRPr="00050FA4">
              <w:rPr>
                <w:sz w:val="18"/>
                <w:szCs w:val="18"/>
                <w:lang w:val="sq-AL" w:eastAsia="sq-AL" w:bidi="he-IL"/>
              </w:rPr>
              <w:t xml:space="preserve">ZH </w:t>
            </w:r>
            <w:r w:rsidRPr="00050FA4">
              <w:rPr>
                <w:sz w:val="18"/>
                <w:szCs w:val="18"/>
                <w:lang w:val="sq-AL" w:eastAsia="sq-AL" w:bidi="he-IL"/>
              </w:rPr>
              <w:t>– EUR për banor</w:t>
            </w:r>
          </w:p>
        </w:tc>
        <w:tc>
          <w:tcPr>
            <w:tcW w:w="1134" w:type="dxa"/>
            <w:tcBorders>
              <w:top w:val="nil"/>
              <w:left w:val="nil"/>
              <w:bottom w:val="nil"/>
              <w:right w:val="single" w:sz="4" w:space="0" w:color="auto"/>
            </w:tcBorders>
            <w:shd w:val="clear" w:color="auto" w:fill="auto"/>
            <w:noWrap/>
            <w:vAlign w:val="bottom"/>
            <w:hideMark/>
          </w:tcPr>
          <w:p w14:paraId="72A367EA"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3" w:type="dxa"/>
            <w:tcBorders>
              <w:top w:val="nil"/>
              <w:left w:val="nil"/>
              <w:bottom w:val="nil"/>
              <w:right w:val="single" w:sz="4" w:space="0" w:color="auto"/>
            </w:tcBorders>
            <w:shd w:val="clear" w:color="auto" w:fill="auto"/>
            <w:noWrap/>
            <w:vAlign w:val="bottom"/>
            <w:hideMark/>
          </w:tcPr>
          <w:p w14:paraId="01D66B0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19D5B30F"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3642F80E"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4" w:space="0" w:color="auto"/>
            </w:tcBorders>
            <w:shd w:val="clear" w:color="auto" w:fill="auto"/>
            <w:noWrap/>
            <w:vAlign w:val="bottom"/>
            <w:hideMark/>
          </w:tcPr>
          <w:p w14:paraId="4233050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964" w:type="dxa"/>
            <w:tcBorders>
              <w:top w:val="nil"/>
              <w:left w:val="nil"/>
              <w:bottom w:val="nil"/>
              <w:right w:val="single" w:sz="8" w:space="0" w:color="auto"/>
            </w:tcBorders>
            <w:shd w:val="clear" w:color="auto" w:fill="auto"/>
            <w:noWrap/>
            <w:vAlign w:val="bottom"/>
            <w:hideMark/>
          </w:tcPr>
          <w:p w14:paraId="3A53E1FD"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 xml:space="preserve"> </w:t>
            </w:r>
          </w:p>
        </w:tc>
        <w:tc>
          <w:tcPr>
            <w:tcW w:w="851" w:type="dxa"/>
            <w:tcBorders>
              <w:top w:val="nil"/>
              <w:left w:val="nil"/>
              <w:bottom w:val="nil"/>
              <w:right w:val="single" w:sz="8" w:space="0" w:color="auto"/>
            </w:tcBorders>
          </w:tcPr>
          <w:p w14:paraId="3F116C98" w14:textId="77777777" w:rsidR="002D3C56" w:rsidRPr="00050FA4" w:rsidRDefault="002D3C56" w:rsidP="00A95D23">
            <w:pPr>
              <w:pStyle w:val="AAAAAAATEXXXX"/>
              <w:ind w:firstLine="0"/>
              <w:rPr>
                <w:sz w:val="18"/>
                <w:szCs w:val="18"/>
                <w:lang w:val="sq-AL" w:eastAsia="sq-AL" w:bidi="he-IL"/>
              </w:rPr>
            </w:pPr>
          </w:p>
        </w:tc>
      </w:tr>
      <w:tr w:rsidR="00FA29AB" w:rsidRPr="00050FA4" w14:paraId="652A78CE" w14:textId="77777777" w:rsidTr="00617B60">
        <w:trPr>
          <w:trHeight w:val="315"/>
          <w:jc w:val="center"/>
        </w:trPr>
        <w:tc>
          <w:tcPr>
            <w:tcW w:w="1048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5E31F09" w14:textId="77777777" w:rsidR="002D3C56" w:rsidRPr="00050FA4" w:rsidRDefault="002D3C56" w:rsidP="00A95D23">
            <w:pPr>
              <w:pStyle w:val="AAAAAAATEXXXX"/>
              <w:ind w:firstLine="0"/>
              <w:rPr>
                <w:sz w:val="18"/>
                <w:szCs w:val="18"/>
                <w:lang w:val="sq-AL" w:eastAsia="sq-AL" w:bidi="he-IL"/>
              </w:rPr>
            </w:pPr>
            <w:r w:rsidRPr="00050FA4">
              <w:rPr>
                <w:b/>
                <w:bCs/>
                <w:sz w:val="18"/>
                <w:szCs w:val="18"/>
                <w:lang w:val="sq-AL" w:eastAsia="sq-AL" w:bidi="he-IL"/>
              </w:rPr>
              <w:t>Tregti</w:t>
            </w:r>
          </w:p>
        </w:tc>
      </w:tr>
      <w:tr w:rsidR="00FA29AB" w:rsidRPr="00050FA4" w14:paraId="39176177" w14:textId="77777777" w:rsidTr="000109D2">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29695D31" w14:textId="77777777" w:rsidR="002D3C56" w:rsidRPr="00050FA4" w:rsidRDefault="002D3C56" w:rsidP="000109D2">
            <w:pPr>
              <w:pStyle w:val="AAAAAAATEXXXX"/>
              <w:ind w:firstLine="0"/>
              <w:jc w:val="left"/>
              <w:rPr>
                <w:sz w:val="18"/>
                <w:szCs w:val="18"/>
                <w:lang w:val="sq-AL" w:eastAsia="sq-AL" w:bidi="he-IL"/>
              </w:rPr>
            </w:pPr>
            <w:r w:rsidRPr="00050FA4">
              <w:rPr>
                <w:sz w:val="18"/>
                <w:szCs w:val="18"/>
                <w:lang w:val="sq-AL" w:eastAsia="sq-AL" w:bidi="he-IL"/>
              </w:rPr>
              <w:t>28. Eksporti i mallrave dhe shërbimeve (si % e PBB-së)</w:t>
            </w:r>
          </w:p>
        </w:tc>
        <w:tc>
          <w:tcPr>
            <w:tcW w:w="1134" w:type="dxa"/>
            <w:tcBorders>
              <w:top w:val="nil"/>
              <w:left w:val="nil"/>
              <w:bottom w:val="single" w:sz="4" w:space="0" w:color="auto"/>
              <w:right w:val="single" w:sz="4" w:space="0" w:color="auto"/>
            </w:tcBorders>
            <w:shd w:val="clear" w:color="auto" w:fill="auto"/>
            <w:noWrap/>
            <w:vAlign w:val="bottom"/>
            <w:hideMark/>
          </w:tcPr>
          <w:p w14:paraId="4A28D8EC"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Llogaritë kombëtare, INSTAT</w:t>
            </w:r>
          </w:p>
        </w:tc>
        <w:tc>
          <w:tcPr>
            <w:tcW w:w="963" w:type="dxa"/>
            <w:tcBorders>
              <w:top w:val="nil"/>
              <w:left w:val="nil"/>
              <w:bottom w:val="single" w:sz="4" w:space="0" w:color="auto"/>
              <w:right w:val="single" w:sz="4" w:space="0" w:color="auto"/>
            </w:tcBorders>
            <w:shd w:val="clear" w:color="auto" w:fill="auto"/>
            <w:noWrap/>
            <w:vAlign w:val="center"/>
            <w:hideMark/>
          </w:tcPr>
          <w:p w14:paraId="1C16B173"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31.6</w:t>
            </w:r>
          </w:p>
        </w:tc>
        <w:tc>
          <w:tcPr>
            <w:tcW w:w="964" w:type="dxa"/>
            <w:tcBorders>
              <w:top w:val="nil"/>
              <w:left w:val="nil"/>
              <w:bottom w:val="single" w:sz="4" w:space="0" w:color="auto"/>
              <w:right w:val="single" w:sz="4" w:space="0" w:color="auto"/>
            </w:tcBorders>
            <w:shd w:val="clear" w:color="auto" w:fill="auto"/>
            <w:noWrap/>
            <w:vAlign w:val="center"/>
            <w:hideMark/>
          </w:tcPr>
          <w:p w14:paraId="2DA248D8"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31.6</w:t>
            </w:r>
          </w:p>
        </w:tc>
        <w:tc>
          <w:tcPr>
            <w:tcW w:w="964" w:type="dxa"/>
            <w:tcBorders>
              <w:top w:val="nil"/>
              <w:left w:val="nil"/>
              <w:bottom w:val="single" w:sz="4" w:space="0" w:color="auto"/>
              <w:right w:val="single" w:sz="4" w:space="0" w:color="auto"/>
            </w:tcBorders>
            <w:shd w:val="clear" w:color="auto" w:fill="auto"/>
            <w:noWrap/>
            <w:vAlign w:val="center"/>
            <w:hideMark/>
          </w:tcPr>
          <w:p w14:paraId="45D1458F"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31.3</w:t>
            </w:r>
          </w:p>
        </w:tc>
        <w:tc>
          <w:tcPr>
            <w:tcW w:w="964" w:type="dxa"/>
            <w:tcBorders>
              <w:top w:val="nil"/>
              <w:left w:val="nil"/>
              <w:bottom w:val="single" w:sz="4" w:space="0" w:color="auto"/>
              <w:right w:val="single" w:sz="4" w:space="0" w:color="auto"/>
            </w:tcBorders>
            <w:shd w:val="clear" w:color="auto" w:fill="auto"/>
            <w:noWrap/>
            <w:vAlign w:val="center"/>
            <w:hideMark/>
          </w:tcPr>
          <w:p w14:paraId="0866568B"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23.1</w:t>
            </w:r>
          </w:p>
        </w:tc>
        <w:tc>
          <w:tcPr>
            <w:tcW w:w="964" w:type="dxa"/>
            <w:tcBorders>
              <w:top w:val="nil"/>
              <w:left w:val="nil"/>
              <w:bottom w:val="single" w:sz="4" w:space="0" w:color="auto"/>
              <w:right w:val="single" w:sz="8" w:space="0" w:color="auto"/>
            </w:tcBorders>
            <w:shd w:val="clear" w:color="auto" w:fill="auto"/>
            <w:noWrap/>
            <w:vAlign w:val="center"/>
            <w:hideMark/>
          </w:tcPr>
          <w:p w14:paraId="5912D2EF"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eastAsia="sq-AL" w:bidi="he-IL"/>
              </w:rPr>
              <w:t>26.0</w:t>
            </w:r>
          </w:p>
        </w:tc>
        <w:tc>
          <w:tcPr>
            <w:tcW w:w="851" w:type="dxa"/>
            <w:tcBorders>
              <w:top w:val="nil"/>
              <w:left w:val="nil"/>
              <w:bottom w:val="single" w:sz="4" w:space="0" w:color="auto"/>
              <w:right w:val="single" w:sz="8" w:space="0" w:color="auto"/>
            </w:tcBorders>
            <w:vAlign w:val="center"/>
          </w:tcPr>
          <w:p w14:paraId="4232FCC1"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eastAsia="sq-AL" w:bidi="he-IL"/>
              </w:rPr>
              <w:t>30.1</w:t>
            </w:r>
          </w:p>
        </w:tc>
      </w:tr>
      <w:tr w:rsidR="00FA29AB" w:rsidRPr="00050FA4" w14:paraId="7EC6D234" w14:textId="77777777" w:rsidTr="000109D2">
        <w:trPr>
          <w:trHeight w:val="300"/>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5102D48B" w14:textId="77777777" w:rsidR="002D3C56" w:rsidRPr="00050FA4" w:rsidRDefault="002D3C56" w:rsidP="000109D2">
            <w:pPr>
              <w:pStyle w:val="AAAAAAATEXXXX"/>
              <w:ind w:firstLine="0"/>
              <w:jc w:val="left"/>
              <w:rPr>
                <w:sz w:val="18"/>
                <w:szCs w:val="18"/>
                <w:lang w:val="sq-AL" w:eastAsia="sq-AL" w:bidi="he-IL"/>
              </w:rPr>
            </w:pPr>
            <w:r w:rsidRPr="00050FA4">
              <w:rPr>
                <w:sz w:val="18"/>
                <w:szCs w:val="18"/>
                <w:lang w:val="sq-AL" w:eastAsia="sq-AL" w:bidi="he-IL"/>
              </w:rPr>
              <w:t>29. Importi i mallrave dhe shërbimeve (si % e PBB-së)</w:t>
            </w:r>
          </w:p>
        </w:tc>
        <w:tc>
          <w:tcPr>
            <w:tcW w:w="1134" w:type="dxa"/>
            <w:tcBorders>
              <w:top w:val="nil"/>
              <w:left w:val="nil"/>
              <w:bottom w:val="single" w:sz="4" w:space="0" w:color="auto"/>
              <w:right w:val="single" w:sz="4" w:space="0" w:color="auto"/>
            </w:tcBorders>
            <w:shd w:val="clear" w:color="auto" w:fill="auto"/>
            <w:noWrap/>
            <w:vAlign w:val="bottom"/>
            <w:hideMark/>
          </w:tcPr>
          <w:p w14:paraId="74A0A8D1"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Llogaritë kombëtare, INSTAT</w:t>
            </w:r>
          </w:p>
        </w:tc>
        <w:tc>
          <w:tcPr>
            <w:tcW w:w="963" w:type="dxa"/>
            <w:tcBorders>
              <w:top w:val="nil"/>
              <w:left w:val="nil"/>
              <w:bottom w:val="single" w:sz="4" w:space="0" w:color="auto"/>
              <w:right w:val="single" w:sz="4" w:space="0" w:color="auto"/>
            </w:tcBorders>
            <w:shd w:val="clear" w:color="auto" w:fill="auto"/>
            <w:noWrap/>
            <w:vAlign w:val="center"/>
            <w:hideMark/>
          </w:tcPr>
          <w:p w14:paraId="52794F56"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46.6</w:t>
            </w:r>
          </w:p>
        </w:tc>
        <w:tc>
          <w:tcPr>
            <w:tcW w:w="964" w:type="dxa"/>
            <w:tcBorders>
              <w:top w:val="nil"/>
              <w:left w:val="nil"/>
              <w:bottom w:val="single" w:sz="4" w:space="0" w:color="auto"/>
              <w:right w:val="single" w:sz="4" w:space="0" w:color="auto"/>
            </w:tcBorders>
            <w:shd w:val="clear" w:color="auto" w:fill="auto"/>
            <w:noWrap/>
            <w:vAlign w:val="center"/>
            <w:hideMark/>
          </w:tcPr>
          <w:p w14:paraId="12E5885C"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45.2</w:t>
            </w:r>
          </w:p>
        </w:tc>
        <w:tc>
          <w:tcPr>
            <w:tcW w:w="964" w:type="dxa"/>
            <w:tcBorders>
              <w:top w:val="nil"/>
              <w:left w:val="nil"/>
              <w:bottom w:val="single" w:sz="4" w:space="0" w:color="auto"/>
              <w:right w:val="single" w:sz="4" w:space="0" w:color="auto"/>
            </w:tcBorders>
            <w:shd w:val="clear" w:color="auto" w:fill="auto"/>
            <w:noWrap/>
            <w:vAlign w:val="center"/>
            <w:hideMark/>
          </w:tcPr>
          <w:p w14:paraId="0AACFD67"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45.0</w:t>
            </w:r>
          </w:p>
        </w:tc>
        <w:tc>
          <w:tcPr>
            <w:tcW w:w="964" w:type="dxa"/>
            <w:tcBorders>
              <w:top w:val="nil"/>
              <w:left w:val="nil"/>
              <w:bottom w:val="single" w:sz="4" w:space="0" w:color="auto"/>
              <w:right w:val="single" w:sz="4" w:space="0" w:color="auto"/>
            </w:tcBorders>
            <w:shd w:val="clear" w:color="auto" w:fill="auto"/>
            <w:noWrap/>
            <w:vAlign w:val="center"/>
            <w:hideMark/>
          </w:tcPr>
          <w:p w14:paraId="298212F0"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37.9</w:t>
            </w:r>
          </w:p>
        </w:tc>
        <w:tc>
          <w:tcPr>
            <w:tcW w:w="964" w:type="dxa"/>
            <w:tcBorders>
              <w:top w:val="nil"/>
              <w:left w:val="nil"/>
              <w:bottom w:val="single" w:sz="4" w:space="0" w:color="auto"/>
              <w:right w:val="single" w:sz="8" w:space="0" w:color="auto"/>
            </w:tcBorders>
            <w:shd w:val="clear" w:color="auto" w:fill="auto"/>
            <w:noWrap/>
            <w:vAlign w:val="center"/>
            <w:hideMark/>
          </w:tcPr>
          <w:p w14:paraId="7E1D55B4"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eastAsia="sq-AL" w:bidi="he-IL"/>
              </w:rPr>
              <w:t>40.7</w:t>
            </w:r>
          </w:p>
        </w:tc>
        <w:tc>
          <w:tcPr>
            <w:tcW w:w="851" w:type="dxa"/>
            <w:tcBorders>
              <w:top w:val="nil"/>
              <w:left w:val="nil"/>
              <w:bottom w:val="single" w:sz="4" w:space="0" w:color="auto"/>
              <w:right w:val="single" w:sz="8" w:space="0" w:color="auto"/>
            </w:tcBorders>
            <w:vAlign w:val="center"/>
          </w:tcPr>
          <w:p w14:paraId="466DD666"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eastAsia="sq-AL" w:bidi="he-IL"/>
              </w:rPr>
              <w:t>40.5</w:t>
            </w:r>
          </w:p>
        </w:tc>
      </w:tr>
      <w:tr w:rsidR="00FA29AB" w:rsidRPr="00050FA4" w14:paraId="1F2FE929" w14:textId="77777777" w:rsidTr="000109D2">
        <w:trPr>
          <w:trHeight w:val="315"/>
          <w:jc w:val="center"/>
        </w:trPr>
        <w:tc>
          <w:tcPr>
            <w:tcW w:w="3676" w:type="dxa"/>
            <w:tcBorders>
              <w:top w:val="nil"/>
              <w:left w:val="single" w:sz="8" w:space="0" w:color="auto"/>
              <w:bottom w:val="single" w:sz="4" w:space="0" w:color="auto"/>
              <w:right w:val="single" w:sz="4" w:space="0" w:color="auto"/>
            </w:tcBorders>
            <w:shd w:val="clear" w:color="auto" w:fill="auto"/>
            <w:noWrap/>
            <w:hideMark/>
          </w:tcPr>
          <w:p w14:paraId="2C7B1C36" w14:textId="77777777" w:rsidR="002D3C56" w:rsidRPr="00050FA4" w:rsidRDefault="002D3C56" w:rsidP="000109D2">
            <w:pPr>
              <w:pStyle w:val="AAAAAAATEXXXX"/>
              <w:ind w:firstLine="0"/>
              <w:jc w:val="left"/>
              <w:rPr>
                <w:sz w:val="18"/>
                <w:szCs w:val="18"/>
                <w:lang w:val="sq-AL" w:eastAsia="sq-AL" w:bidi="he-IL"/>
              </w:rPr>
            </w:pPr>
            <w:r w:rsidRPr="00050FA4">
              <w:rPr>
                <w:sz w:val="18"/>
                <w:szCs w:val="18"/>
                <w:lang w:val="sq-AL" w:eastAsia="sq-AL" w:bidi="he-IL"/>
              </w:rPr>
              <w:t>30. Bilanci tregtar (si % e PBB-së)</w:t>
            </w:r>
          </w:p>
        </w:tc>
        <w:tc>
          <w:tcPr>
            <w:tcW w:w="1134" w:type="dxa"/>
            <w:tcBorders>
              <w:top w:val="nil"/>
              <w:left w:val="nil"/>
              <w:bottom w:val="single" w:sz="4" w:space="0" w:color="auto"/>
              <w:right w:val="single" w:sz="4" w:space="0" w:color="auto"/>
            </w:tcBorders>
            <w:shd w:val="clear" w:color="auto" w:fill="auto"/>
            <w:noWrap/>
            <w:vAlign w:val="bottom"/>
            <w:hideMark/>
          </w:tcPr>
          <w:p w14:paraId="09F61F42" w14:textId="77777777" w:rsidR="002D3C56" w:rsidRPr="00050FA4" w:rsidRDefault="002D3C56" w:rsidP="00A95D23">
            <w:pPr>
              <w:pStyle w:val="AAAAAAATEXXXX"/>
              <w:ind w:firstLine="0"/>
              <w:rPr>
                <w:sz w:val="18"/>
                <w:szCs w:val="18"/>
                <w:lang w:val="sq-AL" w:eastAsia="sq-AL" w:bidi="he-IL"/>
              </w:rPr>
            </w:pPr>
            <w:r w:rsidRPr="00050FA4">
              <w:rPr>
                <w:sz w:val="18"/>
                <w:szCs w:val="18"/>
                <w:lang w:val="sq-AL" w:eastAsia="sq-AL" w:bidi="he-IL"/>
              </w:rPr>
              <w:t>Llogaritë kombëtare, INSTAT</w:t>
            </w:r>
          </w:p>
        </w:tc>
        <w:tc>
          <w:tcPr>
            <w:tcW w:w="963" w:type="dxa"/>
            <w:tcBorders>
              <w:top w:val="nil"/>
              <w:left w:val="nil"/>
              <w:bottom w:val="single" w:sz="4" w:space="0" w:color="auto"/>
              <w:right w:val="single" w:sz="4" w:space="0" w:color="auto"/>
            </w:tcBorders>
            <w:shd w:val="clear" w:color="auto" w:fill="auto"/>
            <w:noWrap/>
            <w:vAlign w:val="center"/>
            <w:hideMark/>
          </w:tcPr>
          <w:p w14:paraId="4219E012"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15.0</w:t>
            </w:r>
          </w:p>
        </w:tc>
        <w:tc>
          <w:tcPr>
            <w:tcW w:w="964" w:type="dxa"/>
            <w:tcBorders>
              <w:top w:val="nil"/>
              <w:left w:val="nil"/>
              <w:bottom w:val="single" w:sz="4" w:space="0" w:color="auto"/>
              <w:right w:val="single" w:sz="4" w:space="0" w:color="auto"/>
            </w:tcBorders>
            <w:shd w:val="clear" w:color="auto" w:fill="auto"/>
            <w:noWrap/>
            <w:vAlign w:val="center"/>
            <w:hideMark/>
          </w:tcPr>
          <w:p w14:paraId="75B5FC1C"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13.6</w:t>
            </w:r>
          </w:p>
        </w:tc>
        <w:tc>
          <w:tcPr>
            <w:tcW w:w="964" w:type="dxa"/>
            <w:tcBorders>
              <w:top w:val="nil"/>
              <w:left w:val="nil"/>
              <w:bottom w:val="single" w:sz="4" w:space="0" w:color="auto"/>
              <w:right w:val="single" w:sz="4" w:space="0" w:color="auto"/>
            </w:tcBorders>
            <w:shd w:val="clear" w:color="auto" w:fill="auto"/>
            <w:noWrap/>
            <w:vAlign w:val="center"/>
            <w:hideMark/>
          </w:tcPr>
          <w:p w14:paraId="6195BBC0"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13.7</w:t>
            </w:r>
          </w:p>
        </w:tc>
        <w:tc>
          <w:tcPr>
            <w:tcW w:w="964" w:type="dxa"/>
            <w:tcBorders>
              <w:top w:val="nil"/>
              <w:left w:val="nil"/>
              <w:bottom w:val="single" w:sz="4" w:space="0" w:color="auto"/>
              <w:right w:val="single" w:sz="4" w:space="0" w:color="auto"/>
            </w:tcBorders>
            <w:shd w:val="clear" w:color="auto" w:fill="auto"/>
            <w:noWrap/>
            <w:vAlign w:val="center"/>
            <w:hideMark/>
          </w:tcPr>
          <w:p w14:paraId="48509F13"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rPr>
              <w:t>14.8</w:t>
            </w:r>
          </w:p>
        </w:tc>
        <w:tc>
          <w:tcPr>
            <w:tcW w:w="964" w:type="dxa"/>
            <w:tcBorders>
              <w:top w:val="nil"/>
              <w:left w:val="nil"/>
              <w:bottom w:val="single" w:sz="4" w:space="0" w:color="auto"/>
              <w:right w:val="single" w:sz="8" w:space="0" w:color="auto"/>
            </w:tcBorders>
            <w:shd w:val="clear" w:color="auto" w:fill="auto"/>
            <w:noWrap/>
            <w:vAlign w:val="center"/>
            <w:hideMark/>
          </w:tcPr>
          <w:p w14:paraId="57F36C13"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eastAsia="sq-AL" w:bidi="he-IL"/>
              </w:rPr>
              <w:t>14.7</w:t>
            </w:r>
          </w:p>
        </w:tc>
        <w:tc>
          <w:tcPr>
            <w:tcW w:w="851" w:type="dxa"/>
            <w:tcBorders>
              <w:top w:val="nil"/>
              <w:left w:val="nil"/>
              <w:bottom w:val="single" w:sz="4" w:space="0" w:color="auto"/>
              <w:right w:val="single" w:sz="8" w:space="0" w:color="auto"/>
            </w:tcBorders>
            <w:vAlign w:val="center"/>
          </w:tcPr>
          <w:p w14:paraId="3085FC61" w14:textId="77777777" w:rsidR="002D3C56" w:rsidRPr="00050FA4" w:rsidRDefault="002D3C56" w:rsidP="00A80B97">
            <w:pPr>
              <w:pStyle w:val="AAAAAAATEXXXX"/>
              <w:ind w:firstLine="0"/>
              <w:jc w:val="right"/>
              <w:rPr>
                <w:sz w:val="18"/>
                <w:szCs w:val="18"/>
                <w:lang w:val="sq-AL" w:eastAsia="sq-AL" w:bidi="he-IL"/>
              </w:rPr>
            </w:pPr>
            <w:r w:rsidRPr="00050FA4">
              <w:rPr>
                <w:sz w:val="18"/>
                <w:szCs w:val="18"/>
                <w:lang w:val="sq-AL" w:eastAsia="sq-AL" w:bidi="he-IL"/>
              </w:rPr>
              <w:t>10.4</w:t>
            </w:r>
          </w:p>
        </w:tc>
      </w:tr>
    </w:tbl>
    <w:p w14:paraId="66445795" w14:textId="77777777" w:rsidR="00E06E0F" w:rsidRPr="00050FA4" w:rsidRDefault="00E06E0F" w:rsidP="003F1DA7">
      <w:pPr>
        <w:pStyle w:val="AAAAAAATEXXXX"/>
        <w:rPr>
          <w:sz w:val="20"/>
          <w:szCs w:val="20"/>
          <w:lang w:val="sq-AL"/>
        </w:rPr>
      </w:pPr>
    </w:p>
    <w:p w14:paraId="354F359E" w14:textId="35654781" w:rsidR="00E06E0F" w:rsidRPr="00050FA4" w:rsidRDefault="004D1F24" w:rsidP="00A80B97">
      <w:pPr>
        <w:pStyle w:val="AAAAAAATEXXXX"/>
        <w:jc w:val="left"/>
        <w:rPr>
          <w:lang w:val="sq-AL"/>
        </w:rPr>
      </w:pPr>
      <w:bookmarkStart w:id="139" w:name="_Toc93325798"/>
      <w:r w:rsidRPr="00050FA4">
        <w:rPr>
          <w:lang w:val="sq-AL"/>
        </w:rPr>
        <w:t>Tabela</w:t>
      </w:r>
      <w:r w:rsidR="000B0C45" w:rsidRPr="00050FA4">
        <w:rPr>
          <w:lang w:val="sq-AL"/>
        </w:rPr>
        <w:t xml:space="preserve"> </w:t>
      </w:r>
      <w:r w:rsidR="00E06E0F" w:rsidRPr="00050FA4">
        <w:rPr>
          <w:lang w:val="sq-AL"/>
        </w:rPr>
        <w:t>10a:</w:t>
      </w:r>
      <w:r w:rsidR="000B0C45" w:rsidRPr="00050FA4">
        <w:rPr>
          <w:lang w:val="sq-AL"/>
        </w:rPr>
        <w:t xml:space="preserve"> </w:t>
      </w:r>
      <w:r w:rsidR="005E44FE" w:rsidRPr="00050FA4">
        <w:rPr>
          <w:lang w:val="sq-AL"/>
        </w:rPr>
        <w:t>Kostimi i masave të reformave strukturore</w:t>
      </w:r>
      <w:bookmarkEnd w:id="139"/>
    </w:p>
    <w:p w14:paraId="76B5E065" w14:textId="436DE7FB" w:rsidR="00297C3D" w:rsidRPr="00050FA4" w:rsidRDefault="00B2062A" w:rsidP="003F1DA7">
      <w:pPr>
        <w:pStyle w:val="AAAAAAATEXXXX"/>
        <w:rPr>
          <w:b/>
          <w:bCs/>
          <w:sz w:val="20"/>
          <w:szCs w:val="20"/>
          <w:lang w:val="sq-AL"/>
        </w:rPr>
      </w:pPr>
      <w:bookmarkStart w:id="140" w:name="_Toc93325799"/>
      <w:r w:rsidRPr="00050FA4">
        <w:rPr>
          <w:b/>
          <w:bCs/>
          <w:sz w:val="20"/>
          <w:szCs w:val="20"/>
          <w:lang w:val="sq-AL"/>
        </w:rPr>
        <w:t>Sfida</w:t>
      </w:r>
      <w:r w:rsidR="005E44FE" w:rsidRPr="00050FA4">
        <w:rPr>
          <w:b/>
          <w:bCs/>
          <w:sz w:val="20"/>
          <w:szCs w:val="20"/>
          <w:lang w:val="sq-AL"/>
        </w:rPr>
        <w:t>t</w:t>
      </w:r>
      <w:r w:rsidRPr="00050FA4">
        <w:rPr>
          <w:b/>
          <w:bCs/>
          <w:sz w:val="20"/>
          <w:szCs w:val="20"/>
          <w:lang w:val="sq-AL"/>
        </w:rPr>
        <w:t xml:space="preserve"> </w:t>
      </w:r>
      <w:r w:rsidR="00262236" w:rsidRPr="00050FA4">
        <w:rPr>
          <w:b/>
          <w:bCs/>
          <w:sz w:val="20"/>
          <w:szCs w:val="20"/>
          <w:lang w:val="sq-AL"/>
        </w:rPr>
        <w:t>k</w:t>
      </w:r>
      <w:r w:rsidRPr="00050FA4">
        <w:rPr>
          <w:b/>
          <w:bCs/>
          <w:sz w:val="20"/>
          <w:szCs w:val="20"/>
          <w:lang w:val="sq-AL"/>
        </w:rPr>
        <w:t>yçe</w:t>
      </w:r>
      <w:bookmarkEnd w:id="140"/>
    </w:p>
    <w:p w14:paraId="435D81D7" w14:textId="6435473F" w:rsidR="00E06E0F" w:rsidRPr="00050FA4" w:rsidRDefault="00B2062A" w:rsidP="003F1DA7">
      <w:pPr>
        <w:pStyle w:val="AAAAAAATEXXXX"/>
        <w:rPr>
          <w:sz w:val="20"/>
          <w:szCs w:val="20"/>
          <w:lang w:val="sq-AL"/>
        </w:rPr>
      </w:pPr>
      <w:r w:rsidRPr="00050FA4">
        <w:rPr>
          <w:sz w:val="20"/>
          <w:szCs w:val="20"/>
          <w:lang w:val="sq-AL"/>
        </w:rPr>
        <w:t xml:space="preserve">Sfida </w:t>
      </w:r>
      <w:r w:rsidR="00262236" w:rsidRPr="00050FA4">
        <w:rPr>
          <w:sz w:val="20"/>
          <w:szCs w:val="20"/>
          <w:lang w:val="sq-AL"/>
        </w:rPr>
        <w:t>k</w:t>
      </w:r>
      <w:r w:rsidRPr="00050FA4">
        <w:rPr>
          <w:sz w:val="20"/>
          <w:szCs w:val="20"/>
          <w:lang w:val="sq-AL"/>
        </w:rPr>
        <w:t>yçe</w:t>
      </w:r>
      <w:r w:rsidR="000B0C45" w:rsidRPr="00050FA4">
        <w:rPr>
          <w:sz w:val="20"/>
          <w:szCs w:val="20"/>
          <w:lang w:val="sq-AL"/>
        </w:rPr>
        <w:t xml:space="preserve"> </w:t>
      </w:r>
      <w:r w:rsidR="00E06E0F" w:rsidRPr="00050FA4">
        <w:rPr>
          <w:sz w:val="20"/>
          <w:szCs w:val="20"/>
          <w:lang w:val="sq-AL"/>
        </w:rPr>
        <w:t>#1</w:t>
      </w:r>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58921681" w14:textId="77777777" w:rsidTr="00A80B97">
        <w:trPr>
          <w:jc w:val="center"/>
        </w:trPr>
        <w:tc>
          <w:tcPr>
            <w:tcW w:w="10201" w:type="dxa"/>
            <w:gridSpan w:val="6"/>
            <w:shd w:val="clear" w:color="auto" w:fill="E5DFEC" w:themeFill="accent4" w:themeFillTint="33"/>
          </w:tcPr>
          <w:p w14:paraId="754AFB28" w14:textId="148C4767"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01:</w:t>
            </w:r>
            <w:r w:rsidR="000B0C45" w:rsidRPr="00050FA4">
              <w:rPr>
                <w:b/>
                <w:sz w:val="18"/>
                <w:szCs w:val="18"/>
                <w:lang w:val="sq-AL"/>
              </w:rPr>
              <w:t xml:space="preserve"> </w:t>
            </w:r>
            <w:r w:rsidR="00461CA0" w:rsidRPr="00050FA4">
              <w:rPr>
                <w:b/>
                <w:sz w:val="18"/>
                <w:szCs w:val="18"/>
                <w:lang w:val="sq-AL"/>
              </w:rPr>
              <w:t>Rritja e cilësisë dhe aksesit në AFP</w:t>
            </w:r>
            <w:r w:rsidR="00B7135B" w:rsidRPr="00050FA4">
              <w:rPr>
                <w:rStyle w:val="FootnoteReference"/>
                <w:rFonts w:cstheme="majorBidi"/>
                <w:b/>
                <w:color w:val="0D0D0D" w:themeColor="text1" w:themeTint="F2"/>
                <w:sz w:val="18"/>
                <w:szCs w:val="18"/>
                <w:lang w:val="sq-AL"/>
              </w:rPr>
              <w:footnoteReference w:id="37"/>
            </w:r>
          </w:p>
        </w:tc>
      </w:tr>
      <w:tr w:rsidR="00FA29AB" w:rsidRPr="00050FA4" w14:paraId="4A272BB1" w14:textId="77777777" w:rsidTr="00A80B97">
        <w:trPr>
          <w:jc w:val="center"/>
        </w:trPr>
        <w:tc>
          <w:tcPr>
            <w:tcW w:w="817" w:type="dxa"/>
            <w:vAlign w:val="center"/>
          </w:tcPr>
          <w:p w14:paraId="77763F22" w14:textId="5F29EDF1"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0E60E740" w14:textId="2F0E55D6"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36944B4E" w14:textId="34818E07"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7219CCFE" w14:textId="5D952EC3"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62DA2E6C" w14:textId="47F561FF"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6733D2B4" w14:textId="4D3552BB"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287C2668" w14:textId="77777777" w:rsidTr="00A80B97">
        <w:trPr>
          <w:jc w:val="center"/>
        </w:trPr>
        <w:tc>
          <w:tcPr>
            <w:tcW w:w="817" w:type="dxa"/>
          </w:tcPr>
          <w:p w14:paraId="5BC3F925" w14:textId="77777777" w:rsidR="00B7135B" w:rsidRPr="00050FA4" w:rsidRDefault="00B7135B" w:rsidP="00F93704">
            <w:pPr>
              <w:pStyle w:val="AAAAAAATEXXXX"/>
              <w:ind w:firstLine="0"/>
              <w:jc w:val="center"/>
              <w:rPr>
                <w:sz w:val="18"/>
                <w:szCs w:val="18"/>
                <w:lang w:val="sq-AL"/>
              </w:rPr>
            </w:pPr>
            <w:r w:rsidRPr="00050FA4">
              <w:rPr>
                <w:sz w:val="18"/>
                <w:szCs w:val="18"/>
                <w:lang w:val="sq-AL"/>
              </w:rPr>
              <w:t>2022</w:t>
            </w:r>
          </w:p>
        </w:tc>
        <w:tc>
          <w:tcPr>
            <w:tcW w:w="1876" w:type="dxa"/>
          </w:tcPr>
          <w:p w14:paraId="0839E41A" w14:textId="6BC24102" w:rsidR="00B7135B" w:rsidRPr="00050FA4" w:rsidRDefault="00B7135B" w:rsidP="00F93704">
            <w:pPr>
              <w:pStyle w:val="AAAAAAATEXXXX"/>
              <w:ind w:firstLine="0"/>
              <w:jc w:val="right"/>
              <w:rPr>
                <w:sz w:val="18"/>
                <w:szCs w:val="18"/>
                <w:lang w:val="sq-AL"/>
              </w:rPr>
            </w:pPr>
            <w:r w:rsidRPr="00050FA4">
              <w:rPr>
                <w:sz w:val="18"/>
                <w:szCs w:val="18"/>
                <w:lang w:val="sq-AL"/>
              </w:rPr>
              <w:t>970,800</w:t>
            </w:r>
          </w:p>
        </w:tc>
        <w:tc>
          <w:tcPr>
            <w:tcW w:w="1877" w:type="dxa"/>
          </w:tcPr>
          <w:p w14:paraId="2FF05CE3" w14:textId="1644D986" w:rsidR="00B7135B" w:rsidRPr="00050FA4" w:rsidRDefault="00B7135B" w:rsidP="00F93704">
            <w:pPr>
              <w:pStyle w:val="AAAAAAATEXXXX"/>
              <w:ind w:firstLine="0"/>
              <w:jc w:val="right"/>
              <w:rPr>
                <w:sz w:val="18"/>
                <w:szCs w:val="18"/>
                <w:lang w:val="sq-AL"/>
              </w:rPr>
            </w:pPr>
            <w:r w:rsidRPr="00050FA4">
              <w:rPr>
                <w:sz w:val="18"/>
                <w:szCs w:val="18"/>
                <w:lang w:val="sq-AL"/>
              </w:rPr>
              <w:t>1,500,000</w:t>
            </w:r>
          </w:p>
        </w:tc>
        <w:tc>
          <w:tcPr>
            <w:tcW w:w="1877" w:type="dxa"/>
          </w:tcPr>
          <w:p w14:paraId="33284715" w14:textId="77777777" w:rsidR="00B7135B" w:rsidRPr="00050FA4" w:rsidRDefault="00B7135B" w:rsidP="00F93704">
            <w:pPr>
              <w:pStyle w:val="AAAAAAATEXXXX"/>
              <w:ind w:firstLine="0"/>
              <w:jc w:val="right"/>
              <w:rPr>
                <w:sz w:val="18"/>
                <w:szCs w:val="18"/>
                <w:lang w:val="sq-AL"/>
              </w:rPr>
            </w:pPr>
          </w:p>
        </w:tc>
        <w:tc>
          <w:tcPr>
            <w:tcW w:w="1877" w:type="dxa"/>
          </w:tcPr>
          <w:p w14:paraId="2B3BC992" w14:textId="6A599D74" w:rsidR="00B7135B" w:rsidRPr="00050FA4" w:rsidRDefault="00B7135B" w:rsidP="00F93704">
            <w:pPr>
              <w:pStyle w:val="AAAAAAATEXXXX"/>
              <w:ind w:firstLine="0"/>
              <w:jc w:val="right"/>
              <w:rPr>
                <w:sz w:val="18"/>
                <w:szCs w:val="18"/>
                <w:lang w:val="sq-AL"/>
              </w:rPr>
            </w:pPr>
            <w:r w:rsidRPr="00050FA4">
              <w:rPr>
                <w:sz w:val="18"/>
                <w:szCs w:val="18"/>
                <w:lang w:val="sq-AL"/>
              </w:rPr>
              <w:t>5,080,000</w:t>
            </w:r>
          </w:p>
        </w:tc>
        <w:tc>
          <w:tcPr>
            <w:tcW w:w="1877" w:type="dxa"/>
          </w:tcPr>
          <w:p w14:paraId="2FB0B0D2" w14:textId="0AFA58B0" w:rsidR="00B7135B" w:rsidRPr="00050FA4" w:rsidRDefault="00B7135B" w:rsidP="00F93704">
            <w:pPr>
              <w:pStyle w:val="AAAAAAATEXXXX"/>
              <w:ind w:firstLine="0"/>
              <w:jc w:val="right"/>
              <w:rPr>
                <w:sz w:val="18"/>
                <w:szCs w:val="18"/>
                <w:lang w:val="sq-AL"/>
              </w:rPr>
            </w:pPr>
            <w:r w:rsidRPr="00050FA4">
              <w:rPr>
                <w:sz w:val="18"/>
                <w:szCs w:val="18"/>
                <w:lang w:val="sq-AL"/>
              </w:rPr>
              <w:t>7,550,800</w:t>
            </w:r>
          </w:p>
        </w:tc>
      </w:tr>
      <w:tr w:rsidR="00FA29AB" w:rsidRPr="00050FA4" w14:paraId="5640E5DC" w14:textId="77777777" w:rsidTr="00A80B97">
        <w:trPr>
          <w:jc w:val="center"/>
        </w:trPr>
        <w:tc>
          <w:tcPr>
            <w:tcW w:w="817" w:type="dxa"/>
          </w:tcPr>
          <w:p w14:paraId="3DDA2D83" w14:textId="77777777" w:rsidR="00B7135B" w:rsidRPr="00050FA4" w:rsidRDefault="00B7135B" w:rsidP="00F93704">
            <w:pPr>
              <w:pStyle w:val="AAAAAAATEXXXX"/>
              <w:ind w:firstLine="0"/>
              <w:jc w:val="center"/>
              <w:rPr>
                <w:sz w:val="18"/>
                <w:szCs w:val="18"/>
                <w:lang w:val="sq-AL"/>
              </w:rPr>
            </w:pPr>
            <w:r w:rsidRPr="00050FA4">
              <w:rPr>
                <w:sz w:val="18"/>
                <w:szCs w:val="18"/>
                <w:lang w:val="sq-AL"/>
              </w:rPr>
              <w:t>2023</w:t>
            </w:r>
          </w:p>
        </w:tc>
        <w:tc>
          <w:tcPr>
            <w:tcW w:w="1876" w:type="dxa"/>
          </w:tcPr>
          <w:p w14:paraId="7610CA3C" w14:textId="412920D8" w:rsidR="00B7135B" w:rsidRPr="00050FA4" w:rsidRDefault="00B7135B" w:rsidP="00F93704">
            <w:pPr>
              <w:pStyle w:val="AAAAAAATEXXXX"/>
              <w:ind w:firstLine="0"/>
              <w:jc w:val="right"/>
              <w:rPr>
                <w:sz w:val="18"/>
                <w:szCs w:val="18"/>
                <w:lang w:val="sq-AL"/>
              </w:rPr>
            </w:pPr>
            <w:r w:rsidRPr="00050FA4">
              <w:rPr>
                <w:sz w:val="18"/>
                <w:szCs w:val="18"/>
                <w:lang w:val="sq-AL"/>
              </w:rPr>
              <w:t>970,000</w:t>
            </w:r>
          </w:p>
        </w:tc>
        <w:tc>
          <w:tcPr>
            <w:tcW w:w="1877" w:type="dxa"/>
          </w:tcPr>
          <w:p w14:paraId="7D2B6338" w14:textId="61DDCE31" w:rsidR="00B7135B" w:rsidRPr="00050FA4" w:rsidRDefault="00B7135B" w:rsidP="00F93704">
            <w:pPr>
              <w:pStyle w:val="AAAAAAATEXXXX"/>
              <w:ind w:firstLine="0"/>
              <w:jc w:val="right"/>
              <w:rPr>
                <w:sz w:val="18"/>
                <w:szCs w:val="18"/>
                <w:lang w:val="sq-AL"/>
              </w:rPr>
            </w:pPr>
            <w:r w:rsidRPr="00050FA4">
              <w:rPr>
                <w:sz w:val="18"/>
                <w:szCs w:val="18"/>
                <w:lang w:val="sq-AL"/>
              </w:rPr>
              <w:t>1,680,000</w:t>
            </w:r>
          </w:p>
        </w:tc>
        <w:tc>
          <w:tcPr>
            <w:tcW w:w="1877" w:type="dxa"/>
          </w:tcPr>
          <w:p w14:paraId="048A4C44" w14:textId="77777777" w:rsidR="00B7135B" w:rsidRPr="00050FA4" w:rsidRDefault="00B7135B" w:rsidP="00F93704">
            <w:pPr>
              <w:pStyle w:val="AAAAAAATEXXXX"/>
              <w:ind w:firstLine="0"/>
              <w:jc w:val="right"/>
              <w:rPr>
                <w:sz w:val="18"/>
                <w:szCs w:val="18"/>
                <w:lang w:val="sq-AL"/>
              </w:rPr>
            </w:pPr>
          </w:p>
        </w:tc>
        <w:tc>
          <w:tcPr>
            <w:tcW w:w="1877" w:type="dxa"/>
          </w:tcPr>
          <w:p w14:paraId="489C75FD" w14:textId="153C11D5" w:rsidR="00B7135B" w:rsidRPr="00050FA4" w:rsidRDefault="00B7135B" w:rsidP="00F93704">
            <w:pPr>
              <w:pStyle w:val="AAAAAAATEXXXX"/>
              <w:ind w:firstLine="0"/>
              <w:jc w:val="right"/>
              <w:rPr>
                <w:sz w:val="18"/>
                <w:szCs w:val="18"/>
                <w:lang w:val="sq-AL"/>
              </w:rPr>
            </w:pPr>
            <w:r w:rsidRPr="00050FA4">
              <w:rPr>
                <w:sz w:val="18"/>
                <w:szCs w:val="18"/>
                <w:lang w:val="sq-AL"/>
              </w:rPr>
              <w:t>5,150,200</w:t>
            </w:r>
          </w:p>
        </w:tc>
        <w:tc>
          <w:tcPr>
            <w:tcW w:w="1877" w:type="dxa"/>
          </w:tcPr>
          <w:p w14:paraId="356747F9" w14:textId="3C84DEAA" w:rsidR="00B7135B" w:rsidRPr="00050FA4" w:rsidRDefault="00B7135B" w:rsidP="00F93704">
            <w:pPr>
              <w:pStyle w:val="AAAAAAATEXXXX"/>
              <w:ind w:firstLine="0"/>
              <w:jc w:val="right"/>
              <w:rPr>
                <w:sz w:val="18"/>
                <w:szCs w:val="18"/>
                <w:lang w:val="sq-AL"/>
              </w:rPr>
            </w:pPr>
            <w:r w:rsidRPr="00050FA4">
              <w:rPr>
                <w:sz w:val="18"/>
                <w:szCs w:val="18"/>
                <w:lang w:val="sq-AL"/>
              </w:rPr>
              <w:t>7,800,200</w:t>
            </w:r>
          </w:p>
        </w:tc>
      </w:tr>
      <w:tr w:rsidR="00FA29AB" w:rsidRPr="00050FA4" w14:paraId="64599A7B" w14:textId="77777777" w:rsidTr="00A80B97">
        <w:trPr>
          <w:jc w:val="center"/>
        </w:trPr>
        <w:tc>
          <w:tcPr>
            <w:tcW w:w="817" w:type="dxa"/>
          </w:tcPr>
          <w:p w14:paraId="12BF10ED" w14:textId="77777777" w:rsidR="00B7135B" w:rsidRPr="00050FA4" w:rsidRDefault="00B7135B" w:rsidP="00F93704">
            <w:pPr>
              <w:pStyle w:val="AAAAAAATEXXXX"/>
              <w:ind w:firstLine="0"/>
              <w:jc w:val="center"/>
              <w:rPr>
                <w:sz w:val="18"/>
                <w:szCs w:val="18"/>
                <w:lang w:val="sq-AL"/>
              </w:rPr>
            </w:pPr>
            <w:r w:rsidRPr="00050FA4">
              <w:rPr>
                <w:sz w:val="18"/>
                <w:szCs w:val="18"/>
                <w:lang w:val="sq-AL"/>
              </w:rPr>
              <w:t>2024</w:t>
            </w:r>
          </w:p>
        </w:tc>
        <w:tc>
          <w:tcPr>
            <w:tcW w:w="1876" w:type="dxa"/>
          </w:tcPr>
          <w:p w14:paraId="46F90C12" w14:textId="505EE1C5" w:rsidR="00B7135B" w:rsidRPr="00050FA4" w:rsidRDefault="00B7135B" w:rsidP="00F93704">
            <w:pPr>
              <w:pStyle w:val="AAAAAAATEXXXX"/>
              <w:ind w:firstLine="0"/>
              <w:jc w:val="right"/>
              <w:rPr>
                <w:sz w:val="18"/>
                <w:szCs w:val="18"/>
                <w:lang w:val="sq-AL"/>
              </w:rPr>
            </w:pPr>
            <w:r w:rsidRPr="00050FA4">
              <w:rPr>
                <w:sz w:val="18"/>
                <w:szCs w:val="18"/>
                <w:lang w:val="sq-AL"/>
              </w:rPr>
              <w:t>980,000</w:t>
            </w:r>
          </w:p>
        </w:tc>
        <w:tc>
          <w:tcPr>
            <w:tcW w:w="1877" w:type="dxa"/>
          </w:tcPr>
          <w:p w14:paraId="5B50DC50" w14:textId="101F1C45" w:rsidR="00B7135B" w:rsidRPr="00050FA4" w:rsidRDefault="00B7135B" w:rsidP="00F93704">
            <w:pPr>
              <w:pStyle w:val="AAAAAAATEXXXX"/>
              <w:ind w:firstLine="0"/>
              <w:jc w:val="right"/>
              <w:rPr>
                <w:sz w:val="18"/>
                <w:szCs w:val="18"/>
                <w:lang w:val="sq-AL"/>
              </w:rPr>
            </w:pPr>
            <w:r w:rsidRPr="00050FA4">
              <w:rPr>
                <w:sz w:val="18"/>
                <w:szCs w:val="18"/>
                <w:lang w:val="sq-AL"/>
              </w:rPr>
              <w:t xml:space="preserve">1,690,000 </w:t>
            </w:r>
          </w:p>
        </w:tc>
        <w:tc>
          <w:tcPr>
            <w:tcW w:w="1877" w:type="dxa"/>
          </w:tcPr>
          <w:p w14:paraId="4820D7BB" w14:textId="77777777" w:rsidR="00B7135B" w:rsidRPr="00050FA4" w:rsidRDefault="00B7135B" w:rsidP="00F93704">
            <w:pPr>
              <w:pStyle w:val="AAAAAAATEXXXX"/>
              <w:ind w:firstLine="0"/>
              <w:jc w:val="right"/>
              <w:rPr>
                <w:sz w:val="18"/>
                <w:szCs w:val="18"/>
                <w:lang w:val="sq-AL"/>
              </w:rPr>
            </w:pPr>
          </w:p>
        </w:tc>
        <w:tc>
          <w:tcPr>
            <w:tcW w:w="1877" w:type="dxa"/>
          </w:tcPr>
          <w:p w14:paraId="2F0105A3" w14:textId="495BF1C6" w:rsidR="00B7135B" w:rsidRPr="00050FA4" w:rsidRDefault="00B7135B" w:rsidP="00F93704">
            <w:pPr>
              <w:pStyle w:val="AAAAAAATEXXXX"/>
              <w:ind w:firstLine="0"/>
              <w:jc w:val="right"/>
              <w:rPr>
                <w:sz w:val="18"/>
                <w:szCs w:val="18"/>
                <w:lang w:val="sq-AL"/>
              </w:rPr>
            </w:pPr>
            <w:r w:rsidRPr="00050FA4">
              <w:rPr>
                <w:sz w:val="18"/>
                <w:szCs w:val="18"/>
                <w:lang w:val="sq-AL"/>
              </w:rPr>
              <w:t>6,403,500</w:t>
            </w:r>
          </w:p>
        </w:tc>
        <w:tc>
          <w:tcPr>
            <w:tcW w:w="1877" w:type="dxa"/>
          </w:tcPr>
          <w:p w14:paraId="55421CD9" w14:textId="6757031B" w:rsidR="00B7135B" w:rsidRPr="00050FA4" w:rsidRDefault="00B7135B" w:rsidP="00F93704">
            <w:pPr>
              <w:pStyle w:val="AAAAAAATEXXXX"/>
              <w:ind w:firstLine="0"/>
              <w:jc w:val="right"/>
              <w:rPr>
                <w:sz w:val="18"/>
                <w:szCs w:val="18"/>
                <w:lang w:val="sq-AL"/>
              </w:rPr>
            </w:pPr>
            <w:r w:rsidRPr="00050FA4">
              <w:rPr>
                <w:sz w:val="18"/>
                <w:szCs w:val="18"/>
                <w:lang w:val="sq-AL"/>
              </w:rPr>
              <w:t>9,073,500</w:t>
            </w:r>
          </w:p>
        </w:tc>
      </w:tr>
    </w:tbl>
    <w:p w14:paraId="5C883EDE"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53ED6BBE" w14:textId="77777777" w:rsidTr="00A80B97">
        <w:trPr>
          <w:jc w:val="center"/>
        </w:trPr>
        <w:tc>
          <w:tcPr>
            <w:tcW w:w="10201" w:type="dxa"/>
            <w:gridSpan w:val="6"/>
            <w:shd w:val="clear" w:color="auto" w:fill="E5DFEC" w:themeFill="accent4" w:themeFillTint="33"/>
          </w:tcPr>
          <w:p w14:paraId="71E0B0D9" w14:textId="09FA1BFF"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02:</w:t>
            </w:r>
            <w:r w:rsidR="000B0C45" w:rsidRPr="00050FA4">
              <w:rPr>
                <w:b/>
                <w:sz w:val="18"/>
                <w:szCs w:val="18"/>
                <w:lang w:val="sq-AL"/>
              </w:rPr>
              <w:t xml:space="preserve"> </w:t>
            </w:r>
            <w:r w:rsidR="007F2542" w:rsidRPr="00050FA4">
              <w:rPr>
                <w:b/>
                <w:sz w:val="18"/>
                <w:szCs w:val="18"/>
                <w:lang w:val="sq-AL"/>
              </w:rPr>
              <w:t>Përmirësimi i punësueshmërisë së punëkërkuesve të papunë më vulnerabël, veçanërisht atyre të prekur nga COVID-19, përmes PNP-ve dhe shërbimeve të punësimit të reja dhe të rishikuara</w:t>
            </w:r>
          </w:p>
        </w:tc>
      </w:tr>
      <w:tr w:rsidR="00FA29AB" w:rsidRPr="00050FA4" w14:paraId="18886BB5" w14:textId="77777777" w:rsidTr="00A80B97">
        <w:trPr>
          <w:jc w:val="center"/>
        </w:trPr>
        <w:tc>
          <w:tcPr>
            <w:tcW w:w="817" w:type="dxa"/>
            <w:vAlign w:val="center"/>
          </w:tcPr>
          <w:p w14:paraId="564B3C0D" w14:textId="7F8A0AC9"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1F4BAB5F" w14:textId="17EE2BB9"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34FA1D86" w14:textId="0F5B2E9E"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7A4B787D" w14:textId="2AE72235"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3C5A594F" w14:textId="0800AEBC"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7120F5F3" w14:textId="5606DE66"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3E247AB9" w14:textId="77777777" w:rsidTr="00A80B97">
        <w:trPr>
          <w:jc w:val="center"/>
        </w:trPr>
        <w:tc>
          <w:tcPr>
            <w:tcW w:w="817" w:type="dxa"/>
          </w:tcPr>
          <w:p w14:paraId="4498BF1E" w14:textId="77777777" w:rsidR="007F2542" w:rsidRPr="00050FA4" w:rsidRDefault="007F2542" w:rsidP="00F93704">
            <w:pPr>
              <w:pStyle w:val="AAAAAAATEXXXX"/>
              <w:ind w:firstLine="0"/>
              <w:jc w:val="center"/>
              <w:rPr>
                <w:sz w:val="18"/>
                <w:szCs w:val="18"/>
                <w:lang w:val="sq-AL"/>
              </w:rPr>
            </w:pPr>
            <w:r w:rsidRPr="00050FA4">
              <w:rPr>
                <w:sz w:val="18"/>
                <w:szCs w:val="18"/>
                <w:lang w:val="sq-AL"/>
              </w:rPr>
              <w:lastRenderedPageBreak/>
              <w:t>2022</w:t>
            </w:r>
          </w:p>
        </w:tc>
        <w:tc>
          <w:tcPr>
            <w:tcW w:w="1876" w:type="dxa"/>
          </w:tcPr>
          <w:p w14:paraId="32E8BCDD" w14:textId="41A78745" w:rsidR="007F2542" w:rsidRPr="00050FA4" w:rsidRDefault="007F2542" w:rsidP="00F93704">
            <w:pPr>
              <w:pStyle w:val="AAAAAAATEXXXX"/>
              <w:ind w:firstLine="0"/>
              <w:jc w:val="right"/>
              <w:rPr>
                <w:sz w:val="18"/>
                <w:szCs w:val="18"/>
                <w:lang w:val="sq-AL"/>
              </w:rPr>
            </w:pPr>
            <w:r w:rsidRPr="00050FA4">
              <w:rPr>
                <w:sz w:val="18"/>
                <w:szCs w:val="18"/>
                <w:lang w:val="sq-AL"/>
              </w:rPr>
              <w:t>4858942.1</w:t>
            </w:r>
          </w:p>
        </w:tc>
        <w:tc>
          <w:tcPr>
            <w:tcW w:w="1877" w:type="dxa"/>
          </w:tcPr>
          <w:p w14:paraId="25A23165" w14:textId="54EAC7BE" w:rsidR="007F2542" w:rsidRPr="00050FA4" w:rsidRDefault="007F2542" w:rsidP="00F93704">
            <w:pPr>
              <w:pStyle w:val="AAAAAAATEXXXX"/>
              <w:ind w:firstLine="0"/>
              <w:jc w:val="right"/>
              <w:rPr>
                <w:sz w:val="18"/>
                <w:szCs w:val="18"/>
                <w:lang w:val="sq-AL"/>
              </w:rPr>
            </w:pPr>
            <w:r w:rsidRPr="00050FA4">
              <w:rPr>
                <w:sz w:val="18"/>
                <w:szCs w:val="18"/>
                <w:lang w:val="sq-AL"/>
              </w:rPr>
              <w:t>1404958.6</w:t>
            </w:r>
          </w:p>
        </w:tc>
        <w:tc>
          <w:tcPr>
            <w:tcW w:w="1877" w:type="dxa"/>
          </w:tcPr>
          <w:p w14:paraId="5A4DB1A1" w14:textId="14F46097" w:rsidR="007F2542" w:rsidRPr="00050FA4" w:rsidRDefault="007F2542" w:rsidP="00F93704">
            <w:pPr>
              <w:pStyle w:val="AAAAAAATEXXXX"/>
              <w:ind w:firstLine="0"/>
              <w:jc w:val="right"/>
              <w:rPr>
                <w:sz w:val="18"/>
                <w:szCs w:val="18"/>
                <w:lang w:val="sq-AL"/>
              </w:rPr>
            </w:pPr>
            <w:r w:rsidRPr="00050FA4">
              <w:rPr>
                <w:sz w:val="18"/>
                <w:szCs w:val="18"/>
                <w:lang w:val="sq-AL"/>
              </w:rPr>
              <w:t>11666677.6</w:t>
            </w:r>
          </w:p>
        </w:tc>
        <w:tc>
          <w:tcPr>
            <w:tcW w:w="1877" w:type="dxa"/>
            <w:vAlign w:val="center"/>
          </w:tcPr>
          <w:p w14:paraId="71A44155" w14:textId="36067CF4" w:rsidR="007F2542" w:rsidRPr="00050FA4" w:rsidRDefault="007F2542" w:rsidP="00F93704">
            <w:pPr>
              <w:pStyle w:val="AAAAAAATEXXXX"/>
              <w:ind w:firstLine="0"/>
              <w:jc w:val="right"/>
              <w:rPr>
                <w:sz w:val="18"/>
                <w:szCs w:val="18"/>
                <w:lang w:val="sq-AL"/>
              </w:rPr>
            </w:pPr>
            <w:r w:rsidRPr="00050FA4">
              <w:rPr>
                <w:sz w:val="18"/>
                <w:szCs w:val="18"/>
                <w:lang w:val="sq-AL"/>
              </w:rPr>
              <w:t>669421.4</w:t>
            </w:r>
          </w:p>
        </w:tc>
        <w:tc>
          <w:tcPr>
            <w:tcW w:w="1877" w:type="dxa"/>
            <w:vAlign w:val="center"/>
          </w:tcPr>
          <w:p w14:paraId="456B3D89" w14:textId="0ABCDAFF" w:rsidR="007F2542" w:rsidRPr="00050FA4" w:rsidRDefault="007F2542" w:rsidP="00F93704">
            <w:pPr>
              <w:pStyle w:val="AAAAAAATEXXXX"/>
              <w:ind w:firstLine="0"/>
              <w:jc w:val="right"/>
              <w:rPr>
                <w:sz w:val="18"/>
                <w:szCs w:val="18"/>
                <w:lang w:val="sq-AL"/>
              </w:rPr>
            </w:pPr>
            <w:r w:rsidRPr="00050FA4">
              <w:rPr>
                <w:sz w:val="18"/>
                <w:szCs w:val="18"/>
                <w:lang w:val="sq-AL"/>
              </w:rPr>
              <w:t>18600000</w:t>
            </w:r>
          </w:p>
        </w:tc>
      </w:tr>
      <w:tr w:rsidR="00FA29AB" w:rsidRPr="00050FA4" w14:paraId="4900E665" w14:textId="77777777" w:rsidTr="00A80B97">
        <w:trPr>
          <w:jc w:val="center"/>
        </w:trPr>
        <w:tc>
          <w:tcPr>
            <w:tcW w:w="817" w:type="dxa"/>
          </w:tcPr>
          <w:p w14:paraId="1884EFC3" w14:textId="77777777" w:rsidR="007F2542" w:rsidRPr="00050FA4" w:rsidRDefault="007F2542" w:rsidP="00F93704">
            <w:pPr>
              <w:pStyle w:val="AAAAAAATEXXXX"/>
              <w:ind w:firstLine="0"/>
              <w:jc w:val="center"/>
              <w:rPr>
                <w:sz w:val="18"/>
                <w:szCs w:val="18"/>
                <w:lang w:val="sq-AL"/>
              </w:rPr>
            </w:pPr>
            <w:r w:rsidRPr="00050FA4">
              <w:rPr>
                <w:sz w:val="18"/>
                <w:szCs w:val="18"/>
                <w:lang w:val="sq-AL"/>
              </w:rPr>
              <w:t>2023</w:t>
            </w:r>
          </w:p>
        </w:tc>
        <w:tc>
          <w:tcPr>
            <w:tcW w:w="1876" w:type="dxa"/>
          </w:tcPr>
          <w:p w14:paraId="3EEEDC8A" w14:textId="0DA4C947" w:rsidR="007F2542" w:rsidRPr="00050FA4" w:rsidRDefault="007F2542" w:rsidP="00F93704">
            <w:pPr>
              <w:pStyle w:val="AAAAAAATEXXXX"/>
              <w:ind w:firstLine="0"/>
              <w:jc w:val="right"/>
              <w:rPr>
                <w:sz w:val="18"/>
                <w:szCs w:val="18"/>
                <w:lang w:val="sq-AL"/>
              </w:rPr>
            </w:pPr>
            <w:r w:rsidRPr="00050FA4">
              <w:rPr>
                <w:sz w:val="18"/>
                <w:szCs w:val="18"/>
                <w:lang w:val="sq-AL"/>
              </w:rPr>
              <w:t>4858942.1</w:t>
            </w:r>
          </w:p>
        </w:tc>
        <w:tc>
          <w:tcPr>
            <w:tcW w:w="1877" w:type="dxa"/>
          </w:tcPr>
          <w:p w14:paraId="6C8F65A8" w14:textId="40ACC472" w:rsidR="007F2542" w:rsidRPr="00050FA4" w:rsidRDefault="007F2542" w:rsidP="00F93704">
            <w:pPr>
              <w:pStyle w:val="AAAAAAATEXXXX"/>
              <w:ind w:firstLine="0"/>
              <w:jc w:val="right"/>
              <w:rPr>
                <w:sz w:val="18"/>
                <w:szCs w:val="18"/>
                <w:lang w:val="sq-AL"/>
              </w:rPr>
            </w:pPr>
            <w:r w:rsidRPr="00050FA4">
              <w:rPr>
                <w:sz w:val="18"/>
                <w:szCs w:val="18"/>
                <w:lang w:val="sq-AL"/>
              </w:rPr>
              <w:t>1404958.6</w:t>
            </w:r>
          </w:p>
        </w:tc>
        <w:tc>
          <w:tcPr>
            <w:tcW w:w="1877" w:type="dxa"/>
          </w:tcPr>
          <w:p w14:paraId="543BE1D4" w14:textId="73A56A7E" w:rsidR="007F2542" w:rsidRPr="00050FA4" w:rsidRDefault="007F2542" w:rsidP="00F93704">
            <w:pPr>
              <w:pStyle w:val="AAAAAAATEXXXX"/>
              <w:ind w:firstLine="0"/>
              <w:jc w:val="right"/>
              <w:rPr>
                <w:sz w:val="18"/>
                <w:szCs w:val="18"/>
                <w:lang w:val="sq-AL"/>
              </w:rPr>
            </w:pPr>
            <w:r w:rsidRPr="00050FA4">
              <w:rPr>
                <w:sz w:val="18"/>
                <w:szCs w:val="18"/>
                <w:lang w:val="sq-AL"/>
              </w:rPr>
              <w:t>11666677.6</w:t>
            </w:r>
          </w:p>
        </w:tc>
        <w:tc>
          <w:tcPr>
            <w:tcW w:w="1877" w:type="dxa"/>
          </w:tcPr>
          <w:p w14:paraId="18536F57" w14:textId="33B0FB2C" w:rsidR="007F2542" w:rsidRPr="00050FA4" w:rsidRDefault="007F2542" w:rsidP="00F93704">
            <w:pPr>
              <w:pStyle w:val="AAAAAAATEXXXX"/>
              <w:ind w:firstLine="0"/>
              <w:jc w:val="right"/>
              <w:rPr>
                <w:sz w:val="18"/>
                <w:szCs w:val="18"/>
                <w:lang w:val="sq-AL"/>
              </w:rPr>
            </w:pPr>
            <w:r w:rsidRPr="00050FA4">
              <w:rPr>
                <w:sz w:val="18"/>
                <w:szCs w:val="18"/>
                <w:lang w:val="sq-AL"/>
              </w:rPr>
              <w:t>669421.4</w:t>
            </w:r>
          </w:p>
        </w:tc>
        <w:tc>
          <w:tcPr>
            <w:tcW w:w="1877" w:type="dxa"/>
          </w:tcPr>
          <w:p w14:paraId="53E3109B" w14:textId="55809044" w:rsidR="007F2542" w:rsidRPr="00050FA4" w:rsidRDefault="007F2542" w:rsidP="00F93704">
            <w:pPr>
              <w:pStyle w:val="AAAAAAATEXXXX"/>
              <w:ind w:firstLine="0"/>
              <w:jc w:val="right"/>
              <w:rPr>
                <w:sz w:val="18"/>
                <w:szCs w:val="18"/>
                <w:lang w:val="sq-AL"/>
              </w:rPr>
            </w:pPr>
            <w:r w:rsidRPr="00050FA4">
              <w:rPr>
                <w:sz w:val="18"/>
                <w:szCs w:val="18"/>
                <w:lang w:val="sq-AL"/>
              </w:rPr>
              <w:t>18600000</w:t>
            </w:r>
          </w:p>
        </w:tc>
      </w:tr>
      <w:tr w:rsidR="00FA29AB" w:rsidRPr="00050FA4" w14:paraId="1240E238" w14:textId="77777777" w:rsidTr="00A80B97">
        <w:trPr>
          <w:jc w:val="center"/>
        </w:trPr>
        <w:tc>
          <w:tcPr>
            <w:tcW w:w="817" w:type="dxa"/>
          </w:tcPr>
          <w:p w14:paraId="42939399" w14:textId="77777777" w:rsidR="007F2542" w:rsidRPr="00050FA4" w:rsidRDefault="007F2542" w:rsidP="00F93704">
            <w:pPr>
              <w:pStyle w:val="AAAAAAATEXXXX"/>
              <w:ind w:firstLine="0"/>
              <w:jc w:val="center"/>
              <w:rPr>
                <w:sz w:val="18"/>
                <w:szCs w:val="18"/>
                <w:lang w:val="sq-AL"/>
              </w:rPr>
            </w:pPr>
            <w:r w:rsidRPr="00050FA4">
              <w:rPr>
                <w:sz w:val="18"/>
                <w:szCs w:val="18"/>
                <w:lang w:val="sq-AL"/>
              </w:rPr>
              <w:t>2024</w:t>
            </w:r>
          </w:p>
        </w:tc>
        <w:tc>
          <w:tcPr>
            <w:tcW w:w="1876" w:type="dxa"/>
          </w:tcPr>
          <w:p w14:paraId="3292256E" w14:textId="5D3CD5A3" w:rsidR="007F2542" w:rsidRPr="00050FA4" w:rsidRDefault="007F2542" w:rsidP="00F93704">
            <w:pPr>
              <w:pStyle w:val="AAAAAAATEXXXX"/>
              <w:ind w:firstLine="0"/>
              <w:jc w:val="right"/>
              <w:rPr>
                <w:sz w:val="18"/>
                <w:szCs w:val="18"/>
                <w:lang w:val="sq-AL"/>
              </w:rPr>
            </w:pPr>
            <w:r w:rsidRPr="00050FA4">
              <w:rPr>
                <w:sz w:val="18"/>
                <w:szCs w:val="18"/>
                <w:lang w:val="sq-AL"/>
              </w:rPr>
              <w:t>4858942.1</w:t>
            </w:r>
          </w:p>
        </w:tc>
        <w:tc>
          <w:tcPr>
            <w:tcW w:w="1877" w:type="dxa"/>
          </w:tcPr>
          <w:p w14:paraId="2BB2C66D" w14:textId="0AEB3E75" w:rsidR="007F2542" w:rsidRPr="00050FA4" w:rsidRDefault="007F2542" w:rsidP="00F93704">
            <w:pPr>
              <w:pStyle w:val="AAAAAAATEXXXX"/>
              <w:ind w:firstLine="0"/>
              <w:jc w:val="right"/>
              <w:rPr>
                <w:sz w:val="18"/>
                <w:szCs w:val="18"/>
                <w:lang w:val="sq-AL"/>
              </w:rPr>
            </w:pPr>
            <w:r w:rsidRPr="00050FA4">
              <w:rPr>
                <w:sz w:val="18"/>
                <w:szCs w:val="18"/>
                <w:lang w:val="sq-AL"/>
              </w:rPr>
              <w:t>1404958.6</w:t>
            </w:r>
          </w:p>
        </w:tc>
        <w:tc>
          <w:tcPr>
            <w:tcW w:w="1877" w:type="dxa"/>
          </w:tcPr>
          <w:p w14:paraId="047318CC" w14:textId="741EBAB3" w:rsidR="007F2542" w:rsidRPr="00050FA4" w:rsidRDefault="007F2542" w:rsidP="00F93704">
            <w:pPr>
              <w:pStyle w:val="AAAAAAATEXXXX"/>
              <w:ind w:firstLine="0"/>
              <w:jc w:val="right"/>
              <w:rPr>
                <w:sz w:val="18"/>
                <w:szCs w:val="18"/>
                <w:lang w:val="sq-AL"/>
              </w:rPr>
            </w:pPr>
            <w:r w:rsidRPr="00050FA4">
              <w:rPr>
                <w:sz w:val="18"/>
                <w:szCs w:val="18"/>
                <w:lang w:val="sq-AL"/>
              </w:rPr>
              <w:t>9762958.6</w:t>
            </w:r>
          </w:p>
        </w:tc>
        <w:tc>
          <w:tcPr>
            <w:tcW w:w="1877" w:type="dxa"/>
          </w:tcPr>
          <w:p w14:paraId="4E8AEB61" w14:textId="00F5B558" w:rsidR="007F2542" w:rsidRPr="00050FA4" w:rsidRDefault="007F2542" w:rsidP="00F93704">
            <w:pPr>
              <w:pStyle w:val="AAAAAAATEXXXX"/>
              <w:ind w:firstLine="0"/>
              <w:jc w:val="right"/>
              <w:rPr>
                <w:sz w:val="18"/>
                <w:szCs w:val="18"/>
                <w:lang w:val="sq-AL"/>
              </w:rPr>
            </w:pPr>
            <w:r w:rsidRPr="00050FA4">
              <w:rPr>
                <w:sz w:val="18"/>
                <w:szCs w:val="18"/>
                <w:lang w:val="sq-AL"/>
              </w:rPr>
              <w:t>669421.4</w:t>
            </w:r>
          </w:p>
        </w:tc>
        <w:tc>
          <w:tcPr>
            <w:tcW w:w="1877" w:type="dxa"/>
          </w:tcPr>
          <w:p w14:paraId="4274B497" w14:textId="7C33ED0F" w:rsidR="007F2542" w:rsidRPr="00050FA4" w:rsidRDefault="007F2542" w:rsidP="00F93704">
            <w:pPr>
              <w:pStyle w:val="AAAAAAATEXXXX"/>
              <w:ind w:firstLine="0"/>
              <w:jc w:val="right"/>
              <w:rPr>
                <w:sz w:val="18"/>
                <w:szCs w:val="18"/>
                <w:lang w:val="sq-AL"/>
              </w:rPr>
            </w:pPr>
            <w:r w:rsidRPr="00050FA4">
              <w:rPr>
                <w:sz w:val="18"/>
                <w:szCs w:val="18"/>
                <w:lang w:val="sq-AL"/>
              </w:rPr>
              <w:t>18600000</w:t>
            </w:r>
          </w:p>
        </w:tc>
      </w:tr>
    </w:tbl>
    <w:p w14:paraId="5E333E42"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5F255E9B" w14:textId="77777777" w:rsidTr="00A80B97">
        <w:trPr>
          <w:jc w:val="center"/>
        </w:trPr>
        <w:tc>
          <w:tcPr>
            <w:tcW w:w="10201" w:type="dxa"/>
            <w:gridSpan w:val="6"/>
            <w:shd w:val="clear" w:color="auto" w:fill="E5DFEC" w:themeFill="accent4" w:themeFillTint="33"/>
          </w:tcPr>
          <w:p w14:paraId="6EE8417E" w14:textId="069406F2"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03:</w:t>
            </w:r>
            <w:r w:rsidR="000B0C45" w:rsidRPr="00050FA4">
              <w:rPr>
                <w:b/>
                <w:sz w:val="18"/>
                <w:szCs w:val="18"/>
                <w:lang w:val="sq-AL"/>
              </w:rPr>
              <w:t xml:space="preserve"> </w:t>
            </w:r>
            <w:r w:rsidR="00461CA0" w:rsidRPr="00050FA4">
              <w:rPr>
                <w:b/>
                <w:sz w:val="18"/>
                <w:szCs w:val="18"/>
                <w:lang w:val="sq-AL"/>
              </w:rPr>
              <w:t>Përmirësimi i kapaciteteve institucionale, financiare dhe njerëzore për kërkim dhe inovacion</w:t>
            </w:r>
          </w:p>
        </w:tc>
      </w:tr>
      <w:tr w:rsidR="00FA29AB" w:rsidRPr="00050FA4" w14:paraId="11D3AF4A" w14:textId="77777777" w:rsidTr="00A80B97">
        <w:trPr>
          <w:jc w:val="center"/>
        </w:trPr>
        <w:tc>
          <w:tcPr>
            <w:tcW w:w="817" w:type="dxa"/>
            <w:vAlign w:val="center"/>
          </w:tcPr>
          <w:p w14:paraId="37AB4670" w14:textId="61546DF1"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40BA0044" w14:textId="2D860B48"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3AA918C7" w14:textId="12825AE6"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04286F9A" w14:textId="509BCA96"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A80B97" w:rsidRPr="00050FA4">
              <w:rPr>
                <w:b/>
                <w:sz w:val="18"/>
                <w:szCs w:val="18"/>
                <w:lang w:val="sq-AL"/>
              </w:rPr>
              <w:t>dhe</w:t>
            </w:r>
            <w:r w:rsidRPr="00050FA4">
              <w:rPr>
                <w:b/>
                <w:sz w:val="18"/>
                <w:szCs w:val="18"/>
                <w:lang w:val="sq-AL"/>
              </w:rPr>
              <w:t xml:space="preserve"> transferta</w:t>
            </w:r>
          </w:p>
        </w:tc>
        <w:tc>
          <w:tcPr>
            <w:tcW w:w="1877" w:type="dxa"/>
            <w:vAlign w:val="center"/>
          </w:tcPr>
          <w:p w14:paraId="1E4E0A3D" w14:textId="2341D3F1"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32EB8ED7" w14:textId="60001366"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10BCC3BF" w14:textId="77777777" w:rsidTr="00A80B97">
        <w:trPr>
          <w:jc w:val="center"/>
        </w:trPr>
        <w:tc>
          <w:tcPr>
            <w:tcW w:w="817" w:type="dxa"/>
          </w:tcPr>
          <w:p w14:paraId="00F873EB" w14:textId="77777777" w:rsidR="00E06E0F" w:rsidRPr="00050FA4" w:rsidRDefault="00E06E0F" w:rsidP="00F93704">
            <w:pPr>
              <w:pStyle w:val="AAAAAAATEXXXX"/>
              <w:ind w:firstLine="0"/>
              <w:jc w:val="center"/>
              <w:rPr>
                <w:sz w:val="18"/>
                <w:szCs w:val="18"/>
                <w:lang w:val="sq-AL"/>
              </w:rPr>
            </w:pPr>
            <w:r w:rsidRPr="00050FA4">
              <w:rPr>
                <w:sz w:val="18"/>
                <w:szCs w:val="18"/>
                <w:lang w:val="sq-AL"/>
              </w:rPr>
              <w:t>2022</w:t>
            </w:r>
          </w:p>
        </w:tc>
        <w:tc>
          <w:tcPr>
            <w:tcW w:w="1876" w:type="dxa"/>
          </w:tcPr>
          <w:p w14:paraId="56839D2A" w14:textId="77777777" w:rsidR="00E06E0F" w:rsidRPr="00050FA4" w:rsidRDefault="00E06E0F" w:rsidP="00A95D23">
            <w:pPr>
              <w:pStyle w:val="AAAAAAATEXXXX"/>
              <w:ind w:firstLine="0"/>
              <w:rPr>
                <w:sz w:val="18"/>
                <w:szCs w:val="18"/>
                <w:lang w:val="sq-AL"/>
              </w:rPr>
            </w:pPr>
          </w:p>
        </w:tc>
        <w:tc>
          <w:tcPr>
            <w:tcW w:w="1877" w:type="dxa"/>
          </w:tcPr>
          <w:p w14:paraId="12314734" w14:textId="77777777" w:rsidR="00E06E0F" w:rsidRPr="00050FA4" w:rsidRDefault="00E06E0F" w:rsidP="00A95D23">
            <w:pPr>
              <w:pStyle w:val="AAAAAAATEXXXX"/>
              <w:ind w:firstLine="0"/>
              <w:rPr>
                <w:sz w:val="18"/>
                <w:szCs w:val="18"/>
                <w:lang w:val="sq-AL"/>
              </w:rPr>
            </w:pPr>
          </w:p>
        </w:tc>
        <w:tc>
          <w:tcPr>
            <w:tcW w:w="1877" w:type="dxa"/>
          </w:tcPr>
          <w:p w14:paraId="078546E6" w14:textId="77777777" w:rsidR="00E06E0F" w:rsidRPr="00050FA4" w:rsidRDefault="00E06E0F" w:rsidP="00A95D23">
            <w:pPr>
              <w:pStyle w:val="AAAAAAATEXXXX"/>
              <w:ind w:firstLine="0"/>
              <w:rPr>
                <w:sz w:val="18"/>
                <w:szCs w:val="18"/>
                <w:lang w:val="sq-AL"/>
              </w:rPr>
            </w:pPr>
          </w:p>
        </w:tc>
        <w:tc>
          <w:tcPr>
            <w:tcW w:w="1877" w:type="dxa"/>
            <w:vAlign w:val="center"/>
          </w:tcPr>
          <w:p w14:paraId="1EFD9117" w14:textId="77777777" w:rsidR="00E06E0F" w:rsidRPr="00050FA4" w:rsidRDefault="00E06E0F" w:rsidP="00A95D23">
            <w:pPr>
              <w:pStyle w:val="AAAAAAATEXXXX"/>
              <w:ind w:firstLine="0"/>
              <w:rPr>
                <w:sz w:val="18"/>
                <w:szCs w:val="18"/>
                <w:lang w:val="sq-AL"/>
              </w:rPr>
            </w:pPr>
          </w:p>
        </w:tc>
        <w:tc>
          <w:tcPr>
            <w:tcW w:w="1877" w:type="dxa"/>
            <w:vAlign w:val="center"/>
          </w:tcPr>
          <w:p w14:paraId="00B3E74A" w14:textId="77777777" w:rsidR="00E06E0F" w:rsidRPr="00050FA4" w:rsidRDefault="00E06E0F" w:rsidP="00A95D23">
            <w:pPr>
              <w:pStyle w:val="AAAAAAATEXXXX"/>
              <w:ind w:firstLine="0"/>
              <w:rPr>
                <w:sz w:val="18"/>
                <w:szCs w:val="18"/>
                <w:lang w:val="sq-AL"/>
              </w:rPr>
            </w:pPr>
          </w:p>
        </w:tc>
      </w:tr>
      <w:tr w:rsidR="00FA29AB" w:rsidRPr="00050FA4" w14:paraId="4B987646" w14:textId="77777777" w:rsidTr="00A80B97">
        <w:trPr>
          <w:jc w:val="center"/>
        </w:trPr>
        <w:tc>
          <w:tcPr>
            <w:tcW w:w="817" w:type="dxa"/>
          </w:tcPr>
          <w:p w14:paraId="34AE4344" w14:textId="77777777" w:rsidR="00E06E0F" w:rsidRPr="00050FA4" w:rsidRDefault="00E06E0F" w:rsidP="00F93704">
            <w:pPr>
              <w:pStyle w:val="AAAAAAATEXXXX"/>
              <w:ind w:firstLine="0"/>
              <w:jc w:val="center"/>
              <w:rPr>
                <w:sz w:val="18"/>
                <w:szCs w:val="18"/>
                <w:lang w:val="sq-AL"/>
              </w:rPr>
            </w:pPr>
            <w:r w:rsidRPr="00050FA4">
              <w:rPr>
                <w:sz w:val="18"/>
                <w:szCs w:val="18"/>
                <w:lang w:val="sq-AL"/>
              </w:rPr>
              <w:t>2023</w:t>
            </w:r>
          </w:p>
        </w:tc>
        <w:tc>
          <w:tcPr>
            <w:tcW w:w="1876" w:type="dxa"/>
          </w:tcPr>
          <w:p w14:paraId="1C57549F" w14:textId="77777777" w:rsidR="00E06E0F" w:rsidRPr="00050FA4" w:rsidRDefault="00E06E0F" w:rsidP="00A95D23">
            <w:pPr>
              <w:pStyle w:val="AAAAAAATEXXXX"/>
              <w:ind w:firstLine="0"/>
              <w:rPr>
                <w:sz w:val="18"/>
                <w:szCs w:val="18"/>
                <w:lang w:val="sq-AL"/>
              </w:rPr>
            </w:pPr>
          </w:p>
        </w:tc>
        <w:tc>
          <w:tcPr>
            <w:tcW w:w="1877" w:type="dxa"/>
          </w:tcPr>
          <w:p w14:paraId="5D56097A" w14:textId="77777777" w:rsidR="00E06E0F" w:rsidRPr="00050FA4" w:rsidRDefault="00E06E0F" w:rsidP="00A95D23">
            <w:pPr>
              <w:pStyle w:val="AAAAAAATEXXXX"/>
              <w:ind w:firstLine="0"/>
              <w:rPr>
                <w:sz w:val="18"/>
                <w:szCs w:val="18"/>
                <w:lang w:val="sq-AL"/>
              </w:rPr>
            </w:pPr>
          </w:p>
        </w:tc>
        <w:tc>
          <w:tcPr>
            <w:tcW w:w="1877" w:type="dxa"/>
          </w:tcPr>
          <w:p w14:paraId="48B667DF" w14:textId="77777777" w:rsidR="00E06E0F" w:rsidRPr="00050FA4" w:rsidRDefault="00E06E0F" w:rsidP="00A95D23">
            <w:pPr>
              <w:pStyle w:val="AAAAAAATEXXXX"/>
              <w:ind w:firstLine="0"/>
              <w:rPr>
                <w:sz w:val="18"/>
                <w:szCs w:val="18"/>
                <w:lang w:val="sq-AL"/>
              </w:rPr>
            </w:pPr>
          </w:p>
        </w:tc>
        <w:tc>
          <w:tcPr>
            <w:tcW w:w="1877" w:type="dxa"/>
          </w:tcPr>
          <w:p w14:paraId="18BBB061" w14:textId="77777777" w:rsidR="00E06E0F" w:rsidRPr="00050FA4" w:rsidRDefault="00E06E0F" w:rsidP="00A95D23">
            <w:pPr>
              <w:pStyle w:val="AAAAAAATEXXXX"/>
              <w:ind w:firstLine="0"/>
              <w:rPr>
                <w:sz w:val="18"/>
                <w:szCs w:val="18"/>
                <w:lang w:val="sq-AL"/>
              </w:rPr>
            </w:pPr>
          </w:p>
        </w:tc>
        <w:tc>
          <w:tcPr>
            <w:tcW w:w="1877" w:type="dxa"/>
          </w:tcPr>
          <w:p w14:paraId="736A2EF6" w14:textId="77777777" w:rsidR="00E06E0F" w:rsidRPr="00050FA4" w:rsidRDefault="00E06E0F" w:rsidP="00A95D23">
            <w:pPr>
              <w:pStyle w:val="AAAAAAATEXXXX"/>
              <w:ind w:firstLine="0"/>
              <w:rPr>
                <w:sz w:val="18"/>
                <w:szCs w:val="18"/>
                <w:lang w:val="sq-AL"/>
              </w:rPr>
            </w:pPr>
          </w:p>
        </w:tc>
      </w:tr>
      <w:tr w:rsidR="00FA29AB" w:rsidRPr="00050FA4" w14:paraId="290D3973" w14:textId="77777777" w:rsidTr="00A80B97">
        <w:trPr>
          <w:jc w:val="center"/>
        </w:trPr>
        <w:tc>
          <w:tcPr>
            <w:tcW w:w="817" w:type="dxa"/>
          </w:tcPr>
          <w:p w14:paraId="32FE2C47" w14:textId="77777777" w:rsidR="00E06E0F" w:rsidRPr="00050FA4" w:rsidRDefault="00E06E0F" w:rsidP="00F93704">
            <w:pPr>
              <w:pStyle w:val="AAAAAAATEXXXX"/>
              <w:ind w:firstLine="0"/>
              <w:jc w:val="center"/>
              <w:rPr>
                <w:sz w:val="18"/>
                <w:szCs w:val="18"/>
                <w:lang w:val="sq-AL"/>
              </w:rPr>
            </w:pPr>
            <w:r w:rsidRPr="00050FA4">
              <w:rPr>
                <w:sz w:val="18"/>
                <w:szCs w:val="18"/>
                <w:lang w:val="sq-AL"/>
              </w:rPr>
              <w:t>2024</w:t>
            </w:r>
          </w:p>
        </w:tc>
        <w:tc>
          <w:tcPr>
            <w:tcW w:w="1876" w:type="dxa"/>
          </w:tcPr>
          <w:p w14:paraId="5BF57942" w14:textId="77777777" w:rsidR="00E06E0F" w:rsidRPr="00050FA4" w:rsidRDefault="00E06E0F" w:rsidP="00A95D23">
            <w:pPr>
              <w:pStyle w:val="AAAAAAATEXXXX"/>
              <w:ind w:firstLine="0"/>
              <w:rPr>
                <w:sz w:val="18"/>
                <w:szCs w:val="18"/>
                <w:lang w:val="sq-AL"/>
              </w:rPr>
            </w:pPr>
          </w:p>
        </w:tc>
        <w:tc>
          <w:tcPr>
            <w:tcW w:w="1877" w:type="dxa"/>
          </w:tcPr>
          <w:p w14:paraId="7339AE2B" w14:textId="77777777" w:rsidR="00E06E0F" w:rsidRPr="00050FA4" w:rsidRDefault="00E06E0F" w:rsidP="00A95D23">
            <w:pPr>
              <w:pStyle w:val="AAAAAAATEXXXX"/>
              <w:ind w:firstLine="0"/>
              <w:rPr>
                <w:sz w:val="18"/>
                <w:szCs w:val="18"/>
                <w:lang w:val="sq-AL"/>
              </w:rPr>
            </w:pPr>
          </w:p>
        </w:tc>
        <w:tc>
          <w:tcPr>
            <w:tcW w:w="1877" w:type="dxa"/>
          </w:tcPr>
          <w:p w14:paraId="06DB959F" w14:textId="77777777" w:rsidR="00E06E0F" w:rsidRPr="00050FA4" w:rsidRDefault="00E06E0F" w:rsidP="00A95D23">
            <w:pPr>
              <w:pStyle w:val="AAAAAAATEXXXX"/>
              <w:ind w:firstLine="0"/>
              <w:rPr>
                <w:sz w:val="18"/>
                <w:szCs w:val="18"/>
                <w:lang w:val="sq-AL"/>
              </w:rPr>
            </w:pPr>
          </w:p>
        </w:tc>
        <w:tc>
          <w:tcPr>
            <w:tcW w:w="1877" w:type="dxa"/>
          </w:tcPr>
          <w:p w14:paraId="31079AC0" w14:textId="77777777" w:rsidR="00E06E0F" w:rsidRPr="00050FA4" w:rsidRDefault="00E06E0F" w:rsidP="00A95D23">
            <w:pPr>
              <w:pStyle w:val="AAAAAAATEXXXX"/>
              <w:ind w:firstLine="0"/>
              <w:rPr>
                <w:sz w:val="18"/>
                <w:szCs w:val="18"/>
                <w:lang w:val="sq-AL"/>
              </w:rPr>
            </w:pPr>
          </w:p>
        </w:tc>
        <w:tc>
          <w:tcPr>
            <w:tcW w:w="1877" w:type="dxa"/>
          </w:tcPr>
          <w:p w14:paraId="0BC8951D" w14:textId="77777777" w:rsidR="00E06E0F" w:rsidRPr="00050FA4" w:rsidRDefault="00E06E0F" w:rsidP="00A95D23">
            <w:pPr>
              <w:pStyle w:val="AAAAAAATEXXXX"/>
              <w:ind w:firstLine="0"/>
              <w:rPr>
                <w:sz w:val="18"/>
                <w:szCs w:val="18"/>
                <w:lang w:val="sq-AL"/>
              </w:rPr>
            </w:pPr>
          </w:p>
        </w:tc>
      </w:tr>
    </w:tbl>
    <w:p w14:paraId="7B61C84A" w14:textId="77777777" w:rsidR="00E06E0F" w:rsidRPr="00050FA4" w:rsidRDefault="00E06E0F" w:rsidP="003F1DA7">
      <w:pPr>
        <w:pStyle w:val="AAAAAAATEXXXX"/>
        <w:rPr>
          <w:sz w:val="20"/>
          <w:szCs w:val="20"/>
          <w:lang w:val="sq-AL"/>
        </w:rPr>
      </w:pPr>
    </w:p>
    <w:p w14:paraId="714DC514" w14:textId="4093CEAE" w:rsidR="00E06E0F" w:rsidRPr="00050FA4" w:rsidRDefault="00B2062A" w:rsidP="003F1DA7">
      <w:pPr>
        <w:pStyle w:val="AAAAAAATEXXXX"/>
        <w:rPr>
          <w:sz w:val="20"/>
          <w:szCs w:val="20"/>
          <w:lang w:val="sq-AL"/>
        </w:rPr>
      </w:pPr>
      <w:r w:rsidRPr="00050FA4">
        <w:rPr>
          <w:sz w:val="20"/>
          <w:szCs w:val="20"/>
          <w:lang w:val="sq-AL"/>
        </w:rPr>
        <w:t xml:space="preserve">Sfida </w:t>
      </w:r>
      <w:r w:rsidR="00262236" w:rsidRPr="00050FA4">
        <w:rPr>
          <w:sz w:val="20"/>
          <w:szCs w:val="20"/>
          <w:lang w:val="sq-AL"/>
        </w:rPr>
        <w:t>k</w:t>
      </w:r>
      <w:r w:rsidRPr="00050FA4">
        <w:rPr>
          <w:sz w:val="20"/>
          <w:szCs w:val="20"/>
          <w:lang w:val="sq-AL"/>
        </w:rPr>
        <w:t>yçe</w:t>
      </w:r>
      <w:r w:rsidR="000B0C45" w:rsidRPr="00050FA4">
        <w:rPr>
          <w:sz w:val="20"/>
          <w:szCs w:val="20"/>
          <w:lang w:val="sq-AL"/>
        </w:rPr>
        <w:t xml:space="preserve"> </w:t>
      </w:r>
      <w:r w:rsidR="00E06E0F" w:rsidRPr="00050FA4">
        <w:rPr>
          <w:sz w:val="20"/>
          <w:szCs w:val="20"/>
          <w:lang w:val="sq-AL"/>
        </w:rPr>
        <w:t>#2</w:t>
      </w:r>
    </w:p>
    <w:tbl>
      <w:tblPr>
        <w:tblStyle w:val="TableGrid"/>
        <w:tblW w:w="10201" w:type="dxa"/>
        <w:jc w:val="center"/>
        <w:tblLook w:val="04A0" w:firstRow="1" w:lastRow="0" w:firstColumn="1" w:lastColumn="0" w:noHBand="0" w:noVBand="1"/>
      </w:tblPr>
      <w:tblGrid>
        <w:gridCol w:w="807"/>
        <w:gridCol w:w="1878"/>
        <w:gridCol w:w="1879"/>
        <w:gridCol w:w="1879"/>
        <w:gridCol w:w="1879"/>
        <w:gridCol w:w="1879"/>
      </w:tblGrid>
      <w:tr w:rsidR="00FA29AB" w:rsidRPr="00050FA4" w14:paraId="2760CA59" w14:textId="77777777" w:rsidTr="00A80B97">
        <w:trPr>
          <w:jc w:val="center"/>
        </w:trPr>
        <w:tc>
          <w:tcPr>
            <w:tcW w:w="10201" w:type="dxa"/>
            <w:gridSpan w:val="6"/>
            <w:shd w:val="clear" w:color="auto" w:fill="E5DFEC" w:themeFill="accent4" w:themeFillTint="33"/>
          </w:tcPr>
          <w:p w14:paraId="4F8E7664" w14:textId="1E714509"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04:</w:t>
            </w:r>
            <w:r w:rsidR="000B0C45" w:rsidRPr="00050FA4">
              <w:rPr>
                <w:b/>
                <w:sz w:val="18"/>
                <w:szCs w:val="18"/>
                <w:lang w:val="sq-AL"/>
              </w:rPr>
              <w:t xml:space="preserve"> </w:t>
            </w:r>
            <w:r w:rsidR="00461CA0" w:rsidRPr="00050FA4">
              <w:rPr>
                <w:b/>
                <w:bCs/>
                <w:sz w:val="18"/>
                <w:szCs w:val="18"/>
                <w:lang w:val="sq-AL"/>
              </w:rPr>
              <w:t>Rritja e mbulimit dhe përshtatshmërisë së mbrojtjes sociale dhe sigurimeve shëndetësore për të ulur përqindjen e popullsisë së rrezikuar nga varfëria</w:t>
            </w:r>
          </w:p>
        </w:tc>
      </w:tr>
      <w:tr w:rsidR="00FA29AB" w:rsidRPr="00050FA4" w14:paraId="1D617503" w14:textId="77777777" w:rsidTr="00A80B97">
        <w:trPr>
          <w:jc w:val="center"/>
        </w:trPr>
        <w:tc>
          <w:tcPr>
            <w:tcW w:w="807" w:type="dxa"/>
            <w:vAlign w:val="center"/>
          </w:tcPr>
          <w:p w14:paraId="473F8103" w14:textId="53B99958"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8" w:type="dxa"/>
            <w:vAlign w:val="center"/>
          </w:tcPr>
          <w:p w14:paraId="6A453145" w14:textId="5D78AC65"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9" w:type="dxa"/>
            <w:vAlign w:val="center"/>
          </w:tcPr>
          <w:p w14:paraId="7B801475" w14:textId="681519CA"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9" w:type="dxa"/>
            <w:vAlign w:val="center"/>
          </w:tcPr>
          <w:p w14:paraId="7B9DB806" w14:textId="59F2C94B"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9" w:type="dxa"/>
            <w:vAlign w:val="center"/>
          </w:tcPr>
          <w:p w14:paraId="6CA9B131" w14:textId="735EA702"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9" w:type="dxa"/>
            <w:vAlign w:val="center"/>
          </w:tcPr>
          <w:p w14:paraId="44FF9E1C" w14:textId="3CFC62B1"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0C107994" w14:textId="77777777" w:rsidTr="00A80B97">
        <w:trPr>
          <w:jc w:val="center"/>
        </w:trPr>
        <w:tc>
          <w:tcPr>
            <w:tcW w:w="807" w:type="dxa"/>
          </w:tcPr>
          <w:p w14:paraId="3ED2A997" w14:textId="77777777" w:rsidR="00E06E0F" w:rsidRPr="00050FA4" w:rsidRDefault="00E06E0F" w:rsidP="00F93704">
            <w:pPr>
              <w:pStyle w:val="AAAAAAATEXXXX"/>
              <w:ind w:firstLine="0"/>
              <w:jc w:val="center"/>
              <w:rPr>
                <w:sz w:val="18"/>
                <w:szCs w:val="18"/>
                <w:lang w:val="sq-AL"/>
              </w:rPr>
            </w:pPr>
            <w:r w:rsidRPr="00050FA4">
              <w:rPr>
                <w:sz w:val="18"/>
                <w:szCs w:val="18"/>
                <w:lang w:val="sq-AL"/>
              </w:rPr>
              <w:t>2021</w:t>
            </w:r>
          </w:p>
        </w:tc>
        <w:tc>
          <w:tcPr>
            <w:tcW w:w="1878" w:type="dxa"/>
          </w:tcPr>
          <w:p w14:paraId="32C0D3DB" w14:textId="77777777" w:rsidR="00E06E0F" w:rsidRPr="00050FA4" w:rsidRDefault="00E06E0F" w:rsidP="00F93704">
            <w:pPr>
              <w:pStyle w:val="AAAAAAATEXXXX"/>
              <w:ind w:firstLine="0"/>
              <w:jc w:val="right"/>
              <w:rPr>
                <w:sz w:val="18"/>
                <w:szCs w:val="18"/>
                <w:lang w:val="sq-AL"/>
              </w:rPr>
            </w:pPr>
            <w:r w:rsidRPr="00050FA4">
              <w:rPr>
                <w:sz w:val="18"/>
                <w:szCs w:val="18"/>
                <w:lang w:val="sq-AL"/>
              </w:rPr>
              <w:t>0</w:t>
            </w:r>
          </w:p>
        </w:tc>
        <w:tc>
          <w:tcPr>
            <w:tcW w:w="1879" w:type="dxa"/>
          </w:tcPr>
          <w:p w14:paraId="2A8C55C5" w14:textId="77777777" w:rsidR="00E06E0F" w:rsidRPr="00050FA4" w:rsidRDefault="00E06E0F" w:rsidP="00F93704">
            <w:pPr>
              <w:pStyle w:val="AAAAAAATEXXXX"/>
              <w:ind w:firstLine="0"/>
              <w:jc w:val="right"/>
              <w:rPr>
                <w:sz w:val="18"/>
                <w:szCs w:val="18"/>
                <w:lang w:val="sq-AL"/>
              </w:rPr>
            </w:pPr>
            <w:r w:rsidRPr="00050FA4">
              <w:rPr>
                <w:sz w:val="18"/>
                <w:szCs w:val="18"/>
                <w:lang w:val="sq-AL"/>
              </w:rPr>
              <w:t>0</w:t>
            </w:r>
          </w:p>
        </w:tc>
        <w:tc>
          <w:tcPr>
            <w:tcW w:w="1879" w:type="dxa"/>
          </w:tcPr>
          <w:p w14:paraId="64C33EE8" w14:textId="77777777" w:rsidR="00E06E0F" w:rsidRPr="00050FA4" w:rsidRDefault="00E06E0F" w:rsidP="00A95D23">
            <w:pPr>
              <w:pStyle w:val="AAAAAAATEXXXX"/>
              <w:ind w:firstLine="0"/>
              <w:rPr>
                <w:sz w:val="18"/>
                <w:szCs w:val="18"/>
                <w:lang w:val="sq-AL"/>
              </w:rPr>
            </w:pPr>
            <w:r w:rsidRPr="00050FA4">
              <w:rPr>
                <w:sz w:val="18"/>
                <w:szCs w:val="18"/>
                <w:lang w:val="sq-AL"/>
              </w:rPr>
              <w:t>209,584,879</w:t>
            </w:r>
          </w:p>
        </w:tc>
        <w:tc>
          <w:tcPr>
            <w:tcW w:w="1879" w:type="dxa"/>
            <w:vAlign w:val="bottom"/>
          </w:tcPr>
          <w:p w14:paraId="31512A0A"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9" w:type="dxa"/>
          </w:tcPr>
          <w:p w14:paraId="11C6A0B8" w14:textId="77777777" w:rsidR="00E06E0F" w:rsidRPr="00050FA4" w:rsidRDefault="00E06E0F" w:rsidP="00A95D23">
            <w:pPr>
              <w:pStyle w:val="AAAAAAATEXXXX"/>
              <w:ind w:firstLine="0"/>
              <w:rPr>
                <w:sz w:val="18"/>
                <w:szCs w:val="18"/>
                <w:lang w:val="sq-AL"/>
              </w:rPr>
            </w:pPr>
            <w:r w:rsidRPr="00050FA4">
              <w:rPr>
                <w:sz w:val="18"/>
                <w:szCs w:val="18"/>
                <w:lang w:val="sq-AL"/>
              </w:rPr>
              <w:t>209,584,879</w:t>
            </w:r>
          </w:p>
        </w:tc>
      </w:tr>
      <w:tr w:rsidR="00FA29AB" w:rsidRPr="00050FA4" w14:paraId="19DA281C" w14:textId="77777777" w:rsidTr="00A80B97">
        <w:trPr>
          <w:jc w:val="center"/>
        </w:trPr>
        <w:tc>
          <w:tcPr>
            <w:tcW w:w="807" w:type="dxa"/>
          </w:tcPr>
          <w:p w14:paraId="6F14E839" w14:textId="77777777" w:rsidR="00E06E0F" w:rsidRPr="00050FA4" w:rsidRDefault="00E06E0F" w:rsidP="00F93704">
            <w:pPr>
              <w:pStyle w:val="AAAAAAATEXXXX"/>
              <w:ind w:firstLine="0"/>
              <w:jc w:val="center"/>
              <w:rPr>
                <w:sz w:val="18"/>
                <w:szCs w:val="18"/>
                <w:lang w:val="sq-AL"/>
              </w:rPr>
            </w:pPr>
            <w:r w:rsidRPr="00050FA4">
              <w:rPr>
                <w:sz w:val="18"/>
                <w:szCs w:val="18"/>
                <w:lang w:val="sq-AL"/>
              </w:rPr>
              <w:t>2022</w:t>
            </w:r>
          </w:p>
        </w:tc>
        <w:tc>
          <w:tcPr>
            <w:tcW w:w="1878" w:type="dxa"/>
          </w:tcPr>
          <w:p w14:paraId="101DBB29" w14:textId="77777777" w:rsidR="00E06E0F" w:rsidRPr="00050FA4" w:rsidRDefault="00E06E0F" w:rsidP="00F93704">
            <w:pPr>
              <w:pStyle w:val="AAAAAAATEXXXX"/>
              <w:ind w:firstLine="0"/>
              <w:jc w:val="right"/>
              <w:rPr>
                <w:sz w:val="18"/>
                <w:szCs w:val="18"/>
                <w:lang w:val="sq-AL"/>
              </w:rPr>
            </w:pPr>
            <w:r w:rsidRPr="00050FA4">
              <w:rPr>
                <w:sz w:val="18"/>
                <w:szCs w:val="18"/>
                <w:lang w:val="sq-AL"/>
              </w:rPr>
              <w:t>0</w:t>
            </w:r>
          </w:p>
        </w:tc>
        <w:tc>
          <w:tcPr>
            <w:tcW w:w="1879" w:type="dxa"/>
          </w:tcPr>
          <w:p w14:paraId="5FA1CF76" w14:textId="77777777" w:rsidR="00E06E0F" w:rsidRPr="00050FA4" w:rsidRDefault="00E06E0F" w:rsidP="00F93704">
            <w:pPr>
              <w:pStyle w:val="AAAAAAATEXXXX"/>
              <w:ind w:firstLine="0"/>
              <w:jc w:val="right"/>
              <w:rPr>
                <w:sz w:val="18"/>
                <w:szCs w:val="18"/>
                <w:lang w:val="sq-AL"/>
              </w:rPr>
            </w:pPr>
            <w:r w:rsidRPr="00050FA4">
              <w:rPr>
                <w:sz w:val="18"/>
                <w:szCs w:val="18"/>
                <w:lang w:val="sq-AL"/>
              </w:rPr>
              <w:t>0</w:t>
            </w:r>
          </w:p>
        </w:tc>
        <w:tc>
          <w:tcPr>
            <w:tcW w:w="1879" w:type="dxa"/>
          </w:tcPr>
          <w:p w14:paraId="5DA0CB37" w14:textId="77777777" w:rsidR="00E06E0F" w:rsidRPr="00050FA4" w:rsidRDefault="00E06E0F" w:rsidP="00A95D23">
            <w:pPr>
              <w:pStyle w:val="AAAAAAATEXXXX"/>
              <w:ind w:firstLine="0"/>
              <w:rPr>
                <w:sz w:val="18"/>
                <w:szCs w:val="18"/>
                <w:lang w:val="sq-AL"/>
              </w:rPr>
            </w:pPr>
            <w:r w:rsidRPr="00050FA4">
              <w:rPr>
                <w:sz w:val="18"/>
                <w:szCs w:val="18"/>
                <w:lang w:val="sq-AL"/>
              </w:rPr>
              <w:t>216,679,174</w:t>
            </w:r>
          </w:p>
        </w:tc>
        <w:tc>
          <w:tcPr>
            <w:tcW w:w="1879" w:type="dxa"/>
            <w:vAlign w:val="bottom"/>
          </w:tcPr>
          <w:p w14:paraId="7CA0E5A7"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9" w:type="dxa"/>
          </w:tcPr>
          <w:p w14:paraId="43972E5B" w14:textId="77777777" w:rsidR="00E06E0F" w:rsidRPr="00050FA4" w:rsidRDefault="00E06E0F" w:rsidP="00A95D23">
            <w:pPr>
              <w:pStyle w:val="AAAAAAATEXXXX"/>
              <w:ind w:firstLine="0"/>
              <w:rPr>
                <w:sz w:val="18"/>
                <w:szCs w:val="18"/>
                <w:lang w:val="sq-AL"/>
              </w:rPr>
            </w:pPr>
            <w:r w:rsidRPr="00050FA4">
              <w:rPr>
                <w:sz w:val="18"/>
                <w:szCs w:val="18"/>
                <w:lang w:val="sq-AL"/>
              </w:rPr>
              <w:t>216,679,174</w:t>
            </w:r>
          </w:p>
        </w:tc>
      </w:tr>
      <w:tr w:rsidR="00FA29AB" w:rsidRPr="00050FA4" w14:paraId="5EBA0F58" w14:textId="77777777" w:rsidTr="00A80B97">
        <w:trPr>
          <w:jc w:val="center"/>
        </w:trPr>
        <w:tc>
          <w:tcPr>
            <w:tcW w:w="807" w:type="dxa"/>
          </w:tcPr>
          <w:p w14:paraId="614185D9" w14:textId="77777777" w:rsidR="00E06E0F" w:rsidRPr="00050FA4" w:rsidRDefault="00E06E0F" w:rsidP="00F93704">
            <w:pPr>
              <w:pStyle w:val="AAAAAAATEXXXX"/>
              <w:ind w:firstLine="0"/>
              <w:jc w:val="center"/>
              <w:rPr>
                <w:sz w:val="18"/>
                <w:szCs w:val="18"/>
                <w:lang w:val="sq-AL"/>
              </w:rPr>
            </w:pPr>
            <w:r w:rsidRPr="00050FA4">
              <w:rPr>
                <w:sz w:val="18"/>
                <w:szCs w:val="18"/>
                <w:lang w:val="sq-AL"/>
              </w:rPr>
              <w:t>2023</w:t>
            </w:r>
          </w:p>
        </w:tc>
        <w:tc>
          <w:tcPr>
            <w:tcW w:w="1878" w:type="dxa"/>
          </w:tcPr>
          <w:p w14:paraId="29B8C135" w14:textId="77777777" w:rsidR="00E06E0F" w:rsidRPr="00050FA4" w:rsidRDefault="00E06E0F" w:rsidP="00F93704">
            <w:pPr>
              <w:pStyle w:val="AAAAAAATEXXXX"/>
              <w:ind w:firstLine="0"/>
              <w:jc w:val="right"/>
              <w:rPr>
                <w:sz w:val="18"/>
                <w:szCs w:val="18"/>
                <w:lang w:val="sq-AL"/>
              </w:rPr>
            </w:pPr>
            <w:r w:rsidRPr="00050FA4">
              <w:rPr>
                <w:sz w:val="18"/>
                <w:szCs w:val="18"/>
                <w:lang w:val="sq-AL"/>
              </w:rPr>
              <w:t>0</w:t>
            </w:r>
          </w:p>
        </w:tc>
        <w:tc>
          <w:tcPr>
            <w:tcW w:w="1879" w:type="dxa"/>
          </w:tcPr>
          <w:p w14:paraId="2FD8CCE5" w14:textId="77777777" w:rsidR="00E06E0F" w:rsidRPr="00050FA4" w:rsidRDefault="00E06E0F" w:rsidP="00F93704">
            <w:pPr>
              <w:pStyle w:val="AAAAAAATEXXXX"/>
              <w:ind w:firstLine="0"/>
              <w:jc w:val="right"/>
              <w:rPr>
                <w:sz w:val="18"/>
                <w:szCs w:val="18"/>
                <w:lang w:val="sq-AL"/>
              </w:rPr>
            </w:pPr>
            <w:r w:rsidRPr="00050FA4">
              <w:rPr>
                <w:sz w:val="18"/>
                <w:szCs w:val="18"/>
                <w:lang w:val="sq-AL"/>
              </w:rPr>
              <w:t>0</w:t>
            </w:r>
          </w:p>
        </w:tc>
        <w:tc>
          <w:tcPr>
            <w:tcW w:w="1879" w:type="dxa"/>
          </w:tcPr>
          <w:p w14:paraId="2B394156" w14:textId="77777777" w:rsidR="00E06E0F" w:rsidRPr="00050FA4" w:rsidRDefault="00E06E0F" w:rsidP="00A95D23">
            <w:pPr>
              <w:pStyle w:val="AAAAAAATEXXXX"/>
              <w:ind w:firstLine="0"/>
              <w:rPr>
                <w:sz w:val="18"/>
                <w:szCs w:val="18"/>
                <w:lang w:val="sq-AL"/>
              </w:rPr>
            </w:pPr>
            <w:r w:rsidRPr="00050FA4">
              <w:rPr>
                <w:sz w:val="18"/>
                <w:szCs w:val="18"/>
                <w:lang w:val="sq-AL"/>
              </w:rPr>
              <w:t>216,499,794</w:t>
            </w:r>
          </w:p>
        </w:tc>
        <w:tc>
          <w:tcPr>
            <w:tcW w:w="1879" w:type="dxa"/>
            <w:vAlign w:val="bottom"/>
          </w:tcPr>
          <w:p w14:paraId="4E8C5968" w14:textId="77777777" w:rsidR="00E06E0F" w:rsidRPr="00050FA4" w:rsidRDefault="00E06E0F" w:rsidP="00A95D23">
            <w:pPr>
              <w:pStyle w:val="AAAAAAATEXXXX"/>
              <w:ind w:firstLine="0"/>
              <w:rPr>
                <w:rFonts w:eastAsia="Open Sans Light"/>
                <w:sz w:val="18"/>
                <w:szCs w:val="18"/>
                <w:lang w:val="sq-AL"/>
              </w:rPr>
            </w:pPr>
            <w:r w:rsidRPr="00050FA4">
              <w:rPr>
                <w:rFonts w:eastAsia="Open Sans Light"/>
                <w:sz w:val="18"/>
                <w:szCs w:val="18"/>
                <w:lang w:val="sq-AL"/>
              </w:rPr>
              <w:t>0</w:t>
            </w:r>
          </w:p>
        </w:tc>
        <w:tc>
          <w:tcPr>
            <w:tcW w:w="1879" w:type="dxa"/>
          </w:tcPr>
          <w:p w14:paraId="794ECA76" w14:textId="77777777" w:rsidR="00E06E0F" w:rsidRPr="00050FA4" w:rsidRDefault="00E06E0F" w:rsidP="00A95D23">
            <w:pPr>
              <w:pStyle w:val="AAAAAAATEXXXX"/>
              <w:ind w:firstLine="0"/>
              <w:rPr>
                <w:sz w:val="18"/>
                <w:szCs w:val="18"/>
                <w:lang w:val="sq-AL"/>
              </w:rPr>
            </w:pPr>
            <w:r w:rsidRPr="00050FA4">
              <w:rPr>
                <w:sz w:val="18"/>
                <w:szCs w:val="18"/>
                <w:lang w:val="sq-AL"/>
              </w:rPr>
              <w:t>216,499,794</w:t>
            </w:r>
          </w:p>
        </w:tc>
      </w:tr>
    </w:tbl>
    <w:p w14:paraId="22EB9430" w14:textId="77777777" w:rsidR="00E06E0F" w:rsidRPr="00050FA4" w:rsidRDefault="00E06E0F" w:rsidP="003F1DA7">
      <w:pPr>
        <w:pStyle w:val="AAAAAAATEXXXX"/>
        <w:rPr>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2B206C4A" w14:textId="77777777" w:rsidTr="00F51BF1">
        <w:tc>
          <w:tcPr>
            <w:tcW w:w="10201" w:type="dxa"/>
            <w:gridSpan w:val="6"/>
            <w:shd w:val="clear" w:color="auto" w:fill="E5DFEC" w:themeFill="accent4" w:themeFillTint="33"/>
          </w:tcPr>
          <w:p w14:paraId="42A0BA86" w14:textId="53884CB1"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05:</w:t>
            </w:r>
            <w:r w:rsidR="000B0C45" w:rsidRPr="00050FA4">
              <w:rPr>
                <w:b/>
                <w:sz w:val="18"/>
                <w:szCs w:val="18"/>
                <w:lang w:val="sq-AL"/>
              </w:rPr>
              <w:t xml:space="preserve"> </w:t>
            </w:r>
            <w:r w:rsidR="00461CA0" w:rsidRPr="00050FA4">
              <w:rPr>
                <w:b/>
                <w:sz w:val="18"/>
                <w:szCs w:val="18"/>
                <w:lang w:val="sq-AL"/>
              </w:rPr>
              <w:t>Rritja e aksesit në kujdesin shëndetësor</w:t>
            </w:r>
          </w:p>
        </w:tc>
      </w:tr>
      <w:tr w:rsidR="00FA29AB" w:rsidRPr="00050FA4" w14:paraId="503B6227" w14:textId="77777777" w:rsidTr="00A80B97">
        <w:tc>
          <w:tcPr>
            <w:tcW w:w="817" w:type="dxa"/>
            <w:vAlign w:val="center"/>
          </w:tcPr>
          <w:p w14:paraId="15E722E9" w14:textId="3B5D3498"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5F32F7D2" w14:textId="6C8B32C3"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415A0F73" w14:textId="568CBBC7"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370F98A7" w14:textId="21B18F78" w:rsidR="00E06E0F" w:rsidRPr="00050FA4" w:rsidRDefault="005E44FE" w:rsidP="00A80B97">
            <w:pPr>
              <w:pStyle w:val="AAAAAAATEXXXX"/>
              <w:ind w:firstLine="0"/>
              <w:jc w:val="center"/>
              <w:rPr>
                <w:b/>
                <w:sz w:val="18"/>
                <w:szCs w:val="18"/>
                <w:lang w:val="sq-AL"/>
              </w:rPr>
            </w:pPr>
            <w:r w:rsidRPr="00050FA4">
              <w:rPr>
                <w:b/>
                <w:sz w:val="18"/>
                <w:szCs w:val="18"/>
                <w:lang w:val="sq-AL"/>
              </w:rPr>
              <w:t>Subvencione &amp; transferta</w:t>
            </w:r>
          </w:p>
        </w:tc>
        <w:tc>
          <w:tcPr>
            <w:tcW w:w="1877" w:type="dxa"/>
            <w:vAlign w:val="center"/>
          </w:tcPr>
          <w:p w14:paraId="6C600B64" w14:textId="76A465E5"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3BA1FB88" w14:textId="23629CED"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3EC2CBEB" w14:textId="77777777" w:rsidTr="007E2A6A">
        <w:tc>
          <w:tcPr>
            <w:tcW w:w="817" w:type="dxa"/>
          </w:tcPr>
          <w:p w14:paraId="11315287"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tcPr>
          <w:p w14:paraId="2C37CF26" w14:textId="77777777" w:rsidR="00E06E0F" w:rsidRPr="00050FA4" w:rsidRDefault="00E06E0F" w:rsidP="00A95D23">
            <w:pPr>
              <w:pStyle w:val="AAAAAAATEXXXX"/>
              <w:ind w:firstLine="0"/>
              <w:rPr>
                <w:sz w:val="18"/>
                <w:szCs w:val="18"/>
                <w:lang w:val="sq-AL"/>
              </w:rPr>
            </w:pPr>
          </w:p>
        </w:tc>
        <w:tc>
          <w:tcPr>
            <w:tcW w:w="1877" w:type="dxa"/>
          </w:tcPr>
          <w:p w14:paraId="7412B0EE" w14:textId="77777777" w:rsidR="00E06E0F" w:rsidRPr="00050FA4" w:rsidRDefault="00E06E0F" w:rsidP="00A95D23">
            <w:pPr>
              <w:pStyle w:val="AAAAAAATEXXXX"/>
              <w:ind w:firstLine="0"/>
              <w:rPr>
                <w:sz w:val="18"/>
                <w:szCs w:val="18"/>
                <w:lang w:val="sq-AL"/>
              </w:rPr>
            </w:pPr>
          </w:p>
        </w:tc>
        <w:tc>
          <w:tcPr>
            <w:tcW w:w="1877" w:type="dxa"/>
          </w:tcPr>
          <w:p w14:paraId="0C1A8949" w14:textId="77777777" w:rsidR="00E06E0F" w:rsidRPr="00050FA4" w:rsidRDefault="00E06E0F" w:rsidP="00A95D23">
            <w:pPr>
              <w:pStyle w:val="AAAAAAATEXXXX"/>
              <w:ind w:firstLine="0"/>
              <w:rPr>
                <w:sz w:val="18"/>
                <w:szCs w:val="18"/>
                <w:lang w:val="sq-AL"/>
              </w:rPr>
            </w:pPr>
          </w:p>
        </w:tc>
        <w:tc>
          <w:tcPr>
            <w:tcW w:w="1877" w:type="dxa"/>
            <w:vAlign w:val="center"/>
          </w:tcPr>
          <w:p w14:paraId="71115B81" w14:textId="77777777" w:rsidR="00E06E0F" w:rsidRPr="00050FA4" w:rsidRDefault="00E06E0F" w:rsidP="00A95D23">
            <w:pPr>
              <w:pStyle w:val="AAAAAAATEXXXX"/>
              <w:ind w:firstLine="0"/>
              <w:rPr>
                <w:sz w:val="18"/>
                <w:szCs w:val="18"/>
                <w:lang w:val="sq-AL"/>
              </w:rPr>
            </w:pPr>
          </w:p>
        </w:tc>
        <w:tc>
          <w:tcPr>
            <w:tcW w:w="1877" w:type="dxa"/>
            <w:vAlign w:val="center"/>
          </w:tcPr>
          <w:p w14:paraId="41F06796" w14:textId="77777777" w:rsidR="00E06E0F" w:rsidRPr="00050FA4" w:rsidRDefault="00E06E0F" w:rsidP="00A95D23">
            <w:pPr>
              <w:pStyle w:val="AAAAAAATEXXXX"/>
              <w:ind w:firstLine="0"/>
              <w:rPr>
                <w:sz w:val="18"/>
                <w:szCs w:val="18"/>
                <w:lang w:val="sq-AL"/>
              </w:rPr>
            </w:pPr>
          </w:p>
        </w:tc>
      </w:tr>
      <w:tr w:rsidR="00FA29AB" w:rsidRPr="00050FA4" w14:paraId="22BE9576" w14:textId="77777777" w:rsidTr="007E2A6A">
        <w:tc>
          <w:tcPr>
            <w:tcW w:w="817" w:type="dxa"/>
          </w:tcPr>
          <w:p w14:paraId="5215DBD3"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2B9F053F" w14:textId="77777777" w:rsidR="00E06E0F" w:rsidRPr="00050FA4" w:rsidRDefault="00E06E0F" w:rsidP="00A95D23">
            <w:pPr>
              <w:pStyle w:val="AAAAAAATEXXXX"/>
              <w:ind w:firstLine="0"/>
              <w:rPr>
                <w:sz w:val="18"/>
                <w:szCs w:val="18"/>
                <w:lang w:val="sq-AL"/>
              </w:rPr>
            </w:pPr>
          </w:p>
        </w:tc>
        <w:tc>
          <w:tcPr>
            <w:tcW w:w="1877" w:type="dxa"/>
          </w:tcPr>
          <w:p w14:paraId="0E990254" w14:textId="77777777" w:rsidR="00E06E0F" w:rsidRPr="00050FA4" w:rsidRDefault="00E06E0F" w:rsidP="00A95D23">
            <w:pPr>
              <w:pStyle w:val="AAAAAAATEXXXX"/>
              <w:ind w:firstLine="0"/>
              <w:rPr>
                <w:sz w:val="18"/>
                <w:szCs w:val="18"/>
                <w:lang w:val="sq-AL"/>
              </w:rPr>
            </w:pPr>
          </w:p>
        </w:tc>
        <w:tc>
          <w:tcPr>
            <w:tcW w:w="1877" w:type="dxa"/>
          </w:tcPr>
          <w:p w14:paraId="1EFB0C16" w14:textId="77777777" w:rsidR="00E06E0F" w:rsidRPr="00050FA4" w:rsidRDefault="00E06E0F" w:rsidP="00A95D23">
            <w:pPr>
              <w:pStyle w:val="AAAAAAATEXXXX"/>
              <w:ind w:firstLine="0"/>
              <w:rPr>
                <w:sz w:val="18"/>
                <w:szCs w:val="18"/>
                <w:lang w:val="sq-AL"/>
              </w:rPr>
            </w:pPr>
          </w:p>
        </w:tc>
        <w:tc>
          <w:tcPr>
            <w:tcW w:w="1877" w:type="dxa"/>
          </w:tcPr>
          <w:p w14:paraId="200B6AFB" w14:textId="77777777" w:rsidR="00E06E0F" w:rsidRPr="00050FA4" w:rsidRDefault="00E06E0F" w:rsidP="00A95D23">
            <w:pPr>
              <w:pStyle w:val="AAAAAAATEXXXX"/>
              <w:ind w:firstLine="0"/>
              <w:rPr>
                <w:sz w:val="18"/>
                <w:szCs w:val="18"/>
                <w:lang w:val="sq-AL"/>
              </w:rPr>
            </w:pPr>
          </w:p>
        </w:tc>
        <w:tc>
          <w:tcPr>
            <w:tcW w:w="1877" w:type="dxa"/>
          </w:tcPr>
          <w:p w14:paraId="7113E17E" w14:textId="77777777" w:rsidR="00E06E0F" w:rsidRPr="00050FA4" w:rsidRDefault="00E06E0F" w:rsidP="00A95D23">
            <w:pPr>
              <w:pStyle w:val="AAAAAAATEXXXX"/>
              <w:ind w:firstLine="0"/>
              <w:rPr>
                <w:sz w:val="18"/>
                <w:szCs w:val="18"/>
                <w:lang w:val="sq-AL"/>
              </w:rPr>
            </w:pPr>
          </w:p>
        </w:tc>
      </w:tr>
      <w:tr w:rsidR="00FA29AB" w:rsidRPr="00050FA4" w14:paraId="50DB94AE" w14:textId="77777777" w:rsidTr="007E2A6A">
        <w:tc>
          <w:tcPr>
            <w:tcW w:w="817" w:type="dxa"/>
          </w:tcPr>
          <w:p w14:paraId="04789EEC"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2275690D" w14:textId="77777777" w:rsidR="00E06E0F" w:rsidRPr="00050FA4" w:rsidRDefault="00E06E0F" w:rsidP="00A95D23">
            <w:pPr>
              <w:pStyle w:val="AAAAAAATEXXXX"/>
              <w:ind w:firstLine="0"/>
              <w:rPr>
                <w:sz w:val="18"/>
                <w:szCs w:val="18"/>
                <w:lang w:val="sq-AL"/>
              </w:rPr>
            </w:pPr>
          </w:p>
        </w:tc>
        <w:tc>
          <w:tcPr>
            <w:tcW w:w="1877" w:type="dxa"/>
          </w:tcPr>
          <w:p w14:paraId="0D4BDCBC" w14:textId="77777777" w:rsidR="00E06E0F" w:rsidRPr="00050FA4" w:rsidRDefault="00E06E0F" w:rsidP="00A95D23">
            <w:pPr>
              <w:pStyle w:val="AAAAAAATEXXXX"/>
              <w:ind w:firstLine="0"/>
              <w:rPr>
                <w:sz w:val="18"/>
                <w:szCs w:val="18"/>
                <w:lang w:val="sq-AL"/>
              </w:rPr>
            </w:pPr>
          </w:p>
        </w:tc>
        <w:tc>
          <w:tcPr>
            <w:tcW w:w="1877" w:type="dxa"/>
          </w:tcPr>
          <w:p w14:paraId="325FD6F0" w14:textId="77777777" w:rsidR="00E06E0F" w:rsidRPr="00050FA4" w:rsidRDefault="00E06E0F" w:rsidP="00A95D23">
            <w:pPr>
              <w:pStyle w:val="AAAAAAATEXXXX"/>
              <w:ind w:firstLine="0"/>
              <w:rPr>
                <w:sz w:val="18"/>
                <w:szCs w:val="18"/>
                <w:lang w:val="sq-AL"/>
              </w:rPr>
            </w:pPr>
          </w:p>
        </w:tc>
        <w:tc>
          <w:tcPr>
            <w:tcW w:w="1877" w:type="dxa"/>
          </w:tcPr>
          <w:p w14:paraId="21C58956" w14:textId="77777777" w:rsidR="00E06E0F" w:rsidRPr="00050FA4" w:rsidRDefault="00E06E0F" w:rsidP="00A95D23">
            <w:pPr>
              <w:pStyle w:val="AAAAAAATEXXXX"/>
              <w:ind w:firstLine="0"/>
              <w:rPr>
                <w:sz w:val="18"/>
                <w:szCs w:val="18"/>
                <w:lang w:val="sq-AL"/>
              </w:rPr>
            </w:pPr>
          </w:p>
        </w:tc>
        <w:tc>
          <w:tcPr>
            <w:tcW w:w="1877" w:type="dxa"/>
          </w:tcPr>
          <w:p w14:paraId="32325B0B" w14:textId="77777777" w:rsidR="00E06E0F" w:rsidRPr="00050FA4" w:rsidRDefault="00E06E0F" w:rsidP="00A95D23">
            <w:pPr>
              <w:pStyle w:val="AAAAAAATEXXXX"/>
              <w:ind w:firstLine="0"/>
              <w:rPr>
                <w:sz w:val="18"/>
                <w:szCs w:val="18"/>
                <w:lang w:val="sq-AL"/>
              </w:rPr>
            </w:pPr>
          </w:p>
        </w:tc>
      </w:tr>
    </w:tbl>
    <w:p w14:paraId="12E3AF54" w14:textId="77777777" w:rsidR="00E06E0F" w:rsidRPr="00050FA4" w:rsidRDefault="00E06E0F" w:rsidP="003F1DA7">
      <w:pPr>
        <w:pStyle w:val="AAAAAAATEXXXX"/>
        <w:rPr>
          <w:sz w:val="20"/>
          <w:szCs w:val="20"/>
          <w:lang w:val="sq-AL"/>
        </w:rPr>
      </w:pPr>
    </w:p>
    <w:p w14:paraId="43C9F45E" w14:textId="4158FFDD" w:rsidR="00E06E0F" w:rsidRPr="00050FA4" w:rsidRDefault="00B2062A" w:rsidP="003F1DA7">
      <w:pPr>
        <w:pStyle w:val="AAAAAAATEXXXX"/>
        <w:rPr>
          <w:sz w:val="20"/>
          <w:szCs w:val="20"/>
          <w:lang w:val="sq-AL"/>
        </w:rPr>
      </w:pPr>
      <w:r w:rsidRPr="00050FA4">
        <w:rPr>
          <w:sz w:val="20"/>
          <w:szCs w:val="20"/>
          <w:lang w:val="sq-AL"/>
        </w:rPr>
        <w:t xml:space="preserve">Sfida </w:t>
      </w:r>
      <w:r w:rsidR="00262236" w:rsidRPr="00050FA4">
        <w:rPr>
          <w:sz w:val="20"/>
          <w:szCs w:val="20"/>
          <w:lang w:val="sq-AL"/>
        </w:rPr>
        <w:t>k</w:t>
      </w:r>
      <w:r w:rsidRPr="00050FA4">
        <w:rPr>
          <w:sz w:val="20"/>
          <w:szCs w:val="20"/>
          <w:lang w:val="sq-AL"/>
        </w:rPr>
        <w:t>yçe</w:t>
      </w:r>
      <w:r w:rsidR="000B0C45" w:rsidRPr="00050FA4">
        <w:rPr>
          <w:sz w:val="20"/>
          <w:szCs w:val="20"/>
          <w:lang w:val="sq-AL"/>
        </w:rPr>
        <w:t xml:space="preserve"> </w:t>
      </w:r>
      <w:r w:rsidR="00E06E0F" w:rsidRPr="00050FA4">
        <w:rPr>
          <w:sz w:val="20"/>
          <w:szCs w:val="20"/>
          <w:lang w:val="sq-AL"/>
        </w:rPr>
        <w:t>#3</w:t>
      </w: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54CDA431" w14:textId="77777777" w:rsidTr="00F51BF1">
        <w:tc>
          <w:tcPr>
            <w:tcW w:w="10201" w:type="dxa"/>
            <w:gridSpan w:val="6"/>
            <w:shd w:val="clear" w:color="auto" w:fill="E5DFEC" w:themeFill="accent4" w:themeFillTint="33"/>
          </w:tcPr>
          <w:p w14:paraId="35B0A599" w14:textId="426C5619"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06:</w:t>
            </w:r>
            <w:r w:rsidR="000B0C45" w:rsidRPr="00050FA4">
              <w:rPr>
                <w:b/>
                <w:sz w:val="18"/>
                <w:szCs w:val="18"/>
                <w:lang w:val="sq-AL"/>
              </w:rPr>
              <w:t xml:space="preserve"> </w:t>
            </w:r>
            <w:r w:rsidR="00461CA0" w:rsidRPr="00050FA4">
              <w:rPr>
                <w:b/>
                <w:sz w:val="18"/>
                <w:szCs w:val="18"/>
                <w:lang w:val="sq-AL"/>
              </w:rPr>
              <w:t>Fuqizimi i luftës kundër informalitetit</w:t>
            </w:r>
          </w:p>
        </w:tc>
      </w:tr>
      <w:tr w:rsidR="00FA29AB" w:rsidRPr="00050FA4" w14:paraId="28D21866" w14:textId="77777777" w:rsidTr="00A80B97">
        <w:tc>
          <w:tcPr>
            <w:tcW w:w="817" w:type="dxa"/>
            <w:vAlign w:val="center"/>
          </w:tcPr>
          <w:p w14:paraId="7020BBD2" w14:textId="791F1A9E"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32D26731" w14:textId="07E47C32"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4CCD9F09" w14:textId="32097219"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075B0D1E" w14:textId="5C0ED2DA"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4B12DA24" w14:textId="5F087044"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2D47714B" w14:textId="21B35EAD"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5FC28D48" w14:textId="77777777" w:rsidTr="00BC0346">
        <w:tc>
          <w:tcPr>
            <w:tcW w:w="817" w:type="dxa"/>
          </w:tcPr>
          <w:p w14:paraId="1EFEC5D7"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vAlign w:val="center"/>
          </w:tcPr>
          <w:p w14:paraId="2EF89935"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121A4067"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14256119"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790ABFF7"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2C73564D" w14:textId="77777777" w:rsidR="00E06E0F" w:rsidRPr="00050FA4" w:rsidRDefault="00E06E0F" w:rsidP="00A95D23">
            <w:pPr>
              <w:pStyle w:val="AAAAAAATEXXXX"/>
              <w:ind w:firstLine="0"/>
              <w:rPr>
                <w:sz w:val="18"/>
                <w:szCs w:val="18"/>
                <w:lang w:val="sq-AL"/>
              </w:rPr>
            </w:pPr>
            <w:r w:rsidRPr="00050FA4">
              <w:rPr>
                <w:sz w:val="18"/>
                <w:szCs w:val="18"/>
                <w:lang w:val="sq-AL"/>
              </w:rPr>
              <w:t>0</w:t>
            </w:r>
          </w:p>
        </w:tc>
      </w:tr>
      <w:tr w:rsidR="00FA29AB" w:rsidRPr="00050FA4" w14:paraId="2CA82EF2" w14:textId="77777777" w:rsidTr="00BC0346">
        <w:tc>
          <w:tcPr>
            <w:tcW w:w="817" w:type="dxa"/>
          </w:tcPr>
          <w:p w14:paraId="45B2DDAB"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vAlign w:val="center"/>
          </w:tcPr>
          <w:p w14:paraId="79EED324"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5A270D1A"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272E968F"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4152A5F2"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1AB4FF05" w14:textId="77777777" w:rsidR="00E06E0F" w:rsidRPr="00050FA4" w:rsidRDefault="00E06E0F" w:rsidP="00A95D23">
            <w:pPr>
              <w:pStyle w:val="AAAAAAATEXXXX"/>
              <w:ind w:firstLine="0"/>
              <w:rPr>
                <w:sz w:val="18"/>
                <w:szCs w:val="18"/>
                <w:lang w:val="sq-AL"/>
              </w:rPr>
            </w:pPr>
            <w:r w:rsidRPr="00050FA4">
              <w:rPr>
                <w:sz w:val="18"/>
                <w:szCs w:val="18"/>
                <w:lang w:val="sq-AL"/>
              </w:rPr>
              <w:t>0</w:t>
            </w:r>
          </w:p>
        </w:tc>
      </w:tr>
      <w:tr w:rsidR="00FA29AB" w:rsidRPr="00050FA4" w14:paraId="02406243" w14:textId="77777777" w:rsidTr="00BC0346">
        <w:tc>
          <w:tcPr>
            <w:tcW w:w="817" w:type="dxa"/>
          </w:tcPr>
          <w:p w14:paraId="4B1DC25F"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vAlign w:val="center"/>
          </w:tcPr>
          <w:p w14:paraId="4FB682CA"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27C455C7"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321B7754"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62BDA8A8"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vAlign w:val="center"/>
          </w:tcPr>
          <w:p w14:paraId="20FC1863" w14:textId="77777777" w:rsidR="00E06E0F" w:rsidRPr="00050FA4" w:rsidRDefault="00E06E0F" w:rsidP="00A95D23">
            <w:pPr>
              <w:pStyle w:val="AAAAAAATEXXXX"/>
              <w:ind w:firstLine="0"/>
              <w:rPr>
                <w:sz w:val="18"/>
                <w:szCs w:val="18"/>
                <w:lang w:val="sq-AL"/>
              </w:rPr>
            </w:pPr>
            <w:r w:rsidRPr="00050FA4">
              <w:rPr>
                <w:sz w:val="18"/>
                <w:szCs w:val="18"/>
                <w:lang w:val="sq-AL"/>
              </w:rPr>
              <w:t>0</w:t>
            </w:r>
          </w:p>
        </w:tc>
      </w:tr>
    </w:tbl>
    <w:p w14:paraId="7B066513"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75431A9E" w14:textId="77777777" w:rsidTr="00A80B97">
        <w:trPr>
          <w:jc w:val="center"/>
        </w:trPr>
        <w:tc>
          <w:tcPr>
            <w:tcW w:w="10201" w:type="dxa"/>
            <w:gridSpan w:val="6"/>
            <w:shd w:val="clear" w:color="auto" w:fill="E5DFEC" w:themeFill="accent4" w:themeFillTint="33"/>
          </w:tcPr>
          <w:p w14:paraId="3F6087B6" w14:textId="135564DE"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07:</w:t>
            </w:r>
            <w:r w:rsidR="000B0C45" w:rsidRPr="00050FA4">
              <w:rPr>
                <w:b/>
                <w:sz w:val="18"/>
                <w:szCs w:val="18"/>
                <w:lang w:val="sq-AL"/>
              </w:rPr>
              <w:t xml:space="preserve"> </w:t>
            </w:r>
            <w:r w:rsidR="00461CA0" w:rsidRPr="00050FA4">
              <w:rPr>
                <w:b/>
                <w:sz w:val="18"/>
                <w:szCs w:val="18"/>
                <w:lang w:val="sq-AL"/>
              </w:rPr>
              <w:t xml:space="preserve">Zhvillimi i kuadrit ligjor për të mbështetur </w:t>
            </w:r>
            <w:r w:rsidR="00461CA0" w:rsidRPr="00050FA4">
              <w:rPr>
                <w:b/>
                <w:i/>
                <w:sz w:val="18"/>
                <w:szCs w:val="18"/>
                <w:lang w:val="sq-AL"/>
              </w:rPr>
              <w:t xml:space="preserve">start-up </w:t>
            </w:r>
            <w:r w:rsidR="00461CA0" w:rsidRPr="00050FA4">
              <w:rPr>
                <w:b/>
                <w:sz w:val="18"/>
                <w:szCs w:val="18"/>
                <w:lang w:val="sq-AL"/>
              </w:rPr>
              <w:t>inovative</w:t>
            </w:r>
          </w:p>
        </w:tc>
      </w:tr>
      <w:tr w:rsidR="00FA29AB" w:rsidRPr="00050FA4" w14:paraId="0573ADAD" w14:textId="77777777" w:rsidTr="00A80B97">
        <w:trPr>
          <w:jc w:val="center"/>
        </w:trPr>
        <w:tc>
          <w:tcPr>
            <w:tcW w:w="817" w:type="dxa"/>
            <w:vAlign w:val="center"/>
          </w:tcPr>
          <w:p w14:paraId="2A6126DF" w14:textId="5D5DCFA8"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6C1CFC12" w14:textId="58A9979E"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2EFF2E2F" w14:textId="3562002B"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0E9B8D6E" w14:textId="36AD79EA"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008D6BF6" w14:textId="48883E6F"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4C737C48" w14:textId="37D732EE"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5556D5D2" w14:textId="77777777" w:rsidTr="00A80B97">
        <w:trPr>
          <w:jc w:val="center"/>
        </w:trPr>
        <w:tc>
          <w:tcPr>
            <w:tcW w:w="817" w:type="dxa"/>
          </w:tcPr>
          <w:p w14:paraId="41DA8AC8"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tcPr>
          <w:p w14:paraId="780AF8B0" w14:textId="77777777" w:rsidR="00E06E0F" w:rsidRPr="00050FA4" w:rsidRDefault="00E06E0F" w:rsidP="00A95D23">
            <w:pPr>
              <w:pStyle w:val="AAAAAAATEXXXX"/>
              <w:ind w:firstLine="0"/>
              <w:rPr>
                <w:sz w:val="18"/>
                <w:szCs w:val="18"/>
                <w:lang w:val="sq-AL"/>
              </w:rPr>
            </w:pPr>
            <w:r w:rsidRPr="00050FA4">
              <w:rPr>
                <w:sz w:val="18"/>
                <w:szCs w:val="18"/>
                <w:lang w:val="sq-AL"/>
              </w:rPr>
              <w:t>123,559</w:t>
            </w:r>
          </w:p>
        </w:tc>
        <w:tc>
          <w:tcPr>
            <w:tcW w:w="1877" w:type="dxa"/>
          </w:tcPr>
          <w:p w14:paraId="57F37691"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3218719E" w14:textId="77777777" w:rsidR="00E06E0F" w:rsidRPr="00050FA4" w:rsidRDefault="00E06E0F" w:rsidP="00A95D23">
            <w:pPr>
              <w:pStyle w:val="AAAAAAATEXXXX"/>
              <w:ind w:firstLine="0"/>
              <w:rPr>
                <w:sz w:val="18"/>
                <w:szCs w:val="18"/>
                <w:lang w:val="sq-AL"/>
              </w:rPr>
            </w:pPr>
            <w:r w:rsidRPr="00050FA4">
              <w:rPr>
                <w:sz w:val="18"/>
                <w:szCs w:val="18"/>
                <w:lang w:val="sq-AL"/>
              </w:rPr>
              <w:t>240,307</w:t>
            </w:r>
          </w:p>
        </w:tc>
        <w:tc>
          <w:tcPr>
            <w:tcW w:w="1877" w:type="dxa"/>
            <w:vAlign w:val="center"/>
          </w:tcPr>
          <w:p w14:paraId="6ECB852D"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vAlign w:val="center"/>
          </w:tcPr>
          <w:p w14:paraId="10C0F3D4" w14:textId="77777777" w:rsidR="00E06E0F" w:rsidRPr="00050FA4" w:rsidRDefault="00E06E0F" w:rsidP="00A95D23">
            <w:pPr>
              <w:pStyle w:val="AAAAAAATEXXXX"/>
              <w:ind w:firstLine="0"/>
              <w:rPr>
                <w:sz w:val="18"/>
                <w:szCs w:val="18"/>
                <w:lang w:val="sq-AL"/>
              </w:rPr>
            </w:pPr>
            <w:r w:rsidRPr="00050FA4">
              <w:rPr>
                <w:sz w:val="18"/>
                <w:szCs w:val="18"/>
                <w:lang w:val="sq-AL"/>
              </w:rPr>
              <w:t>363,866</w:t>
            </w:r>
          </w:p>
        </w:tc>
      </w:tr>
      <w:tr w:rsidR="00FA29AB" w:rsidRPr="00050FA4" w14:paraId="7305E731" w14:textId="77777777" w:rsidTr="00A80B97">
        <w:trPr>
          <w:jc w:val="center"/>
        </w:trPr>
        <w:tc>
          <w:tcPr>
            <w:tcW w:w="817" w:type="dxa"/>
          </w:tcPr>
          <w:p w14:paraId="7F55AFE7"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154A3039" w14:textId="77777777" w:rsidR="00E06E0F" w:rsidRPr="00050FA4" w:rsidRDefault="00E06E0F" w:rsidP="00A95D23">
            <w:pPr>
              <w:pStyle w:val="AAAAAAATEXXXX"/>
              <w:ind w:firstLine="0"/>
              <w:rPr>
                <w:sz w:val="18"/>
                <w:szCs w:val="18"/>
                <w:lang w:val="sq-AL"/>
              </w:rPr>
            </w:pPr>
            <w:r w:rsidRPr="00050FA4">
              <w:rPr>
                <w:sz w:val="18"/>
                <w:szCs w:val="18"/>
                <w:lang w:val="sq-AL"/>
              </w:rPr>
              <w:t>123,559</w:t>
            </w:r>
          </w:p>
        </w:tc>
        <w:tc>
          <w:tcPr>
            <w:tcW w:w="1877" w:type="dxa"/>
          </w:tcPr>
          <w:p w14:paraId="5A28C58F"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692FEA65" w14:textId="77777777" w:rsidR="00E06E0F" w:rsidRPr="00050FA4" w:rsidRDefault="00E06E0F" w:rsidP="00A95D23">
            <w:pPr>
              <w:pStyle w:val="AAAAAAATEXXXX"/>
              <w:ind w:firstLine="0"/>
              <w:rPr>
                <w:sz w:val="18"/>
                <w:szCs w:val="18"/>
                <w:lang w:val="sq-AL"/>
              </w:rPr>
            </w:pPr>
            <w:r w:rsidRPr="00050FA4">
              <w:rPr>
                <w:sz w:val="18"/>
                <w:szCs w:val="18"/>
                <w:lang w:val="sq-AL"/>
              </w:rPr>
              <w:t>2,537,256</w:t>
            </w:r>
          </w:p>
        </w:tc>
        <w:tc>
          <w:tcPr>
            <w:tcW w:w="1877" w:type="dxa"/>
          </w:tcPr>
          <w:p w14:paraId="6E4010A9"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2ACC19C8" w14:textId="77777777" w:rsidR="00E06E0F" w:rsidRPr="00050FA4" w:rsidRDefault="00E06E0F" w:rsidP="00A95D23">
            <w:pPr>
              <w:pStyle w:val="AAAAAAATEXXXX"/>
              <w:ind w:firstLine="0"/>
              <w:rPr>
                <w:sz w:val="18"/>
                <w:szCs w:val="18"/>
                <w:lang w:val="sq-AL"/>
              </w:rPr>
            </w:pPr>
            <w:r w:rsidRPr="00050FA4">
              <w:rPr>
                <w:sz w:val="18"/>
                <w:szCs w:val="18"/>
                <w:lang w:val="sq-AL"/>
              </w:rPr>
              <w:t>2,660,815</w:t>
            </w:r>
          </w:p>
        </w:tc>
      </w:tr>
      <w:tr w:rsidR="00FA29AB" w:rsidRPr="00050FA4" w14:paraId="1D82CE5A" w14:textId="77777777" w:rsidTr="00A80B97">
        <w:trPr>
          <w:jc w:val="center"/>
        </w:trPr>
        <w:tc>
          <w:tcPr>
            <w:tcW w:w="817" w:type="dxa"/>
          </w:tcPr>
          <w:p w14:paraId="44834553"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7B076B2C" w14:textId="77777777" w:rsidR="00E06E0F" w:rsidRPr="00050FA4" w:rsidRDefault="00E06E0F" w:rsidP="00A95D23">
            <w:pPr>
              <w:pStyle w:val="AAAAAAATEXXXX"/>
              <w:ind w:firstLine="0"/>
              <w:rPr>
                <w:sz w:val="18"/>
                <w:szCs w:val="18"/>
                <w:lang w:val="sq-AL"/>
              </w:rPr>
            </w:pPr>
            <w:r w:rsidRPr="00050FA4">
              <w:rPr>
                <w:sz w:val="18"/>
                <w:szCs w:val="18"/>
                <w:lang w:val="sq-AL"/>
              </w:rPr>
              <w:t>123,559</w:t>
            </w:r>
          </w:p>
        </w:tc>
        <w:tc>
          <w:tcPr>
            <w:tcW w:w="1877" w:type="dxa"/>
          </w:tcPr>
          <w:p w14:paraId="66A77802"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41B3DCD6" w14:textId="77777777" w:rsidR="00E06E0F" w:rsidRPr="00050FA4" w:rsidRDefault="00E06E0F" w:rsidP="00A95D23">
            <w:pPr>
              <w:pStyle w:val="AAAAAAATEXXXX"/>
              <w:ind w:firstLine="0"/>
              <w:rPr>
                <w:sz w:val="18"/>
                <w:szCs w:val="18"/>
                <w:lang w:val="sq-AL"/>
              </w:rPr>
            </w:pPr>
            <w:r w:rsidRPr="00050FA4">
              <w:rPr>
                <w:sz w:val="18"/>
                <w:szCs w:val="18"/>
                <w:lang w:val="sq-AL"/>
              </w:rPr>
              <w:t>2,537,256</w:t>
            </w:r>
          </w:p>
        </w:tc>
        <w:tc>
          <w:tcPr>
            <w:tcW w:w="1877" w:type="dxa"/>
          </w:tcPr>
          <w:p w14:paraId="2C2BDE1A"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29F4558D" w14:textId="77777777" w:rsidR="00E06E0F" w:rsidRPr="00050FA4" w:rsidRDefault="00E06E0F" w:rsidP="00A95D23">
            <w:pPr>
              <w:pStyle w:val="AAAAAAATEXXXX"/>
              <w:ind w:firstLine="0"/>
              <w:rPr>
                <w:sz w:val="18"/>
                <w:szCs w:val="18"/>
                <w:lang w:val="sq-AL"/>
              </w:rPr>
            </w:pPr>
            <w:r w:rsidRPr="00050FA4">
              <w:rPr>
                <w:sz w:val="18"/>
                <w:szCs w:val="18"/>
                <w:lang w:val="sq-AL"/>
              </w:rPr>
              <w:t>2,660,815</w:t>
            </w:r>
          </w:p>
        </w:tc>
      </w:tr>
    </w:tbl>
    <w:p w14:paraId="3E331B27"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6B4AB2CE" w14:textId="77777777" w:rsidTr="00A80B97">
        <w:trPr>
          <w:jc w:val="center"/>
        </w:trPr>
        <w:tc>
          <w:tcPr>
            <w:tcW w:w="10201" w:type="dxa"/>
            <w:gridSpan w:val="6"/>
            <w:shd w:val="clear" w:color="auto" w:fill="E5DFEC" w:themeFill="accent4" w:themeFillTint="33"/>
          </w:tcPr>
          <w:p w14:paraId="49A57372" w14:textId="739930E7"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08:</w:t>
            </w:r>
            <w:r w:rsidR="000B0C45" w:rsidRPr="00050FA4">
              <w:rPr>
                <w:b/>
                <w:sz w:val="18"/>
                <w:szCs w:val="18"/>
                <w:lang w:val="sq-AL"/>
              </w:rPr>
              <w:t xml:space="preserve"> </w:t>
            </w:r>
            <w:r w:rsidR="00461CA0" w:rsidRPr="00050FA4">
              <w:rPr>
                <w:b/>
                <w:iCs/>
                <w:sz w:val="18"/>
                <w:szCs w:val="18"/>
                <w:lang w:val="sq-AL"/>
              </w:rPr>
              <w:t>Masat mbështetëse për NMVM</w:t>
            </w:r>
            <w:r w:rsidR="000109D2" w:rsidRPr="00050FA4">
              <w:rPr>
                <w:b/>
                <w:iCs/>
                <w:sz w:val="18"/>
                <w:szCs w:val="18"/>
                <w:lang w:val="sq-AL"/>
              </w:rPr>
              <w:t>-në</w:t>
            </w:r>
          </w:p>
        </w:tc>
      </w:tr>
      <w:tr w:rsidR="00FA29AB" w:rsidRPr="00050FA4" w14:paraId="3044872B" w14:textId="77777777" w:rsidTr="00A80B97">
        <w:trPr>
          <w:jc w:val="center"/>
        </w:trPr>
        <w:tc>
          <w:tcPr>
            <w:tcW w:w="817" w:type="dxa"/>
            <w:vAlign w:val="center"/>
          </w:tcPr>
          <w:p w14:paraId="2BBA733C" w14:textId="1EC74CE7"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2AE39BF1" w14:textId="5F1E6349"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78E2298A" w14:textId="11998687"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17608DCB" w14:textId="366D3342"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6E2C658E" w14:textId="1DB3D0AB"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3840FD5C" w14:textId="32B82E19"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02657B6B" w14:textId="77777777" w:rsidTr="00A80B97">
        <w:trPr>
          <w:jc w:val="center"/>
        </w:trPr>
        <w:tc>
          <w:tcPr>
            <w:tcW w:w="817" w:type="dxa"/>
          </w:tcPr>
          <w:p w14:paraId="500240CE"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tcPr>
          <w:p w14:paraId="017D03EB" w14:textId="77777777" w:rsidR="00E06E0F" w:rsidRPr="00050FA4" w:rsidRDefault="00E06E0F" w:rsidP="00A95D23">
            <w:pPr>
              <w:pStyle w:val="AAAAAAATEXXXX"/>
              <w:ind w:firstLine="0"/>
              <w:rPr>
                <w:sz w:val="18"/>
                <w:szCs w:val="18"/>
                <w:lang w:val="sq-AL"/>
              </w:rPr>
            </w:pPr>
            <w:r w:rsidRPr="00050FA4">
              <w:rPr>
                <w:sz w:val="18"/>
                <w:szCs w:val="18"/>
                <w:lang w:val="sq-AL"/>
              </w:rPr>
              <w:t>33,096</w:t>
            </w:r>
          </w:p>
        </w:tc>
        <w:tc>
          <w:tcPr>
            <w:tcW w:w="1877" w:type="dxa"/>
          </w:tcPr>
          <w:p w14:paraId="340C031F" w14:textId="77777777" w:rsidR="00E06E0F" w:rsidRPr="00050FA4" w:rsidRDefault="00E06E0F" w:rsidP="00A95D23">
            <w:pPr>
              <w:pStyle w:val="AAAAAAATEXXXX"/>
              <w:ind w:firstLine="0"/>
              <w:rPr>
                <w:sz w:val="18"/>
                <w:szCs w:val="18"/>
                <w:lang w:val="sq-AL"/>
              </w:rPr>
            </w:pPr>
            <w:r w:rsidRPr="00050FA4">
              <w:rPr>
                <w:sz w:val="18"/>
                <w:szCs w:val="18"/>
                <w:lang w:val="sq-AL"/>
              </w:rPr>
              <w:t>51,471</w:t>
            </w:r>
          </w:p>
        </w:tc>
        <w:tc>
          <w:tcPr>
            <w:tcW w:w="1877" w:type="dxa"/>
          </w:tcPr>
          <w:p w14:paraId="4BE0914E" w14:textId="77777777" w:rsidR="00E06E0F" w:rsidRPr="00050FA4" w:rsidRDefault="00E06E0F" w:rsidP="00A95D23">
            <w:pPr>
              <w:pStyle w:val="AAAAAAATEXXXX"/>
              <w:ind w:firstLine="0"/>
              <w:rPr>
                <w:sz w:val="18"/>
                <w:szCs w:val="18"/>
                <w:lang w:val="sq-AL"/>
              </w:rPr>
            </w:pPr>
            <w:r w:rsidRPr="00050FA4">
              <w:rPr>
                <w:sz w:val="18"/>
                <w:szCs w:val="18"/>
                <w:lang w:val="sq-AL"/>
              </w:rPr>
              <w:t>2,219,057</w:t>
            </w:r>
          </w:p>
        </w:tc>
        <w:tc>
          <w:tcPr>
            <w:tcW w:w="1877" w:type="dxa"/>
            <w:vAlign w:val="center"/>
          </w:tcPr>
          <w:p w14:paraId="013348E6"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vAlign w:val="center"/>
          </w:tcPr>
          <w:p w14:paraId="27805C66" w14:textId="77777777" w:rsidR="00E06E0F" w:rsidRPr="00050FA4" w:rsidRDefault="00E06E0F" w:rsidP="00A95D23">
            <w:pPr>
              <w:pStyle w:val="AAAAAAATEXXXX"/>
              <w:ind w:firstLine="0"/>
              <w:rPr>
                <w:sz w:val="18"/>
                <w:szCs w:val="18"/>
                <w:lang w:val="sq-AL"/>
              </w:rPr>
            </w:pPr>
            <w:r w:rsidRPr="00050FA4">
              <w:rPr>
                <w:sz w:val="18"/>
                <w:szCs w:val="18"/>
                <w:lang w:val="sq-AL"/>
              </w:rPr>
              <w:t>2,303,624</w:t>
            </w:r>
          </w:p>
        </w:tc>
      </w:tr>
      <w:tr w:rsidR="00FA29AB" w:rsidRPr="00050FA4" w14:paraId="79CD5693" w14:textId="77777777" w:rsidTr="00A80B97">
        <w:trPr>
          <w:jc w:val="center"/>
        </w:trPr>
        <w:tc>
          <w:tcPr>
            <w:tcW w:w="817" w:type="dxa"/>
          </w:tcPr>
          <w:p w14:paraId="0A3C65FE"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4A218041" w14:textId="77777777" w:rsidR="00E06E0F" w:rsidRPr="00050FA4" w:rsidRDefault="00E06E0F" w:rsidP="00A95D23">
            <w:pPr>
              <w:pStyle w:val="AAAAAAATEXXXX"/>
              <w:ind w:firstLine="0"/>
              <w:rPr>
                <w:sz w:val="18"/>
                <w:szCs w:val="18"/>
                <w:lang w:val="sq-AL"/>
              </w:rPr>
            </w:pPr>
            <w:r w:rsidRPr="00050FA4">
              <w:rPr>
                <w:sz w:val="18"/>
                <w:szCs w:val="18"/>
                <w:lang w:val="sq-AL"/>
              </w:rPr>
              <w:t>33,096</w:t>
            </w:r>
          </w:p>
        </w:tc>
        <w:tc>
          <w:tcPr>
            <w:tcW w:w="1877" w:type="dxa"/>
          </w:tcPr>
          <w:p w14:paraId="02420E91" w14:textId="77777777" w:rsidR="00E06E0F" w:rsidRPr="00050FA4" w:rsidRDefault="00E06E0F" w:rsidP="00A95D23">
            <w:pPr>
              <w:pStyle w:val="AAAAAAATEXXXX"/>
              <w:ind w:firstLine="0"/>
              <w:rPr>
                <w:sz w:val="18"/>
                <w:szCs w:val="18"/>
                <w:lang w:val="sq-AL"/>
              </w:rPr>
            </w:pPr>
            <w:r w:rsidRPr="00050FA4">
              <w:rPr>
                <w:sz w:val="18"/>
                <w:szCs w:val="18"/>
                <w:lang w:val="sq-AL"/>
              </w:rPr>
              <w:t>51,471</w:t>
            </w:r>
          </w:p>
        </w:tc>
        <w:tc>
          <w:tcPr>
            <w:tcW w:w="1877" w:type="dxa"/>
          </w:tcPr>
          <w:p w14:paraId="3B35922A" w14:textId="77777777" w:rsidR="00E06E0F" w:rsidRPr="00050FA4" w:rsidRDefault="00E06E0F" w:rsidP="00A95D23">
            <w:pPr>
              <w:pStyle w:val="AAAAAAATEXXXX"/>
              <w:ind w:firstLine="0"/>
              <w:rPr>
                <w:sz w:val="18"/>
                <w:szCs w:val="18"/>
                <w:lang w:val="sq-AL"/>
              </w:rPr>
            </w:pPr>
            <w:r w:rsidRPr="00050FA4">
              <w:rPr>
                <w:sz w:val="18"/>
                <w:szCs w:val="18"/>
                <w:lang w:val="sq-AL"/>
              </w:rPr>
              <w:t>2,333,813</w:t>
            </w:r>
          </w:p>
        </w:tc>
        <w:tc>
          <w:tcPr>
            <w:tcW w:w="1877" w:type="dxa"/>
          </w:tcPr>
          <w:p w14:paraId="113525A9"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3EF28B0D" w14:textId="77777777" w:rsidR="00E06E0F" w:rsidRPr="00050FA4" w:rsidRDefault="00E06E0F" w:rsidP="00A95D23">
            <w:pPr>
              <w:pStyle w:val="AAAAAAATEXXXX"/>
              <w:ind w:firstLine="0"/>
              <w:rPr>
                <w:sz w:val="18"/>
                <w:szCs w:val="18"/>
                <w:lang w:val="sq-AL"/>
              </w:rPr>
            </w:pPr>
            <w:r w:rsidRPr="00050FA4">
              <w:rPr>
                <w:sz w:val="18"/>
                <w:szCs w:val="18"/>
                <w:lang w:val="sq-AL"/>
              </w:rPr>
              <w:t>2,418,380</w:t>
            </w:r>
          </w:p>
        </w:tc>
      </w:tr>
      <w:tr w:rsidR="00FA29AB" w:rsidRPr="00050FA4" w14:paraId="6C7F5ED2" w14:textId="77777777" w:rsidTr="00A80B97">
        <w:trPr>
          <w:jc w:val="center"/>
        </w:trPr>
        <w:tc>
          <w:tcPr>
            <w:tcW w:w="817" w:type="dxa"/>
          </w:tcPr>
          <w:p w14:paraId="557F31F9"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0BACFEF1" w14:textId="77777777" w:rsidR="00E06E0F" w:rsidRPr="00050FA4" w:rsidRDefault="00E06E0F" w:rsidP="00A95D23">
            <w:pPr>
              <w:pStyle w:val="AAAAAAATEXXXX"/>
              <w:ind w:firstLine="0"/>
              <w:rPr>
                <w:sz w:val="18"/>
                <w:szCs w:val="18"/>
                <w:lang w:val="sq-AL"/>
              </w:rPr>
            </w:pPr>
            <w:r w:rsidRPr="00050FA4">
              <w:rPr>
                <w:sz w:val="18"/>
                <w:szCs w:val="18"/>
                <w:lang w:val="sq-AL"/>
              </w:rPr>
              <w:t>33,096</w:t>
            </w:r>
          </w:p>
        </w:tc>
        <w:tc>
          <w:tcPr>
            <w:tcW w:w="1877" w:type="dxa"/>
          </w:tcPr>
          <w:p w14:paraId="06BD2318" w14:textId="77777777" w:rsidR="00E06E0F" w:rsidRPr="00050FA4" w:rsidRDefault="00E06E0F" w:rsidP="00A95D23">
            <w:pPr>
              <w:pStyle w:val="AAAAAAATEXXXX"/>
              <w:ind w:firstLine="0"/>
              <w:rPr>
                <w:sz w:val="18"/>
                <w:szCs w:val="18"/>
                <w:lang w:val="sq-AL"/>
              </w:rPr>
            </w:pPr>
            <w:r w:rsidRPr="00050FA4">
              <w:rPr>
                <w:sz w:val="18"/>
                <w:szCs w:val="18"/>
                <w:lang w:val="sq-AL"/>
              </w:rPr>
              <w:t>51,471</w:t>
            </w:r>
          </w:p>
        </w:tc>
        <w:tc>
          <w:tcPr>
            <w:tcW w:w="1877" w:type="dxa"/>
          </w:tcPr>
          <w:p w14:paraId="20F80465" w14:textId="77777777" w:rsidR="00E06E0F" w:rsidRPr="00050FA4" w:rsidRDefault="00E06E0F" w:rsidP="00A95D23">
            <w:pPr>
              <w:pStyle w:val="AAAAAAATEXXXX"/>
              <w:ind w:firstLine="0"/>
              <w:rPr>
                <w:sz w:val="18"/>
                <w:szCs w:val="18"/>
                <w:lang w:val="sq-AL"/>
              </w:rPr>
            </w:pPr>
            <w:r w:rsidRPr="00050FA4">
              <w:rPr>
                <w:sz w:val="18"/>
                <w:szCs w:val="18"/>
                <w:lang w:val="sq-AL"/>
              </w:rPr>
              <w:t>123,473</w:t>
            </w:r>
          </w:p>
        </w:tc>
        <w:tc>
          <w:tcPr>
            <w:tcW w:w="1877" w:type="dxa"/>
          </w:tcPr>
          <w:p w14:paraId="65CD64C4"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139F9763" w14:textId="77777777" w:rsidR="00E06E0F" w:rsidRPr="00050FA4" w:rsidRDefault="00E06E0F" w:rsidP="00A95D23">
            <w:pPr>
              <w:pStyle w:val="AAAAAAATEXXXX"/>
              <w:ind w:firstLine="0"/>
              <w:rPr>
                <w:sz w:val="18"/>
                <w:szCs w:val="18"/>
                <w:lang w:val="sq-AL"/>
              </w:rPr>
            </w:pPr>
            <w:r w:rsidRPr="00050FA4">
              <w:rPr>
                <w:sz w:val="18"/>
                <w:szCs w:val="18"/>
                <w:lang w:val="sq-AL"/>
              </w:rPr>
              <w:t>208,040</w:t>
            </w:r>
          </w:p>
        </w:tc>
      </w:tr>
    </w:tbl>
    <w:p w14:paraId="6D657E6B"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18ECDA8C" w14:textId="77777777" w:rsidTr="00A80B97">
        <w:trPr>
          <w:jc w:val="center"/>
        </w:trPr>
        <w:tc>
          <w:tcPr>
            <w:tcW w:w="10201" w:type="dxa"/>
            <w:gridSpan w:val="6"/>
            <w:shd w:val="clear" w:color="auto" w:fill="E5DFEC" w:themeFill="accent4" w:themeFillTint="33"/>
          </w:tcPr>
          <w:p w14:paraId="69AFD0DF" w14:textId="285DB6A3"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09:</w:t>
            </w:r>
            <w:r w:rsidR="000B0C45" w:rsidRPr="00050FA4">
              <w:rPr>
                <w:b/>
                <w:sz w:val="18"/>
                <w:szCs w:val="18"/>
                <w:lang w:val="sq-AL"/>
              </w:rPr>
              <w:t xml:space="preserve"> </w:t>
            </w:r>
            <w:r w:rsidR="009D1DD3" w:rsidRPr="00050FA4">
              <w:rPr>
                <w:b/>
                <w:sz w:val="18"/>
                <w:szCs w:val="18"/>
                <w:lang w:val="sq-AL"/>
              </w:rPr>
              <w:t>Modernizimi i instrumenteve të pagesave me vlerë të vogël</w:t>
            </w:r>
          </w:p>
        </w:tc>
      </w:tr>
      <w:tr w:rsidR="00FA29AB" w:rsidRPr="00050FA4" w14:paraId="08FAA957" w14:textId="77777777" w:rsidTr="00A80B97">
        <w:trPr>
          <w:jc w:val="center"/>
        </w:trPr>
        <w:tc>
          <w:tcPr>
            <w:tcW w:w="817" w:type="dxa"/>
            <w:vAlign w:val="center"/>
          </w:tcPr>
          <w:p w14:paraId="5188F70A" w14:textId="03000C55"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0E7A0DBB" w14:textId="78F51254"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7B6D8344" w14:textId="7BACF9F4"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3351BAB8" w14:textId="36F2995A"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6174F7CA" w14:textId="6D39BE11"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5F52DD24" w14:textId="032BDE80"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4AD6BCCB" w14:textId="77777777" w:rsidTr="00A80B97">
        <w:trPr>
          <w:jc w:val="center"/>
        </w:trPr>
        <w:tc>
          <w:tcPr>
            <w:tcW w:w="817" w:type="dxa"/>
          </w:tcPr>
          <w:p w14:paraId="133F1A5E" w14:textId="77777777" w:rsidR="00BC0346" w:rsidRPr="00050FA4" w:rsidRDefault="00BC0346" w:rsidP="00A95D23">
            <w:pPr>
              <w:pStyle w:val="AAAAAAATEXXXX"/>
              <w:ind w:firstLine="0"/>
              <w:rPr>
                <w:sz w:val="18"/>
                <w:szCs w:val="18"/>
                <w:lang w:val="sq-AL"/>
              </w:rPr>
            </w:pPr>
            <w:r w:rsidRPr="00050FA4">
              <w:rPr>
                <w:sz w:val="18"/>
                <w:szCs w:val="18"/>
                <w:lang w:val="sq-AL"/>
              </w:rPr>
              <w:t>2022</w:t>
            </w:r>
          </w:p>
        </w:tc>
        <w:tc>
          <w:tcPr>
            <w:tcW w:w="1876" w:type="dxa"/>
          </w:tcPr>
          <w:p w14:paraId="76E33E9E" w14:textId="77777777" w:rsidR="00BC0346" w:rsidRPr="00050FA4" w:rsidRDefault="00BC0346" w:rsidP="00A95D23">
            <w:pPr>
              <w:pStyle w:val="AAAAAAATEXXXX"/>
              <w:ind w:firstLine="0"/>
              <w:rPr>
                <w:sz w:val="18"/>
                <w:szCs w:val="18"/>
                <w:lang w:val="sq-AL"/>
              </w:rPr>
            </w:pPr>
          </w:p>
        </w:tc>
        <w:tc>
          <w:tcPr>
            <w:tcW w:w="1877" w:type="dxa"/>
          </w:tcPr>
          <w:p w14:paraId="06E635A1" w14:textId="77777777" w:rsidR="00BC0346" w:rsidRPr="00050FA4" w:rsidRDefault="00BC0346" w:rsidP="00A95D23">
            <w:pPr>
              <w:pStyle w:val="AAAAAAATEXXXX"/>
              <w:ind w:firstLine="0"/>
              <w:rPr>
                <w:sz w:val="18"/>
                <w:szCs w:val="18"/>
                <w:lang w:val="sq-AL"/>
              </w:rPr>
            </w:pPr>
          </w:p>
        </w:tc>
        <w:tc>
          <w:tcPr>
            <w:tcW w:w="1877" w:type="dxa"/>
          </w:tcPr>
          <w:p w14:paraId="48A40946" w14:textId="77777777" w:rsidR="00BC0346" w:rsidRPr="00050FA4" w:rsidRDefault="00BC0346" w:rsidP="00A95D23">
            <w:pPr>
              <w:pStyle w:val="AAAAAAATEXXXX"/>
              <w:ind w:firstLine="0"/>
              <w:rPr>
                <w:sz w:val="18"/>
                <w:szCs w:val="18"/>
                <w:lang w:val="sq-AL"/>
              </w:rPr>
            </w:pPr>
          </w:p>
        </w:tc>
        <w:tc>
          <w:tcPr>
            <w:tcW w:w="1877" w:type="dxa"/>
            <w:vAlign w:val="center"/>
          </w:tcPr>
          <w:p w14:paraId="5804AD93" w14:textId="7A4CEDC0" w:rsidR="00BC0346" w:rsidRPr="00050FA4" w:rsidRDefault="00BC0346" w:rsidP="00A95D23">
            <w:pPr>
              <w:pStyle w:val="AAAAAAATEXXXX"/>
              <w:ind w:firstLine="0"/>
              <w:rPr>
                <w:sz w:val="18"/>
                <w:szCs w:val="18"/>
                <w:lang w:val="sq-AL"/>
              </w:rPr>
            </w:pPr>
            <w:r w:rsidRPr="00050FA4">
              <w:rPr>
                <w:sz w:val="18"/>
                <w:szCs w:val="18"/>
                <w:lang w:val="sq-AL"/>
              </w:rPr>
              <w:t>3,000,000</w:t>
            </w:r>
            <w:r w:rsidRPr="00050FA4">
              <w:rPr>
                <w:rStyle w:val="FootnoteReference"/>
                <w:color w:val="0D0D0D" w:themeColor="text1" w:themeTint="F2"/>
                <w:sz w:val="18"/>
                <w:szCs w:val="18"/>
                <w:lang w:val="sq-AL"/>
              </w:rPr>
              <w:footnoteReference w:id="38"/>
            </w:r>
          </w:p>
        </w:tc>
        <w:tc>
          <w:tcPr>
            <w:tcW w:w="1877" w:type="dxa"/>
            <w:vAlign w:val="center"/>
          </w:tcPr>
          <w:p w14:paraId="4683D6DD" w14:textId="501AD279" w:rsidR="00BC0346" w:rsidRPr="00050FA4" w:rsidRDefault="00BC0346" w:rsidP="00A95D23">
            <w:pPr>
              <w:pStyle w:val="AAAAAAATEXXXX"/>
              <w:ind w:firstLine="0"/>
              <w:rPr>
                <w:sz w:val="18"/>
                <w:szCs w:val="18"/>
                <w:lang w:val="sq-AL"/>
              </w:rPr>
            </w:pPr>
            <w:r w:rsidRPr="00050FA4">
              <w:rPr>
                <w:sz w:val="18"/>
                <w:szCs w:val="18"/>
                <w:lang w:val="sq-AL"/>
              </w:rPr>
              <w:t>3,000,000</w:t>
            </w:r>
          </w:p>
        </w:tc>
      </w:tr>
      <w:tr w:rsidR="00FA29AB" w:rsidRPr="00050FA4" w14:paraId="0B806C65" w14:textId="77777777" w:rsidTr="00A80B97">
        <w:trPr>
          <w:jc w:val="center"/>
        </w:trPr>
        <w:tc>
          <w:tcPr>
            <w:tcW w:w="817" w:type="dxa"/>
          </w:tcPr>
          <w:p w14:paraId="2B158FCA"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7539FC44" w14:textId="77777777" w:rsidR="00E06E0F" w:rsidRPr="00050FA4" w:rsidRDefault="00E06E0F" w:rsidP="00A95D23">
            <w:pPr>
              <w:pStyle w:val="AAAAAAATEXXXX"/>
              <w:ind w:firstLine="0"/>
              <w:rPr>
                <w:sz w:val="18"/>
                <w:szCs w:val="18"/>
                <w:lang w:val="sq-AL"/>
              </w:rPr>
            </w:pPr>
          </w:p>
        </w:tc>
        <w:tc>
          <w:tcPr>
            <w:tcW w:w="1877" w:type="dxa"/>
          </w:tcPr>
          <w:p w14:paraId="4C8FAC45" w14:textId="77777777" w:rsidR="00E06E0F" w:rsidRPr="00050FA4" w:rsidRDefault="00E06E0F" w:rsidP="00A95D23">
            <w:pPr>
              <w:pStyle w:val="AAAAAAATEXXXX"/>
              <w:ind w:firstLine="0"/>
              <w:rPr>
                <w:sz w:val="18"/>
                <w:szCs w:val="18"/>
                <w:lang w:val="sq-AL"/>
              </w:rPr>
            </w:pPr>
          </w:p>
        </w:tc>
        <w:tc>
          <w:tcPr>
            <w:tcW w:w="1877" w:type="dxa"/>
          </w:tcPr>
          <w:p w14:paraId="3ED0BEBD" w14:textId="77777777" w:rsidR="00E06E0F" w:rsidRPr="00050FA4" w:rsidRDefault="00E06E0F" w:rsidP="00A95D23">
            <w:pPr>
              <w:pStyle w:val="AAAAAAATEXXXX"/>
              <w:ind w:firstLine="0"/>
              <w:rPr>
                <w:sz w:val="18"/>
                <w:szCs w:val="18"/>
                <w:lang w:val="sq-AL"/>
              </w:rPr>
            </w:pPr>
          </w:p>
        </w:tc>
        <w:tc>
          <w:tcPr>
            <w:tcW w:w="1877" w:type="dxa"/>
          </w:tcPr>
          <w:p w14:paraId="6932332C" w14:textId="77777777" w:rsidR="00E06E0F" w:rsidRPr="00050FA4" w:rsidRDefault="00E06E0F" w:rsidP="00A95D23">
            <w:pPr>
              <w:pStyle w:val="AAAAAAATEXXXX"/>
              <w:ind w:firstLine="0"/>
              <w:rPr>
                <w:sz w:val="18"/>
                <w:szCs w:val="18"/>
                <w:lang w:val="sq-AL"/>
              </w:rPr>
            </w:pPr>
          </w:p>
        </w:tc>
        <w:tc>
          <w:tcPr>
            <w:tcW w:w="1877" w:type="dxa"/>
          </w:tcPr>
          <w:p w14:paraId="45E20902" w14:textId="77777777" w:rsidR="00E06E0F" w:rsidRPr="00050FA4" w:rsidRDefault="00E06E0F" w:rsidP="00A95D23">
            <w:pPr>
              <w:pStyle w:val="AAAAAAATEXXXX"/>
              <w:ind w:firstLine="0"/>
              <w:rPr>
                <w:sz w:val="18"/>
                <w:szCs w:val="18"/>
                <w:lang w:val="sq-AL"/>
              </w:rPr>
            </w:pPr>
          </w:p>
        </w:tc>
      </w:tr>
      <w:tr w:rsidR="00FA29AB" w:rsidRPr="00050FA4" w14:paraId="5CA69876" w14:textId="77777777" w:rsidTr="00A80B97">
        <w:trPr>
          <w:jc w:val="center"/>
        </w:trPr>
        <w:tc>
          <w:tcPr>
            <w:tcW w:w="817" w:type="dxa"/>
          </w:tcPr>
          <w:p w14:paraId="58CB09ED"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00489B86" w14:textId="77777777" w:rsidR="00E06E0F" w:rsidRPr="00050FA4" w:rsidRDefault="00E06E0F" w:rsidP="00A95D23">
            <w:pPr>
              <w:pStyle w:val="AAAAAAATEXXXX"/>
              <w:ind w:firstLine="0"/>
              <w:rPr>
                <w:sz w:val="18"/>
                <w:szCs w:val="18"/>
                <w:lang w:val="sq-AL"/>
              </w:rPr>
            </w:pPr>
          </w:p>
        </w:tc>
        <w:tc>
          <w:tcPr>
            <w:tcW w:w="1877" w:type="dxa"/>
          </w:tcPr>
          <w:p w14:paraId="7C830FA9" w14:textId="77777777" w:rsidR="00E06E0F" w:rsidRPr="00050FA4" w:rsidRDefault="00E06E0F" w:rsidP="00A95D23">
            <w:pPr>
              <w:pStyle w:val="AAAAAAATEXXXX"/>
              <w:ind w:firstLine="0"/>
              <w:rPr>
                <w:sz w:val="18"/>
                <w:szCs w:val="18"/>
                <w:lang w:val="sq-AL"/>
              </w:rPr>
            </w:pPr>
          </w:p>
        </w:tc>
        <w:tc>
          <w:tcPr>
            <w:tcW w:w="1877" w:type="dxa"/>
          </w:tcPr>
          <w:p w14:paraId="4AFCB823" w14:textId="77777777" w:rsidR="00E06E0F" w:rsidRPr="00050FA4" w:rsidRDefault="00E06E0F" w:rsidP="00A95D23">
            <w:pPr>
              <w:pStyle w:val="AAAAAAATEXXXX"/>
              <w:ind w:firstLine="0"/>
              <w:rPr>
                <w:sz w:val="18"/>
                <w:szCs w:val="18"/>
                <w:lang w:val="sq-AL"/>
              </w:rPr>
            </w:pPr>
          </w:p>
        </w:tc>
        <w:tc>
          <w:tcPr>
            <w:tcW w:w="1877" w:type="dxa"/>
          </w:tcPr>
          <w:p w14:paraId="5C30F499" w14:textId="77777777" w:rsidR="00E06E0F" w:rsidRPr="00050FA4" w:rsidRDefault="00E06E0F" w:rsidP="00A95D23">
            <w:pPr>
              <w:pStyle w:val="AAAAAAATEXXXX"/>
              <w:ind w:firstLine="0"/>
              <w:rPr>
                <w:sz w:val="18"/>
                <w:szCs w:val="18"/>
                <w:lang w:val="sq-AL"/>
              </w:rPr>
            </w:pPr>
          </w:p>
        </w:tc>
        <w:tc>
          <w:tcPr>
            <w:tcW w:w="1877" w:type="dxa"/>
          </w:tcPr>
          <w:p w14:paraId="5D248246" w14:textId="77777777" w:rsidR="00E06E0F" w:rsidRPr="00050FA4" w:rsidRDefault="00E06E0F" w:rsidP="00A95D23">
            <w:pPr>
              <w:pStyle w:val="AAAAAAATEXXXX"/>
              <w:ind w:firstLine="0"/>
              <w:rPr>
                <w:sz w:val="18"/>
                <w:szCs w:val="18"/>
                <w:lang w:val="sq-AL"/>
              </w:rPr>
            </w:pPr>
          </w:p>
        </w:tc>
      </w:tr>
    </w:tbl>
    <w:p w14:paraId="7E33C952" w14:textId="77777777" w:rsidR="00E06E0F" w:rsidRPr="00050FA4" w:rsidRDefault="00E06E0F" w:rsidP="003F1DA7">
      <w:pPr>
        <w:pStyle w:val="AAAAAAATEXXXX"/>
        <w:rPr>
          <w:bCs/>
          <w:sz w:val="20"/>
          <w:szCs w:val="20"/>
          <w:lang w:val="sq-AL"/>
        </w:rPr>
      </w:pPr>
    </w:p>
    <w:p w14:paraId="7B690D7C" w14:textId="4EA9CD6F" w:rsidR="00E06E0F" w:rsidRPr="00050FA4" w:rsidRDefault="0089011F" w:rsidP="003F1DA7">
      <w:pPr>
        <w:pStyle w:val="AAAAAAATEXXXX"/>
        <w:jc w:val="center"/>
        <w:rPr>
          <w:lang w:val="sq-AL"/>
        </w:rPr>
      </w:pPr>
      <w:bookmarkStart w:id="141" w:name="_Toc93325800"/>
      <w:r w:rsidRPr="00050FA4">
        <w:rPr>
          <w:lang w:val="sq-AL"/>
        </w:rPr>
        <w:t>Fushat e tjera</w:t>
      </w:r>
      <w:bookmarkEnd w:id="141"/>
    </w:p>
    <w:tbl>
      <w:tblPr>
        <w:tblStyle w:val="TableGrid"/>
        <w:tblW w:w="10201" w:type="dxa"/>
        <w:jc w:val="center"/>
        <w:tblLook w:val="04A0" w:firstRow="1" w:lastRow="0" w:firstColumn="1" w:lastColumn="0" w:noHBand="0" w:noVBand="1"/>
      </w:tblPr>
      <w:tblGrid>
        <w:gridCol w:w="817"/>
        <w:gridCol w:w="1876"/>
        <w:gridCol w:w="1877"/>
        <w:gridCol w:w="1877"/>
        <w:gridCol w:w="1877"/>
        <w:gridCol w:w="1877"/>
      </w:tblGrid>
      <w:tr w:rsidR="00FA29AB" w:rsidRPr="00050FA4" w14:paraId="4CC49ECB" w14:textId="77777777" w:rsidTr="00A80B97">
        <w:trPr>
          <w:jc w:val="center"/>
        </w:trPr>
        <w:tc>
          <w:tcPr>
            <w:tcW w:w="10201" w:type="dxa"/>
            <w:gridSpan w:val="6"/>
            <w:shd w:val="clear" w:color="auto" w:fill="E5DFEC" w:themeFill="accent4" w:themeFillTint="33"/>
          </w:tcPr>
          <w:p w14:paraId="08374E54" w14:textId="173E4EF6"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10:</w:t>
            </w:r>
            <w:r w:rsidR="000B0C45" w:rsidRPr="00050FA4">
              <w:rPr>
                <w:b/>
                <w:sz w:val="18"/>
                <w:szCs w:val="18"/>
                <w:lang w:val="sq-AL"/>
              </w:rPr>
              <w:t xml:space="preserve"> </w:t>
            </w:r>
            <w:r w:rsidR="00461CA0" w:rsidRPr="00050FA4">
              <w:rPr>
                <w:b/>
                <w:sz w:val="18"/>
                <w:szCs w:val="18"/>
                <w:lang w:val="sq-AL"/>
              </w:rPr>
              <w:t>Investimet strategjike publike</w:t>
            </w:r>
          </w:p>
        </w:tc>
      </w:tr>
      <w:tr w:rsidR="00FA29AB" w:rsidRPr="00050FA4" w14:paraId="4F75E079" w14:textId="77777777" w:rsidTr="00A80B97">
        <w:trPr>
          <w:jc w:val="center"/>
        </w:trPr>
        <w:tc>
          <w:tcPr>
            <w:tcW w:w="817" w:type="dxa"/>
          </w:tcPr>
          <w:p w14:paraId="2E0CA704" w14:textId="129B4833" w:rsidR="00E06E0F" w:rsidRPr="00050FA4" w:rsidRDefault="005E44FE" w:rsidP="00A95D23">
            <w:pPr>
              <w:pStyle w:val="AAAAAAATEXXXX"/>
              <w:ind w:firstLine="0"/>
              <w:rPr>
                <w:sz w:val="18"/>
                <w:szCs w:val="18"/>
                <w:lang w:val="sq-AL"/>
              </w:rPr>
            </w:pPr>
            <w:r w:rsidRPr="00050FA4">
              <w:rPr>
                <w:sz w:val="18"/>
                <w:szCs w:val="18"/>
                <w:lang w:val="sq-AL"/>
              </w:rPr>
              <w:t>Viti</w:t>
            </w:r>
          </w:p>
        </w:tc>
        <w:tc>
          <w:tcPr>
            <w:tcW w:w="1876" w:type="dxa"/>
          </w:tcPr>
          <w:p w14:paraId="3670130E" w14:textId="123F5DAF" w:rsidR="00E06E0F" w:rsidRPr="00050FA4" w:rsidRDefault="005E44FE" w:rsidP="00A95D23">
            <w:pPr>
              <w:pStyle w:val="AAAAAAATEXXXX"/>
              <w:ind w:firstLine="0"/>
              <w:rPr>
                <w:sz w:val="18"/>
                <w:szCs w:val="18"/>
                <w:lang w:val="sq-AL"/>
              </w:rPr>
            </w:pPr>
            <w:r w:rsidRPr="00050FA4">
              <w:rPr>
                <w:sz w:val="18"/>
                <w:szCs w:val="18"/>
                <w:lang w:val="sq-AL"/>
              </w:rPr>
              <w:t>Rrogat</w:t>
            </w:r>
          </w:p>
        </w:tc>
        <w:tc>
          <w:tcPr>
            <w:tcW w:w="1877" w:type="dxa"/>
          </w:tcPr>
          <w:p w14:paraId="0497C852" w14:textId="6AD75C5F" w:rsidR="00E06E0F" w:rsidRPr="00050FA4" w:rsidRDefault="005E44FE" w:rsidP="00A95D23">
            <w:pPr>
              <w:pStyle w:val="AAAAAAATEXXXX"/>
              <w:ind w:firstLine="0"/>
              <w:rPr>
                <w:sz w:val="18"/>
                <w:szCs w:val="18"/>
                <w:lang w:val="sq-AL"/>
              </w:rPr>
            </w:pPr>
            <w:r w:rsidRPr="00050FA4">
              <w:rPr>
                <w:sz w:val="18"/>
                <w:szCs w:val="18"/>
                <w:lang w:val="sq-AL"/>
              </w:rPr>
              <w:t>Mallra dhe shërbime</w:t>
            </w:r>
          </w:p>
        </w:tc>
        <w:tc>
          <w:tcPr>
            <w:tcW w:w="1877" w:type="dxa"/>
          </w:tcPr>
          <w:p w14:paraId="4DECA929" w14:textId="7EA31476" w:rsidR="00E06E0F" w:rsidRPr="00050FA4" w:rsidRDefault="00E06E0F" w:rsidP="00A95D23">
            <w:pPr>
              <w:pStyle w:val="AAAAAAATEXXXX"/>
              <w:ind w:firstLine="0"/>
              <w:rPr>
                <w:sz w:val="18"/>
                <w:szCs w:val="18"/>
                <w:lang w:val="sq-AL"/>
              </w:rPr>
            </w:pPr>
            <w:r w:rsidRPr="00050FA4">
              <w:rPr>
                <w:sz w:val="18"/>
                <w:szCs w:val="18"/>
                <w:lang w:val="sq-AL"/>
              </w:rPr>
              <w:t>One-time</w:t>
            </w:r>
            <w:r w:rsidR="000B0C45" w:rsidRPr="00050FA4">
              <w:rPr>
                <w:sz w:val="18"/>
                <w:szCs w:val="18"/>
                <w:lang w:val="sq-AL"/>
              </w:rPr>
              <w:t xml:space="preserve"> </w:t>
            </w:r>
            <w:r w:rsidRPr="00050FA4">
              <w:rPr>
                <w:sz w:val="18"/>
                <w:szCs w:val="18"/>
                <w:lang w:val="sq-AL"/>
              </w:rPr>
              <w:t>Costs</w:t>
            </w:r>
          </w:p>
        </w:tc>
        <w:tc>
          <w:tcPr>
            <w:tcW w:w="1877" w:type="dxa"/>
          </w:tcPr>
          <w:p w14:paraId="0B226CA7" w14:textId="6392CB81" w:rsidR="00E06E0F" w:rsidRPr="00050FA4" w:rsidRDefault="005E44FE" w:rsidP="00A95D23">
            <w:pPr>
              <w:pStyle w:val="AAAAAAATEXXXX"/>
              <w:ind w:firstLine="0"/>
              <w:rPr>
                <w:sz w:val="18"/>
                <w:szCs w:val="18"/>
                <w:lang w:val="sq-AL"/>
              </w:rPr>
            </w:pPr>
            <w:r w:rsidRPr="00050FA4">
              <w:rPr>
                <w:sz w:val="18"/>
                <w:szCs w:val="18"/>
                <w:lang w:val="sq-AL"/>
              </w:rPr>
              <w:t>Shpenzime kapitale</w:t>
            </w:r>
          </w:p>
        </w:tc>
        <w:tc>
          <w:tcPr>
            <w:tcW w:w="1877" w:type="dxa"/>
          </w:tcPr>
          <w:p w14:paraId="42AF0594" w14:textId="32875EE0" w:rsidR="00E06E0F" w:rsidRPr="00050FA4" w:rsidRDefault="005E44FE" w:rsidP="00A95D23">
            <w:pPr>
              <w:pStyle w:val="AAAAAAATEXXXX"/>
              <w:ind w:firstLine="0"/>
              <w:rPr>
                <w:sz w:val="18"/>
                <w:szCs w:val="18"/>
                <w:lang w:val="sq-AL"/>
              </w:rPr>
            </w:pPr>
            <w:r w:rsidRPr="00050FA4">
              <w:rPr>
                <w:sz w:val="18"/>
                <w:szCs w:val="18"/>
                <w:lang w:val="sq-AL"/>
              </w:rPr>
              <w:t>Totali</w:t>
            </w:r>
          </w:p>
        </w:tc>
      </w:tr>
      <w:tr w:rsidR="00FA29AB" w:rsidRPr="00050FA4" w14:paraId="33A262C9" w14:textId="77777777" w:rsidTr="00A80B97">
        <w:trPr>
          <w:trHeight w:val="359"/>
          <w:jc w:val="center"/>
        </w:trPr>
        <w:tc>
          <w:tcPr>
            <w:tcW w:w="817" w:type="dxa"/>
          </w:tcPr>
          <w:p w14:paraId="78315666"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tcPr>
          <w:p w14:paraId="17CC7C18" w14:textId="77777777" w:rsidR="00E06E0F" w:rsidRPr="00050FA4" w:rsidRDefault="00E06E0F" w:rsidP="00A95D23">
            <w:pPr>
              <w:pStyle w:val="AAAAAAATEXXXX"/>
              <w:ind w:firstLine="0"/>
              <w:rPr>
                <w:sz w:val="18"/>
                <w:szCs w:val="18"/>
                <w:lang w:val="sq-AL"/>
              </w:rPr>
            </w:pPr>
            <w:r w:rsidRPr="00050FA4">
              <w:rPr>
                <w:sz w:val="18"/>
                <w:szCs w:val="18"/>
                <w:lang w:val="sq-AL"/>
              </w:rPr>
              <w:t>48566</w:t>
            </w:r>
          </w:p>
        </w:tc>
        <w:tc>
          <w:tcPr>
            <w:tcW w:w="1877" w:type="dxa"/>
          </w:tcPr>
          <w:p w14:paraId="1AC17412" w14:textId="77777777" w:rsidR="00E06E0F" w:rsidRPr="00050FA4" w:rsidRDefault="00E06E0F" w:rsidP="00A95D23">
            <w:pPr>
              <w:pStyle w:val="AAAAAAATEXXXX"/>
              <w:ind w:firstLine="0"/>
              <w:rPr>
                <w:sz w:val="18"/>
                <w:szCs w:val="18"/>
                <w:lang w:val="sq-AL"/>
              </w:rPr>
            </w:pPr>
            <w:r w:rsidRPr="00050FA4">
              <w:rPr>
                <w:sz w:val="18"/>
                <w:szCs w:val="18"/>
                <w:lang w:val="sq-AL"/>
              </w:rPr>
              <w:t>16189</w:t>
            </w:r>
          </w:p>
        </w:tc>
        <w:tc>
          <w:tcPr>
            <w:tcW w:w="1877" w:type="dxa"/>
          </w:tcPr>
          <w:p w14:paraId="0A8E97BB" w14:textId="77777777" w:rsidR="00E06E0F" w:rsidRPr="00050FA4" w:rsidRDefault="00E06E0F" w:rsidP="00A95D23">
            <w:pPr>
              <w:pStyle w:val="AAAAAAATEXXXX"/>
              <w:ind w:firstLine="0"/>
              <w:rPr>
                <w:sz w:val="18"/>
                <w:szCs w:val="18"/>
                <w:lang w:val="sq-AL"/>
              </w:rPr>
            </w:pPr>
            <w:r w:rsidRPr="00050FA4">
              <w:rPr>
                <w:sz w:val="18"/>
                <w:szCs w:val="18"/>
                <w:lang w:val="sq-AL"/>
              </w:rPr>
              <w:t>812431</w:t>
            </w:r>
          </w:p>
        </w:tc>
        <w:tc>
          <w:tcPr>
            <w:tcW w:w="1877" w:type="dxa"/>
            <w:vAlign w:val="center"/>
          </w:tcPr>
          <w:p w14:paraId="1B5F9576"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vAlign w:val="center"/>
          </w:tcPr>
          <w:p w14:paraId="3CF59002" w14:textId="77777777" w:rsidR="00E06E0F" w:rsidRPr="00050FA4" w:rsidRDefault="00E06E0F" w:rsidP="00A95D23">
            <w:pPr>
              <w:pStyle w:val="AAAAAAATEXXXX"/>
              <w:ind w:firstLine="0"/>
              <w:rPr>
                <w:sz w:val="18"/>
                <w:szCs w:val="18"/>
                <w:lang w:val="sq-AL"/>
              </w:rPr>
            </w:pPr>
            <w:r w:rsidRPr="00050FA4">
              <w:rPr>
                <w:sz w:val="18"/>
                <w:szCs w:val="18"/>
                <w:lang w:val="sq-AL"/>
              </w:rPr>
              <w:t>877186</w:t>
            </w:r>
          </w:p>
        </w:tc>
      </w:tr>
      <w:tr w:rsidR="00FA29AB" w:rsidRPr="00050FA4" w14:paraId="58D140F9" w14:textId="77777777" w:rsidTr="00A80B97">
        <w:trPr>
          <w:jc w:val="center"/>
        </w:trPr>
        <w:tc>
          <w:tcPr>
            <w:tcW w:w="817" w:type="dxa"/>
          </w:tcPr>
          <w:p w14:paraId="77B48C7D"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647E7E96" w14:textId="77777777" w:rsidR="00E06E0F" w:rsidRPr="00050FA4" w:rsidRDefault="00E06E0F" w:rsidP="00A95D23">
            <w:pPr>
              <w:pStyle w:val="AAAAAAATEXXXX"/>
              <w:ind w:firstLine="0"/>
              <w:rPr>
                <w:sz w:val="18"/>
                <w:szCs w:val="18"/>
                <w:lang w:val="sq-AL"/>
              </w:rPr>
            </w:pPr>
            <w:r w:rsidRPr="00050FA4">
              <w:rPr>
                <w:sz w:val="18"/>
                <w:szCs w:val="18"/>
                <w:lang w:val="sq-AL"/>
              </w:rPr>
              <w:t>48566</w:t>
            </w:r>
          </w:p>
        </w:tc>
        <w:tc>
          <w:tcPr>
            <w:tcW w:w="1877" w:type="dxa"/>
          </w:tcPr>
          <w:p w14:paraId="63CB1EFA" w14:textId="77777777" w:rsidR="00E06E0F" w:rsidRPr="00050FA4" w:rsidRDefault="00E06E0F" w:rsidP="00A95D23">
            <w:pPr>
              <w:pStyle w:val="AAAAAAATEXXXX"/>
              <w:ind w:firstLine="0"/>
              <w:rPr>
                <w:sz w:val="18"/>
                <w:szCs w:val="18"/>
                <w:lang w:val="sq-AL"/>
              </w:rPr>
            </w:pPr>
            <w:r w:rsidRPr="00050FA4">
              <w:rPr>
                <w:sz w:val="18"/>
                <w:szCs w:val="18"/>
                <w:lang w:val="sq-AL"/>
              </w:rPr>
              <w:t>16189</w:t>
            </w:r>
          </w:p>
        </w:tc>
        <w:tc>
          <w:tcPr>
            <w:tcW w:w="1877" w:type="dxa"/>
          </w:tcPr>
          <w:p w14:paraId="02703889" w14:textId="77777777" w:rsidR="00E06E0F" w:rsidRPr="00050FA4" w:rsidRDefault="00E06E0F" w:rsidP="00A95D23">
            <w:pPr>
              <w:pStyle w:val="AAAAAAATEXXXX"/>
              <w:ind w:firstLine="0"/>
              <w:rPr>
                <w:sz w:val="18"/>
                <w:szCs w:val="18"/>
                <w:lang w:val="sq-AL"/>
              </w:rPr>
            </w:pPr>
            <w:r w:rsidRPr="00050FA4">
              <w:rPr>
                <w:sz w:val="18"/>
                <w:szCs w:val="18"/>
                <w:lang w:val="sq-AL"/>
              </w:rPr>
              <w:t>812431</w:t>
            </w:r>
          </w:p>
        </w:tc>
        <w:tc>
          <w:tcPr>
            <w:tcW w:w="1877" w:type="dxa"/>
            <w:vAlign w:val="center"/>
          </w:tcPr>
          <w:p w14:paraId="26359FD6"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vAlign w:val="center"/>
          </w:tcPr>
          <w:p w14:paraId="724193D5" w14:textId="77777777" w:rsidR="00E06E0F" w:rsidRPr="00050FA4" w:rsidRDefault="00E06E0F" w:rsidP="00A95D23">
            <w:pPr>
              <w:pStyle w:val="AAAAAAATEXXXX"/>
              <w:ind w:firstLine="0"/>
              <w:rPr>
                <w:sz w:val="18"/>
                <w:szCs w:val="18"/>
                <w:lang w:val="sq-AL"/>
              </w:rPr>
            </w:pPr>
            <w:r w:rsidRPr="00050FA4">
              <w:rPr>
                <w:sz w:val="18"/>
                <w:szCs w:val="18"/>
                <w:lang w:val="sq-AL"/>
              </w:rPr>
              <w:t>877186</w:t>
            </w:r>
          </w:p>
        </w:tc>
      </w:tr>
      <w:tr w:rsidR="00FA29AB" w:rsidRPr="00050FA4" w14:paraId="08F5E071" w14:textId="77777777" w:rsidTr="00A80B97">
        <w:trPr>
          <w:jc w:val="center"/>
        </w:trPr>
        <w:tc>
          <w:tcPr>
            <w:tcW w:w="817" w:type="dxa"/>
          </w:tcPr>
          <w:p w14:paraId="6EB66E31"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67AE308E" w14:textId="77777777" w:rsidR="00E06E0F" w:rsidRPr="00050FA4" w:rsidRDefault="00E06E0F" w:rsidP="00A95D23">
            <w:pPr>
              <w:pStyle w:val="AAAAAAATEXXXX"/>
              <w:ind w:firstLine="0"/>
              <w:rPr>
                <w:sz w:val="18"/>
                <w:szCs w:val="18"/>
                <w:lang w:val="sq-AL"/>
              </w:rPr>
            </w:pPr>
          </w:p>
        </w:tc>
        <w:tc>
          <w:tcPr>
            <w:tcW w:w="1877" w:type="dxa"/>
          </w:tcPr>
          <w:p w14:paraId="2089A103" w14:textId="77777777" w:rsidR="00E06E0F" w:rsidRPr="00050FA4" w:rsidRDefault="00E06E0F" w:rsidP="00A95D23">
            <w:pPr>
              <w:pStyle w:val="AAAAAAATEXXXX"/>
              <w:ind w:firstLine="0"/>
              <w:rPr>
                <w:sz w:val="18"/>
                <w:szCs w:val="18"/>
                <w:lang w:val="sq-AL"/>
              </w:rPr>
            </w:pPr>
          </w:p>
        </w:tc>
        <w:tc>
          <w:tcPr>
            <w:tcW w:w="1877" w:type="dxa"/>
          </w:tcPr>
          <w:p w14:paraId="5AF2B95E" w14:textId="77777777" w:rsidR="00E06E0F" w:rsidRPr="00050FA4" w:rsidRDefault="00E06E0F" w:rsidP="00A95D23">
            <w:pPr>
              <w:pStyle w:val="AAAAAAATEXXXX"/>
              <w:ind w:firstLine="0"/>
              <w:rPr>
                <w:sz w:val="18"/>
                <w:szCs w:val="18"/>
                <w:lang w:val="sq-AL"/>
              </w:rPr>
            </w:pPr>
          </w:p>
        </w:tc>
        <w:tc>
          <w:tcPr>
            <w:tcW w:w="1877" w:type="dxa"/>
          </w:tcPr>
          <w:p w14:paraId="2CBE3DB7" w14:textId="77777777" w:rsidR="00E06E0F" w:rsidRPr="00050FA4" w:rsidRDefault="00E06E0F" w:rsidP="00A95D23">
            <w:pPr>
              <w:pStyle w:val="AAAAAAATEXXXX"/>
              <w:ind w:firstLine="0"/>
              <w:rPr>
                <w:sz w:val="18"/>
                <w:szCs w:val="18"/>
                <w:lang w:val="sq-AL"/>
              </w:rPr>
            </w:pPr>
          </w:p>
        </w:tc>
        <w:tc>
          <w:tcPr>
            <w:tcW w:w="1877" w:type="dxa"/>
          </w:tcPr>
          <w:p w14:paraId="195264E8" w14:textId="77777777" w:rsidR="00E06E0F" w:rsidRPr="00050FA4" w:rsidRDefault="00E06E0F" w:rsidP="00A95D23">
            <w:pPr>
              <w:pStyle w:val="AAAAAAATEXXXX"/>
              <w:ind w:firstLine="0"/>
              <w:rPr>
                <w:sz w:val="18"/>
                <w:szCs w:val="18"/>
                <w:lang w:val="sq-AL"/>
              </w:rPr>
            </w:pPr>
          </w:p>
        </w:tc>
      </w:tr>
    </w:tbl>
    <w:p w14:paraId="5BAFFF74"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21563E5B" w14:textId="77777777" w:rsidTr="00F51BF1">
        <w:tc>
          <w:tcPr>
            <w:tcW w:w="10201" w:type="dxa"/>
            <w:gridSpan w:val="6"/>
            <w:shd w:val="clear" w:color="auto" w:fill="E5DFEC" w:themeFill="accent4" w:themeFillTint="33"/>
          </w:tcPr>
          <w:p w14:paraId="09E7EC05" w14:textId="0D215514"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11:</w:t>
            </w:r>
            <w:r w:rsidR="000B0C45" w:rsidRPr="00050FA4">
              <w:rPr>
                <w:b/>
                <w:sz w:val="18"/>
                <w:szCs w:val="18"/>
                <w:lang w:val="sq-AL"/>
              </w:rPr>
              <w:t xml:space="preserve"> </w:t>
            </w:r>
            <w:r w:rsidR="00461CA0" w:rsidRPr="00050FA4">
              <w:rPr>
                <w:b/>
                <w:sz w:val="18"/>
                <w:szCs w:val="18"/>
                <w:lang w:val="sq-AL"/>
              </w:rPr>
              <w:t xml:space="preserve">Zhvillimi i infrastrukturës </w:t>
            </w:r>
            <w:r w:rsidR="00461CA0" w:rsidRPr="00050FA4">
              <w:rPr>
                <w:b/>
                <w:i/>
                <w:sz w:val="18"/>
                <w:szCs w:val="18"/>
                <w:lang w:val="sq-AL"/>
              </w:rPr>
              <w:t>broadband</w:t>
            </w:r>
            <w:r w:rsidR="00461CA0" w:rsidRPr="00050FA4">
              <w:rPr>
                <w:b/>
                <w:sz w:val="18"/>
                <w:szCs w:val="18"/>
                <w:lang w:val="sq-AL"/>
              </w:rPr>
              <w:t xml:space="preserve"> për ekonominë digjitale</w:t>
            </w:r>
          </w:p>
        </w:tc>
      </w:tr>
      <w:tr w:rsidR="00FA29AB" w:rsidRPr="00050FA4" w14:paraId="49B5494E" w14:textId="77777777" w:rsidTr="00A80B97">
        <w:tc>
          <w:tcPr>
            <w:tcW w:w="817" w:type="dxa"/>
            <w:vAlign w:val="center"/>
          </w:tcPr>
          <w:p w14:paraId="04A2E7ED" w14:textId="7171770E"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78A831C8" w14:textId="3DDB219E"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678AB8D2" w14:textId="0368B822"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4FE1312C" w14:textId="5C44695C"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0D283982" w14:textId="427BE527"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5B32DF81" w14:textId="1DBF19F0"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5A6D93F3" w14:textId="77777777" w:rsidTr="00BC0346">
        <w:tc>
          <w:tcPr>
            <w:tcW w:w="817" w:type="dxa"/>
          </w:tcPr>
          <w:p w14:paraId="4ACA0F53"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tcPr>
          <w:p w14:paraId="44BAC2C3"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4BCE83FD" w14:textId="77777777" w:rsidR="00E06E0F" w:rsidRPr="00050FA4" w:rsidRDefault="00E06E0F" w:rsidP="00A95D23">
            <w:pPr>
              <w:pStyle w:val="AAAAAAATEXXXX"/>
              <w:ind w:firstLine="0"/>
              <w:rPr>
                <w:sz w:val="18"/>
                <w:szCs w:val="18"/>
                <w:lang w:val="sq-AL"/>
              </w:rPr>
            </w:pPr>
            <w:r w:rsidRPr="00050FA4">
              <w:rPr>
                <w:sz w:val="18"/>
                <w:szCs w:val="18"/>
                <w:lang w:val="sq-AL"/>
              </w:rPr>
              <w:t>1113333</w:t>
            </w:r>
          </w:p>
        </w:tc>
        <w:tc>
          <w:tcPr>
            <w:tcW w:w="1877" w:type="dxa"/>
          </w:tcPr>
          <w:p w14:paraId="4CAA4FE2"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3CC77C2D"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4BF3937A" w14:textId="77777777" w:rsidR="00E06E0F" w:rsidRPr="00050FA4" w:rsidRDefault="00E06E0F" w:rsidP="00A95D23">
            <w:pPr>
              <w:pStyle w:val="AAAAAAATEXXXX"/>
              <w:ind w:firstLine="0"/>
              <w:rPr>
                <w:sz w:val="18"/>
                <w:szCs w:val="18"/>
                <w:lang w:val="sq-AL"/>
              </w:rPr>
            </w:pPr>
            <w:r w:rsidRPr="00050FA4">
              <w:rPr>
                <w:sz w:val="18"/>
                <w:szCs w:val="18"/>
                <w:lang w:val="sq-AL"/>
              </w:rPr>
              <w:t>1113333</w:t>
            </w:r>
          </w:p>
        </w:tc>
      </w:tr>
      <w:tr w:rsidR="00FA29AB" w:rsidRPr="00050FA4" w14:paraId="724925E8" w14:textId="77777777" w:rsidTr="00BC0346">
        <w:tc>
          <w:tcPr>
            <w:tcW w:w="817" w:type="dxa"/>
          </w:tcPr>
          <w:p w14:paraId="38D1A8F2"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5E4B1352"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01310E9A" w14:textId="77777777" w:rsidR="00E06E0F" w:rsidRPr="00050FA4" w:rsidRDefault="00E06E0F" w:rsidP="00A95D23">
            <w:pPr>
              <w:pStyle w:val="AAAAAAATEXXXX"/>
              <w:ind w:firstLine="0"/>
              <w:rPr>
                <w:sz w:val="18"/>
                <w:szCs w:val="18"/>
                <w:lang w:val="sq-AL"/>
              </w:rPr>
            </w:pPr>
            <w:r w:rsidRPr="00050FA4">
              <w:rPr>
                <w:sz w:val="18"/>
                <w:szCs w:val="18"/>
                <w:lang w:val="sq-AL"/>
              </w:rPr>
              <w:t>933333</w:t>
            </w:r>
          </w:p>
        </w:tc>
        <w:tc>
          <w:tcPr>
            <w:tcW w:w="1877" w:type="dxa"/>
          </w:tcPr>
          <w:p w14:paraId="5209ED4E"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61E1AE7D" w14:textId="77777777" w:rsidR="00E06E0F" w:rsidRPr="00050FA4" w:rsidRDefault="00E06E0F" w:rsidP="00A95D23">
            <w:pPr>
              <w:pStyle w:val="AAAAAAATEXXXX"/>
              <w:ind w:firstLine="0"/>
              <w:rPr>
                <w:sz w:val="18"/>
                <w:szCs w:val="18"/>
                <w:lang w:val="sq-AL"/>
              </w:rPr>
            </w:pPr>
            <w:r w:rsidRPr="00050FA4">
              <w:rPr>
                <w:sz w:val="18"/>
                <w:szCs w:val="18"/>
                <w:lang w:val="sq-AL"/>
              </w:rPr>
              <w:t>2.500.000</w:t>
            </w:r>
          </w:p>
        </w:tc>
        <w:tc>
          <w:tcPr>
            <w:tcW w:w="1877" w:type="dxa"/>
          </w:tcPr>
          <w:p w14:paraId="29EFDEF5" w14:textId="77777777" w:rsidR="00E06E0F" w:rsidRPr="00050FA4" w:rsidRDefault="00E06E0F" w:rsidP="00A95D23">
            <w:pPr>
              <w:pStyle w:val="AAAAAAATEXXXX"/>
              <w:ind w:firstLine="0"/>
              <w:rPr>
                <w:sz w:val="18"/>
                <w:szCs w:val="18"/>
                <w:lang w:val="sq-AL"/>
              </w:rPr>
            </w:pPr>
            <w:r w:rsidRPr="00050FA4">
              <w:rPr>
                <w:sz w:val="18"/>
                <w:szCs w:val="18"/>
                <w:lang w:val="sq-AL"/>
              </w:rPr>
              <w:t>3433333</w:t>
            </w:r>
          </w:p>
        </w:tc>
      </w:tr>
      <w:tr w:rsidR="00FA29AB" w:rsidRPr="00050FA4" w14:paraId="18A883E0" w14:textId="77777777" w:rsidTr="00BC0346">
        <w:tc>
          <w:tcPr>
            <w:tcW w:w="817" w:type="dxa"/>
          </w:tcPr>
          <w:p w14:paraId="7B402B5D"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67CC992D"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2F1D4012" w14:textId="77777777" w:rsidR="00E06E0F" w:rsidRPr="00050FA4" w:rsidRDefault="00E06E0F" w:rsidP="00A95D23">
            <w:pPr>
              <w:pStyle w:val="AAAAAAATEXXXX"/>
              <w:ind w:firstLine="0"/>
              <w:rPr>
                <w:sz w:val="18"/>
                <w:szCs w:val="18"/>
                <w:lang w:val="sq-AL"/>
              </w:rPr>
            </w:pPr>
            <w:r w:rsidRPr="00050FA4">
              <w:rPr>
                <w:sz w:val="18"/>
                <w:szCs w:val="18"/>
                <w:lang w:val="sq-AL"/>
              </w:rPr>
              <w:t>33333</w:t>
            </w:r>
          </w:p>
        </w:tc>
        <w:tc>
          <w:tcPr>
            <w:tcW w:w="1877" w:type="dxa"/>
          </w:tcPr>
          <w:p w14:paraId="102FBB86" w14:textId="77777777" w:rsidR="00E06E0F" w:rsidRPr="00050FA4" w:rsidRDefault="00E06E0F" w:rsidP="00A95D23">
            <w:pPr>
              <w:pStyle w:val="AAAAAAATEXXXX"/>
              <w:ind w:firstLine="0"/>
              <w:rPr>
                <w:sz w:val="18"/>
                <w:szCs w:val="18"/>
                <w:lang w:val="sq-AL"/>
              </w:rPr>
            </w:pPr>
            <w:r w:rsidRPr="00050FA4">
              <w:rPr>
                <w:sz w:val="18"/>
                <w:szCs w:val="18"/>
                <w:lang w:val="sq-AL"/>
              </w:rPr>
              <w:t>0</w:t>
            </w:r>
          </w:p>
        </w:tc>
        <w:tc>
          <w:tcPr>
            <w:tcW w:w="1877" w:type="dxa"/>
          </w:tcPr>
          <w:p w14:paraId="1239B403" w14:textId="77777777" w:rsidR="00E06E0F" w:rsidRPr="00050FA4" w:rsidRDefault="00E06E0F" w:rsidP="00A95D23">
            <w:pPr>
              <w:pStyle w:val="AAAAAAATEXXXX"/>
              <w:ind w:firstLine="0"/>
              <w:rPr>
                <w:sz w:val="18"/>
                <w:szCs w:val="18"/>
                <w:lang w:val="sq-AL"/>
              </w:rPr>
            </w:pPr>
            <w:r w:rsidRPr="00050FA4">
              <w:rPr>
                <w:sz w:val="18"/>
                <w:szCs w:val="18"/>
                <w:lang w:val="sq-AL"/>
              </w:rPr>
              <w:t>2.500.000</w:t>
            </w:r>
          </w:p>
        </w:tc>
        <w:tc>
          <w:tcPr>
            <w:tcW w:w="1877" w:type="dxa"/>
          </w:tcPr>
          <w:p w14:paraId="4ABB90A2" w14:textId="77777777" w:rsidR="00E06E0F" w:rsidRPr="00050FA4" w:rsidRDefault="00E06E0F" w:rsidP="00A95D23">
            <w:pPr>
              <w:pStyle w:val="AAAAAAATEXXXX"/>
              <w:ind w:firstLine="0"/>
              <w:rPr>
                <w:sz w:val="18"/>
                <w:szCs w:val="18"/>
                <w:lang w:val="sq-AL"/>
              </w:rPr>
            </w:pPr>
            <w:r w:rsidRPr="00050FA4">
              <w:rPr>
                <w:sz w:val="18"/>
                <w:szCs w:val="18"/>
                <w:lang w:val="sq-AL"/>
              </w:rPr>
              <w:t>2533333</w:t>
            </w:r>
          </w:p>
        </w:tc>
      </w:tr>
    </w:tbl>
    <w:p w14:paraId="13D7E6DE"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1271"/>
        <w:gridCol w:w="1786"/>
        <w:gridCol w:w="1786"/>
        <w:gridCol w:w="1786"/>
        <w:gridCol w:w="1786"/>
        <w:gridCol w:w="1786"/>
      </w:tblGrid>
      <w:tr w:rsidR="00FA29AB" w:rsidRPr="00050FA4" w14:paraId="2EA6E4AA" w14:textId="77777777" w:rsidTr="00F51BF1">
        <w:tc>
          <w:tcPr>
            <w:tcW w:w="10201" w:type="dxa"/>
            <w:gridSpan w:val="6"/>
            <w:shd w:val="clear" w:color="auto" w:fill="E5DFEC" w:themeFill="accent4" w:themeFillTint="33"/>
          </w:tcPr>
          <w:p w14:paraId="5CC098DB" w14:textId="11C763E6" w:rsidR="00E06E0F" w:rsidRPr="00050FA4" w:rsidRDefault="00B2062A" w:rsidP="00A95D23">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12:</w:t>
            </w:r>
            <w:r w:rsidR="000B0C45" w:rsidRPr="00050FA4">
              <w:rPr>
                <w:b/>
                <w:sz w:val="18"/>
                <w:szCs w:val="18"/>
                <w:lang w:val="sq-AL"/>
              </w:rPr>
              <w:t xml:space="preserve"> </w:t>
            </w:r>
            <w:r w:rsidR="00461CA0" w:rsidRPr="00050FA4">
              <w:rPr>
                <w:b/>
                <w:bCs/>
                <w:sz w:val="18"/>
                <w:szCs w:val="18"/>
                <w:lang w:val="sq-AL"/>
              </w:rPr>
              <w:t>Thellimi i integrimit ekonomik</w:t>
            </w:r>
          </w:p>
          <w:p w14:paraId="63B4EAF7" w14:textId="5AFB2A37" w:rsidR="00E06E0F" w:rsidRPr="00050FA4" w:rsidRDefault="00E06E0F" w:rsidP="00A95D23">
            <w:pPr>
              <w:pStyle w:val="AAAAAAATEXXXX"/>
              <w:ind w:firstLine="0"/>
              <w:rPr>
                <w:b/>
                <w:sz w:val="18"/>
                <w:szCs w:val="18"/>
                <w:lang w:val="sq-AL"/>
              </w:rPr>
            </w:pPr>
            <w:r w:rsidRPr="00050FA4">
              <w:rPr>
                <w:sz w:val="18"/>
                <w:szCs w:val="18"/>
                <w:lang w:val="sq-AL"/>
              </w:rPr>
              <w:t>Implementation</w:t>
            </w:r>
            <w:r w:rsidR="000B0C45" w:rsidRPr="00050FA4">
              <w:rPr>
                <w:sz w:val="18"/>
                <w:szCs w:val="18"/>
                <w:lang w:val="sq-AL"/>
              </w:rPr>
              <w:t xml:space="preserve"> </w:t>
            </w:r>
            <w:r w:rsidRPr="00050FA4">
              <w:rPr>
                <w:sz w:val="18"/>
                <w:szCs w:val="18"/>
                <w:lang w:val="sq-AL"/>
              </w:rPr>
              <w:t>of</w:t>
            </w:r>
            <w:r w:rsidR="000B0C45" w:rsidRPr="00050FA4">
              <w:rPr>
                <w:sz w:val="18"/>
                <w:szCs w:val="18"/>
                <w:lang w:val="sq-AL"/>
              </w:rPr>
              <w:t xml:space="preserve"> </w:t>
            </w:r>
            <w:r w:rsidRPr="00050FA4">
              <w:rPr>
                <w:sz w:val="18"/>
                <w:szCs w:val="18"/>
                <w:lang w:val="sq-AL"/>
              </w:rPr>
              <w:t>cross-border</w:t>
            </w:r>
            <w:r w:rsidR="000B0C45" w:rsidRPr="00050FA4">
              <w:rPr>
                <w:sz w:val="18"/>
                <w:szCs w:val="18"/>
                <w:lang w:val="sq-AL"/>
              </w:rPr>
              <w:t xml:space="preserve"> </w:t>
            </w:r>
            <w:r w:rsidRPr="00050FA4">
              <w:rPr>
                <w:sz w:val="18"/>
                <w:szCs w:val="18"/>
                <w:lang w:val="sq-AL"/>
              </w:rPr>
              <w:t>project</w:t>
            </w:r>
            <w:r w:rsidR="000B0C45" w:rsidRPr="00050FA4">
              <w:rPr>
                <w:sz w:val="18"/>
                <w:szCs w:val="18"/>
                <w:lang w:val="sq-AL"/>
              </w:rPr>
              <w:t xml:space="preserve"> </w:t>
            </w:r>
            <w:r w:rsidRPr="00050FA4">
              <w:rPr>
                <w:sz w:val="18"/>
                <w:szCs w:val="18"/>
                <w:lang w:val="sq-AL"/>
              </w:rPr>
              <w:t>National</w:t>
            </w:r>
            <w:r w:rsidR="000B0C45" w:rsidRPr="00050FA4">
              <w:rPr>
                <w:sz w:val="18"/>
                <w:szCs w:val="18"/>
                <w:lang w:val="sq-AL"/>
              </w:rPr>
              <w:t xml:space="preserve"> </w:t>
            </w:r>
            <w:r w:rsidRPr="00050FA4">
              <w:rPr>
                <w:sz w:val="18"/>
                <w:szCs w:val="18"/>
                <w:lang w:val="sq-AL"/>
              </w:rPr>
              <w:t>Single</w:t>
            </w:r>
            <w:r w:rsidR="000B0C45" w:rsidRPr="00050FA4">
              <w:rPr>
                <w:sz w:val="18"/>
                <w:szCs w:val="18"/>
                <w:lang w:val="sq-AL"/>
              </w:rPr>
              <w:t xml:space="preserve"> </w:t>
            </w:r>
            <w:r w:rsidRPr="00050FA4">
              <w:rPr>
                <w:sz w:val="18"/>
                <w:szCs w:val="18"/>
                <w:lang w:val="sq-AL"/>
              </w:rPr>
              <w:t>Window</w:t>
            </w:r>
            <w:r w:rsidR="000B0C45" w:rsidRPr="00050FA4">
              <w:rPr>
                <w:sz w:val="18"/>
                <w:szCs w:val="18"/>
                <w:lang w:val="sq-AL"/>
              </w:rPr>
              <w:t xml:space="preserve"> </w:t>
            </w:r>
            <w:r w:rsidRPr="00050FA4">
              <w:rPr>
                <w:sz w:val="18"/>
                <w:szCs w:val="18"/>
                <w:lang w:val="sq-AL"/>
              </w:rPr>
              <w:t>and</w:t>
            </w:r>
            <w:r w:rsidR="000B0C45" w:rsidRPr="00050FA4">
              <w:rPr>
                <w:sz w:val="18"/>
                <w:szCs w:val="18"/>
                <w:lang w:val="sq-AL"/>
              </w:rPr>
              <w:t xml:space="preserve"> </w:t>
            </w:r>
            <w:r w:rsidRPr="00050FA4">
              <w:rPr>
                <w:sz w:val="18"/>
                <w:szCs w:val="18"/>
                <w:lang w:val="sq-AL"/>
              </w:rPr>
              <w:t>NCTS</w:t>
            </w:r>
          </w:p>
        </w:tc>
      </w:tr>
      <w:tr w:rsidR="00FA29AB" w:rsidRPr="00050FA4" w14:paraId="47C88127" w14:textId="77777777" w:rsidTr="00A80B97">
        <w:tc>
          <w:tcPr>
            <w:tcW w:w="1271" w:type="dxa"/>
            <w:vAlign w:val="center"/>
          </w:tcPr>
          <w:p w14:paraId="539F2CEA" w14:textId="4AE86753"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786" w:type="dxa"/>
            <w:vAlign w:val="center"/>
          </w:tcPr>
          <w:p w14:paraId="1C8B0113" w14:textId="5CC8D312"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786" w:type="dxa"/>
            <w:vAlign w:val="center"/>
          </w:tcPr>
          <w:p w14:paraId="1BB4F73E" w14:textId="595FF2FD"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786" w:type="dxa"/>
            <w:vAlign w:val="center"/>
          </w:tcPr>
          <w:p w14:paraId="087DC7FD" w14:textId="219B8052"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786" w:type="dxa"/>
            <w:vAlign w:val="center"/>
          </w:tcPr>
          <w:p w14:paraId="5C6DECCE" w14:textId="3F6A6094"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786" w:type="dxa"/>
            <w:vAlign w:val="center"/>
          </w:tcPr>
          <w:p w14:paraId="00228803" w14:textId="50C59DEF"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5B808DAD" w14:textId="77777777" w:rsidTr="00F51BF1">
        <w:tc>
          <w:tcPr>
            <w:tcW w:w="10201" w:type="dxa"/>
            <w:gridSpan w:val="6"/>
          </w:tcPr>
          <w:p w14:paraId="720F997F" w14:textId="33DBB179" w:rsidR="00E06E0F" w:rsidRPr="00050FA4" w:rsidRDefault="00E06E0F" w:rsidP="00A95D23">
            <w:pPr>
              <w:pStyle w:val="AAAAAAATEXXXX"/>
              <w:ind w:firstLine="0"/>
              <w:rPr>
                <w:sz w:val="18"/>
                <w:szCs w:val="18"/>
                <w:lang w:val="sq-AL"/>
              </w:rPr>
            </w:pPr>
            <w:r w:rsidRPr="00050FA4">
              <w:rPr>
                <w:sz w:val="18"/>
                <w:szCs w:val="18"/>
                <w:lang w:val="sq-AL"/>
              </w:rPr>
              <w:t>Implementation</w:t>
            </w:r>
            <w:r w:rsidR="000B0C45" w:rsidRPr="00050FA4">
              <w:rPr>
                <w:sz w:val="18"/>
                <w:szCs w:val="18"/>
                <w:lang w:val="sq-AL"/>
              </w:rPr>
              <w:t xml:space="preserve"> </w:t>
            </w:r>
            <w:r w:rsidRPr="00050FA4">
              <w:rPr>
                <w:sz w:val="18"/>
                <w:szCs w:val="18"/>
                <w:lang w:val="sq-AL"/>
              </w:rPr>
              <w:t>of</w:t>
            </w:r>
            <w:r w:rsidR="000B0C45" w:rsidRPr="00050FA4">
              <w:rPr>
                <w:sz w:val="18"/>
                <w:szCs w:val="18"/>
                <w:lang w:val="sq-AL"/>
              </w:rPr>
              <w:t xml:space="preserve"> </w:t>
            </w:r>
            <w:r w:rsidRPr="00050FA4">
              <w:rPr>
                <w:sz w:val="18"/>
                <w:szCs w:val="18"/>
                <w:lang w:val="sq-AL"/>
              </w:rPr>
              <w:t>National</w:t>
            </w:r>
            <w:r w:rsidR="000B0C45" w:rsidRPr="00050FA4">
              <w:rPr>
                <w:sz w:val="18"/>
                <w:szCs w:val="18"/>
                <w:lang w:val="sq-AL"/>
              </w:rPr>
              <w:t xml:space="preserve"> </w:t>
            </w:r>
            <w:r w:rsidRPr="00050FA4">
              <w:rPr>
                <w:sz w:val="18"/>
                <w:szCs w:val="18"/>
                <w:lang w:val="sq-AL"/>
              </w:rPr>
              <w:t>Single</w:t>
            </w:r>
            <w:r w:rsidR="000B0C45" w:rsidRPr="00050FA4">
              <w:rPr>
                <w:sz w:val="18"/>
                <w:szCs w:val="18"/>
                <w:lang w:val="sq-AL"/>
              </w:rPr>
              <w:t xml:space="preserve"> </w:t>
            </w:r>
            <w:r w:rsidRPr="00050FA4">
              <w:rPr>
                <w:sz w:val="18"/>
                <w:szCs w:val="18"/>
                <w:lang w:val="sq-AL"/>
              </w:rPr>
              <w:t>Window</w:t>
            </w:r>
            <w:r w:rsidR="000B0C45" w:rsidRPr="00050FA4">
              <w:rPr>
                <w:sz w:val="18"/>
                <w:szCs w:val="18"/>
                <w:lang w:val="sq-AL"/>
              </w:rPr>
              <w:t xml:space="preserve"> </w:t>
            </w:r>
            <w:r w:rsidRPr="00050FA4">
              <w:rPr>
                <w:sz w:val="18"/>
                <w:szCs w:val="18"/>
                <w:lang w:val="sq-AL"/>
              </w:rPr>
              <w:t>and</w:t>
            </w:r>
            <w:r w:rsidR="000B0C45" w:rsidRPr="00050FA4">
              <w:rPr>
                <w:sz w:val="18"/>
                <w:szCs w:val="18"/>
                <w:lang w:val="sq-AL"/>
              </w:rPr>
              <w:t xml:space="preserve"> </w:t>
            </w:r>
            <w:r w:rsidRPr="00050FA4">
              <w:rPr>
                <w:sz w:val="18"/>
                <w:szCs w:val="18"/>
                <w:lang w:val="sq-AL"/>
              </w:rPr>
              <w:t>NCTS</w:t>
            </w:r>
          </w:p>
        </w:tc>
      </w:tr>
      <w:tr w:rsidR="00FA29AB" w:rsidRPr="00050FA4" w14:paraId="08909FDB" w14:textId="77777777" w:rsidTr="00BC0346">
        <w:tc>
          <w:tcPr>
            <w:tcW w:w="1271" w:type="dxa"/>
          </w:tcPr>
          <w:p w14:paraId="6DC81F74" w14:textId="77777777" w:rsidR="00E06E0F" w:rsidRPr="00050FA4" w:rsidRDefault="00E06E0F" w:rsidP="00A95D23">
            <w:pPr>
              <w:pStyle w:val="AAAAAAATEXXXX"/>
              <w:ind w:firstLine="0"/>
              <w:rPr>
                <w:sz w:val="18"/>
                <w:szCs w:val="18"/>
                <w:lang w:val="sq-AL"/>
              </w:rPr>
            </w:pPr>
            <w:r w:rsidRPr="00050FA4">
              <w:rPr>
                <w:sz w:val="18"/>
                <w:szCs w:val="18"/>
                <w:lang w:val="sq-AL"/>
              </w:rPr>
              <w:t>2022-2024</w:t>
            </w:r>
          </w:p>
        </w:tc>
        <w:tc>
          <w:tcPr>
            <w:tcW w:w="8930" w:type="dxa"/>
            <w:gridSpan w:val="5"/>
          </w:tcPr>
          <w:p w14:paraId="316B9DC7" w14:textId="77777777" w:rsidR="00E06E0F" w:rsidRPr="00050FA4" w:rsidRDefault="00E06E0F" w:rsidP="00A95D23">
            <w:pPr>
              <w:pStyle w:val="AAAAAAATEXXXX"/>
              <w:ind w:firstLine="0"/>
              <w:rPr>
                <w:sz w:val="18"/>
                <w:szCs w:val="18"/>
                <w:lang w:val="sq-AL"/>
              </w:rPr>
            </w:pPr>
            <w:r w:rsidRPr="00050FA4">
              <w:rPr>
                <w:sz w:val="18"/>
                <w:szCs w:val="18"/>
                <w:lang w:val="sq-AL"/>
              </w:rPr>
              <w:t>5,593,750</w:t>
            </w:r>
          </w:p>
        </w:tc>
      </w:tr>
    </w:tbl>
    <w:p w14:paraId="2F514FC1"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48E05BAE" w14:textId="77777777" w:rsidTr="00F51BF1">
        <w:tc>
          <w:tcPr>
            <w:tcW w:w="10201" w:type="dxa"/>
            <w:gridSpan w:val="6"/>
            <w:shd w:val="clear" w:color="auto" w:fill="E5DFEC" w:themeFill="accent4" w:themeFillTint="33"/>
          </w:tcPr>
          <w:p w14:paraId="5D6D659F" w14:textId="327D9631" w:rsidR="00E06E0F" w:rsidRPr="00050FA4" w:rsidRDefault="00B2062A" w:rsidP="00A95D23">
            <w:pPr>
              <w:pStyle w:val="AAAAAAATEXXXX"/>
              <w:ind w:firstLine="0"/>
              <w:rPr>
                <w:b/>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13:</w:t>
            </w:r>
            <w:r w:rsidR="000B0C45" w:rsidRPr="00050FA4">
              <w:rPr>
                <w:b/>
                <w:sz w:val="18"/>
                <w:szCs w:val="18"/>
                <w:lang w:val="sq-AL"/>
              </w:rPr>
              <w:t xml:space="preserve"> </w:t>
            </w:r>
            <w:r w:rsidR="00461CA0" w:rsidRPr="00050FA4">
              <w:rPr>
                <w:b/>
                <w:sz w:val="18"/>
                <w:szCs w:val="18"/>
                <w:lang w:val="sq-AL"/>
              </w:rPr>
              <w:t>Liberalizimi i tregut të energjisë</w:t>
            </w:r>
          </w:p>
        </w:tc>
      </w:tr>
      <w:tr w:rsidR="00FA29AB" w:rsidRPr="00050FA4" w14:paraId="1C726E51" w14:textId="77777777" w:rsidTr="00A80B97">
        <w:tc>
          <w:tcPr>
            <w:tcW w:w="817" w:type="dxa"/>
            <w:vAlign w:val="center"/>
          </w:tcPr>
          <w:p w14:paraId="6229F0A9" w14:textId="7306D712" w:rsidR="00E06E0F" w:rsidRPr="00050FA4" w:rsidRDefault="005E44FE" w:rsidP="00A80B97">
            <w:pPr>
              <w:pStyle w:val="AAAAAAATEXXXX"/>
              <w:ind w:firstLine="0"/>
              <w:jc w:val="center"/>
              <w:rPr>
                <w:b/>
                <w:sz w:val="18"/>
                <w:szCs w:val="18"/>
                <w:lang w:val="sq-AL"/>
              </w:rPr>
            </w:pPr>
            <w:r w:rsidRPr="00050FA4">
              <w:rPr>
                <w:b/>
                <w:sz w:val="18"/>
                <w:szCs w:val="18"/>
                <w:lang w:val="sq-AL"/>
              </w:rPr>
              <w:t>Viti</w:t>
            </w:r>
          </w:p>
        </w:tc>
        <w:tc>
          <w:tcPr>
            <w:tcW w:w="1876" w:type="dxa"/>
            <w:vAlign w:val="center"/>
          </w:tcPr>
          <w:p w14:paraId="7E02640C" w14:textId="49769C7A" w:rsidR="00E06E0F" w:rsidRPr="00050FA4" w:rsidRDefault="005E44FE" w:rsidP="00A80B97">
            <w:pPr>
              <w:pStyle w:val="AAAAAAATEXXXX"/>
              <w:ind w:firstLine="0"/>
              <w:jc w:val="center"/>
              <w:rPr>
                <w:b/>
                <w:sz w:val="18"/>
                <w:szCs w:val="18"/>
                <w:lang w:val="sq-AL"/>
              </w:rPr>
            </w:pPr>
            <w:r w:rsidRPr="00050FA4">
              <w:rPr>
                <w:b/>
                <w:sz w:val="18"/>
                <w:szCs w:val="18"/>
                <w:lang w:val="sq-AL"/>
              </w:rPr>
              <w:t>Rrogat</w:t>
            </w:r>
          </w:p>
        </w:tc>
        <w:tc>
          <w:tcPr>
            <w:tcW w:w="1877" w:type="dxa"/>
            <w:vAlign w:val="center"/>
          </w:tcPr>
          <w:p w14:paraId="3CC52CB3" w14:textId="17CD366E" w:rsidR="00E06E0F" w:rsidRPr="00050FA4" w:rsidRDefault="005E44FE" w:rsidP="00A80B97">
            <w:pPr>
              <w:pStyle w:val="AAAAAAATEXXXX"/>
              <w:ind w:firstLine="0"/>
              <w:jc w:val="center"/>
              <w:rPr>
                <w:b/>
                <w:sz w:val="18"/>
                <w:szCs w:val="18"/>
                <w:lang w:val="sq-AL"/>
              </w:rPr>
            </w:pPr>
            <w:r w:rsidRPr="00050FA4">
              <w:rPr>
                <w:b/>
                <w:sz w:val="18"/>
                <w:szCs w:val="18"/>
                <w:lang w:val="sq-AL"/>
              </w:rPr>
              <w:t>Mallra dhe shërbime</w:t>
            </w:r>
          </w:p>
        </w:tc>
        <w:tc>
          <w:tcPr>
            <w:tcW w:w="1877" w:type="dxa"/>
            <w:vAlign w:val="center"/>
          </w:tcPr>
          <w:p w14:paraId="7350B11B" w14:textId="1C7C3778" w:rsidR="00E06E0F" w:rsidRPr="00050FA4" w:rsidRDefault="005E44FE" w:rsidP="00A80B97">
            <w:pPr>
              <w:pStyle w:val="AAAAAAATEXXXX"/>
              <w:ind w:firstLine="0"/>
              <w:jc w:val="center"/>
              <w:rPr>
                <w:b/>
                <w:sz w:val="18"/>
                <w:szCs w:val="18"/>
                <w:lang w:val="sq-AL"/>
              </w:rPr>
            </w:pPr>
            <w:r w:rsidRPr="00050FA4">
              <w:rPr>
                <w:b/>
                <w:sz w:val="18"/>
                <w:szCs w:val="18"/>
                <w:lang w:val="sq-AL"/>
              </w:rPr>
              <w:t xml:space="preserve">Subvencione </w:t>
            </w:r>
            <w:r w:rsidR="00F93704" w:rsidRPr="00050FA4">
              <w:rPr>
                <w:b/>
                <w:sz w:val="18"/>
                <w:szCs w:val="18"/>
                <w:lang w:val="sq-AL"/>
              </w:rPr>
              <w:t>dhe</w:t>
            </w:r>
            <w:r w:rsidRPr="00050FA4">
              <w:rPr>
                <w:b/>
                <w:sz w:val="18"/>
                <w:szCs w:val="18"/>
                <w:lang w:val="sq-AL"/>
              </w:rPr>
              <w:t xml:space="preserve"> transferta</w:t>
            </w:r>
          </w:p>
        </w:tc>
        <w:tc>
          <w:tcPr>
            <w:tcW w:w="1877" w:type="dxa"/>
            <w:vAlign w:val="center"/>
          </w:tcPr>
          <w:p w14:paraId="79A75017" w14:textId="1B89AB4A" w:rsidR="00E06E0F" w:rsidRPr="00050FA4" w:rsidRDefault="005E44FE" w:rsidP="00A80B97">
            <w:pPr>
              <w:pStyle w:val="AAAAAAATEXXXX"/>
              <w:ind w:firstLine="0"/>
              <w:jc w:val="center"/>
              <w:rPr>
                <w:b/>
                <w:sz w:val="18"/>
                <w:szCs w:val="18"/>
                <w:lang w:val="sq-AL"/>
              </w:rPr>
            </w:pPr>
            <w:r w:rsidRPr="00050FA4">
              <w:rPr>
                <w:b/>
                <w:sz w:val="18"/>
                <w:szCs w:val="18"/>
                <w:lang w:val="sq-AL"/>
              </w:rPr>
              <w:t>Shpenzime kapitale</w:t>
            </w:r>
          </w:p>
        </w:tc>
        <w:tc>
          <w:tcPr>
            <w:tcW w:w="1877" w:type="dxa"/>
            <w:vAlign w:val="center"/>
          </w:tcPr>
          <w:p w14:paraId="22B88927" w14:textId="266F45F6" w:rsidR="00E06E0F" w:rsidRPr="00050FA4" w:rsidRDefault="005E44FE" w:rsidP="00A80B97">
            <w:pPr>
              <w:pStyle w:val="AAAAAAATEXXXX"/>
              <w:ind w:firstLine="0"/>
              <w:jc w:val="center"/>
              <w:rPr>
                <w:b/>
                <w:sz w:val="18"/>
                <w:szCs w:val="18"/>
                <w:lang w:val="sq-AL"/>
              </w:rPr>
            </w:pPr>
            <w:r w:rsidRPr="00050FA4">
              <w:rPr>
                <w:b/>
                <w:sz w:val="18"/>
                <w:szCs w:val="18"/>
                <w:lang w:val="sq-AL"/>
              </w:rPr>
              <w:t>Totali</w:t>
            </w:r>
          </w:p>
        </w:tc>
      </w:tr>
      <w:tr w:rsidR="00FA29AB" w:rsidRPr="00050FA4" w14:paraId="5A5196D0" w14:textId="77777777" w:rsidTr="00BC0346">
        <w:tc>
          <w:tcPr>
            <w:tcW w:w="817" w:type="dxa"/>
          </w:tcPr>
          <w:p w14:paraId="6CFEE866" w14:textId="77777777" w:rsidR="00E06E0F" w:rsidRPr="00050FA4" w:rsidRDefault="00E06E0F" w:rsidP="00A95D23">
            <w:pPr>
              <w:pStyle w:val="AAAAAAATEXXXX"/>
              <w:ind w:firstLine="0"/>
              <w:rPr>
                <w:sz w:val="18"/>
                <w:szCs w:val="18"/>
                <w:lang w:val="sq-AL"/>
              </w:rPr>
            </w:pPr>
            <w:r w:rsidRPr="00050FA4">
              <w:rPr>
                <w:sz w:val="18"/>
                <w:szCs w:val="18"/>
                <w:lang w:val="sq-AL"/>
              </w:rPr>
              <w:t>2022</w:t>
            </w:r>
          </w:p>
        </w:tc>
        <w:tc>
          <w:tcPr>
            <w:tcW w:w="1876" w:type="dxa"/>
          </w:tcPr>
          <w:p w14:paraId="0A267C21"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0174C733"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780A8E65"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4805B29A"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1DA19158" w14:textId="77777777" w:rsidR="00E06E0F" w:rsidRPr="00050FA4" w:rsidRDefault="00E06E0F" w:rsidP="00A95D23">
            <w:pPr>
              <w:pStyle w:val="AAAAAAATEXXXX"/>
              <w:ind w:firstLine="0"/>
              <w:rPr>
                <w:sz w:val="18"/>
                <w:szCs w:val="18"/>
                <w:lang w:val="sq-AL"/>
              </w:rPr>
            </w:pPr>
            <w:r w:rsidRPr="00050FA4">
              <w:rPr>
                <w:sz w:val="18"/>
                <w:szCs w:val="18"/>
                <w:lang w:val="sq-AL"/>
              </w:rPr>
              <w:t>N/A</w:t>
            </w:r>
          </w:p>
        </w:tc>
      </w:tr>
      <w:tr w:rsidR="00FA29AB" w:rsidRPr="00050FA4" w14:paraId="55689F38" w14:textId="77777777" w:rsidTr="00BC0346">
        <w:tc>
          <w:tcPr>
            <w:tcW w:w="817" w:type="dxa"/>
          </w:tcPr>
          <w:p w14:paraId="07138C19" w14:textId="77777777" w:rsidR="00E06E0F" w:rsidRPr="00050FA4" w:rsidRDefault="00E06E0F" w:rsidP="00A95D23">
            <w:pPr>
              <w:pStyle w:val="AAAAAAATEXXXX"/>
              <w:ind w:firstLine="0"/>
              <w:rPr>
                <w:sz w:val="18"/>
                <w:szCs w:val="18"/>
                <w:lang w:val="sq-AL"/>
              </w:rPr>
            </w:pPr>
            <w:r w:rsidRPr="00050FA4">
              <w:rPr>
                <w:sz w:val="18"/>
                <w:szCs w:val="18"/>
                <w:lang w:val="sq-AL"/>
              </w:rPr>
              <w:t>2023</w:t>
            </w:r>
          </w:p>
        </w:tc>
        <w:tc>
          <w:tcPr>
            <w:tcW w:w="1876" w:type="dxa"/>
          </w:tcPr>
          <w:p w14:paraId="13F24917"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50EABF10"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58B09C22"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0A629D98"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04449083" w14:textId="77777777" w:rsidR="00E06E0F" w:rsidRPr="00050FA4" w:rsidRDefault="00E06E0F" w:rsidP="00A95D23">
            <w:pPr>
              <w:pStyle w:val="AAAAAAATEXXXX"/>
              <w:ind w:firstLine="0"/>
              <w:rPr>
                <w:sz w:val="18"/>
                <w:szCs w:val="18"/>
                <w:lang w:val="sq-AL"/>
              </w:rPr>
            </w:pPr>
            <w:r w:rsidRPr="00050FA4">
              <w:rPr>
                <w:sz w:val="18"/>
                <w:szCs w:val="18"/>
                <w:lang w:val="sq-AL"/>
              </w:rPr>
              <w:t>N/A</w:t>
            </w:r>
          </w:p>
        </w:tc>
      </w:tr>
      <w:tr w:rsidR="00FA29AB" w:rsidRPr="00050FA4" w14:paraId="092F46CD" w14:textId="77777777" w:rsidTr="00BC0346">
        <w:tc>
          <w:tcPr>
            <w:tcW w:w="817" w:type="dxa"/>
          </w:tcPr>
          <w:p w14:paraId="29B118F0" w14:textId="77777777" w:rsidR="00E06E0F" w:rsidRPr="00050FA4" w:rsidRDefault="00E06E0F" w:rsidP="00A95D23">
            <w:pPr>
              <w:pStyle w:val="AAAAAAATEXXXX"/>
              <w:ind w:firstLine="0"/>
              <w:rPr>
                <w:sz w:val="18"/>
                <w:szCs w:val="18"/>
                <w:lang w:val="sq-AL"/>
              </w:rPr>
            </w:pPr>
            <w:r w:rsidRPr="00050FA4">
              <w:rPr>
                <w:sz w:val="18"/>
                <w:szCs w:val="18"/>
                <w:lang w:val="sq-AL"/>
              </w:rPr>
              <w:t>2024</w:t>
            </w:r>
          </w:p>
        </w:tc>
        <w:tc>
          <w:tcPr>
            <w:tcW w:w="1876" w:type="dxa"/>
          </w:tcPr>
          <w:p w14:paraId="0A1670C1"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19F04D1E"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32CB49CC"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3BDADF0B" w14:textId="77777777" w:rsidR="00E06E0F" w:rsidRPr="00050FA4" w:rsidRDefault="00E06E0F" w:rsidP="00A95D23">
            <w:pPr>
              <w:pStyle w:val="AAAAAAATEXXXX"/>
              <w:ind w:firstLine="0"/>
              <w:rPr>
                <w:sz w:val="18"/>
                <w:szCs w:val="18"/>
                <w:lang w:val="sq-AL"/>
              </w:rPr>
            </w:pPr>
            <w:r w:rsidRPr="00050FA4">
              <w:rPr>
                <w:sz w:val="18"/>
                <w:szCs w:val="18"/>
                <w:lang w:val="sq-AL"/>
              </w:rPr>
              <w:t>N/A</w:t>
            </w:r>
          </w:p>
        </w:tc>
        <w:tc>
          <w:tcPr>
            <w:tcW w:w="1877" w:type="dxa"/>
          </w:tcPr>
          <w:p w14:paraId="56AB6ADB" w14:textId="77777777" w:rsidR="00E06E0F" w:rsidRPr="00050FA4" w:rsidRDefault="00E06E0F" w:rsidP="00A95D23">
            <w:pPr>
              <w:pStyle w:val="AAAAAAATEXXXX"/>
              <w:ind w:firstLine="0"/>
              <w:rPr>
                <w:sz w:val="18"/>
                <w:szCs w:val="18"/>
                <w:lang w:val="sq-AL"/>
              </w:rPr>
            </w:pPr>
            <w:r w:rsidRPr="00050FA4">
              <w:rPr>
                <w:sz w:val="18"/>
                <w:szCs w:val="18"/>
                <w:lang w:val="sq-AL"/>
              </w:rPr>
              <w:t>N/A</w:t>
            </w:r>
          </w:p>
        </w:tc>
      </w:tr>
    </w:tbl>
    <w:p w14:paraId="75BBE7E2"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70B10354" w14:textId="77777777" w:rsidTr="00F51BF1">
        <w:tc>
          <w:tcPr>
            <w:tcW w:w="10201" w:type="dxa"/>
            <w:gridSpan w:val="6"/>
            <w:shd w:val="clear" w:color="auto" w:fill="E5DFEC" w:themeFill="accent4" w:themeFillTint="33"/>
          </w:tcPr>
          <w:p w14:paraId="44BBB8E5" w14:textId="5569338A" w:rsidR="00E06E0F" w:rsidRPr="00050FA4" w:rsidRDefault="00B2062A" w:rsidP="00957675">
            <w:pPr>
              <w:pStyle w:val="AAAAAAATEXXXX"/>
              <w:ind w:firstLine="0"/>
              <w:rPr>
                <w:b/>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14:</w:t>
            </w:r>
            <w:r w:rsidR="000B0C45" w:rsidRPr="00050FA4">
              <w:rPr>
                <w:b/>
                <w:sz w:val="20"/>
                <w:szCs w:val="20"/>
                <w:lang w:val="sq-AL"/>
              </w:rPr>
              <w:t xml:space="preserve"> </w:t>
            </w:r>
            <w:r w:rsidR="00461CA0" w:rsidRPr="00050FA4">
              <w:rPr>
                <w:b/>
                <w:sz w:val="20"/>
                <w:szCs w:val="20"/>
                <w:lang w:val="sq-AL"/>
              </w:rPr>
              <w:t>Diversifikimi i burimeve të energjisë përmes promovimit të burimeve të rip</w:t>
            </w:r>
            <w:r w:rsidR="00957675" w:rsidRPr="00050FA4">
              <w:rPr>
                <w:b/>
                <w:sz w:val="20"/>
                <w:szCs w:val="20"/>
                <w:lang w:val="sq-AL"/>
              </w:rPr>
              <w:t>ë</w:t>
            </w:r>
            <w:r w:rsidR="00461CA0" w:rsidRPr="00050FA4">
              <w:rPr>
                <w:b/>
                <w:sz w:val="20"/>
                <w:szCs w:val="20"/>
                <w:lang w:val="sq-AL"/>
              </w:rPr>
              <w:t>rt</w:t>
            </w:r>
            <w:r w:rsidR="00957675" w:rsidRPr="00050FA4">
              <w:rPr>
                <w:b/>
                <w:sz w:val="20"/>
                <w:szCs w:val="20"/>
                <w:lang w:val="sq-AL"/>
              </w:rPr>
              <w:t>ë</w:t>
            </w:r>
            <w:r w:rsidR="00461CA0" w:rsidRPr="00050FA4">
              <w:rPr>
                <w:b/>
                <w:sz w:val="20"/>
                <w:szCs w:val="20"/>
                <w:lang w:val="sq-AL"/>
              </w:rPr>
              <w:t>ritshme të energjisë dhe përmirësimit të efic</w:t>
            </w:r>
            <w:r w:rsidR="00957675" w:rsidRPr="00050FA4">
              <w:rPr>
                <w:b/>
                <w:sz w:val="20"/>
                <w:szCs w:val="20"/>
                <w:lang w:val="sq-AL"/>
              </w:rPr>
              <w:t>i</w:t>
            </w:r>
            <w:r w:rsidR="00461CA0" w:rsidRPr="00050FA4">
              <w:rPr>
                <w:b/>
                <w:sz w:val="20"/>
                <w:szCs w:val="20"/>
                <w:lang w:val="sq-AL"/>
              </w:rPr>
              <w:t>encës energjetike</w:t>
            </w:r>
          </w:p>
        </w:tc>
      </w:tr>
      <w:tr w:rsidR="00FA29AB" w:rsidRPr="00050FA4" w14:paraId="41701EA4" w14:textId="77777777" w:rsidTr="00BC0346">
        <w:tc>
          <w:tcPr>
            <w:tcW w:w="817" w:type="dxa"/>
          </w:tcPr>
          <w:p w14:paraId="51D99B0F" w14:textId="08493BE2" w:rsidR="00E06E0F" w:rsidRPr="00050FA4" w:rsidRDefault="005E44FE" w:rsidP="00A95D23">
            <w:pPr>
              <w:pStyle w:val="AAAAAAATEXXXX"/>
              <w:ind w:firstLine="0"/>
              <w:rPr>
                <w:sz w:val="20"/>
                <w:szCs w:val="20"/>
                <w:lang w:val="sq-AL"/>
              </w:rPr>
            </w:pPr>
            <w:r w:rsidRPr="00050FA4">
              <w:rPr>
                <w:sz w:val="20"/>
                <w:szCs w:val="20"/>
                <w:lang w:val="sq-AL"/>
              </w:rPr>
              <w:t>Viti</w:t>
            </w:r>
          </w:p>
        </w:tc>
        <w:tc>
          <w:tcPr>
            <w:tcW w:w="1876" w:type="dxa"/>
          </w:tcPr>
          <w:p w14:paraId="241E7DDF" w14:textId="3A782D03" w:rsidR="00E06E0F" w:rsidRPr="00050FA4" w:rsidRDefault="005E44FE" w:rsidP="00A95D23">
            <w:pPr>
              <w:pStyle w:val="AAAAAAATEXXXX"/>
              <w:ind w:firstLine="0"/>
              <w:rPr>
                <w:sz w:val="20"/>
                <w:szCs w:val="20"/>
                <w:lang w:val="sq-AL"/>
              </w:rPr>
            </w:pPr>
            <w:r w:rsidRPr="00050FA4">
              <w:rPr>
                <w:sz w:val="20"/>
                <w:szCs w:val="20"/>
                <w:lang w:val="sq-AL"/>
              </w:rPr>
              <w:t>Rrogat</w:t>
            </w:r>
          </w:p>
        </w:tc>
        <w:tc>
          <w:tcPr>
            <w:tcW w:w="1877" w:type="dxa"/>
          </w:tcPr>
          <w:p w14:paraId="40CF8B4F" w14:textId="46F6991B" w:rsidR="00E06E0F" w:rsidRPr="00050FA4" w:rsidRDefault="005E44FE" w:rsidP="00A95D23">
            <w:pPr>
              <w:pStyle w:val="AAAAAAATEXXXX"/>
              <w:ind w:firstLine="0"/>
              <w:rPr>
                <w:sz w:val="20"/>
                <w:szCs w:val="20"/>
                <w:lang w:val="sq-AL"/>
              </w:rPr>
            </w:pPr>
            <w:r w:rsidRPr="00050FA4">
              <w:rPr>
                <w:sz w:val="20"/>
                <w:szCs w:val="20"/>
                <w:lang w:val="sq-AL"/>
              </w:rPr>
              <w:t>Mallra dhe shërbime</w:t>
            </w:r>
          </w:p>
        </w:tc>
        <w:tc>
          <w:tcPr>
            <w:tcW w:w="1877" w:type="dxa"/>
          </w:tcPr>
          <w:p w14:paraId="7520317C" w14:textId="59106448" w:rsidR="00E06E0F" w:rsidRPr="00050FA4" w:rsidRDefault="005E44FE" w:rsidP="00A95D23">
            <w:pPr>
              <w:pStyle w:val="AAAAAAATEXXXX"/>
              <w:ind w:firstLine="0"/>
              <w:rPr>
                <w:sz w:val="20"/>
                <w:szCs w:val="20"/>
                <w:lang w:val="sq-AL"/>
              </w:rPr>
            </w:pPr>
            <w:r w:rsidRPr="00050FA4">
              <w:rPr>
                <w:sz w:val="20"/>
                <w:szCs w:val="20"/>
                <w:lang w:val="sq-AL"/>
              </w:rPr>
              <w:t xml:space="preserve">Subvencione </w:t>
            </w:r>
            <w:r w:rsidR="00F93704" w:rsidRPr="00050FA4">
              <w:rPr>
                <w:b/>
                <w:sz w:val="18"/>
                <w:szCs w:val="18"/>
                <w:lang w:val="sq-AL"/>
              </w:rPr>
              <w:t>dhe</w:t>
            </w:r>
            <w:r w:rsidRPr="00050FA4">
              <w:rPr>
                <w:sz w:val="20"/>
                <w:szCs w:val="20"/>
                <w:lang w:val="sq-AL"/>
              </w:rPr>
              <w:t xml:space="preserve"> transferta</w:t>
            </w:r>
          </w:p>
        </w:tc>
        <w:tc>
          <w:tcPr>
            <w:tcW w:w="1877" w:type="dxa"/>
          </w:tcPr>
          <w:p w14:paraId="6F174F71" w14:textId="513C89AA" w:rsidR="00E06E0F" w:rsidRPr="00050FA4" w:rsidRDefault="005E44FE" w:rsidP="00A95D23">
            <w:pPr>
              <w:pStyle w:val="AAAAAAATEXXXX"/>
              <w:ind w:firstLine="0"/>
              <w:rPr>
                <w:sz w:val="20"/>
                <w:szCs w:val="20"/>
                <w:lang w:val="sq-AL"/>
              </w:rPr>
            </w:pPr>
            <w:r w:rsidRPr="00050FA4">
              <w:rPr>
                <w:sz w:val="20"/>
                <w:szCs w:val="20"/>
                <w:lang w:val="sq-AL"/>
              </w:rPr>
              <w:t>Shpenzime kapitale</w:t>
            </w:r>
          </w:p>
        </w:tc>
        <w:tc>
          <w:tcPr>
            <w:tcW w:w="1877" w:type="dxa"/>
          </w:tcPr>
          <w:p w14:paraId="6C4F8361" w14:textId="27103F4E" w:rsidR="00E06E0F" w:rsidRPr="00050FA4" w:rsidRDefault="005E44FE" w:rsidP="00A95D23">
            <w:pPr>
              <w:pStyle w:val="AAAAAAATEXXXX"/>
              <w:ind w:firstLine="0"/>
              <w:rPr>
                <w:sz w:val="20"/>
                <w:szCs w:val="20"/>
                <w:lang w:val="sq-AL"/>
              </w:rPr>
            </w:pPr>
            <w:r w:rsidRPr="00050FA4">
              <w:rPr>
                <w:sz w:val="20"/>
                <w:szCs w:val="20"/>
                <w:lang w:val="sq-AL"/>
              </w:rPr>
              <w:t>Totali</w:t>
            </w:r>
          </w:p>
        </w:tc>
      </w:tr>
      <w:tr w:rsidR="00FA29AB" w:rsidRPr="00050FA4" w14:paraId="15451F8D" w14:textId="77777777" w:rsidTr="00BC0346">
        <w:tc>
          <w:tcPr>
            <w:tcW w:w="817" w:type="dxa"/>
          </w:tcPr>
          <w:p w14:paraId="055463E8" w14:textId="77777777" w:rsidR="00E06E0F" w:rsidRPr="00050FA4" w:rsidRDefault="00E06E0F" w:rsidP="00A95D23">
            <w:pPr>
              <w:pStyle w:val="AAAAAAATEXXXX"/>
              <w:ind w:firstLine="0"/>
              <w:rPr>
                <w:sz w:val="20"/>
                <w:szCs w:val="20"/>
                <w:lang w:val="sq-AL"/>
              </w:rPr>
            </w:pPr>
            <w:r w:rsidRPr="00050FA4">
              <w:rPr>
                <w:sz w:val="20"/>
                <w:szCs w:val="20"/>
                <w:lang w:val="sq-AL"/>
              </w:rPr>
              <w:t>2022</w:t>
            </w:r>
          </w:p>
        </w:tc>
        <w:tc>
          <w:tcPr>
            <w:tcW w:w="1876" w:type="dxa"/>
          </w:tcPr>
          <w:p w14:paraId="11896518"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5EF80AD4"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6CC4614C"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44D58B3B"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4F4B428E" w14:textId="77777777" w:rsidR="00E06E0F" w:rsidRPr="00050FA4" w:rsidRDefault="00E06E0F" w:rsidP="00A95D23">
            <w:pPr>
              <w:pStyle w:val="AAAAAAATEXXXX"/>
              <w:ind w:firstLine="0"/>
              <w:rPr>
                <w:sz w:val="20"/>
                <w:szCs w:val="20"/>
                <w:lang w:val="sq-AL"/>
              </w:rPr>
            </w:pPr>
            <w:r w:rsidRPr="00050FA4">
              <w:rPr>
                <w:sz w:val="20"/>
                <w:szCs w:val="20"/>
                <w:lang w:val="sq-AL"/>
              </w:rPr>
              <w:t>N/A</w:t>
            </w:r>
          </w:p>
        </w:tc>
      </w:tr>
      <w:tr w:rsidR="00FA29AB" w:rsidRPr="00050FA4" w14:paraId="37F0371E" w14:textId="77777777" w:rsidTr="00BC0346">
        <w:tc>
          <w:tcPr>
            <w:tcW w:w="817" w:type="dxa"/>
          </w:tcPr>
          <w:p w14:paraId="17D80F29" w14:textId="77777777" w:rsidR="00E06E0F" w:rsidRPr="00050FA4" w:rsidRDefault="00E06E0F" w:rsidP="00A95D23">
            <w:pPr>
              <w:pStyle w:val="AAAAAAATEXXXX"/>
              <w:ind w:firstLine="0"/>
              <w:rPr>
                <w:sz w:val="20"/>
                <w:szCs w:val="20"/>
                <w:lang w:val="sq-AL"/>
              </w:rPr>
            </w:pPr>
            <w:r w:rsidRPr="00050FA4">
              <w:rPr>
                <w:sz w:val="20"/>
                <w:szCs w:val="20"/>
                <w:lang w:val="sq-AL"/>
              </w:rPr>
              <w:t>2023</w:t>
            </w:r>
          </w:p>
        </w:tc>
        <w:tc>
          <w:tcPr>
            <w:tcW w:w="1876" w:type="dxa"/>
          </w:tcPr>
          <w:p w14:paraId="56CA4E71"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2A3027E2"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1476D2FC"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2D88C4C5"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72F18E62" w14:textId="77777777" w:rsidR="00E06E0F" w:rsidRPr="00050FA4" w:rsidRDefault="00E06E0F" w:rsidP="00A95D23">
            <w:pPr>
              <w:pStyle w:val="AAAAAAATEXXXX"/>
              <w:ind w:firstLine="0"/>
              <w:rPr>
                <w:sz w:val="20"/>
                <w:szCs w:val="20"/>
                <w:lang w:val="sq-AL"/>
              </w:rPr>
            </w:pPr>
            <w:r w:rsidRPr="00050FA4">
              <w:rPr>
                <w:sz w:val="20"/>
                <w:szCs w:val="20"/>
                <w:lang w:val="sq-AL"/>
              </w:rPr>
              <w:t>N/A</w:t>
            </w:r>
          </w:p>
        </w:tc>
      </w:tr>
      <w:tr w:rsidR="00FA29AB" w:rsidRPr="00050FA4" w14:paraId="7E44D4AD" w14:textId="77777777" w:rsidTr="00BC0346">
        <w:tc>
          <w:tcPr>
            <w:tcW w:w="817" w:type="dxa"/>
          </w:tcPr>
          <w:p w14:paraId="157F5AEF" w14:textId="77777777" w:rsidR="00E06E0F" w:rsidRPr="00050FA4" w:rsidRDefault="00E06E0F" w:rsidP="00A95D23">
            <w:pPr>
              <w:pStyle w:val="AAAAAAATEXXXX"/>
              <w:ind w:firstLine="0"/>
              <w:rPr>
                <w:sz w:val="20"/>
                <w:szCs w:val="20"/>
                <w:lang w:val="sq-AL"/>
              </w:rPr>
            </w:pPr>
            <w:r w:rsidRPr="00050FA4">
              <w:rPr>
                <w:sz w:val="20"/>
                <w:szCs w:val="20"/>
                <w:lang w:val="sq-AL"/>
              </w:rPr>
              <w:t>2024</w:t>
            </w:r>
          </w:p>
        </w:tc>
        <w:tc>
          <w:tcPr>
            <w:tcW w:w="1876" w:type="dxa"/>
          </w:tcPr>
          <w:p w14:paraId="51D03EEA"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3D0A8AC6"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587A99C2"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72697A6B" w14:textId="77777777" w:rsidR="00E06E0F" w:rsidRPr="00050FA4" w:rsidRDefault="00E06E0F" w:rsidP="00A95D23">
            <w:pPr>
              <w:pStyle w:val="AAAAAAATEXXXX"/>
              <w:ind w:firstLine="0"/>
              <w:rPr>
                <w:sz w:val="20"/>
                <w:szCs w:val="20"/>
                <w:lang w:val="sq-AL"/>
              </w:rPr>
            </w:pPr>
            <w:r w:rsidRPr="00050FA4">
              <w:rPr>
                <w:sz w:val="20"/>
                <w:szCs w:val="20"/>
                <w:lang w:val="sq-AL"/>
              </w:rPr>
              <w:t>N/A</w:t>
            </w:r>
          </w:p>
        </w:tc>
        <w:tc>
          <w:tcPr>
            <w:tcW w:w="1877" w:type="dxa"/>
          </w:tcPr>
          <w:p w14:paraId="538A5DFF" w14:textId="77777777" w:rsidR="00E06E0F" w:rsidRPr="00050FA4" w:rsidRDefault="00E06E0F" w:rsidP="00A95D23">
            <w:pPr>
              <w:pStyle w:val="AAAAAAATEXXXX"/>
              <w:ind w:firstLine="0"/>
              <w:rPr>
                <w:sz w:val="20"/>
                <w:szCs w:val="20"/>
                <w:lang w:val="sq-AL"/>
              </w:rPr>
            </w:pPr>
            <w:r w:rsidRPr="00050FA4">
              <w:rPr>
                <w:sz w:val="20"/>
                <w:szCs w:val="20"/>
                <w:lang w:val="sq-AL"/>
              </w:rPr>
              <w:t>N/A</w:t>
            </w:r>
          </w:p>
        </w:tc>
      </w:tr>
    </w:tbl>
    <w:p w14:paraId="319FF745" w14:textId="77777777" w:rsidR="00E06E0F" w:rsidRPr="00050FA4" w:rsidRDefault="00E06E0F" w:rsidP="003F1DA7">
      <w:pPr>
        <w:pStyle w:val="AAAAAAATEXXXX"/>
        <w:rPr>
          <w:bCs/>
          <w:sz w:val="20"/>
          <w:szCs w:val="20"/>
          <w:lang w:val="sq-AL"/>
        </w:rPr>
      </w:pPr>
    </w:p>
    <w:tbl>
      <w:tblPr>
        <w:tblStyle w:val="TableGrid"/>
        <w:tblW w:w="0" w:type="auto"/>
        <w:tblLook w:val="04A0" w:firstRow="1" w:lastRow="0" w:firstColumn="1" w:lastColumn="0" w:noHBand="0" w:noVBand="1"/>
      </w:tblPr>
      <w:tblGrid>
        <w:gridCol w:w="814"/>
        <w:gridCol w:w="1858"/>
        <w:gridCol w:w="1860"/>
        <w:gridCol w:w="1865"/>
        <w:gridCol w:w="1863"/>
        <w:gridCol w:w="1856"/>
      </w:tblGrid>
      <w:tr w:rsidR="00FA29AB" w:rsidRPr="00050FA4" w14:paraId="3BEC7DBF" w14:textId="77777777" w:rsidTr="00F51BF1">
        <w:tc>
          <w:tcPr>
            <w:tcW w:w="10201" w:type="dxa"/>
            <w:gridSpan w:val="6"/>
            <w:shd w:val="clear" w:color="auto" w:fill="E5DFEC" w:themeFill="accent4" w:themeFillTint="33"/>
          </w:tcPr>
          <w:p w14:paraId="60DDE6CF" w14:textId="1F538A6A" w:rsidR="00E06E0F" w:rsidRPr="00050FA4" w:rsidRDefault="00B2062A" w:rsidP="00A95D23">
            <w:pPr>
              <w:pStyle w:val="AAAAAAATEXXXX"/>
              <w:ind w:firstLine="0"/>
              <w:rPr>
                <w:b/>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15:</w:t>
            </w:r>
            <w:r w:rsidR="000B0C45" w:rsidRPr="00050FA4">
              <w:rPr>
                <w:b/>
                <w:sz w:val="20"/>
                <w:szCs w:val="20"/>
                <w:lang w:val="sq-AL"/>
              </w:rPr>
              <w:t xml:space="preserve"> </w:t>
            </w:r>
            <w:r w:rsidR="00461CA0" w:rsidRPr="00050FA4">
              <w:rPr>
                <w:b/>
                <w:sz w:val="20"/>
                <w:szCs w:val="20"/>
                <w:lang w:val="sq-AL"/>
              </w:rPr>
              <w:t>Rehabilitimi dhe ndërtimi i segmentit hekurudhor Durrës-TIA-Tiranë</w:t>
            </w:r>
          </w:p>
        </w:tc>
      </w:tr>
      <w:tr w:rsidR="00FA29AB" w:rsidRPr="00050FA4" w14:paraId="182FAADD" w14:textId="77777777" w:rsidTr="00BC0346">
        <w:tc>
          <w:tcPr>
            <w:tcW w:w="817" w:type="dxa"/>
            <w:shd w:val="clear" w:color="auto" w:fill="auto"/>
          </w:tcPr>
          <w:p w14:paraId="7AA0ED76" w14:textId="7C121A64" w:rsidR="00E06E0F" w:rsidRPr="00050FA4" w:rsidRDefault="005E44FE" w:rsidP="00A95D23">
            <w:pPr>
              <w:pStyle w:val="AAAAAAATEXXXX"/>
              <w:ind w:firstLine="0"/>
              <w:rPr>
                <w:sz w:val="20"/>
                <w:szCs w:val="20"/>
                <w:lang w:val="sq-AL"/>
              </w:rPr>
            </w:pPr>
            <w:r w:rsidRPr="00050FA4">
              <w:rPr>
                <w:sz w:val="20"/>
                <w:szCs w:val="20"/>
                <w:lang w:val="sq-AL"/>
              </w:rPr>
              <w:t>Viti</w:t>
            </w:r>
          </w:p>
        </w:tc>
        <w:tc>
          <w:tcPr>
            <w:tcW w:w="1876" w:type="dxa"/>
            <w:shd w:val="clear" w:color="auto" w:fill="auto"/>
          </w:tcPr>
          <w:p w14:paraId="0AC2C959" w14:textId="1B99BBE1" w:rsidR="00E06E0F" w:rsidRPr="00050FA4" w:rsidRDefault="005E44FE" w:rsidP="00A95D23">
            <w:pPr>
              <w:pStyle w:val="AAAAAAATEXXXX"/>
              <w:ind w:firstLine="0"/>
              <w:rPr>
                <w:sz w:val="20"/>
                <w:szCs w:val="20"/>
                <w:lang w:val="sq-AL"/>
              </w:rPr>
            </w:pPr>
            <w:r w:rsidRPr="00050FA4">
              <w:rPr>
                <w:sz w:val="20"/>
                <w:szCs w:val="20"/>
                <w:lang w:val="sq-AL"/>
              </w:rPr>
              <w:t>Rrogat</w:t>
            </w:r>
            <w:r w:rsidR="00E06E0F" w:rsidRPr="00050FA4">
              <w:rPr>
                <w:rStyle w:val="FootnoteReference"/>
                <w:rFonts w:cstheme="majorBidi"/>
                <w:color w:val="0D0D0D" w:themeColor="text1" w:themeTint="F2"/>
                <w:sz w:val="20"/>
                <w:szCs w:val="20"/>
                <w:lang w:val="sq-AL"/>
              </w:rPr>
              <w:footnoteReference w:id="39"/>
            </w:r>
          </w:p>
        </w:tc>
        <w:tc>
          <w:tcPr>
            <w:tcW w:w="1877" w:type="dxa"/>
            <w:shd w:val="clear" w:color="auto" w:fill="auto"/>
          </w:tcPr>
          <w:p w14:paraId="6DB30A03" w14:textId="60E557F3" w:rsidR="00E06E0F" w:rsidRPr="00050FA4" w:rsidRDefault="005E44FE" w:rsidP="00A95D23">
            <w:pPr>
              <w:pStyle w:val="AAAAAAATEXXXX"/>
              <w:ind w:firstLine="0"/>
              <w:rPr>
                <w:sz w:val="20"/>
                <w:szCs w:val="20"/>
                <w:lang w:val="sq-AL"/>
              </w:rPr>
            </w:pPr>
            <w:r w:rsidRPr="00050FA4">
              <w:rPr>
                <w:sz w:val="20"/>
                <w:szCs w:val="20"/>
                <w:lang w:val="sq-AL"/>
              </w:rPr>
              <w:t>Mallra dhe shërbime</w:t>
            </w:r>
          </w:p>
        </w:tc>
        <w:tc>
          <w:tcPr>
            <w:tcW w:w="1877" w:type="dxa"/>
            <w:shd w:val="clear" w:color="auto" w:fill="auto"/>
          </w:tcPr>
          <w:p w14:paraId="0893F527" w14:textId="7A87AA50" w:rsidR="00E06E0F" w:rsidRPr="00050FA4" w:rsidRDefault="005E44FE" w:rsidP="00A95D23">
            <w:pPr>
              <w:pStyle w:val="AAAAAAATEXXXX"/>
              <w:ind w:firstLine="0"/>
              <w:rPr>
                <w:sz w:val="20"/>
                <w:szCs w:val="20"/>
                <w:lang w:val="sq-AL"/>
              </w:rPr>
            </w:pPr>
            <w:r w:rsidRPr="00050FA4">
              <w:rPr>
                <w:sz w:val="20"/>
                <w:szCs w:val="20"/>
                <w:lang w:val="sq-AL"/>
              </w:rPr>
              <w:t xml:space="preserve">Subvencione </w:t>
            </w:r>
            <w:r w:rsidR="00F93704" w:rsidRPr="00050FA4">
              <w:rPr>
                <w:b/>
                <w:sz w:val="18"/>
                <w:szCs w:val="18"/>
                <w:lang w:val="sq-AL"/>
              </w:rPr>
              <w:t>dhe</w:t>
            </w:r>
            <w:r w:rsidRPr="00050FA4">
              <w:rPr>
                <w:sz w:val="20"/>
                <w:szCs w:val="20"/>
                <w:lang w:val="sq-AL"/>
              </w:rPr>
              <w:t xml:space="preserve"> transferta</w:t>
            </w:r>
          </w:p>
        </w:tc>
        <w:tc>
          <w:tcPr>
            <w:tcW w:w="1877" w:type="dxa"/>
            <w:shd w:val="clear" w:color="auto" w:fill="auto"/>
          </w:tcPr>
          <w:p w14:paraId="2F30878D" w14:textId="58B27B64" w:rsidR="00E06E0F" w:rsidRPr="00050FA4" w:rsidRDefault="005E44FE" w:rsidP="00A95D23">
            <w:pPr>
              <w:pStyle w:val="AAAAAAATEXXXX"/>
              <w:ind w:firstLine="0"/>
              <w:rPr>
                <w:sz w:val="20"/>
                <w:szCs w:val="20"/>
                <w:lang w:val="sq-AL"/>
              </w:rPr>
            </w:pPr>
            <w:r w:rsidRPr="00050FA4">
              <w:rPr>
                <w:sz w:val="20"/>
                <w:szCs w:val="20"/>
                <w:lang w:val="sq-AL"/>
              </w:rPr>
              <w:t>Shpenzime kapitale</w:t>
            </w:r>
          </w:p>
        </w:tc>
        <w:tc>
          <w:tcPr>
            <w:tcW w:w="1877" w:type="dxa"/>
            <w:shd w:val="clear" w:color="auto" w:fill="auto"/>
          </w:tcPr>
          <w:p w14:paraId="73CCF068" w14:textId="3FD5AA84" w:rsidR="00E06E0F" w:rsidRPr="00050FA4" w:rsidRDefault="005E44FE" w:rsidP="00A95D23">
            <w:pPr>
              <w:pStyle w:val="AAAAAAATEXXXX"/>
              <w:ind w:firstLine="0"/>
              <w:rPr>
                <w:sz w:val="20"/>
                <w:szCs w:val="20"/>
                <w:lang w:val="sq-AL"/>
              </w:rPr>
            </w:pPr>
            <w:r w:rsidRPr="00050FA4">
              <w:rPr>
                <w:sz w:val="20"/>
                <w:szCs w:val="20"/>
                <w:lang w:val="sq-AL"/>
              </w:rPr>
              <w:t>Totali</w:t>
            </w:r>
          </w:p>
        </w:tc>
      </w:tr>
      <w:tr w:rsidR="00FA29AB" w:rsidRPr="00050FA4" w14:paraId="44DE6912" w14:textId="77777777" w:rsidTr="00BC0346">
        <w:tc>
          <w:tcPr>
            <w:tcW w:w="817" w:type="dxa"/>
            <w:shd w:val="clear" w:color="auto" w:fill="auto"/>
          </w:tcPr>
          <w:p w14:paraId="77BA951B" w14:textId="77777777" w:rsidR="00E06E0F" w:rsidRPr="00050FA4" w:rsidRDefault="00E06E0F" w:rsidP="00A95D23">
            <w:pPr>
              <w:pStyle w:val="AAAAAAATEXXXX"/>
              <w:ind w:firstLine="0"/>
              <w:rPr>
                <w:sz w:val="20"/>
                <w:szCs w:val="20"/>
                <w:lang w:val="sq-AL"/>
              </w:rPr>
            </w:pPr>
            <w:r w:rsidRPr="00050FA4">
              <w:rPr>
                <w:sz w:val="20"/>
                <w:szCs w:val="20"/>
                <w:lang w:val="sq-AL"/>
              </w:rPr>
              <w:t>2022</w:t>
            </w:r>
          </w:p>
        </w:tc>
        <w:tc>
          <w:tcPr>
            <w:tcW w:w="1876" w:type="dxa"/>
            <w:shd w:val="clear" w:color="auto" w:fill="auto"/>
          </w:tcPr>
          <w:p w14:paraId="4BF72F2F" w14:textId="522E9625" w:rsidR="00E06E0F" w:rsidRPr="00050FA4" w:rsidRDefault="007E2A6A"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64D9FA02" w14:textId="77777777" w:rsidR="00E06E0F" w:rsidRPr="00050FA4" w:rsidRDefault="00E06E0F" w:rsidP="00A95D23">
            <w:pPr>
              <w:pStyle w:val="AAAAAAATEXXXX"/>
              <w:ind w:firstLine="0"/>
              <w:rPr>
                <w:sz w:val="20"/>
                <w:szCs w:val="20"/>
                <w:lang w:val="sq-AL"/>
              </w:rPr>
            </w:pPr>
            <w:r w:rsidRPr="00050FA4">
              <w:rPr>
                <w:sz w:val="20"/>
                <w:szCs w:val="20"/>
                <w:lang w:val="sq-AL"/>
              </w:rPr>
              <w:t>69.8</w:t>
            </w:r>
          </w:p>
        </w:tc>
        <w:tc>
          <w:tcPr>
            <w:tcW w:w="1877" w:type="dxa"/>
            <w:shd w:val="clear" w:color="auto" w:fill="auto"/>
          </w:tcPr>
          <w:p w14:paraId="19591A10" w14:textId="77777777" w:rsidR="00E06E0F" w:rsidRPr="00050FA4" w:rsidRDefault="00E06E0F" w:rsidP="00A95D23">
            <w:pPr>
              <w:pStyle w:val="AAAAAAATEXXXX"/>
              <w:ind w:firstLine="0"/>
              <w:rPr>
                <w:sz w:val="20"/>
                <w:szCs w:val="20"/>
                <w:lang w:val="sq-AL"/>
              </w:rPr>
            </w:pPr>
            <w:r w:rsidRPr="00050FA4">
              <w:rPr>
                <w:sz w:val="20"/>
                <w:szCs w:val="20"/>
                <w:lang w:val="sq-AL"/>
              </w:rPr>
              <w:t>3.72</w:t>
            </w:r>
          </w:p>
        </w:tc>
        <w:tc>
          <w:tcPr>
            <w:tcW w:w="1877" w:type="dxa"/>
            <w:shd w:val="clear" w:color="auto" w:fill="auto"/>
          </w:tcPr>
          <w:p w14:paraId="0A498A8B" w14:textId="77777777" w:rsidR="00E06E0F" w:rsidRPr="00050FA4" w:rsidRDefault="00E06E0F" w:rsidP="00A95D23">
            <w:pPr>
              <w:pStyle w:val="AAAAAAATEXXXX"/>
              <w:ind w:firstLine="0"/>
              <w:rPr>
                <w:sz w:val="20"/>
                <w:szCs w:val="20"/>
                <w:lang w:val="sq-AL"/>
              </w:rPr>
            </w:pPr>
            <w:r w:rsidRPr="00050FA4">
              <w:rPr>
                <w:sz w:val="20"/>
                <w:szCs w:val="20"/>
                <w:lang w:val="sq-AL"/>
              </w:rPr>
              <w:t>6.06</w:t>
            </w:r>
          </w:p>
        </w:tc>
        <w:tc>
          <w:tcPr>
            <w:tcW w:w="1877" w:type="dxa"/>
            <w:shd w:val="clear" w:color="auto" w:fill="auto"/>
          </w:tcPr>
          <w:p w14:paraId="4254A8D9" w14:textId="77777777" w:rsidR="00E06E0F" w:rsidRPr="00050FA4" w:rsidRDefault="00E06E0F" w:rsidP="00A95D23">
            <w:pPr>
              <w:pStyle w:val="AAAAAAATEXXXX"/>
              <w:ind w:firstLine="0"/>
              <w:rPr>
                <w:sz w:val="20"/>
                <w:szCs w:val="20"/>
                <w:lang w:val="sq-AL"/>
              </w:rPr>
            </w:pPr>
            <w:r w:rsidRPr="00050FA4">
              <w:rPr>
                <w:sz w:val="20"/>
                <w:szCs w:val="20"/>
                <w:lang w:val="sq-AL"/>
              </w:rPr>
              <w:t>79.58</w:t>
            </w:r>
          </w:p>
        </w:tc>
      </w:tr>
      <w:tr w:rsidR="00FA29AB" w:rsidRPr="00050FA4" w14:paraId="65D90ADE" w14:textId="77777777" w:rsidTr="00BC0346">
        <w:tc>
          <w:tcPr>
            <w:tcW w:w="817" w:type="dxa"/>
            <w:shd w:val="clear" w:color="auto" w:fill="auto"/>
          </w:tcPr>
          <w:p w14:paraId="2371A205" w14:textId="77777777" w:rsidR="00E06E0F" w:rsidRPr="00050FA4" w:rsidRDefault="00E06E0F" w:rsidP="00A95D23">
            <w:pPr>
              <w:pStyle w:val="AAAAAAATEXXXX"/>
              <w:ind w:firstLine="0"/>
              <w:rPr>
                <w:sz w:val="20"/>
                <w:szCs w:val="20"/>
                <w:lang w:val="sq-AL"/>
              </w:rPr>
            </w:pPr>
            <w:r w:rsidRPr="00050FA4">
              <w:rPr>
                <w:sz w:val="20"/>
                <w:szCs w:val="20"/>
                <w:lang w:val="sq-AL"/>
              </w:rPr>
              <w:t>2023</w:t>
            </w:r>
          </w:p>
        </w:tc>
        <w:tc>
          <w:tcPr>
            <w:tcW w:w="1876" w:type="dxa"/>
            <w:shd w:val="clear" w:color="auto" w:fill="auto"/>
          </w:tcPr>
          <w:p w14:paraId="5961626C" w14:textId="6042E7ED" w:rsidR="00E06E0F" w:rsidRPr="00050FA4" w:rsidRDefault="007E2A6A"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0809A374" w14:textId="77777777" w:rsidR="00E06E0F" w:rsidRPr="00050FA4" w:rsidRDefault="00E06E0F"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74D040ED" w14:textId="77777777" w:rsidR="00E06E0F" w:rsidRPr="00050FA4" w:rsidRDefault="00E06E0F" w:rsidP="00A95D23">
            <w:pPr>
              <w:pStyle w:val="AAAAAAATEXXXX"/>
              <w:ind w:firstLine="0"/>
              <w:rPr>
                <w:sz w:val="20"/>
                <w:szCs w:val="20"/>
                <w:lang w:val="sq-AL"/>
              </w:rPr>
            </w:pPr>
            <w:r w:rsidRPr="00050FA4">
              <w:rPr>
                <w:sz w:val="20"/>
                <w:szCs w:val="20"/>
                <w:lang w:val="sq-AL"/>
              </w:rPr>
              <w:t>0.87</w:t>
            </w:r>
          </w:p>
        </w:tc>
        <w:tc>
          <w:tcPr>
            <w:tcW w:w="1877" w:type="dxa"/>
            <w:shd w:val="clear" w:color="auto" w:fill="auto"/>
          </w:tcPr>
          <w:p w14:paraId="7457AF3E" w14:textId="77777777" w:rsidR="00E06E0F" w:rsidRPr="00050FA4" w:rsidRDefault="00E06E0F" w:rsidP="00A95D23">
            <w:pPr>
              <w:pStyle w:val="AAAAAAATEXXXX"/>
              <w:ind w:firstLine="0"/>
              <w:rPr>
                <w:sz w:val="20"/>
                <w:szCs w:val="20"/>
                <w:lang w:val="sq-AL"/>
              </w:rPr>
            </w:pPr>
            <w:r w:rsidRPr="00050FA4">
              <w:rPr>
                <w:sz w:val="20"/>
                <w:szCs w:val="20"/>
                <w:lang w:val="sq-AL"/>
              </w:rPr>
              <w:t>5.0</w:t>
            </w:r>
          </w:p>
        </w:tc>
        <w:tc>
          <w:tcPr>
            <w:tcW w:w="1877" w:type="dxa"/>
            <w:shd w:val="clear" w:color="auto" w:fill="auto"/>
          </w:tcPr>
          <w:p w14:paraId="62EAD422" w14:textId="77777777" w:rsidR="00E06E0F" w:rsidRPr="00050FA4" w:rsidRDefault="00E06E0F" w:rsidP="00A95D23">
            <w:pPr>
              <w:pStyle w:val="AAAAAAATEXXXX"/>
              <w:ind w:firstLine="0"/>
              <w:rPr>
                <w:sz w:val="20"/>
                <w:szCs w:val="20"/>
                <w:lang w:val="sq-AL"/>
              </w:rPr>
            </w:pPr>
            <w:r w:rsidRPr="00050FA4">
              <w:rPr>
                <w:sz w:val="20"/>
                <w:szCs w:val="20"/>
                <w:lang w:val="sq-AL"/>
              </w:rPr>
              <w:t>5.87</w:t>
            </w:r>
          </w:p>
        </w:tc>
      </w:tr>
      <w:tr w:rsidR="00FA29AB" w:rsidRPr="00050FA4" w14:paraId="458CE9A3" w14:textId="77777777" w:rsidTr="00BC0346">
        <w:tc>
          <w:tcPr>
            <w:tcW w:w="817" w:type="dxa"/>
            <w:shd w:val="clear" w:color="auto" w:fill="auto"/>
          </w:tcPr>
          <w:p w14:paraId="5282E3C7" w14:textId="77777777" w:rsidR="00E06E0F" w:rsidRPr="00050FA4" w:rsidRDefault="00E06E0F" w:rsidP="00A95D23">
            <w:pPr>
              <w:pStyle w:val="AAAAAAATEXXXX"/>
              <w:ind w:firstLine="0"/>
              <w:rPr>
                <w:sz w:val="20"/>
                <w:szCs w:val="20"/>
                <w:lang w:val="sq-AL"/>
              </w:rPr>
            </w:pPr>
            <w:r w:rsidRPr="00050FA4">
              <w:rPr>
                <w:sz w:val="20"/>
                <w:szCs w:val="20"/>
                <w:lang w:val="sq-AL"/>
              </w:rPr>
              <w:t>2024</w:t>
            </w:r>
          </w:p>
        </w:tc>
        <w:tc>
          <w:tcPr>
            <w:tcW w:w="1876" w:type="dxa"/>
            <w:shd w:val="clear" w:color="auto" w:fill="auto"/>
          </w:tcPr>
          <w:p w14:paraId="0269302C" w14:textId="01C84AD0" w:rsidR="00E06E0F" w:rsidRPr="00050FA4" w:rsidRDefault="007E2A6A"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1869CA86" w14:textId="77777777" w:rsidR="00E06E0F" w:rsidRPr="00050FA4" w:rsidRDefault="00E06E0F"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2D8B358C" w14:textId="77777777" w:rsidR="00E06E0F" w:rsidRPr="00050FA4" w:rsidRDefault="00E06E0F"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5092158C" w14:textId="77777777" w:rsidR="00E06E0F" w:rsidRPr="00050FA4" w:rsidRDefault="00E06E0F" w:rsidP="00A95D23">
            <w:pPr>
              <w:pStyle w:val="AAAAAAATEXXXX"/>
              <w:ind w:firstLine="0"/>
              <w:rPr>
                <w:sz w:val="20"/>
                <w:szCs w:val="20"/>
                <w:lang w:val="sq-AL"/>
              </w:rPr>
            </w:pPr>
            <w:r w:rsidRPr="00050FA4">
              <w:rPr>
                <w:sz w:val="20"/>
                <w:szCs w:val="20"/>
                <w:lang w:val="sq-AL"/>
              </w:rPr>
              <w:t>5.0</w:t>
            </w:r>
          </w:p>
        </w:tc>
        <w:tc>
          <w:tcPr>
            <w:tcW w:w="1877" w:type="dxa"/>
            <w:shd w:val="clear" w:color="auto" w:fill="auto"/>
          </w:tcPr>
          <w:p w14:paraId="0F5185F6" w14:textId="77777777" w:rsidR="00E06E0F" w:rsidRPr="00050FA4" w:rsidRDefault="00E06E0F" w:rsidP="00A95D23">
            <w:pPr>
              <w:pStyle w:val="AAAAAAATEXXXX"/>
              <w:ind w:firstLine="0"/>
              <w:rPr>
                <w:sz w:val="20"/>
                <w:szCs w:val="20"/>
                <w:lang w:val="sq-AL"/>
              </w:rPr>
            </w:pPr>
            <w:r w:rsidRPr="00050FA4">
              <w:rPr>
                <w:sz w:val="20"/>
                <w:szCs w:val="20"/>
                <w:lang w:val="sq-AL"/>
              </w:rPr>
              <w:t>5</w:t>
            </w:r>
          </w:p>
        </w:tc>
      </w:tr>
    </w:tbl>
    <w:p w14:paraId="49EBDFB1" w14:textId="77777777" w:rsidR="00E06E0F" w:rsidRPr="00050FA4" w:rsidRDefault="00E06E0F" w:rsidP="003F1DA7">
      <w:pPr>
        <w:pStyle w:val="AAAAAAATEXXXX"/>
        <w:rPr>
          <w:bCs/>
          <w:sz w:val="20"/>
          <w:szCs w:val="20"/>
          <w:lang w:val="sq-AL"/>
        </w:rPr>
      </w:pPr>
    </w:p>
    <w:tbl>
      <w:tblPr>
        <w:tblStyle w:val="TableGrid"/>
        <w:tblW w:w="0" w:type="auto"/>
        <w:tblLook w:val="04A0" w:firstRow="1" w:lastRow="0" w:firstColumn="1" w:lastColumn="0" w:noHBand="0" w:noVBand="1"/>
      </w:tblPr>
      <w:tblGrid>
        <w:gridCol w:w="813"/>
        <w:gridCol w:w="1857"/>
        <w:gridCol w:w="1861"/>
        <w:gridCol w:w="1866"/>
        <w:gridCol w:w="1863"/>
        <w:gridCol w:w="1856"/>
      </w:tblGrid>
      <w:tr w:rsidR="00FA29AB" w:rsidRPr="00050FA4" w14:paraId="5E66F9E8" w14:textId="77777777" w:rsidTr="00F51BF1">
        <w:tc>
          <w:tcPr>
            <w:tcW w:w="10201" w:type="dxa"/>
            <w:gridSpan w:val="6"/>
            <w:shd w:val="clear" w:color="auto" w:fill="E5DFEC" w:themeFill="accent4" w:themeFillTint="33"/>
          </w:tcPr>
          <w:p w14:paraId="78F15C18" w14:textId="119A5049" w:rsidR="00E06E0F" w:rsidRPr="00050FA4" w:rsidRDefault="00B2062A" w:rsidP="00A95D23">
            <w:pPr>
              <w:pStyle w:val="AAAAAAATEXXXX"/>
              <w:ind w:firstLine="0"/>
              <w:rPr>
                <w:b/>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16:</w:t>
            </w:r>
            <w:r w:rsidR="000B0C45" w:rsidRPr="00050FA4">
              <w:rPr>
                <w:b/>
                <w:sz w:val="20"/>
                <w:szCs w:val="20"/>
                <w:lang w:val="sq-AL"/>
              </w:rPr>
              <w:t xml:space="preserve"> </w:t>
            </w:r>
            <w:r w:rsidR="00461CA0" w:rsidRPr="00050FA4">
              <w:rPr>
                <w:b/>
                <w:sz w:val="20"/>
                <w:szCs w:val="20"/>
                <w:lang w:val="sq-AL"/>
              </w:rPr>
              <w:t>Marina më të mira dhe qeverisje dhe shërbime detare</w:t>
            </w:r>
          </w:p>
        </w:tc>
      </w:tr>
      <w:tr w:rsidR="00FA29AB" w:rsidRPr="00050FA4" w14:paraId="0E346D46" w14:textId="77777777" w:rsidTr="00BC0346">
        <w:tc>
          <w:tcPr>
            <w:tcW w:w="817" w:type="dxa"/>
            <w:shd w:val="clear" w:color="auto" w:fill="auto"/>
          </w:tcPr>
          <w:p w14:paraId="2F8E166B" w14:textId="47F6F658" w:rsidR="00E06E0F" w:rsidRPr="00050FA4" w:rsidRDefault="005E44FE" w:rsidP="00A95D23">
            <w:pPr>
              <w:pStyle w:val="AAAAAAATEXXXX"/>
              <w:ind w:firstLine="0"/>
              <w:rPr>
                <w:sz w:val="20"/>
                <w:szCs w:val="20"/>
                <w:lang w:val="sq-AL"/>
              </w:rPr>
            </w:pPr>
            <w:r w:rsidRPr="00050FA4">
              <w:rPr>
                <w:sz w:val="20"/>
                <w:szCs w:val="20"/>
                <w:lang w:val="sq-AL"/>
              </w:rPr>
              <w:t>Viti</w:t>
            </w:r>
          </w:p>
        </w:tc>
        <w:tc>
          <w:tcPr>
            <w:tcW w:w="1876" w:type="dxa"/>
            <w:shd w:val="clear" w:color="auto" w:fill="auto"/>
          </w:tcPr>
          <w:p w14:paraId="78FED83D" w14:textId="0FEFB223" w:rsidR="00E06E0F" w:rsidRPr="00050FA4" w:rsidRDefault="005E44FE" w:rsidP="00A95D23">
            <w:pPr>
              <w:pStyle w:val="AAAAAAATEXXXX"/>
              <w:ind w:firstLine="0"/>
              <w:rPr>
                <w:sz w:val="20"/>
                <w:szCs w:val="20"/>
                <w:lang w:val="sq-AL"/>
              </w:rPr>
            </w:pPr>
            <w:r w:rsidRPr="00050FA4">
              <w:rPr>
                <w:sz w:val="20"/>
                <w:szCs w:val="20"/>
                <w:lang w:val="sq-AL"/>
              </w:rPr>
              <w:t>Rrogat</w:t>
            </w:r>
          </w:p>
        </w:tc>
        <w:tc>
          <w:tcPr>
            <w:tcW w:w="1877" w:type="dxa"/>
            <w:shd w:val="clear" w:color="auto" w:fill="auto"/>
          </w:tcPr>
          <w:p w14:paraId="63BAA667" w14:textId="1A5B5393" w:rsidR="00E06E0F" w:rsidRPr="00050FA4" w:rsidRDefault="005E44FE" w:rsidP="00A95D23">
            <w:pPr>
              <w:pStyle w:val="AAAAAAATEXXXX"/>
              <w:ind w:firstLine="0"/>
              <w:rPr>
                <w:sz w:val="20"/>
                <w:szCs w:val="20"/>
                <w:lang w:val="sq-AL"/>
              </w:rPr>
            </w:pPr>
            <w:r w:rsidRPr="00050FA4">
              <w:rPr>
                <w:sz w:val="20"/>
                <w:szCs w:val="20"/>
                <w:lang w:val="sq-AL"/>
              </w:rPr>
              <w:t>Mallra dhe shërbime</w:t>
            </w:r>
          </w:p>
        </w:tc>
        <w:tc>
          <w:tcPr>
            <w:tcW w:w="1877" w:type="dxa"/>
            <w:shd w:val="clear" w:color="auto" w:fill="auto"/>
          </w:tcPr>
          <w:p w14:paraId="0A8E9C35" w14:textId="4B9CAB9D" w:rsidR="00E06E0F" w:rsidRPr="00050FA4" w:rsidRDefault="005E44FE" w:rsidP="00A95D23">
            <w:pPr>
              <w:pStyle w:val="AAAAAAATEXXXX"/>
              <w:ind w:firstLine="0"/>
              <w:rPr>
                <w:sz w:val="20"/>
                <w:szCs w:val="20"/>
                <w:lang w:val="sq-AL"/>
              </w:rPr>
            </w:pPr>
            <w:r w:rsidRPr="00050FA4">
              <w:rPr>
                <w:sz w:val="20"/>
                <w:szCs w:val="20"/>
                <w:lang w:val="sq-AL"/>
              </w:rPr>
              <w:t xml:space="preserve">Subvencione </w:t>
            </w:r>
            <w:r w:rsidR="00F93704" w:rsidRPr="00050FA4">
              <w:rPr>
                <w:b/>
                <w:sz w:val="18"/>
                <w:szCs w:val="18"/>
                <w:lang w:val="sq-AL"/>
              </w:rPr>
              <w:t>dhe</w:t>
            </w:r>
            <w:r w:rsidRPr="00050FA4">
              <w:rPr>
                <w:sz w:val="20"/>
                <w:szCs w:val="20"/>
                <w:lang w:val="sq-AL"/>
              </w:rPr>
              <w:t xml:space="preserve"> transferta</w:t>
            </w:r>
          </w:p>
        </w:tc>
        <w:tc>
          <w:tcPr>
            <w:tcW w:w="1877" w:type="dxa"/>
            <w:shd w:val="clear" w:color="auto" w:fill="auto"/>
          </w:tcPr>
          <w:p w14:paraId="1C0B481E" w14:textId="4658381A" w:rsidR="00E06E0F" w:rsidRPr="00050FA4" w:rsidRDefault="005E44FE" w:rsidP="00A95D23">
            <w:pPr>
              <w:pStyle w:val="AAAAAAATEXXXX"/>
              <w:ind w:firstLine="0"/>
              <w:rPr>
                <w:sz w:val="20"/>
                <w:szCs w:val="20"/>
                <w:lang w:val="sq-AL"/>
              </w:rPr>
            </w:pPr>
            <w:r w:rsidRPr="00050FA4">
              <w:rPr>
                <w:sz w:val="20"/>
                <w:szCs w:val="20"/>
                <w:lang w:val="sq-AL"/>
              </w:rPr>
              <w:t>Shpenzime kapitale</w:t>
            </w:r>
          </w:p>
        </w:tc>
        <w:tc>
          <w:tcPr>
            <w:tcW w:w="1877" w:type="dxa"/>
            <w:shd w:val="clear" w:color="auto" w:fill="auto"/>
          </w:tcPr>
          <w:p w14:paraId="77DA567A" w14:textId="001960F7" w:rsidR="00E06E0F" w:rsidRPr="00050FA4" w:rsidRDefault="005E44FE" w:rsidP="00A95D23">
            <w:pPr>
              <w:pStyle w:val="AAAAAAATEXXXX"/>
              <w:ind w:firstLine="0"/>
              <w:rPr>
                <w:sz w:val="20"/>
                <w:szCs w:val="20"/>
                <w:lang w:val="sq-AL"/>
              </w:rPr>
            </w:pPr>
            <w:r w:rsidRPr="00050FA4">
              <w:rPr>
                <w:sz w:val="20"/>
                <w:szCs w:val="20"/>
                <w:lang w:val="sq-AL"/>
              </w:rPr>
              <w:t>Totali</w:t>
            </w:r>
          </w:p>
        </w:tc>
      </w:tr>
      <w:tr w:rsidR="00FA29AB" w:rsidRPr="00050FA4" w14:paraId="19496DA0" w14:textId="77777777" w:rsidTr="00BC0346">
        <w:tc>
          <w:tcPr>
            <w:tcW w:w="817" w:type="dxa"/>
            <w:shd w:val="clear" w:color="auto" w:fill="auto"/>
          </w:tcPr>
          <w:p w14:paraId="0C50E016" w14:textId="77777777" w:rsidR="00870786" w:rsidRPr="00050FA4" w:rsidRDefault="00870786" w:rsidP="00A95D23">
            <w:pPr>
              <w:pStyle w:val="AAAAAAATEXXXX"/>
              <w:ind w:firstLine="0"/>
              <w:rPr>
                <w:sz w:val="20"/>
                <w:szCs w:val="20"/>
                <w:lang w:val="sq-AL"/>
              </w:rPr>
            </w:pPr>
            <w:r w:rsidRPr="00050FA4">
              <w:rPr>
                <w:sz w:val="20"/>
                <w:szCs w:val="20"/>
                <w:lang w:val="sq-AL"/>
              </w:rPr>
              <w:t>2022</w:t>
            </w:r>
          </w:p>
        </w:tc>
        <w:tc>
          <w:tcPr>
            <w:tcW w:w="1876" w:type="dxa"/>
            <w:shd w:val="clear" w:color="auto" w:fill="auto"/>
          </w:tcPr>
          <w:p w14:paraId="15B174AD" w14:textId="2CF520B4"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53D5CBAA" w14:textId="4530C371"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4BF32926" w14:textId="3763D121"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4A7E8254" w14:textId="0929CDD5"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725A9D17" w14:textId="71FE3B52" w:rsidR="00870786" w:rsidRPr="00050FA4" w:rsidRDefault="00870786" w:rsidP="00A95D23">
            <w:pPr>
              <w:pStyle w:val="AAAAAAATEXXXX"/>
              <w:ind w:firstLine="0"/>
              <w:rPr>
                <w:sz w:val="20"/>
                <w:szCs w:val="20"/>
                <w:lang w:val="sq-AL"/>
              </w:rPr>
            </w:pPr>
            <w:r w:rsidRPr="00050FA4">
              <w:rPr>
                <w:sz w:val="20"/>
                <w:szCs w:val="20"/>
                <w:lang w:val="sq-AL"/>
              </w:rPr>
              <w:t>0</w:t>
            </w:r>
          </w:p>
        </w:tc>
      </w:tr>
      <w:tr w:rsidR="00FA29AB" w:rsidRPr="00050FA4" w14:paraId="3A498D98" w14:textId="77777777" w:rsidTr="00BC0346">
        <w:tc>
          <w:tcPr>
            <w:tcW w:w="817" w:type="dxa"/>
            <w:shd w:val="clear" w:color="auto" w:fill="auto"/>
          </w:tcPr>
          <w:p w14:paraId="30FF46C0" w14:textId="77777777" w:rsidR="00870786" w:rsidRPr="00050FA4" w:rsidRDefault="00870786" w:rsidP="00A95D23">
            <w:pPr>
              <w:pStyle w:val="AAAAAAATEXXXX"/>
              <w:ind w:firstLine="0"/>
              <w:rPr>
                <w:sz w:val="20"/>
                <w:szCs w:val="20"/>
                <w:lang w:val="sq-AL"/>
              </w:rPr>
            </w:pPr>
            <w:r w:rsidRPr="00050FA4">
              <w:rPr>
                <w:sz w:val="20"/>
                <w:szCs w:val="20"/>
                <w:lang w:val="sq-AL"/>
              </w:rPr>
              <w:t>2023</w:t>
            </w:r>
          </w:p>
        </w:tc>
        <w:tc>
          <w:tcPr>
            <w:tcW w:w="1876" w:type="dxa"/>
            <w:shd w:val="clear" w:color="auto" w:fill="auto"/>
          </w:tcPr>
          <w:p w14:paraId="4C4A135C" w14:textId="02AB6183"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50D58192" w14:textId="31B436B5"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29D88D04" w14:textId="2E891BB2"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73A69729" w14:textId="1C1BB18F"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5901EF63" w14:textId="69F98A50" w:rsidR="00870786" w:rsidRPr="00050FA4" w:rsidRDefault="00870786" w:rsidP="00A95D23">
            <w:pPr>
              <w:pStyle w:val="AAAAAAATEXXXX"/>
              <w:ind w:firstLine="0"/>
              <w:rPr>
                <w:sz w:val="20"/>
                <w:szCs w:val="20"/>
                <w:lang w:val="sq-AL"/>
              </w:rPr>
            </w:pPr>
            <w:r w:rsidRPr="00050FA4">
              <w:rPr>
                <w:sz w:val="20"/>
                <w:szCs w:val="20"/>
                <w:lang w:val="sq-AL"/>
              </w:rPr>
              <w:t>0</w:t>
            </w:r>
          </w:p>
        </w:tc>
      </w:tr>
      <w:tr w:rsidR="00FA29AB" w:rsidRPr="00050FA4" w14:paraId="6F26BF3B" w14:textId="77777777" w:rsidTr="00BC0346">
        <w:tc>
          <w:tcPr>
            <w:tcW w:w="817" w:type="dxa"/>
            <w:shd w:val="clear" w:color="auto" w:fill="auto"/>
          </w:tcPr>
          <w:p w14:paraId="32C9D7E3" w14:textId="77777777" w:rsidR="00870786" w:rsidRPr="00050FA4" w:rsidRDefault="00870786" w:rsidP="00A95D23">
            <w:pPr>
              <w:pStyle w:val="AAAAAAATEXXXX"/>
              <w:ind w:firstLine="0"/>
              <w:rPr>
                <w:sz w:val="20"/>
                <w:szCs w:val="20"/>
                <w:lang w:val="sq-AL"/>
              </w:rPr>
            </w:pPr>
            <w:r w:rsidRPr="00050FA4">
              <w:rPr>
                <w:sz w:val="20"/>
                <w:szCs w:val="20"/>
                <w:lang w:val="sq-AL"/>
              </w:rPr>
              <w:t>2024</w:t>
            </w:r>
          </w:p>
        </w:tc>
        <w:tc>
          <w:tcPr>
            <w:tcW w:w="1876" w:type="dxa"/>
            <w:shd w:val="clear" w:color="auto" w:fill="auto"/>
          </w:tcPr>
          <w:p w14:paraId="046BE6E0" w14:textId="40BAE64C"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3A84D6D3" w14:textId="422F8895"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15322004" w14:textId="3A57712E"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3F02F83E" w14:textId="1C7A7EC0" w:rsidR="00870786" w:rsidRPr="00050FA4" w:rsidRDefault="00870786" w:rsidP="00A95D23">
            <w:pPr>
              <w:pStyle w:val="AAAAAAATEXXXX"/>
              <w:ind w:firstLine="0"/>
              <w:rPr>
                <w:sz w:val="20"/>
                <w:szCs w:val="20"/>
                <w:lang w:val="sq-AL"/>
              </w:rPr>
            </w:pPr>
            <w:r w:rsidRPr="00050FA4">
              <w:rPr>
                <w:sz w:val="20"/>
                <w:szCs w:val="20"/>
                <w:lang w:val="sq-AL"/>
              </w:rPr>
              <w:t>0</w:t>
            </w:r>
          </w:p>
        </w:tc>
        <w:tc>
          <w:tcPr>
            <w:tcW w:w="1877" w:type="dxa"/>
            <w:shd w:val="clear" w:color="auto" w:fill="auto"/>
          </w:tcPr>
          <w:p w14:paraId="6FFA449A" w14:textId="0CD638E8" w:rsidR="00870786" w:rsidRPr="00050FA4" w:rsidRDefault="00870786" w:rsidP="00A95D23">
            <w:pPr>
              <w:pStyle w:val="AAAAAAATEXXXX"/>
              <w:ind w:firstLine="0"/>
              <w:rPr>
                <w:sz w:val="20"/>
                <w:szCs w:val="20"/>
                <w:lang w:val="sq-AL"/>
              </w:rPr>
            </w:pPr>
            <w:r w:rsidRPr="00050FA4">
              <w:rPr>
                <w:sz w:val="20"/>
                <w:szCs w:val="20"/>
                <w:lang w:val="sq-AL"/>
              </w:rPr>
              <w:t>0</w:t>
            </w:r>
          </w:p>
        </w:tc>
      </w:tr>
    </w:tbl>
    <w:p w14:paraId="3C831ADE"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05286C16" w14:textId="77777777" w:rsidTr="00F51BF1">
        <w:tc>
          <w:tcPr>
            <w:tcW w:w="10201" w:type="dxa"/>
            <w:gridSpan w:val="6"/>
            <w:shd w:val="clear" w:color="auto" w:fill="E5DFEC" w:themeFill="accent4" w:themeFillTint="33"/>
          </w:tcPr>
          <w:p w14:paraId="0CAA87CD" w14:textId="56F5F6BE" w:rsidR="00E06E0F" w:rsidRPr="00050FA4" w:rsidRDefault="00B2062A" w:rsidP="000109D2">
            <w:pPr>
              <w:pStyle w:val="AAAAAAATEXXXX"/>
              <w:ind w:firstLine="0"/>
              <w:rPr>
                <w:b/>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17:</w:t>
            </w:r>
            <w:r w:rsidR="000B0C45" w:rsidRPr="00050FA4">
              <w:rPr>
                <w:b/>
                <w:sz w:val="20"/>
                <w:szCs w:val="20"/>
                <w:lang w:val="sq-AL"/>
              </w:rPr>
              <w:t xml:space="preserve"> </w:t>
            </w:r>
            <w:r w:rsidR="00461CA0" w:rsidRPr="00050FA4">
              <w:rPr>
                <w:b/>
                <w:sz w:val="20"/>
                <w:szCs w:val="20"/>
                <w:lang w:val="sq-AL"/>
              </w:rPr>
              <w:t>Mbështetja e zbatimit të reformës kurrikulare parauniversitare dhe trajnimit të mësuesve</w:t>
            </w:r>
          </w:p>
        </w:tc>
      </w:tr>
      <w:tr w:rsidR="00FA29AB" w:rsidRPr="00050FA4" w14:paraId="2398DA5D" w14:textId="77777777" w:rsidTr="00BC0346">
        <w:tc>
          <w:tcPr>
            <w:tcW w:w="817" w:type="dxa"/>
          </w:tcPr>
          <w:p w14:paraId="7AC74CB3" w14:textId="30371977" w:rsidR="00E06E0F" w:rsidRPr="00050FA4" w:rsidRDefault="005E44FE" w:rsidP="00A95D23">
            <w:pPr>
              <w:pStyle w:val="AAAAAAATEXXXX"/>
              <w:ind w:firstLine="0"/>
              <w:rPr>
                <w:sz w:val="20"/>
                <w:szCs w:val="20"/>
                <w:lang w:val="sq-AL"/>
              </w:rPr>
            </w:pPr>
            <w:r w:rsidRPr="00050FA4">
              <w:rPr>
                <w:sz w:val="20"/>
                <w:szCs w:val="20"/>
                <w:lang w:val="sq-AL"/>
              </w:rPr>
              <w:t>Viti</w:t>
            </w:r>
          </w:p>
        </w:tc>
        <w:tc>
          <w:tcPr>
            <w:tcW w:w="1876" w:type="dxa"/>
          </w:tcPr>
          <w:p w14:paraId="4AD65E85" w14:textId="62B74EBF" w:rsidR="00E06E0F" w:rsidRPr="00050FA4" w:rsidRDefault="005E44FE" w:rsidP="00A95D23">
            <w:pPr>
              <w:pStyle w:val="AAAAAAATEXXXX"/>
              <w:ind w:firstLine="0"/>
              <w:rPr>
                <w:sz w:val="20"/>
                <w:szCs w:val="20"/>
                <w:lang w:val="sq-AL"/>
              </w:rPr>
            </w:pPr>
            <w:r w:rsidRPr="00050FA4">
              <w:rPr>
                <w:sz w:val="20"/>
                <w:szCs w:val="20"/>
                <w:lang w:val="sq-AL"/>
              </w:rPr>
              <w:t>Rrogat</w:t>
            </w:r>
          </w:p>
        </w:tc>
        <w:tc>
          <w:tcPr>
            <w:tcW w:w="1877" w:type="dxa"/>
          </w:tcPr>
          <w:p w14:paraId="1CF4F8F3" w14:textId="29520730" w:rsidR="00E06E0F" w:rsidRPr="00050FA4" w:rsidRDefault="005E44FE" w:rsidP="00A95D23">
            <w:pPr>
              <w:pStyle w:val="AAAAAAATEXXXX"/>
              <w:ind w:firstLine="0"/>
              <w:rPr>
                <w:sz w:val="20"/>
                <w:szCs w:val="20"/>
                <w:lang w:val="sq-AL"/>
              </w:rPr>
            </w:pPr>
            <w:r w:rsidRPr="00050FA4">
              <w:rPr>
                <w:sz w:val="20"/>
                <w:szCs w:val="20"/>
                <w:lang w:val="sq-AL"/>
              </w:rPr>
              <w:t>Mallra dhe shërbime</w:t>
            </w:r>
          </w:p>
        </w:tc>
        <w:tc>
          <w:tcPr>
            <w:tcW w:w="1877" w:type="dxa"/>
          </w:tcPr>
          <w:p w14:paraId="7CFF3394" w14:textId="0A9B04A0" w:rsidR="00E06E0F" w:rsidRPr="00050FA4" w:rsidRDefault="005E44FE" w:rsidP="00A95D23">
            <w:pPr>
              <w:pStyle w:val="AAAAAAATEXXXX"/>
              <w:ind w:firstLine="0"/>
              <w:rPr>
                <w:sz w:val="20"/>
                <w:szCs w:val="20"/>
                <w:lang w:val="sq-AL"/>
              </w:rPr>
            </w:pPr>
            <w:r w:rsidRPr="00050FA4">
              <w:rPr>
                <w:sz w:val="20"/>
                <w:szCs w:val="20"/>
                <w:lang w:val="sq-AL"/>
              </w:rPr>
              <w:t xml:space="preserve">Subvencione </w:t>
            </w:r>
            <w:r w:rsidR="00F93704" w:rsidRPr="00050FA4">
              <w:rPr>
                <w:b/>
                <w:sz w:val="18"/>
                <w:szCs w:val="18"/>
                <w:lang w:val="sq-AL"/>
              </w:rPr>
              <w:t>dhe</w:t>
            </w:r>
            <w:r w:rsidRPr="00050FA4">
              <w:rPr>
                <w:sz w:val="20"/>
                <w:szCs w:val="20"/>
                <w:lang w:val="sq-AL"/>
              </w:rPr>
              <w:t xml:space="preserve"> transferta</w:t>
            </w:r>
          </w:p>
        </w:tc>
        <w:tc>
          <w:tcPr>
            <w:tcW w:w="1877" w:type="dxa"/>
          </w:tcPr>
          <w:p w14:paraId="656AA289" w14:textId="0EAAB9A5" w:rsidR="00E06E0F" w:rsidRPr="00050FA4" w:rsidRDefault="005E44FE" w:rsidP="00A95D23">
            <w:pPr>
              <w:pStyle w:val="AAAAAAATEXXXX"/>
              <w:ind w:firstLine="0"/>
              <w:rPr>
                <w:sz w:val="20"/>
                <w:szCs w:val="20"/>
                <w:lang w:val="sq-AL"/>
              </w:rPr>
            </w:pPr>
            <w:r w:rsidRPr="00050FA4">
              <w:rPr>
                <w:sz w:val="20"/>
                <w:szCs w:val="20"/>
                <w:lang w:val="sq-AL"/>
              </w:rPr>
              <w:t>Shpenzime kapitale</w:t>
            </w:r>
          </w:p>
        </w:tc>
        <w:tc>
          <w:tcPr>
            <w:tcW w:w="1877" w:type="dxa"/>
          </w:tcPr>
          <w:p w14:paraId="46EA3FA8" w14:textId="4F7379E5" w:rsidR="00E06E0F" w:rsidRPr="00050FA4" w:rsidRDefault="005E44FE" w:rsidP="00A95D23">
            <w:pPr>
              <w:pStyle w:val="AAAAAAATEXXXX"/>
              <w:ind w:firstLine="0"/>
              <w:rPr>
                <w:sz w:val="20"/>
                <w:szCs w:val="20"/>
                <w:lang w:val="sq-AL"/>
              </w:rPr>
            </w:pPr>
            <w:r w:rsidRPr="00050FA4">
              <w:rPr>
                <w:sz w:val="20"/>
                <w:szCs w:val="20"/>
                <w:lang w:val="sq-AL"/>
              </w:rPr>
              <w:t>Totali</w:t>
            </w:r>
          </w:p>
        </w:tc>
      </w:tr>
      <w:tr w:rsidR="00FA29AB" w:rsidRPr="00050FA4" w14:paraId="6A7D3A7C" w14:textId="77777777" w:rsidTr="00BC0346">
        <w:tc>
          <w:tcPr>
            <w:tcW w:w="817" w:type="dxa"/>
          </w:tcPr>
          <w:p w14:paraId="39FDDC74" w14:textId="77777777" w:rsidR="00E06E0F" w:rsidRPr="00050FA4" w:rsidRDefault="00E06E0F" w:rsidP="00A95D23">
            <w:pPr>
              <w:pStyle w:val="AAAAAAATEXXXX"/>
              <w:ind w:firstLine="0"/>
              <w:rPr>
                <w:sz w:val="20"/>
                <w:szCs w:val="20"/>
                <w:lang w:val="sq-AL"/>
              </w:rPr>
            </w:pPr>
            <w:r w:rsidRPr="00050FA4">
              <w:rPr>
                <w:sz w:val="20"/>
                <w:szCs w:val="20"/>
                <w:lang w:val="sq-AL"/>
              </w:rPr>
              <w:t>2022</w:t>
            </w:r>
          </w:p>
        </w:tc>
        <w:tc>
          <w:tcPr>
            <w:tcW w:w="1876" w:type="dxa"/>
            <w:vAlign w:val="center"/>
          </w:tcPr>
          <w:p w14:paraId="5AFF3098" w14:textId="77777777" w:rsidR="00E06E0F" w:rsidRPr="00050FA4" w:rsidRDefault="00E06E0F" w:rsidP="00A95D23">
            <w:pPr>
              <w:pStyle w:val="AAAAAAATEXXXX"/>
              <w:ind w:firstLine="0"/>
              <w:rPr>
                <w:sz w:val="20"/>
                <w:szCs w:val="20"/>
                <w:lang w:val="sq-AL"/>
              </w:rPr>
            </w:pPr>
            <w:r w:rsidRPr="00050FA4">
              <w:rPr>
                <w:sz w:val="20"/>
                <w:szCs w:val="20"/>
                <w:lang w:val="sq-AL"/>
              </w:rPr>
              <w:t>160,000.0</w:t>
            </w:r>
          </w:p>
        </w:tc>
        <w:tc>
          <w:tcPr>
            <w:tcW w:w="1877" w:type="dxa"/>
            <w:vAlign w:val="center"/>
          </w:tcPr>
          <w:p w14:paraId="0AF82AFD" w14:textId="77777777" w:rsidR="00E06E0F" w:rsidRPr="00050FA4" w:rsidRDefault="00E06E0F" w:rsidP="00A95D23">
            <w:pPr>
              <w:pStyle w:val="AAAAAAATEXXXX"/>
              <w:ind w:firstLine="0"/>
              <w:rPr>
                <w:sz w:val="20"/>
                <w:szCs w:val="20"/>
                <w:lang w:val="sq-AL"/>
              </w:rPr>
            </w:pPr>
            <w:r w:rsidRPr="00050FA4">
              <w:rPr>
                <w:sz w:val="20"/>
                <w:szCs w:val="20"/>
                <w:lang w:val="sq-AL"/>
              </w:rPr>
              <w:t>6,851.1</w:t>
            </w:r>
          </w:p>
        </w:tc>
        <w:tc>
          <w:tcPr>
            <w:tcW w:w="1877" w:type="dxa"/>
            <w:vAlign w:val="center"/>
          </w:tcPr>
          <w:p w14:paraId="6D95D15F" w14:textId="77777777" w:rsidR="00E06E0F" w:rsidRPr="00050FA4" w:rsidRDefault="00E06E0F" w:rsidP="00A95D23">
            <w:pPr>
              <w:pStyle w:val="AAAAAAATEXXXX"/>
              <w:ind w:firstLine="0"/>
              <w:rPr>
                <w:sz w:val="20"/>
                <w:szCs w:val="20"/>
                <w:lang w:val="sq-AL"/>
              </w:rPr>
            </w:pPr>
            <w:r w:rsidRPr="00050FA4">
              <w:rPr>
                <w:sz w:val="20"/>
                <w:szCs w:val="20"/>
                <w:lang w:val="sq-AL"/>
              </w:rPr>
              <w:t>30,000.0</w:t>
            </w:r>
          </w:p>
        </w:tc>
        <w:tc>
          <w:tcPr>
            <w:tcW w:w="1877" w:type="dxa"/>
            <w:vAlign w:val="center"/>
          </w:tcPr>
          <w:p w14:paraId="278E22D3" w14:textId="77777777" w:rsidR="00E06E0F" w:rsidRPr="00050FA4" w:rsidRDefault="00E06E0F" w:rsidP="00A95D23">
            <w:pPr>
              <w:pStyle w:val="AAAAAAATEXXXX"/>
              <w:ind w:firstLine="0"/>
              <w:rPr>
                <w:sz w:val="20"/>
                <w:szCs w:val="20"/>
                <w:lang w:val="sq-AL"/>
              </w:rPr>
            </w:pPr>
            <w:r w:rsidRPr="00050FA4">
              <w:rPr>
                <w:sz w:val="20"/>
                <w:szCs w:val="20"/>
                <w:lang w:val="sq-AL"/>
              </w:rPr>
              <w:t>0</w:t>
            </w:r>
          </w:p>
        </w:tc>
        <w:tc>
          <w:tcPr>
            <w:tcW w:w="1877" w:type="dxa"/>
            <w:vAlign w:val="center"/>
          </w:tcPr>
          <w:p w14:paraId="12DAAF21" w14:textId="77777777" w:rsidR="00E06E0F" w:rsidRPr="00050FA4" w:rsidRDefault="00E06E0F" w:rsidP="00A95D23">
            <w:pPr>
              <w:pStyle w:val="AAAAAAATEXXXX"/>
              <w:ind w:firstLine="0"/>
              <w:rPr>
                <w:sz w:val="20"/>
                <w:szCs w:val="20"/>
                <w:lang w:val="sq-AL"/>
              </w:rPr>
            </w:pPr>
            <w:r w:rsidRPr="00050FA4">
              <w:rPr>
                <w:sz w:val="20"/>
                <w:szCs w:val="20"/>
                <w:lang w:val="sq-AL"/>
              </w:rPr>
              <w:t>196,851.10</w:t>
            </w:r>
          </w:p>
        </w:tc>
      </w:tr>
      <w:tr w:rsidR="00FA29AB" w:rsidRPr="00050FA4" w14:paraId="7316154B" w14:textId="77777777" w:rsidTr="00BC0346">
        <w:tc>
          <w:tcPr>
            <w:tcW w:w="817" w:type="dxa"/>
          </w:tcPr>
          <w:p w14:paraId="61399B69" w14:textId="77777777" w:rsidR="00E06E0F" w:rsidRPr="00050FA4" w:rsidRDefault="00E06E0F" w:rsidP="00A95D23">
            <w:pPr>
              <w:pStyle w:val="AAAAAAATEXXXX"/>
              <w:ind w:firstLine="0"/>
              <w:rPr>
                <w:sz w:val="20"/>
                <w:szCs w:val="20"/>
                <w:lang w:val="sq-AL"/>
              </w:rPr>
            </w:pPr>
            <w:r w:rsidRPr="00050FA4">
              <w:rPr>
                <w:sz w:val="20"/>
                <w:szCs w:val="20"/>
                <w:lang w:val="sq-AL"/>
              </w:rPr>
              <w:t>2023</w:t>
            </w:r>
          </w:p>
        </w:tc>
        <w:tc>
          <w:tcPr>
            <w:tcW w:w="1876" w:type="dxa"/>
            <w:vAlign w:val="center"/>
          </w:tcPr>
          <w:p w14:paraId="7A0BE85A" w14:textId="77777777" w:rsidR="00E06E0F" w:rsidRPr="00050FA4" w:rsidRDefault="00E06E0F" w:rsidP="00A95D23">
            <w:pPr>
              <w:pStyle w:val="AAAAAAATEXXXX"/>
              <w:ind w:firstLine="0"/>
              <w:rPr>
                <w:sz w:val="20"/>
                <w:szCs w:val="20"/>
                <w:lang w:val="sq-AL"/>
              </w:rPr>
            </w:pPr>
            <w:r w:rsidRPr="00050FA4">
              <w:rPr>
                <w:sz w:val="20"/>
                <w:szCs w:val="20"/>
                <w:lang w:val="sq-AL"/>
              </w:rPr>
              <w:t>320,000.0</w:t>
            </w:r>
          </w:p>
        </w:tc>
        <w:tc>
          <w:tcPr>
            <w:tcW w:w="1877" w:type="dxa"/>
            <w:vAlign w:val="center"/>
          </w:tcPr>
          <w:p w14:paraId="35DDC366" w14:textId="77777777" w:rsidR="00E06E0F" w:rsidRPr="00050FA4" w:rsidRDefault="00E06E0F" w:rsidP="00A95D23">
            <w:pPr>
              <w:pStyle w:val="AAAAAAATEXXXX"/>
              <w:ind w:firstLine="0"/>
              <w:rPr>
                <w:sz w:val="20"/>
                <w:szCs w:val="20"/>
                <w:lang w:val="sq-AL"/>
              </w:rPr>
            </w:pPr>
            <w:r w:rsidRPr="00050FA4">
              <w:rPr>
                <w:sz w:val="20"/>
                <w:szCs w:val="20"/>
                <w:lang w:val="sq-AL"/>
              </w:rPr>
              <w:t>3,936.0</w:t>
            </w:r>
          </w:p>
        </w:tc>
        <w:tc>
          <w:tcPr>
            <w:tcW w:w="1877" w:type="dxa"/>
            <w:vAlign w:val="center"/>
          </w:tcPr>
          <w:p w14:paraId="179DFFE4" w14:textId="77777777" w:rsidR="00E06E0F" w:rsidRPr="00050FA4" w:rsidRDefault="00E06E0F" w:rsidP="00A95D23">
            <w:pPr>
              <w:pStyle w:val="AAAAAAATEXXXX"/>
              <w:ind w:firstLine="0"/>
              <w:rPr>
                <w:sz w:val="20"/>
                <w:szCs w:val="20"/>
                <w:lang w:val="sq-AL"/>
              </w:rPr>
            </w:pPr>
            <w:r w:rsidRPr="00050FA4">
              <w:rPr>
                <w:sz w:val="20"/>
                <w:szCs w:val="20"/>
                <w:lang w:val="sq-AL"/>
              </w:rPr>
              <w:t>60,000.0</w:t>
            </w:r>
          </w:p>
        </w:tc>
        <w:tc>
          <w:tcPr>
            <w:tcW w:w="1877" w:type="dxa"/>
            <w:vAlign w:val="center"/>
          </w:tcPr>
          <w:p w14:paraId="236E8D85" w14:textId="77777777" w:rsidR="00E06E0F" w:rsidRPr="00050FA4" w:rsidRDefault="00E06E0F" w:rsidP="00A95D23">
            <w:pPr>
              <w:pStyle w:val="AAAAAAATEXXXX"/>
              <w:ind w:firstLine="0"/>
              <w:rPr>
                <w:sz w:val="20"/>
                <w:szCs w:val="20"/>
                <w:lang w:val="sq-AL"/>
              </w:rPr>
            </w:pPr>
            <w:r w:rsidRPr="00050FA4">
              <w:rPr>
                <w:sz w:val="20"/>
                <w:szCs w:val="20"/>
                <w:lang w:val="sq-AL"/>
              </w:rPr>
              <w:t>0</w:t>
            </w:r>
          </w:p>
        </w:tc>
        <w:tc>
          <w:tcPr>
            <w:tcW w:w="1877" w:type="dxa"/>
            <w:vAlign w:val="center"/>
          </w:tcPr>
          <w:p w14:paraId="6337E9ED" w14:textId="77777777" w:rsidR="00E06E0F" w:rsidRPr="00050FA4" w:rsidRDefault="00E06E0F" w:rsidP="00A95D23">
            <w:pPr>
              <w:pStyle w:val="AAAAAAATEXXXX"/>
              <w:ind w:firstLine="0"/>
              <w:rPr>
                <w:sz w:val="20"/>
                <w:szCs w:val="20"/>
                <w:lang w:val="sq-AL"/>
              </w:rPr>
            </w:pPr>
            <w:r w:rsidRPr="00050FA4">
              <w:rPr>
                <w:sz w:val="20"/>
                <w:szCs w:val="20"/>
                <w:lang w:val="sq-AL"/>
              </w:rPr>
              <w:t>383,936.00</w:t>
            </w:r>
          </w:p>
        </w:tc>
      </w:tr>
      <w:tr w:rsidR="00FA29AB" w:rsidRPr="00050FA4" w14:paraId="1C0D3C2A" w14:textId="77777777" w:rsidTr="00BC0346">
        <w:tc>
          <w:tcPr>
            <w:tcW w:w="817" w:type="dxa"/>
          </w:tcPr>
          <w:p w14:paraId="313BC32D" w14:textId="77777777" w:rsidR="00E06E0F" w:rsidRPr="00050FA4" w:rsidRDefault="00E06E0F" w:rsidP="00A95D23">
            <w:pPr>
              <w:pStyle w:val="AAAAAAATEXXXX"/>
              <w:ind w:firstLine="0"/>
              <w:rPr>
                <w:sz w:val="20"/>
                <w:szCs w:val="20"/>
                <w:lang w:val="sq-AL"/>
              </w:rPr>
            </w:pPr>
            <w:r w:rsidRPr="00050FA4">
              <w:rPr>
                <w:sz w:val="20"/>
                <w:szCs w:val="20"/>
                <w:lang w:val="sq-AL"/>
              </w:rPr>
              <w:t>2024</w:t>
            </w:r>
          </w:p>
        </w:tc>
        <w:tc>
          <w:tcPr>
            <w:tcW w:w="1876" w:type="dxa"/>
            <w:vAlign w:val="center"/>
          </w:tcPr>
          <w:p w14:paraId="5CBB6299" w14:textId="77777777" w:rsidR="00E06E0F" w:rsidRPr="00050FA4" w:rsidRDefault="00E06E0F" w:rsidP="00A95D23">
            <w:pPr>
              <w:pStyle w:val="AAAAAAATEXXXX"/>
              <w:ind w:firstLine="0"/>
              <w:rPr>
                <w:sz w:val="20"/>
                <w:szCs w:val="20"/>
                <w:lang w:val="sq-AL"/>
              </w:rPr>
            </w:pPr>
            <w:r w:rsidRPr="00050FA4">
              <w:rPr>
                <w:sz w:val="20"/>
                <w:szCs w:val="20"/>
                <w:lang w:val="sq-AL"/>
              </w:rPr>
              <w:t>450,000.0</w:t>
            </w:r>
          </w:p>
        </w:tc>
        <w:tc>
          <w:tcPr>
            <w:tcW w:w="1877" w:type="dxa"/>
            <w:vAlign w:val="center"/>
          </w:tcPr>
          <w:p w14:paraId="1BC26BD7" w14:textId="77777777" w:rsidR="00E06E0F" w:rsidRPr="00050FA4" w:rsidRDefault="00E06E0F" w:rsidP="00A95D23">
            <w:pPr>
              <w:pStyle w:val="AAAAAAATEXXXX"/>
              <w:ind w:firstLine="0"/>
              <w:rPr>
                <w:sz w:val="20"/>
                <w:szCs w:val="20"/>
                <w:lang w:val="sq-AL"/>
              </w:rPr>
            </w:pPr>
            <w:r w:rsidRPr="00050FA4">
              <w:rPr>
                <w:sz w:val="20"/>
                <w:szCs w:val="20"/>
                <w:lang w:val="sq-AL"/>
              </w:rPr>
              <w:t>1,722.0</w:t>
            </w:r>
          </w:p>
        </w:tc>
        <w:tc>
          <w:tcPr>
            <w:tcW w:w="1877" w:type="dxa"/>
            <w:vAlign w:val="center"/>
          </w:tcPr>
          <w:p w14:paraId="0CAFCBEF" w14:textId="77777777" w:rsidR="00E06E0F" w:rsidRPr="00050FA4" w:rsidRDefault="00E06E0F" w:rsidP="00A95D23">
            <w:pPr>
              <w:pStyle w:val="AAAAAAATEXXXX"/>
              <w:ind w:firstLine="0"/>
              <w:rPr>
                <w:sz w:val="20"/>
                <w:szCs w:val="20"/>
                <w:lang w:val="sq-AL"/>
              </w:rPr>
            </w:pPr>
            <w:r w:rsidRPr="00050FA4">
              <w:rPr>
                <w:sz w:val="20"/>
                <w:szCs w:val="20"/>
                <w:lang w:val="sq-AL"/>
              </w:rPr>
              <w:t>90,000.0</w:t>
            </w:r>
          </w:p>
        </w:tc>
        <w:tc>
          <w:tcPr>
            <w:tcW w:w="1877" w:type="dxa"/>
            <w:vAlign w:val="center"/>
          </w:tcPr>
          <w:p w14:paraId="4F2F4579" w14:textId="77777777" w:rsidR="00E06E0F" w:rsidRPr="00050FA4" w:rsidRDefault="00E06E0F" w:rsidP="00A95D23">
            <w:pPr>
              <w:pStyle w:val="AAAAAAATEXXXX"/>
              <w:ind w:firstLine="0"/>
              <w:rPr>
                <w:sz w:val="20"/>
                <w:szCs w:val="20"/>
                <w:lang w:val="sq-AL"/>
              </w:rPr>
            </w:pPr>
            <w:r w:rsidRPr="00050FA4">
              <w:rPr>
                <w:sz w:val="20"/>
                <w:szCs w:val="20"/>
                <w:lang w:val="sq-AL"/>
              </w:rPr>
              <w:t>0</w:t>
            </w:r>
          </w:p>
        </w:tc>
        <w:tc>
          <w:tcPr>
            <w:tcW w:w="1877" w:type="dxa"/>
            <w:vAlign w:val="center"/>
          </w:tcPr>
          <w:p w14:paraId="63890EE4" w14:textId="77777777" w:rsidR="00E06E0F" w:rsidRPr="00050FA4" w:rsidRDefault="00E06E0F" w:rsidP="00A95D23">
            <w:pPr>
              <w:pStyle w:val="AAAAAAATEXXXX"/>
              <w:ind w:firstLine="0"/>
              <w:rPr>
                <w:sz w:val="20"/>
                <w:szCs w:val="20"/>
                <w:lang w:val="sq-AL"/>
              </w:rPr>
            </w:pPr>
            <w:r w:rsidRPr="00050FA4">
              <w:rPr>
                <w:sz w:val="20"/>
                <w:szCs w:val="20"/>
                <w:lang w:val="sq-AL"/>
              </w:rPr>
              <w:t>541,722.00</w:t>
            </w:r>
          </w:p>
        </w:tc>
      </w:tr>
    </w:tbl>
    <w:p w14:paraId="42C9C9FC"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60756393" w14:textId="77777777" w:rsidTr="00F51BF1">
        <w:tc>
          <w:tcPr>
            <w:tcW w:w="10201" w:type="dxa"/>
            <w:gridSpan w:val="6"/>
            <w:shd w:val="clear" w:color="auto" w:fill="E5DFEC" w:themeFill="accent4" w:themeFillTint="33"/>
          </w:tcPr>
          <w:p w14:paraId="5256A143" w14:textId="03C55834" w:rsidR="00E06E0F" w:rsidRPr="00050FA4" w:rsidRDefault="00B2062A" w:rsidP="00A95D23">
            <w:pPr>
              <w:pStyle w:val="AAAAAAATEXXXX"/>
              <w:ind w:firstLine="0"/>
              <w:rPr>
                <w:b/>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18:</w:t>
            </w:r>
            <w:r w:rsidR="000B0C45" w:rsidRPr="00050FA4">
              <w:rPr>
                <w:b/>
                <w:sz w:val="20"/>
                <w:szCs w:val="20"/>
                <w:lang w:val="sq-AL"/>
              </w:rPr>
              <w:t xml:space="preserve"> </w:t>
            </w:r>
            <w:r w:rsidR="000109D2" w:rsidRPr="00050FA4">
              <w:rPr>
                <w:b/>
                <w:sz w:val="20"/>
                <w:szCs w:val="20"/>
                <w:lang w:val="sq-AL" w:eastAsia="sq-AL"/>
              </w:rPr>
              <w:t>Gjithë</w:t>
            </w:r>
            <w:r w:rsidR="00461CA0" w:rsidRPr="00050FA4">
              <w:rPr>
                <w:b/>
                <w:sz w:val="20"/>
                <w:szCs w:val="20"/>
                <w:lang w:val="sq-AL" w:eastAsia="sq-AL"/>
              </w:rPr>
              <w:t>përfshirja dhe barazia në arsim</w:t>
            </w:r>
          </w:p>
        </w:tc>
      </w:tr>
      <w:tr w:rsidR="00FA29AB" w:rsidRPr="00050FA4" w14:paraId="5389B576" w14:textId="77777777" w:rsidTr="00BC0346">
        <w:tc>
          <w:tcPr>
            <w:tcW w:w="817" w:type="dxa"/>
          </w:tcPr>
          <w:p w14:paraId="1279EF3F" w14:textId="32EF57D3" w:rsidR="00E06E0F" w:rsidRPr="00050FA4" w:rsidRDefault="005E44FE" w:rsidP="00A95D23">
            <w:pPr>
              <w:pStyle w:val="AAAAAAATEXXXX"/>
              <w:ind w:firstLine="0"/>
              <w:rPr>
                <w:sz w:val="20"/>
                <w:szCs w:val="20"/>
                <w:lang w:val="sq-AL"/>
              </w:rPr>
            </w:pPr>
            <w:r w:rsidRPr="00050FA4">
              <w:rPr>
                <w:sz w:val="20"/>
                <w:szCs w:val="20"/>
                <w:lang w:val="sq-AL"/>
              </w:rPr>
              <w:t>Viti</w:t>
            </w:r>
          </w:p>
        </w:tc>
        <w:tc>
          <w:tcPr>
            <w:tcW w:w="1876" w:type="dxa"/>
          </w:tcPr>
          <w:p w14:paraId="6ADC0C7D" w14:textId="2BF49AD8" w:rsidR="00E06E0F" w:rsidRPr="00050FA4" w:rsidRDefault="005E44FE" w:rsidP="00A95D23">
            <w:pPr>
              <w:pStyle w:val="AAAAAAATEXXXX"/>
              <w:ind w:firstLine="0"/>
              <w:rPr>
                <w:sz w:val="20"/>
                <w:szCs w:val="20"/>
                <w:lang w:val="sq-AL"/>
              </w:rPr>
            </w:pPr>
            <w:r w:rsidRPr="00050FA4">
              <w:rPr>
                <w:sz w:val="20"/>
                <w:szCs w:val="20"/>
                <w:lang w:val="sq-AL"/>
              </w:rPr>
              <w:t>Rrogat</w:t>
            </w:r>
          </w:p>
        </w:tc>
        <w:tc>
          <w:tcPr>
            <w:tcW w:w="1877" w:type="dxa"/>
          </w:tcPr>
          <w:p w14:paraId="16D817FD" w14:textId="22778BC8" w:rsidR="00E06E0F" w:rsidRPr="00050FA4" w:rsidRDefault="005E44FE" w:rsidP="00A95D23">
            <w:pPr>
              <w:pStyle w:val="AAAAAAATEXXXX"/>
              <w:ind w:firstLine="0"/>
              <w:rPr>
                <w:sz w:val="20"/>
                <w:szCs w:val="20"/>
                <w:lang w:val="sq-AL"/>
              </w:rPr>
            </w:pPr>
            <w:r w:rsidRPr="00050FA4">
              <w:rPr>
                <w:sz w:val="20"/>
                <w:szCs w:val="20"/>
                <w:lang w:val="sq-AL"/>
              </w:rPr>
              <w:t>Mallra dhe shërbime</w:t>
            </w:r>
          </w:p>
        </w:tc>
        <w:tc>
          <w:tcPr>
            <w:tcW w:w="1877" w:type="dxa"/>
          </w:tcPr>
          <w:p w14:paraId="7B1D130F" w14:textId="72B4EFE9" w:rsidR="00E06E0F" w:rsidRPr="00050FA4" w:rsidRDefault="005E44FE" w:rsidP="00A95D23">
            <w:pPr>
              <w:pStyle w:val="AAAAAAATEXXXX"/>
              <w:ind w:firstLine="0"/>
              <w:rPr>
                <w:sz w:val="20"/>
                <w:szCs w:val="20"/>
                <w:lang w:val="sq-AL"/>
              </w:rPr>
            </w:pPr>
            <w:r w:rsidRPr="00050FA4">
              <w:rPr>
                <w:sz w:val="20"/>
                <w:szCs w:val="20"/>
                <w:lang w:val="sq-AL"/>
              </w:rPr>
              <w:t xml:space="preserve">Subvencione </w:t>
            </w:r>
            <w:r w:rsidR="00F93704" w:rsidRPr="00050FA4">
              <w:rPr>
                <w:b/>
                <w:sz w:val="18"/>
                <w:szCs w:val="18"/>
                <w:lang w:val="sq-AL"/>
              </w:rPr>
              <w:t>dhe</w:t>
            </w:r>
            <w:r w:rsidRPr="00050FA4">
              <w:rPr>
                <w:sz w:val="20"/>
                <w:szCs w:val="20"/>
                <w:lang w:val="sq-AL"/>
              </w:rPr>
              <w:t xml:space="preserve"> transferta</w:t>
            </w:r>
          </w:p>
        </w:tc>
        <w:tc>
          <w:tcPr>
            <w:tcW w:w="1877" w:type="dxa"/>
          </w:tcPr>
          <w:p w14:paraId="25711199" w14:textId="1F15CB6B" w:rsidR="00E06E0F" w:rsidRPr="00050FA4" w:rsidRDefault="005E44FE" w:rsidP="00A95D23">
            <w:pPr>
              <w:pStyle w:val="AAAAAAATEXXXX"/>
              <w:ind w:firstLine="0"/>
              <w:rPr>
                <w:sz w:val="20"/>
                <w:szCs w:val="20"/>
                <w:lang w:val="sq-AL"/>
              </w:rPr>
            </w:pPr>
            <w:r w:rsidRPr="00050FA4">
              <w:rPr>
                <w:sz w:val="20"/>
                <w:szCs w:val="20"/>
                <w:lang w:val="sq-AL"/>
              </w:rPr>
              <w:t>Shpenzime kapitale</w:t>
            </w:r>
          </w:p>
        </w:tc>
        <w:tc>
          <w:tcPr>
            <w:tcW w:w="1877" w:type="dxa"/>
          </w:tcPr>
          <w:p w14:paraId="7DBCEAD4" w14:textId="63C2ADE3" w:rsidR="00E06E0F" w:rsidRPr="00050FA4" w:rsidRDefault="005E44FE" w:rsidP="00A95D23">
            <w:pPr>
              <w:pStyle w:val="AAAAAAATEXXXX"/>
              <w:ind w:firstLine="0"/>
              <w:rPr>
                <w:sz w:val="20"/>
                <w:szCs w:val="20"/>
                <w:lang w:val="sq-AL"/>
              </w:rPr>
            </w:pPr>
            <w:r w:rsidRPr="00050FA4">
              <w:rPr>
                <w:sz w:val="20"/>
                <w:szCs w:val="20"/>
                <w:lang w:val="sq-AL"/>
              </w:rPr>
              <w:t>Totali</w:t>
            </w:r>
          </w:p>
        </w:tc>
      </w:tr>
      <w:tr w:rsidR="00FA29AB" w:rsidRPr="00050FA4" w14:paraId="455E3688" w14:textId="77777777" w:rsidTr="00BC0346">
        <w:tc>
          <w:tcPr>
            <w:tcW w:w="817" w:type="dxa"/>
          </w:tcPr>
          <w:p w14:paraId="65033FD0" w14:textId="77777777" w:rsidR="00E06E0F" w:rsidRPr="00050FA4" w:rsidRDefault="00E06E0F" w:rsidP="00A95D23">
            <w:pPr>
              <w:pStyle w:val="AAAAAAATEXXXX"/>
              <w:ind w:firstLine="0"/>
              <w:rPr>
                <w:sz w:val="20"/>
                <w:szCs w:val="20"/>
                <w:lang w:val="sq-AL"/>
              </w:rPr>
            </w:pPr>
            <w:r w:rsidRPr="00050FA4">
              <w:rPr>
                <w:sz w:val="20"/>
                <w:szCs w:val="20"/>
                <w:lang w:val="sq-AL"/>
              </w:rPr>
              <w:t>2022</w:t>
            </w:r>
          </w:p>
        </w:tc>
        <w:tc>
          <w:tcPr>
            <w:tcW w:w="1876" w:type="dxa"/>
            <w:vAlign w:val="center"/>
          </w:tcPr>
          <w:p w14:paraId="48B4077F" w14:textId="77777777" w:rsidR="00E06E0F" w:rsidRPr="00050FA4" w:rsidRDefault="00E06E0F" w:rsidP="00A95D23">
            <w:pPr>
              <w:pStyle w:val="AAAAAAATEXXXX"/>
              <w:ind w:firstLine="0"/>
              <w:rPr>
                <w:sz w:val="20"/>
                <w:szCs w:val="20"/>
                <w:lang w:val="sq-AL"/>
              </w:rPr>
            </w:pPr>
          </w:p>
        </w:tc>
        <w:tc>
          <w:tcPr>
            <w:tcW w:w="1877" w:type="dxa"/>
            <w:vAlign w:val="center"/>
          </w:tcPr>
          <w:p w14:paraId="3D90736C" w14:textId="77777777" w:rsidR="00E06E0F" w:rsidRPr="00050FA4" w:rsidRDefault="00E06E0F" w:rsidP="00A95D23">
            <w:pPr>
              <w:pStyle w:val="AAAAAAATEXXXX"/>
              <w:ind w:firstLine="0"/>
              <w:rPr>
                <w:sz w:val="20"/>
                <w:szCs w:val="20"/>
                <w:lang w:val="sq-AL"/>
              </w:rPr>
            </w:pPr>
            <w:r w:rsidRPr="00050FA4">
              <w:rPr>
                <w:sz w:val="20"/>
                <w:szCs w:val="20"/>
                <w:lang w:val="sq-AL" w:eastAsia="sq-AL"/>
              </w:rPr>
              <w:t>171,353.0</w:t>
            </w:r>
          </w:p>
        </w:tc>
        <w:tc>
          <w:tcPr>
            <w:tcW w:w="1877" w:type="dxa"/>
            <w:vAlign w:val="center"/>
          </w:tcPr>
          <w:p w14:paraId="69A8B95E" w14:textId="77777777" w:rsidR="00E06E0F" w:rsidRPr="00050FA4" w:rsidRDefault="00E06E0F" w:rsidP="00A95D23">
            <w:pPr>
              <w:pStyle w:val="AAAAAAATEXXXX"/>
              <w:ind w:firstLine="0"/>
              <w:rPr>
                <w:sz w:val="20"/>
                <w:szCs w:val="20"/>
                <w:lang w:val="sq-AL"/>
              </w:rPr>
            </w:pPr>
          </w:p>
        </w:tc>
        <w:tc>
          <w:tcPr>
            <w:tcW w:w="1877" w:type="dxa"/>
            <w:vAlign w:val="center"/>
          </w:tcPr>
          <w:p w14:paraId="08DC41C3" w14:textId="77777777" w:rsidR="00E06E0F" w:rsidRPr="00050FA4" w:rsidRDefault="00E06E0F" w:rsidP="00A95D23">
            <w:pPr>
              <w:pStyle w:val="AAAAAAATEXXXX"/>
              <w:ind w:firstLine="0"/>
              <w:rPr>
                <w:sz w:val="20"/>
                <w:szCs w:val="20"/>
                <w:lang w:val="sq-AL"/>
              </w:rPr>
            </w:pPr>
            <w:r w:rsidRPr="00050FA4">
              <w:rPr>
                <w:sz w:val="20"/>
                <w:szCs w:val="20"/>
                <w:lang w:val="sq-AL" w:eastAsia="sq-AL"/>
              </w:rPr>
              <w:t>0</w:t>
            </w:r>
          </w:p>
        </w:tc>
        <w:tc>
          <w:tcPr>
            <w:tcW w:w="1877" w:type="dxa"/>
            <w:vAlign w:val="center"/>
          </w:tcPr>
          <w:p w14:paraId="04D39DED" w14:textId="77777777" w:rsidR="00E06E0F" w:rsidRPr="00050FA4" w:rsidRDefault="00E06E0F" w:rsidP="00A95D23">
            <w:pPr>
              <w:pStyle w:val="AAAAAAATEXXXX"/>
              <w:ind w:firstLine="0"/>
              <w:rPr>
                <w:sz w:val="20"/>
                <w:szCs w:val="20"/>
                <w:lang w:val="sq-AL"/>
              </w:rPr>
            </w:pPr>
            <w:r w:rsidRPr="00050FA4">
              <w:rPr>
                <w:sz w:val="20"/>
                <w:szCs w:val="20"/>
                <w:lang w:val="sq-AL" w:eastAsia="sq-AL"/>
              </w:rPr>
              <w:t>171,353.0</w:t>
            </w:r>
          </w:p>
        </w:tc>
      </w:tr>
      <w:tr w:rsidR="00FA29AB" w:rsidRPr="00050FA4" w14:paraId="2AE452C5" w14:textId="77777777" w:rsidTr="00BC0346">
        <w:tc>
          <w:tcPr>
            <w:tcW w:w="817" w:type="dxa"/>
          </w:tcPr>
          <w:p w14:paraId="4A5EEA67" w14:textId="77777777" w:rsidR="00E06E0F" w:rsidRPr="00050FA4" w:rsidRDefault="00E06E0F" w:rsidP="00A95D23">
            <w:pPr>
              <w:pStyle w:val="AAAAAAATEXXXX"/>
              <w:ind w:firstLine="0"/>
              <w:rPr>
                <w:sz w:val="20"/>
                <w:szCs w:val="20"/>
                <w:lang w:val="sq-AL"/>
              </w:rPr>
            </w:pPr>
            <w:r w:rsidRPr="00050FA4">
              <w:rPr>
                <w:sz w:val="20"/>
                <w:szCs w:val="20"/>
                <w:lang w:val="sq-AL"/>
              </w:rPr>
              <w:t>2023</w:t>
            </w:r>
          </w:p>
        </w:tc>
        <w:tc>
          <w:tcPr>
            <w:tcW w:w="1876" w:type="dxa"/>
            <w:vAlign w:val="center"/>
          </w:tcPr>
          <w:p w14:paraId="365359F2" w14:textId="77777777" w:rsidR="00E06E0F" w:rsidRPr="00050FA4" w:rsidRDefault="00E06E0F" w:rsidP="00A95D23">
            <w:pPr>
              <w:pStyle w:val="AAAAAAATEXXXX"/>
              <w:ind w:firstLine="0"/>
              <w:rPr>
                <w:sz w:val="20"/>
                <w:szCs w:val="20"/>
                <w:lang w:val="sq-AL"/>
              </w:rPr>
            </w:pPr>
          </w:p>
        </w:tc>
        <w:tc>
          <w:tcPr>
            <w:tcW w:w="1877" w:type="dxa"/>
            <w:vAlign w:val="center"/>
          </w:tcPr>
          <w:p w14:paraId="36AE5B4D" w14:textId="77777777" w:rsidR="00E06E0F" w:rsidRPr="00050FA4" w:rsidRDefault="00E06E0F" w:rsidP="00A95D23">
            <w:pPr>
              <w:pStyle w:val="AAAAAAATEXXXX"/>
              <w:ind w:firstLine="0"/>
              <w:rPr>
                <w:sz w:val="20"/>
                <w:szCs w:val="20"/>
                <w:lang w:val="sq-AL"/>
              </w:rPr>
            </w:pPr>
            <w:r w:rsidRPr="00050FA4">
              <w:rPr>
                <w:sz w:val="20"/>
                <w:szCs w:val="20"/>
                <w:lang w:val="sq-AL" w:eastAsia="sq-AL"/>
              </w:rPr>
              <w:t>176,493.0</w:t>
            </w:r>
          </w:p>
        </w:tc>
        <w:tc>
          <w:tcPr>
            <w:tcW w:w="1877" w:type="dxa"/>
            <w:vAlign w:val="center"/>
          </w:tcPr>
          <w:p w14:paraId="59F17043" w14:textId="77777777" w:rsidR="00E06E0F" w:rsidRPr="00050FA4" w:rsidRDefault="00E06E0F" w:rsidP="00A95D23">
            <w:pPr>
              <w:pStyle w:val="AAAAAAATEXXXX"/>
              <w:ind w:firstLine="0"/>
              <w:rPr>
                <w:sz w:val="20"/>
                <w:szCs w:val="20"/>
                <w:lang w:val="sq-AL"/>
              </w:rPr>
            </w:pPr>
          </w:p>
        </w:tc>
        <w:tc>
          <w:tcPr>
            <w:tcW w:w="1877" w:type="dxa"/>
            <w:vAlign w:val="center"/>
          </w:tcPr>
          <w:p w14:paraId="1E6CABA2" w14:textId="77777777" w:rsidR="00E06E0F" w:rsidRPr="00050FA4" w:rsidRDefault="00E06E0F" w:rsidP="00A95D23">
            <w:pPr>
              <w:pStyle w:val="AAAAAAATEXXXX"/>
              <w:ind w:firstLine="0"/>
              <w:rPr>
                <w:sz w:val="20"/>
                <w:szCs w:val="20"/>
                <w:lang w:val="sq-AL"/>
              </w:rPr>
            </w:pPr>
            <w:r w:rsidRPr="00050FA4">
              <w:rPr>
                <w:sz w:val="20"/>
                <w:szCs w:val="20"/>
                <w:lang w:val="sq-AL" w:eastAsia="sq-AL"/>
              </w:rPr>
              <w:t>0</w:t>
            </w:r>
          </w:p>
        </w:tc>
        <w:tc>
          <w:tcPr>
            <w:tcW w:w="1877" w:type="dxa"/>
            <w:vAlign w:val="center"/>
          </w:tcPr>
          <w:p w14:paraId="4A0131E7" w14:textId="77777777" w:rsidR="00E06E0F" w:rsidRPr="00050FA4" w:rsidRDefault="00E06E0F" w:rsidP="00A95D23">
            <w:pPr>
              <w:pStyle w:val="AAAAAAATEXXXX"/>
              <w:ind w:firstLine="0"/>
              <w:rPr>
                <w:sz w:val="20"/>
                <w:szCs w:val="20"/>
                <w:lang w:val="sq-AL"/>
              </w:rPr>
            </w:pPr>
            <w:r w:rsidRPr="00050FA4">
              <w:rPr>
                <w:sz w:val="20"/>
                <w:szCs w:val="20"/>
                <w:lang w:val="sq-AL" w:eastAsia="sq-AL"/>
              </w:rPr>
              <w:t>176,493.0</w:t>
            </w:r>
          </w:p>
        </w:tc>
      </w:tr>
      <w:tr w:rsidR="00FA29AB" w:rsidRPr="00050FA4" w14:paraId="1757DFD0" w14:textId="77777777" w:rsidTr="00BC0346">
        <w:tc>
          <w:tcPr>
            <w:tcW w:w="817" w:type="dxa"/>
          </w:tcPr>
          <w:p w14:paraId="14481FF8" w14:textId="77777777" w:rsidR="00E06E0F" w:rsidRPr="00050FA4" w:rsidRDefault="00E06E0F" w:rsidP="00A95D23">
            <w:pPr>
              <w:pStyle w:val="AAAAAAATEXXXX"/>
              <w:ind w:firstLine="0"/>
              <w:rPr>
                <w:sz w:val="20"/>
                <w:szCs w:val="20"/>
                <w:lang w:val="sq-AL"/>
              </w:rPr>
            </w:pPr>
            <w:r w:rsidRPr="00050FA4">
              <w:rPr>
                <w:sz w:val="20"/>
                <w:szCs w:val="20"/>
                <w:lang w:val="sq-AL"/>
              </w:rPr>
              <w:t>2024</w:t>
            </w:r>
          </w:p>
        </w:tc>
        <w:tc>
          <w:tcPr>
            <w:tcW w:w="1876" w:type="dxa"/>
            <w:vAlign w:val="center"/>
          </w:tcPr>
          <w:p w14:paraId="2DFF1CC0" w14:textId="77777777" w:rsidR="00E06E0F" w:rsidRPr="00050FA4" w:rsidRDefault="00E06E0F" w:rsidP="00A95D23">
            <w:pPr>
              <w:pStyle w:val="AAAAAAATEXXXX"/>
              <w:ind w:firstLine="0"/>
              <w:rPr>
                <w:sz w:val="20"/>
                <w:szCs w:val="20"/>
                <w:lang w:val="sq-AL"/>
              </w:rPr>
            </w:pPr>
          </w:p>
        </w:tc>
        <w:tc>
          <w:tcPr>
            <w:tcW w:w="1877" w:type="dxa"/>
            <w:vAlign w:val="center"/>
          </w:tcPr>
          <w:p w14:paraId="2EFEB94F" w14:textId="77777777" w:rsidR="00E06E0F" w:rsidRPr="00050FA4" w:rsidRDefault="00E06E0F" w:rsidP="00A95D23">
            <w:pPr>
              <w:pStyle w:val="AAAAAAATEXXXX"/>
              <w:ind w:firstLine="0"/>
              <w:rPr>
                <w:sz w:val="20"/>
                <w:szCs w:val="20"/>
                <w:lang w:val="sq-AL"/>
              </w:rPr>
            </w:pPr>
            <w:r w:rsidRPr="00050FA4">
              <w:rPr>
                <w:sz w:val="20"/>
                <w:szCs w:val="20"/>
                <w:lang w:val="sq-AL" w:eastAsia="sq-AL"/>
              </w:rPr>
              <w:t>181,788.0</w:t>
            </w:r>
          </w:p>
        </w:tc>
        <w:tc>
          <w:tcPr>
            <w:tcW w:w="1877" w:type="dxa"/>
            <w:vAlign w:val="center"/>
          </w:tcPr>
          <w:p w14:paraId="7D17D114" w14:textId="77777777" w:rsidR="00E06E0F" w:rsidRPr="00050FA4" w:rsidRDefault="00E06E0F" w:rsidP="00A95D23">
            <w:pPr>
              <w:pStyle w:val="AAAAAAATEXXXX"/>
              <w:ind w:firstLine="0"/>
              <w:rPr>
                <w:sz w:val="20"/>
                <w:szCs w:val="20"/>
                <w:lang w:val="sq-AL"/>
              </w:rPr>
            </w:pPr>
          </w:p>
        </w:tc>
        <w:tc>
          <w:tcPr>
            <w:tcW w:w="1877" w:type="dxa"/>
            <w:vAlign w:val="center"/>
          </w:tcPr>
          <w:p w14:paraId="15BCF41D" w14:textId="77777777" w:rsidR="00E06E0F" w:rsidRPr="00050FA4" w:rsidRDefault="00E06E0F" w:rsidP="00A95D23">
            <w:pPr>
              <w:pStyle w:val="AAAAAAATEXXXX"/>
              <w:ind w:firstLine="0"/>
              <w:rPr>
                <w:sz w:val="20"/>
                <w:szCs w:val="20"/>
                <w:lang w:val="sq-AL"/>
              </w:rPr>
            </w:pPr>
            <w:r w:rsidRPr="00050FA4">
              <w:rPr>
                <w:sz w:val="20"/>
                <w:szCs w:val="20"/>
                <w:lang w:val="sq-AL" w:eastAsia="sq-AL"/>
              </w:rPr>
              <w:t>0</w:t>
            </w:r>
          </w:p>
        </w:tc>
        <w:tc>
          <w:tcPr>
            <w:tcW w:w="1877" w:type="dxa"/>
            <w:vAlign w:val="center"/>
          </w:tcPr>
          <w:p w14:paraId="0CEDBC27" w14:textId="77777777" w:rsidR="00E06E0F" w:rsidRPr="00050FA4" w:rsidRDefault="00E06E0F" w:rsidP="00A95D23">
            <w:pPr>
              <w:pStyle w:val="AAAAAAATEXXXX"/>
              <w:ind w:firstLine="0"/>
              <w:rPr>
                <w:sz w:val="20"/>
                <w:szCs w:val="20"/>
                <w:lang w:val="sq-AL"/>
              </w:rPr>
            </w:pPr>
            <w:r w:rsidRPr="00050FA4">
              <w:rPr>
                <w:sz w:val="20"/>
                <w:szCs w:val="20"/>
                <w:lang w:val="sq-AL" w:eastAsia="sq-AL"/>
              </w:rPr>
              <w:t>181,788.0</w:t>
            </w:r>
          </w:p>
        </w:tc>
      </w:tr>
    </w:tbl>
    <w:p w14:paraId="2131F885" w14:textId="77777777" w:rsidR="00E06E0F" w:rsidRPr="00050FA4" w:rsidRDefault="00E06E0F" w:rsidP="003F1DA7">
      <w:pPr>
        <w:pStyle w:val="AAAAAAATEXXXX"/>
        <w:rPr>
          <w:bCs/>
          <w:sz w:val="20"/>
          <w:szCs w:val="20"/>
          <w:lang w:val="sq-AL"/>
        </w:rPr>
      </w:pPr>
    </w:p>
    <w:tbl>
      <w:tblPr>
        <w:tblStyle w:val="TableGrid"/>
        <w:tblW w:w="10201" w:type="dxa"/>
        <w:tblLook w:val="04A0" w:firstRow="1" w:lastRow="0" w:firstColumn="1" w:lastColumn="0" w:noHBand="0" w:noVBand="1"/>
      </w:tblPr>
      <w:tblGrid>
        <w:gridCol w:w="817"/>
        <w:gridCol w:w="1876"/>
        <w:gridCol w:w="1877"/>
        <w:gridCol w:w="1877"/>
        <w:gridCol w:w="1877"/>
        <w:gridCol w:w="1877"/>
      </w:tblGrid>
      <w:tr w:rsidR="00FA29AB" w:rsidRPr="00050FA4" w14:paraId="4BDA7FED" w14:textId="77777777" w:rsidTr="00F51BF1">
        <w:tc>
          <w:tcPr>
            <w:tcW w:w="10201" w:type="dxa"/>
            <w:gridSpan w:val="6"/>
            <w:shd w:val="clear" w:color="auto" w:fill="E5DFEC" w:themeFill="accent4" w:themeFillTint="33"/>
          </w:tcPr>
          <w:p w14:paraId="1517C483" w14:textId="515074D4" w:rsidR="00E06E0F" w:rsidRPr="00050FA4" w:rsidRDefault="00B2062A" w:rsidP="00A95D23">
            <w:pPr>
              <w:pStyle w:val="AAAAAAATEXXXX"/>
              <w:ind w:firstLine="0"/>
              <w:rPr>
                <w:b/>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19:</w:t>
            </w:r>
            <w:r w:rsidR="000B0C45" w:rsidRPr="00050FA4">
              <w:rPr>
                <w:b/>
                <w:sz w:val="20"/>
                <w:szCs w:val="20"/>
                <w:lang w:val="sq-AL"/>
              </w:rPr>
              <w:t xml:space="preserve"> </w:t>
            </w:r>
            <w:r w:rsidR="00461CA0" w:rsidRPr="00050FA4">
              <w:rPr>
                <w:b/>
                <w:sz w:val="20"/>
                <w:szCs w:val="20"/>
                <w:lang w:val="sq-AL" w:eastAsia="sq-AL"/>
              </w:rPr>
              <w:t>Zhvillimi dhe fuqizimi i kompetencës digjitale</w:t>
            </w:r>
          </w:p>
        </w:tc>
      </w:tr>
      <w:tr w:rsidR="00FA29AB" w:rsidRPr="00050FA4" w14:paraId="7F31422E" w14:textId="77777777" w:rsidTr="000109D2">
        <w:tc>
          <w:tcPr>
            <w:tcW w:w="817" w:type="dxa"/>
            <w:vAlign w:val="center"/>
          </w:tcPr>
          <w:p w14:paraId="186A72A1" w14:textId="2C521090" w:rsidR="00E06E0F" w:rsidRPr="00050FA4" w:rsidRDefault="005E44FE" w:rsidP="000109D2">
            <w:pPr>
              <w:pStyle w:val="AAAAAAATEXXXX"/>
              <w:ind w:firstLine="0"/>
              <w:jc w:val="center"/>
              <w:rPr>
                <w:b/>
                <w:sz w:val="20"/>
                <w:szCs w:val="20"/>
                <w:lang w:val="sq-AL"/>
              </w:rPr>
            </w:pPr>
            <w:r w:rsidRPr="00050FA4">
              <w:rPr>
                <w:b/>
                <w:sz w:val="20"/>
                <w:szCs w:val="20"/>
                <w:lang w:val="sq-AL"/>
              </w:rPr>
              <w:lastRenderedPageBreak/>
              <w:t>Viti</w:t>
            </w:r>
          </w:p>
        </w:tc>
        <w:tc>
          <w:tcPr>
            <w:tcW w:w="1876" w:type="dxa"/>
            <w:vAlign w:val="center"/>
          </w:tcPr>
          <w:p w14:paraId="46BC418F" w14:textId="2D89C1E9" w:rsidR="00E06E0F" w:rsidRPr="00050FA4" w:rsidRDefault="005E44FE" w:rsidP="000109D2">
            <w:pPr>
              <w:pStyle w:val="AAAAAAATEXXXX"/>
              <w:ind w:firstLine="0"/>
              <w:jc w:val="center"/>
              <w:rPr>
                <w:b/>
                <w:sz w:val="20"/>
                <w:szCs w:val="20"/>
                <w:lang w:val="sq-AL"/>
              </w:rPr>
            </w:pPr>
            <w:r w:rsidRPr="00050FA4">
              <w:rPr>
                <w:b/>
                <w:sz w:val="20"/>
                <w:szCs w:val="20"/>
                <w:lang w:val="sq-AL"/>
              </w:rPr>
              <w:t>Rrogat</w:t>
            </w:r>
          </w:p>
        </w:tc>
        <w:tc>
          <w:tcPr>
            <w:tcW w:w="1877" w:type="dxa"/>
            <w:vAlign w:val="center"/>
          </w:tcPr>
          <w:p w14:paraId="3F2BF832" w14:textId="56A3BCDE" w:rsidR="00E06E0F" w:rsidRPr="00050FA4" w:rsidRDefault="005E44FE" w:rsidP="000109D2">
            <w:pPr>
              <w:pStyle w:val="AAAAAAATEXXXX"/>
              <w:ind w:firstLine="0"/>
              <w:jc w:val="center"/>
              <w:rPr>
                <w:b/>
                <w:sz w:val="20"/>
                <w:szCs w:val="20"/>
                <w:lang w:val="sq-AL"/>
              </w:rPr>
            </w:pPr>
            <w:r w:rsidRPr="00050FA4">
              <w:rPr>
                <w:b/>
                <w:sz w:val="20"/>
                <w:szCs w:val="20"/>
                <w:lang w:val="sq-AL"/>
              </w:rPr>
              <w:t>Mallra dhe shërbime</w:t>
            </w:r>
          </w:p>
        </w:tc>
        <w:tc>
          <w:tcPr>
            <w:tcW w:w="1877" w:type="dxa"/>
            <w:vAlign w:val="center"/>
          </w:tcPr>
          <w:p w14:paraId="14DD6990" w14:textId="430B16C3" w:rsidR="00E06E0F" w:rsidRPr="00050FA4" w:rsidRDefault="005E44FE" w:rsidP="000109D2">
            <w:pPr>
              <w:pStyle w:val="AAAAAAATEXXXX"/>
              <w:ind w:firstLine="0"/>
              <w:jc w:val="center"/>
              <w:rPr>
                <w:b/>
                <w:sz w:val="20"/>
                <w:szCs w:val="20"/>
                <w:lang w:val="sq-AL"/>
              </w:rPr>
            </w:pPr>
            <w:r w:rsidRPr="00050FA4">
              <w:rPr>
                <w:b/>
                <w:sz w:val="20"/>
                <w:szCs w:val="20"/>
                <w:lang w:val="sq-AL"/>
              </w:rPr>
              <w:t xml:space="preserve">Subvencione </w:t>
            </w:r>
            <w:r w:rsidR="00F93704" w:rsidRPr="00050FA4">
              <w:rPr>
                <w:b/>
                <w:sz w:val="18"/>
                <w:szCs w:val="18"/>
                <w:lang w:val="sq-AL"/>
              </w:rPr>
              <w:t>dhe</w:t>
            </w:r>
            <w:r w:rsidRPr="00050FA4">
              <w:rPr>
                <w:b/>
                <w:sz w:val="20"/>
                <w:szCs w:val="20"/>
                <w:lang w:val="sq-AL"/>
              </w:rPr>
              <w:t xml:space="preserve"> transferta</w:t>
            </w:r>
          </w:p>
        </w:tc>
        <w:tc>
          <w:tcPr>
            <w:tcW w:w="1877" w:type="dxa"/>
            <w:vAlign w:val="center"/>
          </w:tcPr>
          <w:p w14:paraId="0D277329" w14:textId="3130A02C" w:rsidR="00E06E0F" w:rsidRPr="00050FA4" w:rsidRDefault="005E44FE" w:rsidP="000109D2">
            <w:pPr>
              <w:pStyle w:val="AAAAAAATEXXXX"/>
              <w:ind w:firstLine="0"/>
              <w:jc w:val="center"/>
              <w:rPr>
                <w:b/>
                <w:sz w:val="20"/>
                <w:szCs w:val="20"/>
                <w:lang w:val="sq-AL"/>
              </w:rPr>
            </w:pPr>
            <w:r w:rsidRPr="00050FA4">
              <w:rPr>
                <w:b/>
                <w:sz w:val="20"/>
                <w:szCs w:val="20"/>
                <w:lang w:val="sq-AL"/>
              </w:rPr>
              <w:t>Shpenzime kapitale</w:t>
            </w:r>
          </w:p>
        </w:tc>
        <w:tc>
          <w:tcPr>
            <w:tcW w:w="1877" w:type="dxa"/>
            <w:vAlign w:val="center"/>
          </w:tcPr>
          <w:p w14:paraId="3D79A810" w14:textId="14CD8D29" w:rsidR="00E06E0F" w:rsidRPr="00050FA4" w:rsidRDefault="005E44FE" w:rsidP="000109D2">
            <w:pPr>
              <w:pStyle w:val="AAAAAAATEXXXX"/>
              <w:ind w:firstLine="0"/>
              <w:jc w:val="center"/>
              <w:rPr>
                <w:b/>
                <w:sz w:val="20"/>
                <w:szCs w:val="20"/>
                <w:lang w:val="sq-AL"/>
              </w:rPr>
            </w:pPr>
            <w:r w:rsidRPr="00050FA4">
              <w:rPr>
                <w:b/>
                <w:sz w:val="20"/>
                <w:szCs w:val="20"/>
                <w:lang w:val="sq-AL"/>
              </w:rPr>
              <w:t>Totali</w:t>
            </w:r>
          </w:p>
        </w:tc>
      </w:tr>
      <w:tr w:rsidR="00FA29AB" w:rsidRPr="00050FA4" w14:paraId="71858A9F" w14:textId="77777777" w:rsidTr="00BC0346">
        <w:tc>
          <w:tcPr>
            <w:tcW w:w="817" w:type="dxa"/>
          </w:tcPr>
          <w:p w14:paraId="1FC4CCC8" w14:textId="77777777" w:rsidR="00E06E0F" w:rsidRPr="00050FA4" w:rsidRDefault="00E06E0F" w:rsidP="00A95D23">
            <w:pPr>
              <w:pStyle w:val="AAAAAAATEXXXX"/>
              <w:ind w:firstLine="0"/>
              <w:rPr>
                <w:sz w:val="20"/>
                <w:szCs w:val="20"/>
                <w:lang w:val="sq-AL"/>
              </w:rPr>
            </w:pPr>
            <w:r w:rsidRPr="00050FA4">
              <w:rPr>
                <w:sz w:val="20"/>
                <w:szCs w:val="20"/>
                <w:lang w:val="sq-AL"/>
              </w:rPr>
              <w:t>2022</w:t>
            </w:r>
          </w:p>
        </w:tc>
        <w:tc>
          <w:tcPr>
            <w:tcW w:w="1876" w:type="dxa"/>
            <w:vAlign w:val="center"/>
          </w:tcPr>
          <w:p w14:paraId="5BF0E80D" w14:textId="77777777" w:rsidR="00E06E0F" w:rsidRPr="00050FA4" w:rsidRDefault="00E06E0F" w:rsidP="00A95D23">
            <w:pPr>
              <w:pStyle w:val="AAAAAAATEXXXX"/>
              <w:ind w:firstLine="0"/>
              <w:rPr>
                <w:sz w:val="20"/>
                <w:szCs w:val="20"/>
                <w:lang w:val="sq-AL"/>
              </w:rPr>
            </w:pPr>
          </w:p>
        </w:tc>
        <w:tc>
          <w:tcPr>
            <w:tcW w:w="1877" w:type="dxa"/>
            <w:vAlign w:val="center"/>
          </w:tcPr>
          <w:p w14:paraId="44031AEE" w14:textId="77777777" w:rsidR="00E06E0F" w:rsidRPr="00050FA4" w:rsidRDefault="00E06E0F" w:rsidP="00A95D23">
            <w:pPr>
              <w:pStyle w:val="AAAAAAATEXXXX"/>
              <w:ind w:firstLine="0"/>
              <w:rPr>
                <w:sz w:val="20"/>
                <w:szCs w:val="20"/>
                <w:lang w:val="sq-AL"/>
              </w:rPr>
            </w:pPr>
            <w:r w:rsidRPr="00050FA4">
              <w:rPr>
                <w:sz w:val="20"/>
                <w:szCs w:val="20"/>
                <w:lang w:val="sq-AL" w:eastAsia="sq-AL"/>
              </w:rPr>
              <w:t>3,124.2</w:t>
            </w:r>
          </w:p>
        </w:tc>
        <w:tc>
          <w:tcPr>
            <w:tcW w:w="1877" w:type="dxa"/>
            <w:vAlign w:val="center"/>
          </w:tcPr>
          <w:p w14:paraId="462CFEFE" w14:textId="77777777" w:rsidR="00E06E0F" w:rsidRPr="00050FA4" w:rsidRDefault="00E06E0F" w:rsidP="00A95D23">
            <w:pPr>
              <w:pStyle w:val="AAAAAAATEXXXX"/>
              <w:ind w:firstLine="0"/>
              <w:rPr>
                <w:sz w:val="20"/>
                <w:szCs w:val="20"/>
                <w:lang w:val="sq-AL"/>
              </w:rPr>
            </w:pPr>
          </w:p>
        </w:tc>
        <w:tc>
          <w:tcPr>
            <w:tcW w:w="1877" w:type="dxa"/>
            <w:vAlign w:val="center"/>
          </w:tcPr>
          <w:p w14:paraId="473F2AA5" w14:textId="77777777" w:rsidR="00E06E0F" w:rsidRPr="00050FA4" w:rsidRDefault="00E06E0F" w:rsidP="00A95D23">
            <w:pPr>
              <w:pStyle w:val="AAAAAAATEXXXX"/>
              <w:ind w:firstLine="0"/>
              <w:rPr>
                <w:sz w:val="20"/>
                <w:szCs w:val="20"/>
                <w:lang w:val="sq-AL"/>
              </w:rPr>
            </w:pPr>
            <w:r w:rsidRPr="00050FA4">
              <w:rPr>
                <w:sz w:val="20"/>
                <w:szCs w:val="20"/>
                <w:lang w:val="sq-AL" w:eastAsia="sq-AL"/>
              </w:rPr>
              <w:t>170,000</w:t>
            </w:r>
          </w:p>
        </w:tc>
        <w:tc>
          <w:tcPr>
            <w:tcW w:w="1877" w:type="dxa"/>
            <w:vAlign w:val="center"/>
          </w:tcPr>
          <w:p w14:paraId="5D53C3A5" w14:textId="77777777" w:rsidR="00E06E0F" w:rsidRPr="00050FA4" w:rsidRDefault="00E06E0F" w:rsidP="00A95D23">
            <w:pPr>
              <w:pStyle w:val="AAAAAAATEXXXX"/>
              <w:ind w:firstLine="0"/>
              <w:rPr>
                <w:sz w:val="20"/>
                <w:szCs w:val="20"/>
                <w:lang w:val="sq-AL"/>
              </w:rPr>
            </w:pPr>
            <w:r w:rsidRPr="00050FA4">
              <w:rPr>
                <w:sz w:val="20"/>
                <w:szCs w:val="20"/>
                <w:lang w:val="sq-AL" w:eastAsia="sq-AL"/>
              </w:rPr>
              <w:t>173,124.2</w:t>
            </w:r>
          </w:p>
        </w:tc>
      </w:tr>
      <w:tr w:rsidR="00FA29AB" w:rsidRPr="00050FA4" w14:paraId="2741FF0A" w14:textId="77777777" w:rsidTr="00BC0346">
        <w:tc>
          <w:tcPr>
            <w:tcW w:w="817" w:type="dxa"/>
          </w:tcPr>
          <w:p w14:paraId="2B23F55E" w14:textId="77777777" w:rsidR="00E06E0F" w:rsidRPr="00050FA4" w:rsidRDefault="00E06E0F" w:rsidP="00A95D23">
            <w:pPr>
              <w:pStyle w:val="AAAAAAATEXXXX"/>
              <w:ind w:firstLine="0"/>
              <w:rPr>
                <w:sz w:val="20"/>
                <w:szCs w:val="20"/>
                <w:lang w:val="sq-AL"/>
              </w:rPr>
            </w:pPr>
            <w:r w:rsidRPr="00050FA4">
              <w:rPr>
                <w:sz w:val="20"/>
                <w:szCs w:val="20"/>
                <w:lang w:val="sq-AL"/>
              </w:rPr>
              <w:t>2023</w:t>
            </w:r>
          </w:p>
        </w:tc>
        <w:tc>
          <w:tcPr>
            <w:tcW w:w="1876" w:type="dxa"/>
            <w:vAlign w:val="center"/>
          </w:tcPr>
          <w:p w14:paraId="1D88D784" w14:textId="77777777" w:rsidR="00E06E0F" w:rsidRPr="00050FA4" w:rsidRDefault="00E06E0F" w:rsidP="00A95D23">
            <w:pPr>
              <w:pStyle w:val="AAAAAAATEXXXX"/>
              <w:ind w:firstLine="0"/>
              <w:rPr>
                <w:sz w:val="20"/>
                <w:szCs w:val="20"/>
                <w:lang w:val="sq-AL"/>
              </w:rPr>
            </w:pPr>
          </w:p>
        </w:tc>
        <w:tc>
          <w:tcPr>
            <w:tcW w:w="1877" w:type="dxa"/>
            <w:vAlign w:val="center"/>
          </w:tcPr>
          <w:p w14:paraId="25C0978E" w14:textId="77777777" w:rsidR="00E06E0F" w:rsidRPr="00050FA4" w:rsidRDefault="00E06E0F" w:rsidP="00A95D23">
            <w:pPr>
              <w:pStyle w:val="AAAAAAATEXXXX"/>
              <w:ind w:firstLine="0"/>
              <w:rPr>
                <w:sz w:val="20"/>
                <w:szCs w:val="20"/>
                <w:lang w:val="sq-AL"/>
              </w:rPr>
            </w:pPr>
            <w:r w:rsidRPr="00050FA4">
              <w:rPr>
                <w:sz w:val="20"/>
                <w:szCs w:val="20"/>
                <w:lang w:val="sq-AL" w:eastAsia="sq-AL"/>
              </w:rPr>
              <w:t>6,814.2</w:t>
            </w:r>
          </w:p>
        </w:tc>
        <w:tc>
          <w:tcPr>
            <w:tcW w:w="1877" w:type="dxa"/>
            <w:vAlign w:val="center"/>
          </w:tcPr>
          <w:p w14:paraId="6882E9B1" w14:textId="77777777" w:rsidR="00E06E0F" w:rsidRPr="00050FA4" w:rsidRDefault="00E06E0F" w:rsidP="00A95D23">
            <w:pPr>
              <w:pStyle w:val="AAAAAAATEXXXX"/>
              <w:ind w:firstLine="0"/>
              <w:rPr>
                <w:sz w:val="20"/>
                <w:szCs w:val="20"/>
                <w:lang w:val="sq-AL"/>
              </w:rPr>
            </w:pPr>
          </w:p>
        </w:tc>
        <w:tc>
          <w:tcPr>
            <w:tcW w:w="1877" w:type="dxa"/>
            <w:vAlign w:val="center"/>
          </w:tcPr>
          <w:p w14:paraId="014C139B" w14:textId="77777777" w:rsidR="00E06E0F" w:rsidRPr="00050FA4" w:rsidRDefault="00E06E0F" w:rsidP="00A95D23">
            <w:pPr>
              <w:pStyle w:val="AAAAAAATEXXXX"/>
              <w:ind w:firstLine="0"/>
              <w:rPr>
                <w:sz w:val="20"/>
                <w:szCs w:val="20"/>
                <w:lang w:val="sq-AL"/>
              </w:rPr>
            </w:pPr>
            <w:r w:rsidRPr="00050FA4">
              <w:rPr>
                <w:sz w:val="20"/>
                <w:szCs w:val="20"/>
                <w:lang w:val="sq-AL" w:eastAsia="sq-AL"/>
              </w:rPr>
              <w:t>170,000</w:t>
            </w:r>
          </w:p>
        </w:tc>
        <w:tc>
          <w:tcPr>
            <w:tcW w:w="1877" w:type="dxa"/>
            <w:vAlign w:val="center"/>
          </w:tcPr>
          <w:p w14:paraId="5E98CECA" w14:textId="77777777" w:rsidR="00E06E0F" w:rsidRPr="00050FA4" w:rsidRDefault="00E06E0F" w:rsidP="00A95D23">
            <w:pPr>
              <w:pStyle w:val="AAAAAAATEXXXX"/>
              <w:ind w:firstLine="0"/>
              <w:rPr>
                <w:sz w:val="20"/>
                <w:szCs w:val="20"/>
                <w:lang w:val="sq-AL"/>
              </w:rPr>
            </w:pPr>
            <w:r w:rsidRPr="00050FA4">
              <w:rPr>
                <w:sz w:val="20"/>
                <w:szCs w:val="20"/>
                <w:lang w:val="sq-AL" w:eastAsia="sq-AL"/>
              </w:rPr>
              <w:t>176,814.2</w:t>
            </w:r>
          </w:p>
        </w:tc>
      </w:tr>
      <w:tr w:rsidR="00FA29AB" w:rsidRPr="00050FA4" w14:paraId="22F236A4" w14:textId="77777777" w:rsidTr="00BC0346">
        <w:tc>
          <w:tcPr>
            <w:tcW w:w="817" w:type="dxa"/>
          </w:tcPr>
          <w:p w14:paraId="29E1F7E7" w14:textId="77777777" w:rsidR="00E06E0F" w:rsidRPr="00050FA4" w:rsidRDefault="00E06E0F" w:rsidP="00A95D23">
            <w:pPr>
              <w:pStyle w:val="AAAAAAATEXXXX"/>
              <w:ind w:firstLine="0"/>
              <w:rPr>
                <w:sz w:val="20"/>
                <w:szCs w:val="20"/>
                <w:lang w:val="sq-AL"/>
              </w:rPr>
            </w:pPr>
            <w:r w:rsidRPr="00050FA4">
              <w:rPr>
                <w:sz w:val="20"/>
                <w:szCs w:val="20"/>
                <w:lang w:val="sq-AL"/>
              </w:rPr>
              <w:t>2024</w:t>
            </w:r>
          </w:p>
        </w:tc>
        <w:tc>
          <w:tcPr>
            <w:tcW w:w="1876" w:type="dxa"/>
            <w:vAlign w:val="center"/>
          </w:tcPr>
          <w:p w14:paraId="5CF02784" w14:textId="77777777" w:rsidR="00E06E0F" w:rsidRPr="00050FA4" w:rsidRDefault="00E06E0F" w:rsidP="00A95D23">
            <w:pPr>
              <w:pStyle w:val="AAAAAAATEXXXX"/>
              <w:ind w:firstLine="0"/>
              <w:rPr>
                <w:sz w:val="20"/>
                <w:szCs w:val="20"/>
                <w:lang w:val="sq-AL"/>
              </w:rPr>
            </w:pPr>
          </w:p>
        </w:tc>
        <w:tc>
          <w:tcPr>
            <w:tcW w:w="1877" w:type="dxa"/>
            <w:vAlign w:val="center"/>
          </w:tcPr>
          <w:p w14:paraId="0428E18D" w14:textId="77777777" w:rsidR="00E06E0F" w:rsidRPr="00050FA4" w:rsidRDefault="00E06E0F" w:rsidP="00A95D23">
            <w:pPr>
              <w:pStyle w:val="AAAAAAATEXXXX"/>
              <w:ind w:firstLine="0"/>
              <w:rPr>
                <w:sz w:val="20"/>
                <w:szCs w:val="20"/>
                <w:lang w:val="sq-AL"/>
              </w:rPr>
            </w:pPr>
            <w:r w:rsidRPr="00050FA4">
              <w:rPr>
                <w:sz w:val="20"/>
                <w:szCs w:val="20"/>
                <w:lang w:val="sq-AL" w:eastAsia="sq-AL"/>
              </w:rPr>
              <w:t>10,885.5</w:t>
            </w:r>
          </w:p>
        </w:tc>
        <w:tc>
          <w:tcPr>
            <w:tcW w:w="1877" w:type="dxa"/>
            <w:vAlign w:val="center"/>
          </w:tcPr>
          <w:p w14:paraId="2F619599" w14:textId="77777777" w:rsidR="00E06E0F" w:rsidRPr="00050FA4" w:rsidRDefault="00E06E0F" w:rsidP="00A95D23">
            <w:pPr>
              <w:pStyle w:val="AAAAAAATEXXXX"/>
              <w:ind w:firstLine="0"/>
              <w:rPr>
                <w:sz w:val="20"/>
                <w:szCs w:val="20"/>
                <w:lang w:val="sq-AL"/>
              </w:rPr>
            </w:pPr>
          </w:p>
        </w:tc>
        <w:tc>
          <w:tcPr>
            <w:tcW w:w="1877" w:type="dxa"/>
            <w:vAlign w:val="center"/>
          </w:tcPr>
          <w:p w14:paraId="4DB4CAF9" w14:textId="77777777" w:rsidR="00E06E0F" w:rsidRPr="00050FA4" w:rsidRDefault="00E06E0F" w:rsidP="00A95D23">
            <w:pPr>
              <w:pStyle w:val="AAAAAAATEXXXX"/>
              <w:ind w:firstLine="0"/>
              <w:rPr>
                <w:sz w:val="20"/>
                <w:szCs w:val="20"/>
                <w:lang w:val="sq-AL"/>
              </w:rPr>
            </w:pPr>
            <w:r w:rsidRPr="00050FA4">
              <w:rPr>
                <w:sz w:val="20"/>
                <w:szCs w:val="20"/>
                <w:lang w:val="sq-AL" w:eastAsia="sq-AL"/>
              </w:rPr>
              <w:t>170,000</w:t>
            </w:r>
          </w:p>
        </w:tc>
        <w:tc>
          <w:tcPr>
            <w:tcW w:w="1877" w:type="dxa"/>
            <w:vAlign w:val="center"/>
          </w:tcPr>
          <w:p w14:paraId="2BDB9BBC" w14:textId="77777777" w:rsidR="00E06E0F" w:rsidRPr="00050FA4" w:rsidRDefault="00E06E0F" w:rsidP="00A95D23">
            <w:pPr>
              <w:pStyle w:val="AAAAAAATEXXXX"/>
              <w:ind w:firstLine="0"/>
              <w:rPr>
                <w:sz w:val="20"/>
                <w:szCs w:val="20"/>
                <w:lang w:val="sq-AL"/>
              </w:rPr>
            </w:pPr>
            <w:r w:rsidRPr="00050FA4">
              <w:rPr>
                <w:sz w:val="20"/>
                <w:szCs w:val="20"/>
                <w:lang w:val="sq-AL" w:eastAsia="sq-AL"/>
              </w:rPr>
              <w:t>180,885.5</w:t>
            </w:r>
          </w:p>
        </w:tc>
      </w:tr>
    </w:tbl>
    <w:p w14:paraId="41270606" w14:textId="77777777" w:rsidR="00E06E0F" w:rsidRPr="00050FA4" w:rsidRDefault="00E06E0F" w:rsidP="003F1DA7">
      <w:pPr>
        <w:pStyle w:val="AAAAAAATEXXXX"/>
        <w:rPr>
          <w:bCs/>
          <w:sz w:val="20"/>
          <w:szCs w:val="20"/>
          <w:lang w:val="sq-AL"/>
        </w:rPr>
      </w:pPr>
    </w:p>
    <w:p w14:paraId="14B53190" w14:textId="1DA36D91" w:rsidR="00E06E0F" w:rsidRPr="00050FA4" w:rsidRDefault="004D1F24" w:rsidP="003F1DA7">
      <w:pPr>
        <w:pStyle w:val="AAAAAAATEXXXX"/>
        <w:jc w:val="center"/>
        <w:rPr>
          <w:lang w:val="sq-AL"/>
        </w:rPr>
      </w:pPr>
      <w:bookmarkStart w:id="142" w:name="_Toc93325801"/>
      <w:r w:rsidRPr="00050FA4">
        <w:rPr>
          <w:lang w:val="sq-AL"/>
        </w:rPr>
        <w:t>Tabela</w:t>
      </w:r>
      <w:r w:rsidR="000B0C45" w:rsidRPr="00050FA4">
        <w:rPr>
          <w:lang w:val="sq-AL"/>
        </w:rPr>
        <w:t xml:space="preserve"> </w:t>
      </w:r>
      <w:r w:rsidR="00E06E0F" w:rsidRPr="00050FA4">
        <w:rPr>
          <w:lang w:val="sq-AL"/>
        </w:rPr>
        <w:t>10b:</w:t>
      </w:r>
      <w:r w:rsidR="000B0C45" w:rsidRPr="00050FA4">
        <w:rPr>
          <w:lang w:val="sq-AL"/>
        </w:rPr>
        <w:t xml:space="preserve"> </w:t>
      </w:r>
      <w:r w:rsidR="00E06E0F" w:rsidRPr="00050FA4">
        <w:rPr>
          <w:lang w:val="sq-AL"/>
        </w:rPr>
        <w:t>Financi</w:t>
      </w:r>
      <w:r w:rsidR="005E44FE" w:rsidRPr="00050FA4">
        <w:rPr>
          <w:lang w:val="sq-AL"/>
        </w:rPr>
        <w:t>mi i masave të reformave strukturore</w:t>
      </w:r>
      <w:bookmarkEnd w:id="142"/>
    </w:p>
    <w:p w14:paraId="5FCB0314" w14:textId="0AF96ED5" w:rsidR="00E64BBA" w:rsidRPr="00050FA4" w:rsidRDefault="00B2062A" w:rsidP="003F1DA7">
      <w:pPr>
        <w:pStyle w:val="AAAAAAATEXXXX"/>
        <w:rPr>
          <w:b/>
          <w:bCs/>
          <w:szCs w:val="20"/>
          <w:lang w:val="sq-AL"/>
        </w:rPr>
      </w:pPr>
      <w:bookmarkStart w:id="143" w:name="_Toc93325802"/>
      <w:r w:rsidRPr="00050FA4">
        <w:rPr>
          <w:b/>
          <w:bCs/>
          <w:szCs w:val="20"/>
          <w:lang w:val="sq-AL"/>
        </w:rPr>
        <w:t>Sfida</w:t>
      </w:r>
      <w:r w:rsidR="005E44FE" w:rsidRPr="00050FA4">
        <w:rPr>
          <w:b/>
          <w:bCs/>
          <w:szCs w:val="20"/>
          <w:lang w:val="sq-AL"/>
        </w:rPr>
        <w:t>t</w:t>
      </w:r>
      <w:r w:rsidRPr="00050FA4">
        <w:rPr>
          <w:b/>
          <w:bCs/>
          <w:szCs w:val="20"/>
          <w:lang w:val="sq-AL"/>
        </w:rPr>
        <w:t xml:space="preserve"> </w:t>
      </w:r>
      <w:r w:rsidR="00262236" w:rsidRPr="00050FA4">
        <w:rPr>
          <w:b/>
          <w:bCs/>
          <w:szCs w:val="20"/>
          <w:lang w:val="sq-AL"/>
        </w:rPr>
        <w:t>k</w:t>
      </w:r>
      <w:r w:rsidRPr="00050FA4">
        <w:rPr>
          <w:b/>
          <w:bCs/>
          <w:szCs w:val="20"/>
          <w:lang w:val="sq-AL"/>
        </w:rPr>
        <w:t>yçe</w:t>
      </w:r>
      <w:bookmarkEnd w:id="143"/>
    </w:p>
    <w:p w14:paraId="25B2E2DF" w14:textId="6F436E78" w:rsidR="00E06E0F" w:rsidRPr="00050FA4" w:rsidRDefault="00B2062A" w:rsidP="003F1DA7">
      <w:pPr>
        <w:pStyle w:val="AAAAAAATEXXXX"/>
        <w:rPr>
          <w:szCs w:val="20"/>
          <w:lang w:val="sq-AL"/>
        </w:rPr>
      </w:pPr>
      <w:r w:rsidRPr="00050FA4">
        <w:rPr>
          <w:szCs w:val="20"/>
          <w:lang w:val="sq-AL"/>
        </w:rPr>
        <w:t xml:space="preserve">Sfida </w:t>
      </w:r>
      <w:r w:rsidR="00262236" w:rsidRPr="00050FA4">
        <w:rPr>
          <w:szCs w:val="20"/>
          <w:lang w:val="sq-AL"/>
        </w:rPr>
        <w:t>k</w:t>
      </w:r>
      <w:r w:rsidRPr="00050FA4">
        <w:rPr>
          <w:szCs w:val="20"/>
          <w:lang w:val="sq-AL"/>
        </w:rPr>
        <w:t>yçe</w:t>
      </w:r>
      <w:r w:rsidR="000B0C45" w:rsidRPr="00050FA4">
        <w:rPr>
          <w:szCs w:val="20"/>
          <w:lang w:val="sq-AL"/>
        </w:rPr>
        <w:t xml:space="preserve"> </w:t>
      </w:r>
      <w:r w:rsidR="00E06E0F" w:rsidRPr="00050FA4">
        <w:rPr>
          <w:szCs w:val="20"/>
          <w:lang w:val="sq-AL"/>
        </w:rPr>
        <w:t>#1</w:t>
      </w:r>
    </w:p>
    <w:tbl>
      <w:tblPr>
        <w:tblStyle w:val="TableGrid"/>
        <w:tblW w:w="10201" w:type="dxa"/>
        <w:jc w:val="center"/>
        <w:tblLook w:val="04A0" w:firstRow="1" w:lastRow="0" w:firstColumn="1" w:lastColumn="0" w:noHBand="0" w:noVBand="1"/>
      </w:tblPr>
      <w:tblGrid>
        <w:gridCol w:w="1045"/>
        <w:gridCol w:w="1060"/>
        <w:gridCol w:w="1061"/>
        <w:gridCol w:w="1145"/>
        <w:gridCol w:w="1056"/>
        <w:gridCol w:w="1066"/>
        <w:gridCol w:w="1133"/>
        <w:gridCol w:w="1051"/>
        <w:gridCol w:w="1584"/>
      </w:tblGrid>
      <w:tr w:rsidR="00FA29AB" w:rsidRPr="00050FA4" w14:paraId="20CF0977" w14:textId="77777777" w:rsidTr="000A2731">
        <w:trPr>
          <w:jc w:val="center"/>
        </w:trPr>
        <w:tc>
          <w:tcPr>
            <w:tcW w:w="10201" w:type="dxa"/>
            <w:gridSpan w:val="9"/>
            <w:shd w:val="clear" w:color="auto" w:fill="E5DFEC" w:themeFill="accent4" w:themeFillTint="33"/>
          </w:tcPr>
          <w:p w14:paraId="5AB65B07" w14:textId="5419B9E6"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01:</w:t>
            </w:r>
            <w:r w:rsidR="000B0C45" w:rsidRPr="00050FA4">
              <w:rPr>
                <w:b/>
                <w:sz w:val="18"/>
                <w:szCs w:val="18"/>
                <w:lang w:val="sq-AL"/>
              </w:rPr>
              <w:t xml:space="preserve"> </w:t>
            </w:r>
            <w:r w:rsidR="00461CA0" w:rsidRPr="00050FA4">
              <w:rPr>
                <w:b/>
                <w:sz w:val="18"/>
                <w:szCs w:val="18"/>
                <w:lang w:val="sq-AL"/>
              </w:rPr>
              <w:t>Rritja e cilësisë dhe aksesit në AFP</w:t>
            </w:r>
            <w:r w:rsidR="00B7135B" w:rsidRPr="00050FA4">
              <w:rPr>
                <w:rStyle w:val="FootnoteReference"/>
                <w:rFonts w:cstheme="majorBidi"/>
                <w:b/>
                <w:color w:val="0D0D0D" w:themeColor="text1" w:themeTint="F2"/>
                <w:sz w:val="18"/>
                <w:szCs w:val="18"/>
                <w:lang w:val="sq-AL"/>
              </w:rPr>
              <w:footnoteReference w:id="40"/>
            </w:r>
          </w:p>
        </w:tc>
      </w:tr>
      <w:tr w:rsidR="00FA29AB" w:rsidRPr="00050FA4" w14:paraId="450FD07A" w14:textId="77777777" w:rsidTr="000A2731">
        <w:trPr>
          <w:jc w:val="center"/>
        </w:trPr>
        <w:tc>
          <w:tcPr>
            <w:tcW w:w="1045" w:type="dxa"/>
            <w:vAlign w:val="center"/>
          </w:tcPr>
          <w:p w14:paraId="41AADF9D" w14:textId="61757A63"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60" w:type="dxa"/>
            <w:vAlign w:val="center"/>
          </w:tcPr>
          <w:p w14:paraId="53516B84" w14:textId="4841B14C"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61" w:type="dxa"/>
            <w:vAlign w:val="center"/>
          </w:tcPr>
          <w:p w14:paraId="75968CDA" w14:textId="1A6ACAB9"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145" w:type="dxa"/>
            <w:vAlign w:val="center"/>
          </w:tcPr>
          <w:p w14:paraId="2BA68899" w14:textId="677324BE"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56" w:type="dxa"/>
            <w:vAlign w:val="center"/>
          </w:tcPr>
          <w:p w14:paraId="2ED323BC" w14:textId="16F7087C"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66" w:type="dxa"/>
            <w:vAlign w:val="center"/>
          </w:tcPr>
          <w:p w14:paraId="750EA814" w14:textId="652F244E"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133" w:type="dxa"/>
            <w:vAlign w:val="center"/>
          </w:tcPr>
          <w:p w14:paraId="4E52FDBA" w14:textId="244F412C"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51" w:type="dxa"/>
            <w:vAlign w:val="center"/>
          </w:tcPr>
          <w:p w14:paraId="60DCA927"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584" w:type="dxa"/>
            <w:vAlign w:val="center"/>
          </w:tcPr>
          <w:p w14:paraId="0C521C2E" w14:textId="07E4AB27"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10B95789" w14:textId="77777777" w:rsidTr="000A2731">
        <w:trPr>
          <w:trHeight w:val="323"/>
          <w:jc w:val="center"/>
        </w:trPr>
        <w:tc>
          <w:tcPr>
            <w:tcW w:w="1045" w:type="dxa"/>
          </w:tcPr>
          <w:p w14:paraId="0ABDA1E7" w14:textId="77777777" w:rsidR="00B7135B" w:rsidRPr="00050FA4" w:rsidRDefault="00B7135B" w:rsidP="00A250C1">
            <w:pPr>
              <w:pStyle w:val="AAAAAAATEXXXX"/>
              <w:ind w:firstLine="0"/>
              <w:rPr>
                <w:sz w:val="18"/>
                <w:szCs w:val="18"/>
                <w:lang w:val="sq-AL"/>
              </w:rPr>
            </w:pPr>
            <w:r w:rsidRPr="00050FA4">
              <w:rPr>
                <w:sz w:val="18"/>
                <w:szCs w:val="18"/>
                <w:lang w:val="sq-AL"/>
              </w:rPr>
              <w:t>2022</w:t>
            </w:r>
          </w:p>
        </w:tc>
        <w:tc>
          <w:tcPr>
            <w:tcW w:w="1060" w:type="dxa"/>
          </w:tcPr>
          <w:p w14:paraId="27F8DCA2" w14:textId="20937337" w:rsidR="00B7135B" w:rsidRPr="00050FA4" w:rsidRDefault="00B7135B" w:rsidP="000A2731">
            <w:pPr>
              <w:pStyle w:val="AAAAAAATEXXXX"/>
              <w:ind w:firstLine="0"/>
              <w:jc w:val="right"/>
              <w:rPr>
                <w:sz w:val="18"/>
                <w:szCs w:val="18"/>
                <w:lang w:val="sq-AL"/>
              </w:rPr>
            </w:pPr>
            <w:r w:rsidRPr="00050FA4">
              <w:rPr>
                <w:sz w:val="18"/>
                <w:szCs w:val="18"/>
                <w:lang w:val="sq-AL"/>
              </w:rPr>
              <w:t>4,650,800</w:t>
            </w:r>
          </w:p>
        </w:tc>
        <w:tc>
          <w:tcPr>
            <w:tcW w:w="1061" w:type="dxa"/>
          </w:tcPr>
          <w:p w14:paraId="1134F1CB" w14:textId="53B7CDE3"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145" w:type="dxa"/>
          </w:tcPr>
          <w:p w14:paraId="372CC267" w14:textId="4D624D30"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056" w:type="dxa"/>
          </w:tcPr>
          <w:p w14:paraId="4B2AB219" w14:textId="4F380E77"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066" w:type="dxa"/>
          </w:tcPr>
          <w:p w14:paraId="3FFF4A44" w14:textId="348FD7E1" w:rsidR="00B7135B" w:rsidRPr="00050FA4" w:rsidRDefault="00B7135B" w:rsidP="000A2731">
            <w:pPr>
              <w:pStyle w:val="AAAAAAATEXXXX"/>
              <w:ind w:firstLine="0"/>
              <w:jc w:val="right"/>
              <w:rPr>
                <w:sz w:val="18"/>
                <w:szCs w:val="18"/>
                <w:lang w:val="sq-AL"/>
              </w:rPr>
            </w:pPr>
            <w:r w:rsidRPr="00050FA4">
              <w:rPr>
                <w:sz w:val="18"/>
                <w:szCs w:val="18"/>
                <w:lang w:val="sq-AL"/>
              </w:rPr>
              <w:t>2,900,000</w:t>
            </w:r>
          </w:p>
        </w:tc>
        <w:tc>
          <w:tcPr>
            <w:tcW w:w="1133" w:type="dxa"/>
          </w:tcPr>
          <w:p w14:paraId="3FD0DCBC" w14:textId="77777777" w:rsidR="00B7135B" w:rsidRPr="00050FA4" w:rsidRDefault="00B7135B" w:rsidP="000A2731">
            <w:pPr>
              <w:pStyle w:val="AAAAAAATEXXXX"/>
              <w:ind w:firstLine="0"/>
              <w:jc w:val="right"/>
              <w:rPr>
                <w:sz w:val="18"/>
                <w:szCs w:val="18"/>
                <w:lang w:val="sq-AL"/>
              </w:rPr>
            </w:pPr>
          </w:p>
        </w:tc>
        <w:tc>
          <w:tcPr>
            <w:tcW w:w="1051" w:type="dxa"/>
            <w:shd w:val="clear" w:color="auto" w:fill="808080" w:themeFill="background1" w:themeFillShade="80"/>
          </w:tcPr>
          <w:p w14:paraId="4AB0DD75" w14:textId="77777777" w:rsidR="00B7135B" w:rsidRPr="00050FA4" w:rsidRDefault="00B7135B" w:rsidP="000A2731">
            <w:pPr>
              <w:pStyle w:val="AAAAAAATEXXXX"/>
              <w:ind w:firstLine="0"/>
              <w:jc w:val="right"/>
              <w:rPr>
                <w:sz w:val="18"/>
                <w:szCs w:val="18"/>
                <w:lang w:val="sq-AL"/>
              </w:rPr>
            </w:pPr>
          </w:p>
        </w:tc>
        <w:tc>
          <w:tcPr>
            <w:tcW w:w="1584" w:type="dxa"/>
            <w:vAlign w:val="bottom"/>
          </w:tcPr>
          <w:p w14:paraId="7E2C9E14" w14:textId="0D5994C1" w:rsidR="00B7135B" w:rsidRPr="00050FA4" w:rsidRDefault="00B7135B" w:rsidP="000A2731">
            <w:pPr>
              <w:pStyle w:val="AAAAAAATEXXXX"/>
              <w:ind w:firstLine="0"/>
              <w:jc w:val="right"/>
              <w:rPr>
                <w:sz w:val="18"/>
                <w:szCs w:val="18"/>
                <w:lang w:val="sq-AL"/>
              </w:rPr>
            </w:pPr>
            <w:r w:rsidRPr="00050FA4">
              <w:rPr>
                <w:sz w:val="18"/>
                <w:szCs w:val="18"/>
                <w:lang w:val="sq-AL"/>
              </w:rPr>
              <w:t>7,550,800</w:t>
            </w:r>
          </w:p>
        </w:tc>
      </w:tr>
      <w:tr w:rsidR="00FA29AB" w:rsidRPr="00050FA4" w14:paraId="63CBF263" w14:textId="77777777" w:rsidTr="000A2731">
        <w:trPr>
          <w:jc w:val="center"/>
        </w:trPr>
        <w:tc>
          <w:tcPr>
            <w:tcW w:w="1045" w:type="dxa"/>
          </w:tcPr>
          <w:p w14:paraId="315FD665" w14:textId="77777777" w:rsidR="00B7135B" w:rsidRPr="00050FA4" w:rsidRDefault="00B7135B" w:rsidP="00A250C1">
            <w:pPr>
              <w:pStyle w:val="AAAAAAATEXXXX"/>
              <w:ind w:firstLine="0"/>
              <w:rPr>
                <w:sz w:val="18"/>
                <w:szCs w:val="18"/>
                <w:lang w:val="sq-AL"/>
              </w:rPr>
            </w:pPr>
            <w:r w:rsidRPr="00050FA4">
              <w:rPr>
                <w:sz w:val="18"/>
                <w:szCs w:val="18"/>
                <w:lang w:val="sq-AL"/>
              </w:rPr>
              <w:t>2023</w:t>
            </w:r>
          </w:p>
        </w:tc>
        <w:tc>
          <w:tcPr>
            <w:tcW w:w="1060" w:type="dxa"/>
          </w:tcPr>
          <w:p w14:paraId="44B0C04D" w14:textId="40AC6490" w:rsidR="00B7135B" w:rsidRPr="00050FA4" w:rsidRDefault="00B7135B" w:rsidP="000A2731">
            <w:pPr>
              <w:pStyle w:val="AAAAAAATEXXXX"/>
              <w:ind w:firstLine="0"/>
              <w:jc w:val="right"/>
              <w:rPr>
                <w:sz w:val="18"/>
                <w:szCs w:val="18"/>
                <w:lang w:val="sq-AL"/>
              </w:rPr>
            </w:pPr>
            <w:r w:rsidRPr="00050FA4">
              <w:rPr>
                <w:sz w:val="18"/>
                <w:szCs w:val="18"/>
                <w:lang w:val="sq-AL"/>
              </w:rPr>
              <w:t>5,600,200</w:t>
            </w:r>
          </w:p>
        </w:tc>
        <w:tc>
          <w:tcPr>
            <w:tcW w:w="1061" w:type="dxa"/>
          </w:tcPr>
          <w:p w14:paraId="4BCE1B1F" w14:textId="309AC7D9"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145" w:type="dxa"/>
          </w:tcPr>
          <w:p w14:paraId="3CF3433D" w14:textId="3CF19A03"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056" w:type="dxa"/>
          </w:tcPr>
          <w:p w14:paraId="5B673FDE" w14:textId="1BAE3830"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066" w:type="dxa"/>
          </w:tcPr>
          <w:p w14:paraId="230A1725" w14:textId="05AE4DC7" w:rsidR="00B7135B" w:rsidRPr="00050FA4" w:rsidRDefault="00B7135B" w:rsidP="000A2731">
            <w:pPr>
              <w:pStyle w:val="AAAAAAATEXXXX"/>
              <w:ind w:firstLine="0"/>
              <w:jc w:val="right"/>
              <w:rPr>
                <w:sz w:val="18"/>
                <w:szCs w:val="18"/>
                <w:lang w:val="sq-AL"/>
              </w:rPr>
            </w:pPr>
            <w:r w:rsidRPr="00050FA4">
              <w:rPr>
                <w:sz w:val="18"/>
                <w:szCs w:val="18"/>
                <w:lang w:val="sq-AL"/>
              </w:rPr>
              <w:t>2,200,000</w:t>
            </w:r>
          </w:p>
        </w:tc>
        <w:tc>
          <w:tcPr>
            <w:tcW w:w="1133" w:type="dxa"/>
          </w:tcPr>
          <w:p w14:paraId="5526A4B5" w14:textId="77777777" w:rsidR="00B7135B" w:rsidRPr="00050FA4" w:rsidRDefault="00B7135B" w:rsidP="000A2731">
            <w:pPr>
              <w:pStyle w:val="AAAAAAATEXXXX"/>
              <w:ind w:firstLine="0"/>
              <w:jc w:val="right"/>
              <w:rPr>
                <w:sz w:val="18"/>
                <w:szCs w:val="18"/>
                <w:lang w:val="sq-AL"/>
              </w:rPr>
            </w:pPr>
          </w:p>
        </w:tc>
        <w:tc>
          <w:tcPr>
            <w:tcW w:w="1051" w:type="dxa"/>
          </w:tcPr>
          <w:p w14:paraId="46898B6C" w14:textId="77777777" w:rsidR="00B7135B" w:rsidRPr="00050FA4" w:rsidRDefault="00B7135B" w:rsidP="000A2731">
            <w:pPr>
              <w:pStyle w:val="AAAAAAATEXXXX"/>
              <w:ind w:firstLine="0"/>
              <w:jc w:val="right"/>
              <w:rPr>
                <w:sz w:val="18"/>
                <w:szCs w:val="18"/>
                <w:lang w:val="sq-AL"/>
              </w:rPr>
            </w:pPr>
          </w:p>
        </w:tc>
        <w:tc>
          <w:tcPr>
            <w:tcW w:w="1584" w:type="dxa"/>
            <w:vAlign w:val="bottom"/>
          </w:tcPr>
          <w:p w14:paraId="25B675A5" w14:textId="0AEA7196" w:rsidR="00B7135B" w:rsidRPr="00050FA4" w:rsidRDefault="00B7135B" w:rsidP="000A2731">
            <w:pPr>
              <w:pStyle w:val="AAAAAAATEXXXX"/>
              <w:ind w:firstLine="0"/>
              <w:jc w:val="right"/>
              <w:rPr>
                <w:sz w:val="18"/>
                <w:szCs w:val="18"/>
                <w:lang w:val="sq-AL"/>
              </w:rPr>
            </w:pPr>
            <w:r w:rsidRPr="00050FA4">
              <w:rPr>
                <w:sz w:val="18"/>
                <w:szCs w:val="18"/>
                <w:lang w:val="sq-AL"/>
              </w:rPr>
              <w:t>7,800,200</w:t>
            </w:r>
          </w:p>
        </w:tc>
      </w:tr>
      <w:tr w:rsidR="00FA29AB" w:rsidRPr="00050FA4" w14:paraId="08C1130D" w14:textId="77777777" w:rsidTr="000A2731">
        <w:trPr>
          <w:jc w:val="center"/>
        </w:trPr>
        <w:tc>
          <w:tcPr>
            <w:tcW w:w="1045" w:type="dxa"/>
          </w:tcPr>
          <w:p w14:paraId="221EA9B1" w14:textId="77777777" w:rsidR="00B7135B" w:rsidRPr="00050FA4" w:rsidRDefault="00B7135B" w:rsidP="00A250C1">
            <w:pPr>
              <w:pStyle w:val="AAAAAAATEXXXX"/>
              <w:ind w:firstLine="0"/>
              <w:rPr>
                <w:sz w:val="18"/>
                <w:szCs w:val="18"/>
                <w:lang w:val="sq-AL"/>
              </w:rPr>
            </w:pPr>
            <w:r w:rsidRPr="00050FA4">
              <w:rPr>
                <w:sz w:val="18"/>
                <w:szCs w:val="18"/>
                <w:lang w:val="sq-AL"/>
              </w:rPr>
              <w:t>2024</w:t>
            </w:r>
          </w:p>
        </w:tc>
        <w:tc>
          <w:tcPr>
            <w:tcW w:w="1060" w:type="dxa"/>
          </w:tcPr>
          <w:p w14:paraId="0D60AA18" w14:textId="5F1433FF" w:rsidR="00B7135B" w:rsidRPr="00050FA4" w:rsidRDefault="00B7135B" w:rsidP="000A2731">
            <w:pPr>
              <w:pStyle w:val="AAAAAAATEXXXX"/>
              <w:ind w:firstLine="0"/>
              <w:jc w:val="right"/>
              <w:rPr>
                <w:sz w:val="18"/>
                <w:szCs w:val="18"/>
                <w:lang w:val="sq-AL"/>
              </w:rPr>
            </w:pPr>
            <w:r w:rsidRPr="00050FA4">
              <w:rPr>
                <w:sz w:val="18"/>
                <w:szCs w:val="18"/>
                <w:lang w:val="sq-AL"/>
              </w:rPr>
              <w:t>6,223,500</w:t>
            </w:r>
          </w:p>
        </w:tc>
        <w:tc>
          <w:tcPr>
            <w:tcW w:w="1061" w:type="dxa"/>
          </w:tcPr>
          <w:p w14:paraId="506A1670" w14:textId="251BB9CB"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145" w:type="dxa"/>
          </w:tcPr>
          <w:p w14:paraId="10EB979D" w14:textId="33B379C3"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056" w:type="dxa"/>
          </w:tcPr>
          <w:p w14:paraId="39241C1B" w14:textId="0752FF97" w:rsidR="00B7135B" w:rsidRPr="00050FA4" w:rsidRDefault="00B7135B" w:rsidP="000A2731">
            <w:pPr>
              <w:pStyle w:val="AAAAAAATEXXXX"/>
              <w:ind w:firstLine="0"/>
              <w:jc w:val="right"/>
              <w:rPr>
                <w:sz w:val="18"/>
                <w:szCs w:val="18"/>
                <w:lang w:val="sq-AL"/>
              </w:rPr>
            </w:pPr>
            <w:r w:rsidRPr="00050FA4">
              <w:rPr>
                <w:sz w:val="18"/>
                <w:szCs w:val="18"/>
                <w:lang w:val="sq-AL"/>
              </w:rPr>
              <w:t>0</w:t>
            </w:r>
          </w:p>
        </w:tc>
        <w:tc>
          <w:tcPr>
            <w:tcW w:w="1066" w:type="dxa"/>
          </w:tcPr>
          <w:p w14:paraId="395708E2" w14:textId="1623FDDA" w:rsidR="00B7135B" w:rsidRPr="00050FA4" w:rsidRDefault="00B7135B" w:rsidP="000A2731">
            <w:pPr>
              <w:pStyle w:val="AAAAAAATEXXXX"/>
              <w:ind w:firstLine="0"/>
              <w:jc w:val="right"/>
              <w:rPr>
                <w:sz w:val="18"/>
                <w:szCs w:val="18"/>
                <w:lang w:val="sq-AL"/>
              </w:rPr>
            </w:pPr>
            <w:r w:rsidRPr="00050FA4">
              <w:rPr>
                <w:sz w:val="18"/>
                <w:szCs w:val="18"/>
                <w:lang w:val="sq-AL"/>
              </w:rPr>
              <w:t>2,850,000</w:t>
            </w:r>
          </w:p>
        </w:tc>
        <w:tc>
          <w:tcPr>
            <w:tcW w:w="1133" w:type="dxa"/>
          </w:tcPr>
          <w:p w14:paraId="5AFC8E1B" w14:textId="77777777" w:rsidR="00B7135B" w:rsidRPr="00050FA4" w:rsidRDefault="00B7135B" w:rsidP="000A2731">
            <w:pPr>
              <w:pStyle w:val="AAAAAAATEXXXX"/>
              <w:ind w:firstLine="0"/>
              <w:jc w:val="right"/>
              <w:rPr>
                <w:sz w:val="18"/>
                <w:szCs w:val="18"/>
                <w:lang w:val="sq-AL"/>
              </w:rPr>
            </w:pPr>
          </w:p>
        </w:tc>
        <w:tc>
          <w:tcPr>
            <w:tcW w:w="1051" w:type="dxa"/>
          </w:tcPr>
          <w:p w14:paraId="25E49101" w14:textId="7DCE5E4C" w:rsidR="00B7135B" w:rsidRPr="00050FA4" w:rsidRDefault="00B7135B" w:rsidP="000A2731">
            <w:pPr>
              <w:pStyle w:val="AAAAAAATEXXXX"/>
              <w:ind w:firstLine="0"/>
              <w:jc w:val="right"/>
              <w:rPr>
                <w:sz w:val="18"/>
                <w:szCs w:val="18"/>
                <w:lang w:val="sq-AL"/>
              </w:rPr>
            </w:pPr>
          </w:p>
        </w:tc>
        <w:tc>
          <w:tcPr>
            <w:tcW w:w="1584" w:type="dxa"/>
            <w:vAlign w:val="bottom"/>
          </w:tcPr>
          <w:p w14:paraId="4C9B9C1E" w14:textId="71047C19" w:rsidR="00B7135B" w:rsidRPr="00050FA4" w:rsidRDefault="00B7135B" w:rsidP="000A2731">
            <w:pPr>
              <w:pStyle w:val="AAAAAAATEXXXX"/>
              <w:ind w:firstLine="0"/>
              <w:jc w:val="right"/>
              <w:rPr>
                <w:sz w:val="18"/>
                <w:szCs w:val="18"/>
                <w:lang w:val="sq-AL"/>
              </w:rPr>
            </w:pPr>
            <w:r w:rsidRPr="00050FA4">
              <w:rPr>
                <w:sz w:val="18"/>
                <w:szCs w:val="18"/>
                <w:lang w:val="sq-AL"/>
              </w:rPr>
              <w:t>9,073,500</w:t>
            </w:r>
          </w:p>
        </w:tc>
      </w:tr>
    </w:tbl>
    <w:p w14:paraId="72049FA1" w14:textId="77777777" w:rsidR="00E06E0F" w:rsidRPr="00050FA4" w:rsidRDefault="00E06E0F" w:rsidP="003F1DA7">
      <w:pPr>
        <w:pStyle w:val="AAAAAAATEXXXX"/>
        <w:rPr>
          <w:sz w:val="20"/>
          <w:szCs w:val="20"/>
          <w:lang w:val="sq-AL"/>
        </w:rPr>
      </w:pPr>
    </w:p>
    <w:tbl>
      <w:tblPr>
        <w:tblStyle w:val="TableGrid"/>
        <w:tblW w:w="10201" w:type="dxa"/>
        <w:tblLook w:val="04A0" w:firstRow="1" w:lastRow="0" w:firstColumn="1" w:lastColumn="0" w:noHBand="0" w:noVBand="1"/>
      </w:tblPr>
      <w:tblGrid>
        <w:gridCol w:w="930"/>
        <w:gridCol w:w="1040"/>
        <w:gridCol w:w="1259"/>
        <w:gridCol w:w="1030"/>
        <w:gridCol w:w="1335"/>
        <w:gridCol w:w="1006"/>
        <w:gridCol w:w="1013"/>
        <w:gridCol w:w="932"/>
        <w:gridCol w:w="1656"/>
      </w:tblGrid>
      <w:tr w:rsidR="00FA29AB" w:rsidRPr="00050FA4" w14:paraId="075CD206" w14:textId="77777777" w:rsidTr="00F51BF1">
        <w:tc>
          <w:tcPr>
            <w:tcW w:w="10201" w:type="dxa"/>
            <w:gridSpan w:val="9"/>
            <w:shd w:val="clear" w:color="auto" w:fill="E5DFEC" w:themeFill="accent4" w:themeFillTint="33"/>
          </w:tcPr>
          <w:p w14:paraId="366CCF63" w14:textId="3A8C263D"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02:</w:t>
            </w:r>
            <w:r w:rsidR="000B0C45" w:rsidRPr="00050FA4">
              <w:rPr>
                <w:b/>
                <w:sz w:val="18"/>
                <w:szCs w:val="18"/>
                <w:lang w:val="sq-AL"/>
              </w:rPr>
              <w:t xml:space="preserve"> </w:t>
            </w:r>
            <w:r w:rsidR="007F2542" w:rsidRPr="00050FA4">
              <w:rPr>
                <w:b/>
                <w:sz w:val="18"/>
                <w:szCs w:val="18"/>
                <w:lang w:val="sq-AL"/>
              </w:rPr>
              <w:t>Përmirësimi i punësueshmërisë së punëkërkuesve të papunë më vulnerabël, veçanërisht atyre të prekur nga COVID-19, përmes PNP-ve dhe shërbimeve të punësimit të reja dhe të rishikuara</w:t>
            </w:r>
          </w:p>
        </w:tc>
      </w:tr>
      <w:tr w:rsidR="00FA29AB" w:rsidRPr="00050FA4" w14:paraId="4BA1E81B" w14:textId="77777777" w:rsidTr="000A2731">
        <w:tc>
          <w:tcPr>
            <w:tcW w:w="934" w:type="dxa"/>
            <w:vAlign w:val="center"/>
          </w:tcPr>
          <w:p w14:paraId="0EF1E77B" w14:textId="5868D7A7"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42" w:type="dxa"/>
            <w:vAlign w:val="center"/>
          </w:tcPr>
          <w:p w14:paraId="714A0F1B" w14:textId="2A226637"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261" w:type="dxa"/>
            <w:vAlign w:val="center"/>
          </w:tcPr>
          <w:p w14:paraId="41326C34" w14:textId="2768CFF6"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23" w:type="dxa"/>
            <w:vAlign w:val="center"/>
          </w:tcPr>
          <w:p w14:paraId="466DE839" w14:textId="0AE6D051"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340" w:type="dxa"/>
            <w:vAlign w:val="center"/>
          </w:tcPr>
          <w:p w14:paraId="0172AAAD" w14:textId="212E1B85"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07" w:type="dxa"/>
            <w:vAlign w:val="center"/>
          </w:tcPr>
          <w:p w14:paraId="270A6BC4" w14:textId="3DF03722"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996" w:type="dxa"/>
            <w:vAlign w:val="center"/>
          </w:tcPr>
          <w:p w14:paraId="55D50B87" w14:textId="1339A4E8"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935" w:type="dxa"/>
            <w:vAlign w:val="center"/>
          </w:tcPr>
          <w:p w14:paraId="692830C4"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63" w:type="dxa"/>
            <w:vAlign w:val="center"/>
          </w:tcPr>
          <w:p w14:paraId="45E3B4F5" w14:textId="4964A399"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730412D8" w14:textId="77777777" w:rsidTr="00F51BF1">
        <w:tc>
          <w:tcPr>
            <w:tcW w:w="934" w:type="dxa"/>
          </w:tcPr>
          <w:p w14:paraId="1D522A21"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42" w:type="dxa"/>
          </w:tcPr>
          <w:p w14:paraId="7426F10D" w14:textId="77777777" w:rsidR="00E06E0F" w:rsidRPr="00050FA4" w:rsidRDefault="00E06E0F" w:rsidP="000A2731">
            <w:pPr>
              <w:pStyle w:val="AAAAAAATEXXXX"/>
              <w:ind w:firstLine="0"/>
              <w:jc w:val="right"/>
              <w:rPr>
                <w:sz w:val="18"/>
                <w:szCs w:val="18"/>
                <w:lang w:val="sq-AL"/>
              </w:rPr>
            </w:pPr>
            <w:r w:rsidRPr="00050FA4">
              <w:rPr>
                <w:sz w:val="18"/>
                <w:szCs w:val="18"/>
                <w:lang w:val="sq-AL"/>
              </w:rPr>
              <w:t>1114876</w:t>
            </w:r>
          </w:p>
        </w:tc>
        <w:tc>
          <w:tcPr>
            <w:tcW w:w="1261" w:type="dxa"/>
          </w:tcPr>
          <w:p w14:paraId="14FA815A" w14:textId="77777777" w:rsidR="00E06E0F" w:rsidRPr="00050FA4" w:rsidRDefault="00E06E0F" w:rsidP="000A2731">
            <w:pPr>
              <w:pStyle w:val="AAAAAAATEXXXX"/>
              <w:ind w:firstLine="0"/>
              <w:jc w:val="right"/>
              <w:rPr>
                <w:sz w:val="18"/>
                <w:szCs w:val="18"/>
                <w:lang w:val="sq-AL"/>
              </w:rPr>
            </w:pPr>
            <w:r w:rsidRPr="00050FA4">
              <w:rPr>
                <w:sz w:val="18"/>
                <w:szCs w:val="18"/>
                <w:lang w:val="sq-AL"/>
              </w:rPr>
              <w:t>17485123.9</w:t>
            </w:r>
          </w:p>
        </w:tc>
        <w:tc>
          <w:tcPr>
            <w:tcW w:w="1023" w:type="dxa"/>
          </w:tcPr>
          <w:p w14:paraId="69411676" w14:textId="77777777" w:rsidR="00E06E0F" w:rsidRPr="00050FA4" w:rsidRDefault="00E06E0F" w:rsidP="000A2731">
            <w:pPr>
              <w:pStyle w:val="AAAAAAATEXXXX"/>
              <w:ind w:firstLine="0"/>
              <w:jc w:val="right"/>
              <w:rPr>
                <w:sz w:val="18"/>
                <w:szCs w:val="18"/>
                <w:lang w:val="sq-AL"/>
              </w:rPr>
            </w:pPr>
          </w:p>
        </w:tc>
        <w:tc>
          <w:tcPr>
            <w:tcW w:w="1340" w:type="dxa"/>
          </w:tcPr>
          <w:p w14:paraId="010792A0" w14:textId="3D7AA0F8" w:rsidR="00E06E0F" w:rsidRPr="00050FA4" w:rsidRDefault="00E06E0F" w:rsidP="000A2731">
            <w:pPr>
              <w:pStyle w:val="AAAAAAATEXXXX"/>
              <w:ind w:firstLine="0"/>
              <w:jc w:val="right"/>
              <w:rPr>
                <w:sz w:val="18"/>
                <w:szCs w:val="18"/>
                <w:lang w:val="sq-AL"/>
              </w:rPr>
            </w:pPr>
            <w:r w:rsidRPr="00050FA4">
              <w:rPr>
                <w:sz w:val="18"/>
                <w:szCs w:val="18"/>
                <w:lang w:val="sq-AL"/>
              </w:rPr>
              <w:t>TA</w:t>
            </w:r>
            <w:r w:rsidR="00F51BF1" w:rsidRPr="00050FA4">
              <w:rPr>
                <w:rStyle w:val="FootnoteReference"/>
                <w:rFonts w:cstheme="majorBidi"/>
                <w:color w:val="0D0D0D" w:themeColor="text1" w:themeTint="F2"/>
                <w:sz w:val="18"/>
                <w:szCs w:val="18"/>
                <w:lang w:val="sq-AL"/>
              </w:rPr>
              <w:footnoteReference w:id="41"/>
            </w:r>
          </w:p>
        </w:tc>
        <w:tc>
          <w:tcPr>
            <w:tcW w:w="1007" w:type="dxa"/>
          </w:tcPr>
          <w:p w14:paraId="1A90AADE" w14:textId="77777777" w:rsidR="00E06E0F" w:rsidRPr="00050FA4" w:rsidRDefault="00E06E0F" w:rsidP="000A2731">
            <w:pPr>
              <w:pStyle w:val="AAAAAAATEXXXX"/>
              <w:ind w:firstLine="0"/>
              <w:jc w:val="right"/>
              <w:rPr>
                <w:sz w:val="18"/>
                <w:szCs w:val="18"/>
                <w:lang w:val="sq-AL"/>
              </w:rPr>
            </w:pPr>
            <w:r w:rsidRPr="00050FA4">
              <w:rPr>
                <w:sz w:val="18"/>
                <w:szCs w:val="18"/>
                <w:lang w:val="sq-AL"/>
              </w:rPr>
              <w:t>106800</w:t>
            </w:r>
          </w:p>
        </w:tc>
        <w:tc>
          <w:tcPr>
            <w:tcW w:w="996" w:type="dxa"/>
          </w:tcPr>
          <w:p w14:paraId="3AF7B69B" w14:textId="77777777" w:rsidR="00E06E0F" w:rsidRPr="00050FA4" w:rsidRDefault="00E06E0F" w:rsidP="000A2731">
            <w:pPr>
              <w:pStyle w:val="AAAAAAATEXXXX"/>
              <w:ind w:firstLine="0"/>
              <w:jc w:val="right"/>
              <w:rPr>
                <w:sz w:val="18"/>
                <w:szCs w:val="18"/>
                <w:lang w:val="sq-AL"/>
              </w:rPr>
            </w:pPr>
          </w:p>
        </w:tc>
        <w:tc>
          <w:tcPr>
            <w:tcW w:w="935" w:type="dxa"/>
            <w:shd w:val="clear" w:color="auto" w:fill="808080" w:themeFill="background1" w:themeFillShade="80"/>
          </w:tcPr>
          <w:p w14:paraId="4C2520E0" w14:textId="77777777" w:rsidR="00E06E0F" w:rsidRPr="00050FA4" w:rsidRDefault="00E06E0F" w:rsidP="000A2731">
            <w:pPr>
              <w:pStyle w:val="AAAAAAATEXXXX"/>
              <w:ind w:firstLine="0"/>
              <w:jc w:val="right"/>
              <w:rPr>
                <w:sz w:val="18"/>
                <w:szCs w:val="18"/>
                <w:lang w:val="sq-AL"/>
              </w:rPr>
            </w:pPr>
          </w:p>
        </w:tc>
        <w:tc>
          <w:tcPr>
            <w:tcW w:w="1663" w:type="dxa"/>
          </w:tcPr>
          <w:p w14:paraId="476B1B53" w14:textId="77777777" w:rsidR="00E06E0F" w:rsidRPr="00050FA4" w:rsidRDefault="00E06E0F" w:rsidP="000A2731">
            <w:pPr>
              <w:pStyle w:val="AAAAAAATEXXXX"/>
              <w:ind w:firstLine="0"/>
              <w:jc w:val="right"/>
              <w:rPr>
                <w:sz w:val="18"/>
                <w:szCs w:val="18"/>
                <w:lang w:val="sq-AL"/>
              </w:rPr>
            </w:pPr>
            <w:r w:rsidRPr="00050FA4">
              <w:rPr>
                <w:sz w:val="18"/>
                <w:szCs w:val="18"/>
                <w:lang w:val="sq-AL"/>
              </w:rPr>
              <w:t>18600000</w:t>
            </w:r>
          </w:p>
        </w:tc>
      </w:tr>
      <w:tr w:rsidR="00FA29AB" w:rsidRPr="00050FA4" w14:paraId="1ACE3E55" w14:textId="77777777" w:rsidTr="00F51BF1">
        <w:tc>
          <w:tcPr>
            <w:tcW w:w="934" w:type="dxa"/>
          </w:tcPr>
          <w:p w14:paraId="7E53E48C"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42" w:type="dxa"/>
          </w:tcPr>
          <w:p w14:paraId="7373C744" w14:textId="77777777" w:rsidR="00E06E0F" w:rsidRPr="00050FA4" w:rsidRDefault="00E06E0F" w:rsidP="000A2731">
            <w:pPr>
              <w:pStyle w:val="AAAAAAATEXXXX"/>
              <w:ind w:firstLine="0"/>
              <w:jc w:val="right"/>
              <w:rPr>
                <w:sz w:val="18"/>
                <w:szCs w:val="18"/>
                <w:lang w:val="sq-AL"/>
              </w:rPr>
            </w:pPr>
            <w:r w:rsidRPr="00050FA4">
              <w:rPr>
                <w:sz w:val="18"/>
                <w:szCs w:val="18"/>
                <w:lang w:val="sq-AL"/>
              </w:rPr>
              <w:t>1114876</w:t>
            </w:r>
          </w:p>
        </w:tc>
        <w:tc>
          <w:tcPr>
            <w:tcW w:w="1261" w:type="dxa"/>
          </w:tcPr>
          <w:p w14:paraId="3BB07802" w14:textId="77777777" w:rsidR="00E06E0F" w:rsidRPr="00050FA4" w:rsidRDefault="00E06E0F" w:rsidP="000A2731">
            <w:pPr>
              <w:pStyle w:val="AAAAAAATEXXXX"/>
              <w:ind w:firstLine="0"/>
              <w:jc w:val="right"/>
              <w:rPr>
                <w:sz w:val="18"/>
                <w:szCs w:val="18"/>
                <w:lang w:val="sq-AL"/>
              </w:rPr>
            </w:pPr>
            <w:r w:rsidRPr="00050FA4">
              <w:rPr>
                <w:sz w:val="18"/>
                <w:szCs w:val="18"/>
                <w:lang w:val="sq-AL"/>
              </w:rPr>
              <w:t>17485123.9</w:t>
            </w:r>
          </w:p>
        </w:tc>
        <w:tc>
          <w:tcPr>
            <w:tcW w:w="1023" w:type="dxa"/>
          </w:tcPr>
          <w:p w14:paraId="7BF8CBC0" w14:textId="77777777" w:rsidR="00E06E0F" w:rsidRPr="00050FA4" w:rsidRDefault="00E06E0F" w:rsidP="000A2731">
            <w:pPr>
              <w:pStyle w:val="AAAAAAATEXXXX"/>
              <w:ind w:firstLine="0"/>
              <w:jc w:val="right"/>
              <w:rPr>
                <w:sz w:val="18"/>
                <w:szCs w:val="18"/>
                <w:lang w:val="sq-AL"/>
              </w:rPr>
            </w:pPr>
          </w:p>
        </w:tc>
        <w:tc>
          <w:tcPr>
            <w:tcW w:w="1340" w:type="dxa"/>
          </w:tcPr>
          <w:p w14:paraId="12AD7B97" w14:textId="77777777" w:rsidR="00E06E0F" w:rsidRPr="00050FA4" w:rsidRDefault="00E06E0F" w:rsidP="000A2731">
            <w:pPr>
              <w:pStyle w:val="AAAAAAATEXXXX"/>
              <w:ind w:firstLine="0"/>
              <w:jc w:val="right"/>
              <w:rPr>
                <w:sz w:val="18"/>
                <w:szCs w:val="18"/>
                <w:lang w:val="sq-AL"/>
              </w:rPr>
            </w:pPr>
          </w:p>
        </w:tc>
        <w:tc>
          <w:tcPr>
            <w:tcW w:w="1007" w:type="dxa"/>
          </w:tcPr>
          <w:p w14:paraId="246B06A1" w14:textId="77777777" w:rsidR="00E06E0F" w:rsidRPr="00050FA4" w:rsidRDefault="00E06E0F" w:rsidP="000A2731">
            <w:pPr>
              <w:pStyle w:val="AAAAAAATEXXXX"/>
              <w:ind w:firstLine="0"/>
              <w:jc w:val="right"/>
              <w:rPr>
                <w:sz w:val="18"/>
                <w:szCs w:val="18"/>
                <w:lang w:val="sq-AL"/>
              </w:rPr>
            </w:pPr>
          </w:p>
        </w:tc>
        <w:tc>
          <w:tcPr>
            <w:tcW w:w="996" w:type="dxa"/>
          </w:tcPr>
          <w:p w14:paraId="38EA1FDC" w14:textId="77777777" w:rsidR="00E06E0F" w:rsidRPr="00050FA4" w:rsidRDefault="00E06E0F" w:rsidP="000A2731">
            <w:pPr>
              <w:pStyle w:val="AAAAAAATEXXXX"/>
              <w:ind w:firstLine="0"/>
              <w:jc w:val="right"/>
              <w:rPr>
                <w:sz w:val="18"/>
                <w:szCs w:val="18"/>
                <w:lang w:val="sq-AL"/>
              </w:rPr>
            </w:pPr>
          </w:p>
        </w:tc>
        <w:tc>
          <w:tcPr>
            <w:tcW w:w="935" w:type="dxa"/>
          </w:tcPr>
          <w:p w14:paraId="08D51ECE" w14:textId="77777777" w:rsidR="00E06E0F" w:rsidRPr="00050FA4" w:rsidRDefault="00E06E0F" w:rsidP="000A2731">
            <w:pPr>
              <w:pStyle w:val="AAAAAAATEXXXX"/>
              <w:ind w:firstLine="0"/>
              <w:jc w:val="right"/>
              <w:rPr>
                <w:sz w:val="18"/>
                <w:szCs w:val="18"/>
                <w:lang w:val="sq-AL"/>
              </w:rPr>
            </w:pPr>
          </w:p>
        </w:tc>
        <w:tc>
          <w:tcPr>
            <w:tcW w:w="1663" w:type="dxa"/>
          </w:tcPr>
          <w:p w14:paraId="730B7D2E" w14:textId="77777777" w:rsidR="00E06E0F" w:rsidRPr="00050FA4" w:rsidRDefault="00E06E0F" w:rsidP="000A2731">
            <w:pPr>
              <w:pStyle w:val="AAAAAAATEXXXX"/>
              <w:ind w:firstLine="0"/>
              <w:jc w:val="right"/>
              <w:rPr>
                <w:sz w:val="18"/>
                <w:szCs w:val="18"/>
                <w:lang w:val="sq-AL"/>
              </w:rPr>
            </w:pPr>
            <w:r w:rsidRPr="00050FA4">
              <w:rPr>
                <w:sz w:val="18"/>
                <w:szCs w:val="18"/>
                <w:lang w:val="sq-AL"/>
              </w:rPr>
              <w:t>18600000</w:t>
            </w:r>
          </w:p>
        </w:tc>
      </w:tr>
      <w:tr w:rsidR="00FA29AB" w:rsidRPr="00050FA4" w14:paraId="2935B8AC" w14:textId="77777777" w:rsidTr="00F51BF1">
        <w:tc>
          <w:tcPr>
            <w:tcW w:w="934" w:type="dxa"/>
          </w:tcPr>
          <w:p w14:paraId="7539F6A7"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42" w:type="dxa"/>
          </w:tcPr>
          <w:p w14:paraId="4BB85236" w14:textId="77777777" w:rsidR="00E06E0F" w:rsidRPr="00050FA4" w:rsidRDefault="00E06E0F" w:rsidP="000A2731">
            <w:pPr>
              <w:pStyle w:val="AAAAAAATEXXXX"/>
              <w:ind w:firstLine="0"/>
              <w:jc w:val="right"/>
              <w:rPr>
                <w:sz w:val="18"/>
                <w:szCs w:val="18"/>
                <w:lang w:val="sq-AL"/>
              </w:rPr>
            </w:pPr>
            <w:r w:rsidRPr="00050FA4">
              <w:rPr>
                <w:sz w:val="18"/>
                <w:szCs w:val="18"/>
                <w:lang w:val="sq-AL"/>
              </w:rPr>
              <w:t>1114876</w:t>
            </w:r>
          </w:p>
        </w:tc>
        <w:tc>
          <w:tcPr>
            <w:tcW w:w="1261" w:type="dxa"/>
          </w:tcPr>
          <w:p w14:paraId="7936D108" w14:textId="77777777" w:rsidR="00E06E0F" w:rsidRPr="00050FA4" w:rsidRDefault="00E06E0F" w:rsidP="000A2731">
            <w:pPr>
              <w:pStyle w:val="AAAAAAATEXXXX"/>
              <w:ind w:firstLine="0"/>
              <w:jc w:val="right"/>
              <w:rPr>
                <w:sz w:val="18"/>
                <w:szCs w:val="18"/>
                <w:lang w:val="sq-AL"/>
              </w:rPr>
            </w:pPr>
            <w:r w:rsidRPr="00050FA4">
              <w:rPr>
                <w:sz w:val="18"/>
                <w:szCs w:val="18"/>
                <w:lang w:val="sq-AL"/>
              </w:rPr>
              <w:t>17485123.9</w:t>
            </w:r>
          </w:p>
        </w:tc>
        <w:tc>
          <w:tcPr>
            <w:tcW w:w="1023" w:type="dxa"/>
          </w:tcPr>
          <w:p w14:paraId="46FE23EE" w14:textId="77777777" w:rsidR="00E06E0F" w:rsidRPr="00050FA4" w:rsidRDefault="00E06E0F" w:rsidP="000A2731">
            <w:pPr>
              <w:pStyle w:val="AAAAAAATEXXXX"/>
              <w:ind w:firstLine="0"/>
              <w:jc w:val="right"/>
              <w:rPr>
                <w:sz w:val="18"/>
                <w:szCs w:val="18"/>
                <w:lang w:val="sq-AL"/>
              </w:rPr>
            </w:pPr>
          </w:p>
        </w:tc>
        <w:tc>
          <w:tcPr>
            <w:tcW w:w="1340" w:type="dxa"/>
          </w:tcPr>
          <w:p w14:paraId="1EB53D66" w14:textId="77777777" w:rsidR="00E06E0F" w:rsidRPr="00050FA4" w:rsidRDefault="00E06E0F" w:rsidP="000A2731">
            <w:pPr>
              <w:pStyle w:val="AAAAAAATEXXXX"/>
              <w:ind w:firstLine="0"/>
              <w:jc w:val="right"/>
              <w:rPr>
                <w:sz w:val="18"/>
                <w:szCs w:val="18"/>
                <w:lang w:val="sq-AL"/>
              </w:rPr>
            </w:pPr>
          </w:p>
        </w:tc>
        <w:tc>
          <w:tcPr>
            <w:tcW w:w="1007" w:type="dxa"/>
          </w:tcPr>
          <w:p w14:paraId="2A014706" w14:textId="77777777" w:rsidR="00E06E0F" w:rsidRPr="00050FA4" w:rsidRDefault="00E06E0F" w:rsidP="000A2731">
            <w:pPr>
              <w:pStyle w:val="AAAAAAATEXXXX"/>
              <w:ind w:firstLine="0"/>
              <w:jc w:val="right"/>
              <w:rPr>
                <w:sz w:val="18"/>
                <w:szCs w:val="18"/>
                <w:lang w:val="sq-AL"/>
              </w:rPr>
            </w:pPr>
          </w:p>
        </w:tc>
        <w:tc>
          <w:tcPr>
            <w:tcW w:w="996" w:type="dxa"/>
          </w:tcPr>
          <w:p w14:paraId="0E0E8A46" w14:textId="77777777" w:rsidR="00E06E0F" w:rsidRPr="00050FA4" w:rsidRDefault="00E06E0F" w:rsidP="000A2731">
            <w:pPr>
              <w:pStyle w:val="AAAAAAATEXXXX"/>
              <w:ind w:firstLine="0"/>
              <w:jc w:val="right"/>
              <w:rPr>
                <w:sz w:val="18"/>
                <w:szCs w:val="18"/>
                <w:lang w:val="sq-AL"/>
              </w:rPr>
            </w:pPr>
          </w:p>
        </w:tc>
        <w:tc>
          <w:tcPr>
            <w:tcW w:w="935" w:type="dxa"/>
          </w:tcPr>
          <w:p w14:paraId="5EDB51C8" w14:textId="77777777" w:rsidR="00E06E0F" w:rsidRPr="00050FA4" w:rsidRDefault="00E06E0F" w:rsidP="000A2731">
            <w:pPr>
              <w:pStyle w:val="AAAAAAATEXXXX"/>
              <w:ind w:firstLine="0"/>
              <w:jc w:val="right"/>
              <w:rPr>
                <w:sz w:val="18"/>
                <w:szCs w:val="18"/>
                <w:lang w:val="sq-AL"/>
              </w:rPr>
            </w:pPr>
          </w:p>
        </w:tc>
        <w:tc>
          <w:tcPr>
            <w:tcW w:w="1663" w:type="dxa"/>
          </w:tcPr>
          <w:p w14:paraId="1EDD41E5" w14:textId="77777777" w:rsidR="00E06E0F" w:rsidRPr="00050FA4" w:rsidRDefault="00E06E0F" w:rsidP="000A2731">
            <w:pPr>
              <w:pStyle w:val="AAAAAAATEXXXX"/>
              <w:ind w:firstLine="0"/>
              <w:jc w:val="right"/>
              <w:rPr>
                <w:sz w:val="18"/>
                <w:szCs w:val="18"/>
                <w:lang w:val="sq-AL"/>
              </w:rPr>
            </w:pPr>
            <w:r w:rsidRPr="00050FA4">
              <w:rPr>
                <w:sz w:val="18"/>
                <w:szCs w:val="18"/>
                <w:lang w:val="sq-AL"/>
              </w:rPr>
              <w:t>18600000</w:t>
            </w:r>
          </w:p>
        </w:tc>
      </w:tr>
    </w:tbl>
    <w:p w14:paraId="0CFA6718" w14:textId="77777777" w:rsidR="00E06E0F" w:rsidRPr="00050FA4" w:rsidRDefault="00E06E0F" w:rsidP="003F1DA7">
      <w:pPr>
        <w:pStyle w:val="AAAAAAATEXXXX"/>
        <w:rPr>
          <w:sz w:val="20"/>
          <w:szCs w:val="20"/>
          <w:lang w:val="sq-AL"/>
        </w:rPr>
      </w:pPr>
    </w:p>
    <w:tbl>
      <w:tblPr>
        <w:tblStyle w:val="TableGrid"/>
        <w:tblW w:w="10201" w:type="dxa"/>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42FC2A30" w14:textId="77777777" w:rsidTr="00F51BF1">
        <w:tc>
          <w:tcPr>
            <w:tcW w:w="10201" w:type="dxa"/>
            <w:gridSpan w:val="9"/>
            <w:shd w:val="clear" w:color="auto" w:fill="E5DFEC" w:themeFill="accent4" w:themeFillTint="33"/>
          </w:tcPr>
          <w:p w14:paraId="7D51B791" w14:textId="067EFA9D"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03:</w:t>
            </w:r>
            <w:r w:rsidR="000B0C45" w:rsidRPr="00050FA4">
              <w:rPr>
                <w:b/>
                <w:sz w:val="18"/>
                <w:szCs w:val="18"/>
                <w:lang w:val="sq-AL"/>
              </w:rPr>
              <w:t xml:space="preserve"> </w:t>
            </w:r>
            <w:r w:rsidR="00461CA0" w:rsidRPr="00050FA4">
              <w:rPr>
                <w:b/>
                <w:sz w:val="18"/>
                <w:szCs w:val="18"/>
                <w:lang w:val="sq-AL"/>
              </w:rPr>
              <w:t>Përmirësimi i kapaciteteve institucionale, financiare dhe njerëzore për kërkim dhe inovacion</w:t>
            </w:r>
          </w:p>
        </w:tc>
      </w:tr>
      <w:tr w:rsidR="00FA29AB" w:rsidRPr="00050FA4" w14:paraId="526386A3" w14:textId="77777777" w:rsidTr="000A2731">
        <w:tc>
          <w:tcPr>
            <w:tcW w:w="1070" w:type="dxa"/>
            <w:vAlign w:val="center"/>
          </w:tcPr>
          <w:p w14:paraId="5EEB5EA9" w14:textId="503D06C3"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70" w:type="dxa"/>
            <w:vAlign w:val="center"/>
          </w:tcPr>
          <w:p w14:paraId="069B5077" w14:textId="26C0C446"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71" w:type="dxa"/>
            <w:vAlign w:val="center"/>
          </w:tcPr>
          <w:p w14:paraId="0F6A9B42" w14:textId="1B867D50"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70" w:type="dxa"/>
            <w:vAlign w:val="center"/>
          </w:tcPr>
          <w:p w14:paraId="07D2E508" w14:textId="47E27330"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71" w:type="dxa"/>
            <w:vAlign w:val="center"/>
          </w:tcPr>
          <w:p w14:paraId="40A92445" w14:textId="0D46E84E"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70" w:type="dxa"/>
            <w:vAlign w:val="center"/>
          </w:tcPr>
          <w:p w14:paraId="33E14608" w14:textId="1EEED4A3"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71" w:type="dxa"/>
            <w:vAlign w:val="center"/>
          </w:tcPr>
          <w:p w14:paraId="64486803" w14:textId="091486E7"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70" w:type="dxa"/>
            <w:vAlign w:val="center"/>
          </w:tcPr>
          <w:p w14:paraId="48CB2364"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38" w:type="dxa"/>
            <w:vAlign w:val="center"/>
          </w:tcPr>
          <w:p w14:paraId="3419872D" w14:textId="5171365A"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188211EE" w14:textId="77777777" w:rsidTr="00F51BF1">
        <w:trPr>
          <w:trHeight w:val="323"/>
        </w:trPr>
        <w:tc>
          <w:tcPr>
            <w:tcW w:w="1070" w:type="dxa"/>
          </w:tcPr>
          <w:p w14:paraId="4F310B62"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70" w:type="dxa"/>
          </w:tcPr>
          <w:p w14:paraId="278E8538" w14:textId="77777777" w:rsidR="00E06E0F" w:rsidRPr="00050FA4" w:rsidRDefault="00E06E0F" w:rsidP="00A250C1">
            <w:pPr>
              <w:pStyle w:val="AAAAAAATEXXXX"/>
              <w:ind w:firstLine="0"/>
              <w:rPr>
                <w:sz w:val="18"/>
                <w:szCs w:val="18"/>
                <w:lang w:val="sq-AL"/>
              </w:rPr>
            </w:pPr>
          </w:p>
        </w:tc>
        <w:tc>
          <w:tcPr>
            <w:tcW w:w="1071" w:type="dxa"/>
          </w:tcPr>
          <w:p w14:paraId="21998E49" w14:textId="77777777" w:rsidR="00E06E0F" w:rsidRPr="00050FA4" w:rsidRDefault="00E06E0F" w:rsidP="00A250C1">
            <w:pPr>
              <w:pStyle w:val="AAAAAAATEXXXX"/>
              <w:ind w:firstLine="0"/>
              <w:rPr>
                <w:sz w:val="18"/>
                <w:szCs w:val="18"/>
                <w:lang w:val="sq-AL"/>
              </w:rPr>
            </w:pPr>
          </w:p>
        </w:tc>
        <w:tc>
          <w:tcPr>
            <w:tcW w:w="1070" w:type="dxa"/>
          </w:tcPr>
          <w:p w14:paraId="1AF4514D" w14:textId="77777777" w:rsidR="00E06E0F" w:rsidRPr="00050FA4" w:rsidRDefault="00E06E0F" w:rsidP="00A250C1">
            <w:pPr>
              <w:pStyle w:val="AAAAAAATEXXXX"/>
              <w:ind w:firstLine="0"/>
              <w:rPr>
                <w:sz w:val="18"/>
                <w:szCs w:val="18"/>
                <w:lang w:val="sq-AL"/>
              </w:rPr>
            </w:pPr>
          </w:p>
        </w:tc>
        <w:tc>
          <w:tcPr>
            <w:tcW w:w="1071" w:type="dxa"/>
          </w:tcPr>
          <w:p w14:paraId="29DFB517" w14:textId="77777777" w:rsidR="00E06E0F" w:rsidRPr="00050FA4" w:rsidRDefault="00E06E0F" w:rsidP="00A250C1">
            <w:pPr>
              <w:pStyle w:val="AAAAAAATEXXXX"/>
              <w:ind w:firstLine="0"/>
              <w:rPr>
                <w:sz w:val="18"/>
                <w:szCs w:val="18"/>
                <w:lang w:val="sq-AL"/>
              </w:rPr>
            </w:pPr>
          </w:p>
        </w:tc>
        <w:tc>
          <w:tcPr>
            <w:tcW w:w="1070" w:type="dxa"/>
          </w:tcPr>
          <w:p w14:paraId="0632FD17" w14:textId="77777777" w:rsidR="00E06E0F" w:rsidRPr="00050FA4" w:rsidRDefault="00E06E0F" w:rsidP="00A250C1">
            <w:pPr>
              <w:pStyle w:val="AAAAAAATEXXXX"/>
              <w:ind w:firstLine="0"/>
              <w:rPr>
                <w:sz w:val="18"/>
                <w:szCs w:val="18"/>
                <w:lang w:val="sq-AL"/>
              </w:rPr>
            </w:pPr>
          </w:p>
        </w:tc>
        <w:tc>
          <w:tcPr>
            <w:tcW w:w="1071" w:type="dxa"/>
          </w:tcPr>
          <w:p w14:paraId="6D2404A3" w14:textId="77777777" w:rsidR="00E06E0F" w:rsidRPr="00050FA4" w:rsidRDefault="00E06E0F" w:rsidP="00A250C1">
            <w:pPr>
              <w:pStyle w:val="AAAAAAATEXXXX"/>
              <w:ind w:firstLine="0"/>
              <w:rPr>
                <w:sz w:val="18"/>
                <w:szCs w:val="18"/>
                <w:lang w:val="sq-AL"/>
              </w:rPr>
            </w:pPr>
          </w:p>
        </w:tc>
        <w:tc>
          <w:tcPr>
            <w:tcW w:w="1070" w:type="dxa"/>
            <w:shd w:val="clear" w:color="auto" w:fill="808080" w:themeFill="background1" w:themeFillShade="80"/>
          </w:tcPr>
          <w:p w14:paraId="19D2E4A4" w14:textId="77777777" w:rsidR="00E06E0F" w:rsidRPr="00050FA4" w:rsidRDefault="00E06E0F" w:rsidP="00A250C1">
            <w:pPr>
              <w:pStyle w:val="AAAAAAATEXXXX"/>
              <w:ind w:firstLine="0"/>
              <w:rPr>
                <w:sz w:val="18"/>
                <w:szCs w:val="18"/>
                <w:lang w:val="sq-AL"/>
              </w:rPr>
            </w:pPr>
          </w:p>
        </w:tc>
        <w:tc>
          <w:tcPr>
            <w:tcW w:w="1638" w:type="dxa"/>
          </w:tcPr>
          <w:p w14:paraId="4A9A3222" w14:textId="77777777" w:rsidR="00E06E0F" w:rsidRPr="00050FA4" w:rsidRDefault="00E06E0F" w:rsidP="00A250C1">
            <w:pPr>
              <w:pStyle w:val="AAAAAAATEXXXX"/>
              <w:ind w:firstLine="0"/>
              <w:rPr>
                <w:sz w:val="18"/>
                <w:szCs w:val="18"/>
                <w:lang w:val="sq-AL"/>
              </w:rPr>
            </w:pPr>
          </w:p>
        </w:tc>
      </w:tr>
      <w:tr w:rsidR="00FA29AB" w:rsidRPr="00050FA4" w14:paraId="3460BC18" w14:textId="77777777" w:rsidTr="00F51BF1">
        <w:tc>
          <w:tcPr>
            <w:tcW w:w="1070" w:type="dxa"/>
          </w:tcPr>
          <w:p w14:paraId="50F68731"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70" w:type="dxa"/>
          </w:tcPr>
          <w:p w14:paraId="1CAD3154" w14:textId="77777777" w:rsidR="00E06E0F" w:rsidRPr="00050FA4" w:rsidRDefault="00E06E0F" w:rsidP="00A250C1">
            <w:pPr>
              <w:pStyle w:val="AAAAAAATEXXXX"/>
              <w:ind w:firstLine="0"/>
              <w:rPr>
                <w:sz w:val="18"/>
                <w:szCs w:val="18"/>
                <w:lang w:val="sq-AL"/>
              </w:rPr>
            </w:pPr>
          </w:p>
        </w:tc>
        <w:tc>
          <w:tcPr>
            <w:tcW w:w="1071" w:type="dxa"/>
          </w:tcPr>
          <w:p w14:paraId="3B4A24C7" w14:textId="77777777" w:rsidR="00E06E0F" w:rsidRPr="00050FA4" w:rsidRDefault="00E06E0F" w:rsidP="00A250C1">
            <w:pPr>
              <w:pStyle w:val="AAAAAAATEXXXX"/>
              <w:ind w:firstLine="0"/>
              <w:rPr>
                <w:sz w:val="18"/>
                <w:szCs w:val="18"/>
                <w:lang w:val="sq-AL"/>
              </w:rPr>
            </w:pPr>
          </w:p>
        </w:tc>
        <w:tc>
          <w:tcPr>
            <w:tcW w:w="1070" w:type="dxa"/>
          </w:tcPr>
          <w:p w14:paraId="2671C827" w14:textId="77777777" w:rsidR="00E06E0F" w:rsidRPr="00050FA4" w:rsidRDefault="00E06E0F" w:rsidP="00A250C1">
            <w:pPr>
              <w:pStyle w:val="AAAAAAATEXXXX"/>
              <w:ind w:firstLine="0"/>
              <w:rPr>
                <w:sz w:val="18"/>
                <w:szCs w:val="18"/>
                <w:lang w:val="sq-AL"/>
              </w:rPr>
            </w:pPr>
          </w:p>
        </w:tc>
        <w:tc>
          <w:tcPr>
            <w:tcW w:w="1071" w:type="dxa"/>
          </w:tcPr>
          <w:p w14:paraId="76183C2F" w14:textId="77777777" w:rsidR="00E06E0F" w:rsidRPr="00050FA4" w:rsidRDefault="00E06E0F" w:rsidP="00A250C1">
            <w:pPr>
              <w:pStyle w:val="AAAAAAATEXXXX"/>
              <w:ind w:firstLine="0"/>
              <w:rPr>
                <w:sz w:val="18"/>
                <w:szCs w:val="18"/>
                <w:lang w:val="sq-AL"/>
              </w:rPr>
            </w:pPr>
          </w:p>
        </w:tc>
        <w:tc>
          <w:tcPr>
            <w:tcW w:w="1070" w:type="dxa"/>
          </w:tcPr>
          <w:p w14:paraId="1AC9C3DF" w14:textId="77777777" w:rsidR="00E06E0F" w:rsidRPr="00050FA4" w:rsidRDefault="00E06E0F" w:rsidP="00A250C1">
            <w:pPr>
              <w:pStyle w:val="AAAAAAATEXXXX"/>
              <w:ind w:firstLine="0"/>
              <w:rPr>
                <w:sz w:val="18"/>
                <w:szCs w:val="18"/>
                <w:lang w:val="sq-AL"/>
              </w:rPr>
            </w:pPr>
          </w:p>
        </w:tc>
        <w:tc>
          <w:tcPr>
            <w:tcW w:w="1071" w:type="dxa"/>
          </w:tcPr>
          <w:p w14:paraId="496C11F6" w14:textId="77777777" w:rsidR="00E06E0F" w:rsidRPr="00050FA4" w:rsidRDefault="00E06E0F" w:rsidP="00A250C1">
            <w:pPr>
              <w:pStyle w:val="AAAAAAATEXXXX"/>
              <w:ind w:firstLine="0"/>
              <w:rPr>
                <w:sz w:val="18"/>
                <w:szCs w:val="18"/>
                <w:lang w:val="sq-AL"/>
              </w:rPr>
            </w:pPr>
          </w:p>
        </w:tc>
        <w:tc>
          <w:tcPr>
            <w:tcW w:w="1070" w:type="dxa"/>
          </w:tcPr>
          <w:p w14:paraId="51F9DCF0" w14:textId="77777777" w:rsidR="00E06E0F" w:rsidRPr="00050FA4" w:rsidRDefault="00E06E0F" w:rsidP="00A250C1">
            <w:pPr>
              <w:pStyle w:val="AAAAAAATEXXXX"/>
              <w:ind w:firstLine="0"/>
              <w:rPr>
                <w:sz w:val="18"/>
                <w:szCs w:val="18"/>
                <w:lang w:val="sq-AL"/>
              </w:rPr>
            </w:pPr>
          </w:p>
        </w:tc>
        <w:tc>
          <w:tcPr>
            <w:tcW w:w="1638" w:type="dxa"/>
          </w:tcPr>
          <w:p w14:paraId="799DC378" w14:textId="77777777" w:rsidR="00E06E0F" w:rsidRPr="00050FA4" w:rsidRDefault="00E06E0F" w:rsidP="00A250C1">
            <w:pPr>
              <w:pStyle w:val="AAAAAAATEXXXX"/>
              <w:ind w:firstLine="0"/>
              <w:rPr>
                <w:sz w:val="18"/>
                <w:szCs w:val="18"/>
                <w:lang w:val="sq-AL"/>
              </w:rPr>
            </w:pPr>
          </w:p>
        </w:tc>
      </w:tr>
      <w:tr w:rsidR="00FA29AB" w:rsidRPr="00050FA4" w14:paraId="6DEA657E" w14:textId="77777777" w:rsidTr="00F51BF1">
        <w:tc>
          <w:tcPr>
            <w:tcW w:w="1070" w:type="dxa"/>
          </w:tcPr>
          <w:p w14:paraId="7E1CB4F7"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70" w:type="dxa"/>
          </w:tcPr>
          <w:p w14:paraId="2E57562D" w14:textId="77777777" w:rsidR="00E06E0F" w:rsidRPr="00050FA4" w:rsidRDefault="00E06E0F" w:rsidP="00A250C1">
            <w:pPr>
              <w:pStyle w:val="AAAAAAATEXXXX"/>
              <w:ind w:firstLine="0"/>
              <w:rPr>
                <w:sz w:val="18"/>
                <w:szCs w:val="18"/>
                <w:lang w:val="sq-AL"/>
              </w:rPr>
            </w:pPr>
          </w:p>
        </w:tc>
        <w:tc>
          <w:tcPr>
            <w:tcW w:w="1071" w:type="dxa"/>
          </w:tcPr>
          <w:p w14:paraId="6791CC4B" w14:textId="77777777" w:rsidR="00E06E0F" w:rsidRPr="00050FA4" w:rsidRDefault="00E06E0F" w:rsidP="00A250C1">
            <w:pPr>
              <w:pStyle w:val="AAAAAAATEXXXX"/>
              <w:ind w:firstLine="0"/>
              <w:rPr>
                <w:sz w:val="18"/>
                <w:szCs w:val="18"/>
                <w:lang w:val="sq-AL"/>
              </w:rPr>
            </w:pPr>
          </w:p>
        </w:tc>
        <w:tc>
          <w:tcPr>
            <w:tcW w:w="1070" w:type="dxa"/>
          </w:tcPr>
          <w:p w14:paraId="5F57522E" w14:textId="77777777" w:rsidR="00E06E0F" w:rsidRPr="00050FA4" w:rsidRDefault="00E06E0F" w:rsidP="00A250C1">
            <w:pPr>
              <w:pStyle w:val="AAAAAAATEXXXX"/>
              <w:ind w:firstLine="0"/>
              <w:rPr>
                <w:sz w:val="18"/>
                <w:szCs w:val="18"/>
                <w:lang w:val="sq-AL"/>
              </w:rPr>
            </w:pPr>
          </w:p>
        </w:tc>
        <w:tc>
          <w:tcPr>
            <w:tcW w:w="1071" w:type="dxa"/>
          </w:tcPr>
          <w:p w14:paraId="33F88EFF" w14:textId="77777777" w:rsidR="00E06E0F" w:rsidRPr="00050FA4" w:rsidRDefault="00E06E0F" w:rsidP="00A250C1">
            <w:pPr>
              <w:pStyle w:val="AAAAAAATEXXXX"/>
              <w:ind w:firstLine="0"/>
              <w:rPr>
                <w:sz w:val="18"/>
                <w:szCs w:val="18"/>
                <w:lang w:val="sq-AL"/>
              </w:rPr>
            </w:pPr>
          </w:p>
        </w:tc>
        <w:tc>
          <w:tcPr>
            <w:tcW w:w="1070" w:type="dxa"/>
          </w:tcPr>
          <w:p w14:paraId="61928FC5" w14:textId="77777777" w:rsidR="00E06E0F" w:rsidRPr="00050FA4" w:rsidRDefault="00E06E0F" w:rsidP="00A250C1">
            <w:pPr>
              <w:pStyle w:val="AAAAAAATEXXXX"/>
              <w:ind w:firstLine="0"/>
              <w:rPr>
                <w:sz w:val="18"/>
                <w:szCs w:val="18"/>
                <w:lang w:val="sq-AL"/>
              </w:rPr>
            </w:pPr>
          </w:p>
        </w:tc>
        <w:tc>
          <w:tcPr>
            <w:tcW w:w="1071" w:type="dxa"/>
          </w:tcPr>
          <w:p w14:paraId="4EA26F2D" w14:textId="77777777" w:rsidR="00E06E0F" w:rsidRPr="00050FA4" w:rsidRDefault="00E06E0F" w:rsidP="00A250C1">
            <w:pPr>
              <w:pStyle w:val="AAAAAAATEXXXX"/>
              <w:ind w:firstLine="0"/>
              <w:rPr>
                <w:sz w:val="18"/>
                <w:szCs w:val="18"/>
                <w:lang w:val="sq-AL"/>
              </w:rPr>
            </w:pPr>
          </w:p>
        </w:tc>
        <w:tc>
          <w:tcPr>
            <w:tcW w:w="1070" w:type="dxa"/>
          </w:tcPr>
          <w:p w14:paraId="488FFFCB" w14:textId="77777777" w:rsidR="00E06E0F" w:rsidRPr="00050FA4" w:rsidRDefault="00E06E0F" w:rsidP="00A250C1">
            <w:pPr>
              <w:pStyle w:val="AAAAAAATEXXXX"/>
              <w:ind w:firstLine="0"/>
              <w:rPr>
                <w:sz w:val="18"/>
                <w:szCs w:val="18"/>
                <w:lang w:val="sq-AL"/>
              </w:rPr>
            </w:pPr>
          </w:p>
        </w:tc>
        <w:tc>
          <w:tcPr>
            <w:tcW w:w="1638" w:type="dxa"/>
          </w:tcPr>
          <w:p w14:paraId="5754DE8B" w14:textId="77777777" w:rsidR="00E06E0F" w:rsidRPr="00050FA4" w:rsidRDefault="00E06E0F" w:rsidP="00A250C1">
            <w:pPr>
              <w:pStyle w:val="AAAAAAATEXXXX"/>
              <w:ind w:firstLine="0"/>
              <w:rPr>
                <w:sz w:val="18"/>
                <w:szCs w:val="18"/>
                <w:lang w:val="sq-AL"/>
              </w:rPr>
            </w:pPr>
          </w:p>
        </w:tc>
      </w:tr>
    </w:tbl>
    <w:p w14:paraId="54447B4C" w14:textId="77777777" w:rsidR="00E06E0F" w:rsidRPr="00050FA4" w:rsidRDefault="00E06E0F" w:rsidP="003F1DA7">
      <w:pPr>
        <w:pStyle w:val="AAAAAAATEXXXX"/>
        <w:rPr>
          <w:sz w:val="20"/>
          <w:szCs w:val="20"/>
          <w:lang w:val="sq-AL"/>
        </w:rPr>
      </w:pPr>
    </w:p>
    <w:p w14:paraId="623AFB6F" w14:textId="44DBB099" w:rsidR="00E06E0F" w:rsidRPr="00050FA4" w:rsidRDefault="00B2062A" w:rsidP="003F1DA7">
      <w:pPr>
        <w:pStyle w:val="AAAAAAATEXXXX"/>
        <w:rPr>
          <w:sz w:val="20"/>
          <w:szCs w:val="20"/>
          <w:lang w:val="sq-AL"/>
        </w:rPr>
      </w:pPr>
      <w:r w:rsidRPr="00050FA4">
        <w:rPr>
          <w:sz w:val="20"/>
          <w:szCs w:val="20"/>
          <w:lang w:val="sq-AL"/>
        </w:rPr>
        <w:t xml:space="preserve">Sfida </w:t>
      </w:r>
      <w:r w:rsidR="00262236" w:rsidRPr="00050FA4">
        <w:rPr>
          <w:sz w:val="20"/>
          <w:szCs w:val="20"/>
          <w:lang w:val="sq-AL"/>
        </w:rPr>
        <w:t>k</w:t>
      </w:r>
      <w:r w:rsidRPr="00050FA4">
        <w:rPr>
          <w:sz w:val="20"/>
          <w:szCs w:val="20"/>
          <w:lang w:val="sq-AL"/>
        </w:rPr>
        <w:t>yçe</w:t>
      </w:r>
      <w:r w:rsidR="000B0C45" w:rsidRPr="00050FA4">
        <w:rPr>
          <w:sz w:val="20"/>
          <w:szCs w:val="20"/>
          <w:lang w:val="sq-AL"/>
        </w:rPr>
        <w:t xml:space="preserve"> </w:t>
      </w:r>
      <w:r w:rsidR="00E06E0F" w:rsidRPr="00050FA4">
        <w:rPr>
          <w:sz w:val="20"/>
          <w:szCs w:val="20"/>
          <w:lang w:val="sq-AL"/>
        </w:rPr>
        <w:t>#2</w:t>
      </w:r>
    </w:p>
    <w:tbl>
      <w:tblPr>
        <w:tblStyle w:val="TableGrid"/>
        <w:tblW w:w="10201" w:type="dxa"/>
        <w:tblLook w:val="04A0" w:firstRow="1" w:lastRow="0" w:firstColumn="1" w:lastColumn="0" w:noHBand="0" w:noVBand="1"/>
      </w:tblPr>
      <w:tblGrid>
        <w:gridCol w:w="939"/>
        <w:gridCol w:w="1314"/>
        <w:gridCol w:w="1027"/>
        <w:gridCol w:w="1030"/>
        <w:gridCol w:w="1094"/>
        <w:gridCol w:w="970"/>
        <w:gridCol w:w="1013"/>
        <w:gridCol w:w="938"/>
        <w:gridCol w:w="1876"/>
      </w:tblGrid>
      <w:tr w:rsidR="00FA29AB" w:rsidRPr="00050FA4" w14:paraId="4678D44D" w14:textId="77777777" w:rsidTr="00F51BF1">
        <w:tc>
          <w:tcPr>
            <w:tcW w:w="10201" w:type="dxa"/>
            <w:gridSpan w:val="9"/>
            <w:shd w:val="clear" w:color="auto" w:fill="E5DFEC" w:themeFill="accent4" w:themeFillTint="33"/>
          </w:tcPr>
          <w:p w14:paraId="0BCCAF96" w14:textId="635B8858"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04:</w:t>
            </w:r>
            <w:r w:rsidR="000B0C45" w:rsidRPr="00050FA4">
              <w:rPr>
                <w:b/>
                <w:sz w:val="18"/>
                <w:szCs w:val="18"/>
                <w:lang w:val="sq-AL"/>
              </w:rPr>
              <w:t xml:space="preserve"> </w:t>
            </w:r>
            <w:r w:rsidR="00461CA0" w:rsidRPr="00050FA4">
              <w:rPr>
                <w:b/>
                <w:sz w:val="18"/>
                <w:szCs w:val="18"/>
                <w:lang w:val="sq-AL"/>
              </w:rPr>
              <w:t>Rritja e mbulimit dhe përshtatshmërisë së mbrojtjes sociale dhe sigurimeve shëndetësore për të ulur përqindjen e popullsisë së rrezikuar nga varfëria</w:t>
            </w:r>
          </w:p>
        </w:tc>
      </w:tr>
      <w:tr w:rsidR="00FA29AB" w:rsidRPr="00050FA4" w14:paraId="40558C24" w14:textId="77777777" w:rsidTr="000A2731">
        <w:tc>
          <w:tcPr>
            <w:tcW w:w="941" w:type="dxa"/>
            <w:vAlign w:val="center"/>
          </w:tcPr>
          <w:p w14:paraId="24755A67" w14:textId="3F84641B"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316" w:type="dxa"/>
            <w:vAlign w:val="center"/>
          </w:tcPr>
          <w:p w14:paraId="4519DF62" w14:textId="61F17A1A"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29" w:type="dxa"/>
            <w:vAlign w:val="center"/>
          </w:tcPr>
          <w:p w14:paraId="0C9B94C3" w14:textId="4BDD5DF8"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25" w:type="dxa"/>
            <w:vAlign w:val="center"/>
          </w:tcPr>
          <w:p w14:paraId="47A6AE5E" w14:textId="574A6440"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96" w:type="dxa"/>
            <w:vAlign w:val="center"/>
          </w:tcPr>
          <w:p w14:paraId="607C2875" w14:textId="7096FD42"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971" w:type="dxa"/>
            <w:vAlign w:val="center"/>
          </w:tcPr>
          <w:p w14:paraId="16290851" w14:textId="4543AB41"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999" w:type="dxa"/>
            <w:vAlign w:val="center"/>
          </w:tcPr>
          <w:p w14:paraId="3F30CFE9" w14:textId="43F5F082"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941" w:type="dxa"/>
            <w:vAlign w:val="center"/>
          </w:tcPr>
          <w:p w14:paraId="4EA4F83B"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883" w:type="dxa"/>
            <w:vAlign w:val="center"/>
          </w:tcPr>
          <w:p w14:paraId="29D3E06D" w14:textId="2E96ADAA"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748F2380" w14:textId="77777777" w:rsidTr="00F51BF1">
        <w:trPr>
          <w:trHeight w:val="323"/>
        </w:trPr>
        <w:tc>
          <w:tcPr>
            <w:tcW w:w="941" w:type="dxa"/>
          </w:tcPr>
          <w:p w14:paraId="2CEE130D"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316" w:type="dxa"/>
          </w:tcPr>
          <w:p w14:paraId="445DA89F" w14:textId="77777777" w:rsidR="00E06E0F" w:rsidRPr="00050FA4" w:rsidRDefault="00E06E0F" w:rsidP="000A2731">
            <w:pPr>
              <w:pStyle w:val="AAAAAAATEXXXX"/>
              <w:ind w:firstLine="0"/>
              <w:jc w:val="right"/>
              <w:rPr>
                <w:sz w:val="18"/>
                <w:szCs w:val="18"/>
                <w:lang w:val="sq-AL"/>
              </w:rPr>
            </w:pPr>
            <w:r w:rsidRPr="00050FA4">
              <w:rPr>
                <w:sz w:val="18"/>
                <w:szCs w:val="18"/>
                <w:lang w:val="sq-AL"/>
              </w:rPr>
              <w:t>208,584,879</w:t>
            </w:r>
          </w:p>
        </w:tc>
        <w:tc>
          <w:tcPr>
            <w:tcW w:w="1029" w:type="dxa"/>
          </w:tcPr>
          <w:p w14:paraId="581ABFDD" w14:textId="77777777" w:rsidR="00E06E0F" w:rsidRPr="00050FA4" w:rsidRDefault="00E06E0F" w:rsidP="000A2731">
            <w:pPr>
              <w:pStyle w:val="AAAAAAATEXXXX"/>
              <w:ind w:firstLine="0"/>
              <w:jc w:val="right"/>
              <w:rPr>
                <w:sz w:val="18"/>
                <w:szCs w:val="18"/>
                <w:lang w:val="sq-AL"/>
              </w:rPr>
            </w:pPr>
          </w:p>
        </w:tc>
        <w:tc>
          <w:tcPr>
            <w:tcW w:w="1025" w:type="dxa"/>
          </w:tcPr>
          <w:p w14:paraId="153F74E7" w14:textId="77777777" w:rsidR="00E06E0F" w:rsidRPr="00050FA4" w:rsidRDefault="00E06E0F" w:rsidP="000A2731">
            <w:pPr>
              <w:pStyle w:val="AAAAAAATEXXXX"/>
              <w:ind w:firstLine="0"/>
              <w:jc w:val="right"/>
              <w:rPr>
                <w:sz w:val="18"/>
                <w:szCs w:val="18"/>
                <w:lang w:val="sq-AL"/>
              </w:rPr>
            </w:pPr>
          </w:p>
        </w:tc>
        <w:tc>
          <w:tcPr>
            <w:tcW w:w="1096" w:type="dxa"/>
          </w:tcPr>
          <w:p w14:paraId="3E747FCF" w14:textId="77777777" w:rsidR="00E06E0F" w:rsidRPr="00050FA4" w:rsidRDefault="00E06E0F" w:rsidP="000A2731">
            <w:pPr>
              <w:pStyle w:val="AAAAAAATEXXXX"/>
              <w:ind w:firstLine="0"/>
              <w:jc w:val="right"/>
              <w:rPr>
                <w:sz w:val="18"/>
                <w:szCs w:val="18"/>
                <w:lang w:val="sq-AL"/>
              </w:rPr>
            </w:pPr>
            <w:r w:rsidRPr="00050FA4">
              <w:rPr>
                <w:sz w:val="18"/>
                <w:szCs w:val="18"/>
                <w:lang w:val="sq-AL"/>
              </w:rPr>
              <w:t>1,000,000</w:t>
            </w:r>
          </w:p>
        </w:tc>
        <w:tc>
          <w:tcPr>
            <w:tcW w:w="971" w:type="dxa"/>
          </w:tcPr>
          <w:p w14:paraId="16580364" w14:textId="77777777" w:rsidR="00E06E0F" w:rsidRPr="00050FA4" w:rsidRDefault="00E06E0F" w:rsidP="000A2731">
            <w:pPr>
              <w:pStyle w:val="AAAAAAATEXXXX"/>
              <w:ind w:firstLine="0"/>
              <w:jc w:val="right"/>
              <w:rPr>
                <w:sz w:val="18"/>
                <w:szCs w:val="18"/>
                <w:lang w:val="sq-AL"/>
              </w:rPr>
            </w:pPr>
          </w:p>
        </w:tc>
        <w:tc>
          <w:tcPr>
            <w:tcW w:w="999" w:type="dxa"/>
          </w:tcPr>
          <w:p w14:paraId="4986C8FA" w14:textId="77777777" w:rsidR="00E06E0F" w:rsidRPr="00050FA4" w:rsidRDefault="00E06E0F" w:rsidP="000A2731">
            <w:pPr>
              <w:pStyle w:val="AAAAAAATEXXXX"/>
              <w:ind w:firstLine="0"/>
              <w:jc w:val="right"/>
              <w:rPr>
                <w:sz w:val="18"/>
                <w:szCs w:val="18"/>
                <w:lang w:val="sq-AL"/>
              </w:rPr>
            </w:pPr>
          </w:p>
        </w:tc>
        <w:tc>
          <w:tcPr>
            <w:tcW w:w="941" w:type="dxa"/>
            <w:shd w:val="clear" w:color="auto" w:fill="808080" w:themeFill="background1" w:themeFillShade="80"/>
          </w:tcPr>
          <w:p w14:paraId="52D8FAC2" w14:textId="77777777" w:rsidR="00E06E0F" w:rsidRPr="00050FA4" w:rsidRDefault="00E06E0F" w:rsidP="000A2731">
            <w:pPr>
              <w:pStyle w:val="AAAAAAATEXXXX"/>
              <w:ind w:firstLine="0"/>
              <w:jc w:val="right"/>
              <w:rPr>
                <w:sz w:val="18"/>
                <w:szCs w:val="18"/>
                <w:lang w:val="sq-AL"/>
              </w:rPr>
            </w:pPr>
          </w:p>
        </w:tc>
        <w:tc>
          <w:tcPr>
            <w:tcW w:w="1883" w:type="dxa"/>
          </w:tcPr>
          <w:p w14:paraId="6918B971" w14:textId="77777777" w:rsidR="00E06E0F" w:rsidRPr="00050FA4" w:rsidRDefault="00E06E0F" w:rsidP="000A2731">
            <w:pPr>
              <w:pStyle w:val="AAAAAAATEXXXX"/>
              <w:ind w:firstLine="0"/>
              <w:jc w:val="right"/>
              <w:rPr>
                <w:sz w:val="18"/>
                <w:szCs w:val="18"/>
                <w:lang w:val="sq-AL"/>
              </w:rPr>
            </w:pPr>
            <w:r w:rsidRPr="00050FA4">
              <w:rPr>
                <w:sz w:val="18"/>
                <w:szCs w:val="18"/>
                <w:lang w:val="sq-AL"/>
              </w:rPr>
              <w:t>209,584,879</w:t>
            </w:r>
          </w:p>
        </w:tc>
      </w:tr>
      <w:tr w:rsidR="00FA29AB" w:rsidRPr="00050FA4" w14:paraId="00596271" w14:textId="77777777" w:rsidTr="00F51BF1">
        <w:tc>
          <w:tcPr>
            <w:tcW w:w="941" w:type="dxa"/>
          </w:tcPr>
          <w:p w14:paraId="3251E494"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316" w:type="dxa"/>
          </w:tcPr>
          <w:p w14:paraId="0ABADE02" w14:textId="77777777" w:rsidR="00E06E0F" w:rsidRPr="00050FA4" w:rsidRDefault="00E06E0F" w:rsidP="000A2731">
            <w:pPr>
              <w:pStyle w:val="AAAAAAATEXXXX"/>
              <w:ind w:firstLine="0"/>
              <w:jc w:val="right"/>
              <w:rPr>
                <w:sz w:val="18"/>
                <w:szCs w:val="18"/>
                <w:lang w:val="sq-AL"/>
              </w:rPr>
            </w:pPr>
            <w:r w:rsidRPr="00050FA4">
              <w:rPr>
                <w:sz w:val="18"/>
                <w:szCs w:val="18"/>
                <w:lang w:val="sq-AL"/>
              </w:rPr>
              <w:t>215,179,174</w:t>
            </w:r>
          </w:p>
        </w:tc>
        <w:tc>
          <w:tcPr>
            <w:tcW w:w="1029" w:type="dxa"/>
          </w:tcPr>
          <w:p w14:paraId="3DE396D8" w14:textId="77777777" w:rsidR="00E06E0F" w:rsidRPr="00050FA4" w:rsidRDefault="00E06E0F" w:rsidP="000A2731">
            <w:pPr>
              <w:pStyle w:val="AAAAAAATEXXXX"/>
              <w:ind w:firstLine="0"/>
              <w:jc w:val="right"/>
              <w:rPr>
                <w:sz w:val="18"/>
                <w:szCs w:val="18"/>
                <w:lang w:val="sq-AL"/>
              </w:rPr>
            </w:pPr>
          </w:p>
        </w:tc>
        <w:tc>
          <w:tcPr>
            <w:tcW w:w="1025" w:type="dxa"/>
          </w:tcPr>
          <w:p w14:paraId="5F1EA513" w14:textId="77777777" w:rsidR="00E06E0F" w:rsidRPr="00050FA4" w:rsidRDefault="00E06E0F" w:rsidP="000A2731">
            <w:pPr>
              <w:pStyle w:val="AAAAAAATEXXXX"/>
              <w:ind w:firstLine="0"/>
              <w:jc w:val="right"/>
              <w:rPr>
                <w:sz w:val="18"/>
                <w:szCs w:val="18"/>
                <w:lang w:val="sq-AL"/>
              </w:rPr>
            </w:pPr>
          </w:p>
        </w:tc>
        <w:tc>
          <w:tcPr>
            <w:tcW w:w="1096" w:type="dxa"/>
          </w:tcPr>
          <w:p w14:paraId="35AFA41E" w14:textId="77777777" w:rsidR="00E06E0F" w:rsidRPr="00050FA4" w:rsidRDefault="00E06E0F" w:rsidP="000A2731">
            <w:pPr>
              <w:pStyle w:val="AAAAAAATEXXXX"/>
              <w:ind w:firstLine="0"/>
              <w:jc w:val="right"/>
              <w:rPr>
                <w:sz w:val="18"/>
                <w:szCs w:val="18"/>
                <w:lang w:val="sq-AL"/>
              </w:rPr>
            </w:pPr>
            <w:r w:rsidRPr="00050FA4">
              <w:rPr>
                <w:sz w:val="18"/>
                <w:szCs w:val="18"/>
                <w:lang w:val="sq-AL"/>
              </w:rPr>
              <w:t>1,500,000</w:t>
            </w:r>
          </w:p>
        </w:tc>
        <w:tc>
          <w:tcPr>
            <w:tcW w:w="971" w:type="dxa"/>
          </w:tcPr>
          <w:p w14:paraId="2E37E10D" w14:textId="77777777" w:rsidR="00E06E0F" w:rsidRPr="00050FA4" w:rsidRDefault="00E06E0F" w:rsidP="000A2731">
            <w:pPr>
              <w:pStyle w:val="AAAAAAATEXXXX"/>
              <w:ind w:firstLine="0"/>
              <w:jc w:val="right"/>
              <w:rPr>
                <w:sz w:val="18"/>
                <w:szCs w:val="18"/>
                <w:lang w:val="sq-AL"/>
              </w:rPr>
            </w:pPr>
          </w:p>
        </w:tc>
        <w:tc>
          <w:tcPr>
            <w:tcW w:w="999" w:type="dxa"/>
          </w:tcPr>
          <w:p w14:paraId="30C17482" w14:textId="77777777" w:rsidR="00E06E0F" w:rsidRPr="00050FA4" w:rsidRDefault="00E06E0F" w:rsidP="000A2731">
            <w:pPr>
              <w:pStyle w:val="AAAAAAATEXXXX"/>
              <w:ind w:firstLine="0"/>
              <w:jc w:val="right"/>
              <w:rPr>
                <w:sz w:val="18"/>
                <w:szCs w:val="18"/>
                <w:lang w:val="sq-AL"/>
              </w:rPr>
            </w:pPr>
          </w:p>
        </w:tc>
        <w:tc>
          <w:tcPr>
            <w:tcW w:w="941" w:type="dxa"/>
          </w:tcPr>
          <w:p w14:paraId="089F6F54" w14:textId="77777777" w:rsidR="00E06E0F" w:rsidRPr="00050FA4" w:rsidRDefault="00E06E0F" w:rsidP="000A2731">
            <w:pPr>
              <w:pStyle w:val="AAAAAAATEXXXX"/>
              <w:ind w:firstLine="0"/>
              <w:jc w:val="right"/>
              <w:rPr>
                <w:sz w:val="18"/>
                <w:szCs w:val="18"/>
                <w:lang w:val="sq-AL"/>
              </w:rPr>
            </w:pPr>
          </w:p>
        </w:tc>
        <w:tc>
          <w:tcPr>
            <w:tcW w:w="1883" w:type="dxa"/>
          </w:tcPr>
          <w:p w14:paraId="677EA3A8" w14:textId="77777777" w:rsidR="00E06E0F" w:rsidRPr="00050FA4" w:rsidRDefault="00E06E0F" w:rsidP="000A2731">
            <w:pPr>
              <w:pStyle w:val="AAAAAAATEXXXX"/>
              <w:ind w:firstLine="0"/>
              <w:jc w:val="right"/>
              <w:rPr>
                <w:sz w:val="18"/>
                <w:szCs w:val="18"/>
                <w:lang w:val="sq-AL"/>
              </w:rPr>
            </w:pPr>
            <w:r w:rsidRPr="00050FA4">
              <w:rPr>
                <w:sz w:val="18"/>
                <w:szCs w:val="18"/>
                <w:lang w:val="sq-AL"/>
              </w:rPr>
              <w:t>216,679,174</w:t>
            </w:r>
          </w:p>
        </w:tc>
      </w:tr>
      <w:tr w:rsidR="00FA29AB" w:rsidRPr="00050FA4" w14:paraId="566E7BC7" w14:textId="77777777" w:rsidTr="00F51BF1">
        <w:tc>
          <w:tcPr>
            <w:tcW w:w="941" w:type="dxa"/>
          </w:tcPr>
          <w:p w14:paraId="00222694"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316" w:type="dxa"/>
          </w:tcPr>
          <w:p w14:paraId="392E9E9C" w14:textId="77777777" w:rsidR="00E06E0F" w:rsidRPr="00050FA4" w:rsidRDefault="00E06E0F" w:rsidP="000A2731">
            <w:pPr>
              <w:pStyle w:val="AAAAAAATEXXXX"/>
              <w:ind w:firstLine="0"/>
              <w:jc w:val="right"/>
              <w:rPr>
                <w:sz w:val="18"/>
                <w:szCs w:val="18"/>
                <w:lang w:val="sq-AL"/>
              </w:rPr>
            </w:pPr>
            <w:r w:rsidRPr="00050FA4">
              <w:rPr>
                <w:sz w:val="18"/>
                <w:szCs w:val="18"/>
                <w:lang w:val="sq-AL"/>
              </w:rPr>
              <w:t>216,499,794</w:t>
            </w:r>
          </w:p>
        </w:tc>
        <w:tc>
          <w:tcPr>
            <w:tcW w:w="1029" w:type="dxa"/>
          </w:tcPr>
          <w:p w14:paraId="4C879A47" w14:textId="77777777" w:rsidR="00E06E0F" w:rsidRPr="00050FA4" w:rsidRDefault="00E06E0F" w:rsidP="000A2731">
            <w:pPr>
              <w:pStyle w:val="AAAAAAATEXXXX"/>
              <w:ind w:firstLine="0"/>
              <w:jc w:val="right"/>
              <w:rPr>
                <w:sz w:val="18"/>
                <w:szCs w:val="18"/>
                <w:lang w:val="sq-AL"/>
              </w:rPr>
            </w:pPr>
          </w:p>
        </w:tc>
        <w:tc>
          <w:tcPr>
            <w:tcW w:w="1025" w:type="dxa"/>
          </w:tcPr>
          <w:p w14:paraId="0936854A" w14:textId="77777777" w:rsidR="00E06E0F" w:rsidRPr="00050FA4" w:rsidRDefault="00E06E0F" w:rsidP="000A2731">
            <w:pPr>
              <w:pStyle w:val="AAAAAAATEXXXX"/>
              <w:ind w:firstLine="0"/>
              <w:jc w:val="right"/>
              <w:rPr>
                <w:sz w:val="18"/>
                <w:szCs w:val="18"/>
                <w:lang w:val="sq-AL"/>
              </w:rPr>
            </w:pPr>
          </w:p>
        </w:tc>
        <w:tc>
          <w:tcPr>
            <w:tcW w:w="1096" w:type="dxa"/>
          </w:tcPr>
          <w:p w14:paraId="0BA42627" w14:textId="77777777" w:rsidR="00E06E0F" w:rsidRPr="00050FA4" w:rsidRDefault="00E06E0F" w:rsidP="000A2731">
            <w:pPr>
              <w:pStyle w:val="AAAAAAATEXXXX"/>
              <w:ind w:firstLine="0"/>
              <w:jc w:val="right"/>
              <w:rPr>
                <w:sz w:val="18"/>
                <w:szCs w:val="18"/>
                <w:lang w:val="sq-AL"/>
              </w:rPr>
            </w:pPr>
          </w:p>
        </w:tc>
        <w:tc>
          <w:tcPr>
            <w:tcW w:w="971" w:type="dxa"/>
          </w:tcPr>
          <w:p w14:paraId="33585779" w14:textId="77777777" w:rsidR="00E06E0F" w:rsidRPr="00050FA4" w:rsidRDefault="00E06E0F" w:rsidP="000A2731">
            <w:pPr>
              <w:pStyle w:val="AAAAAAATEXXXX"/>
              <w:ind w:firstLine="0"/>
              <w:jc w:val="right"/>
              <w:rPr>
                <w:sz w:val="18"/>
                <w:szCs w:val="18"/>
                <w:lang w:val="sq-AL"/>
              </w:rPr>
            </w:pPr>
          </w:p>
        </w:tc>
        <w:tc>
          <w:tcPr>
            <w:tcW w:w="999" w:type="dxa"/>
          </w:tcPr>
          <w:p w14:paraId="5F20845D" w14:textId="77777777" w:rsidR="00E06E0F" w:rsidRPr="00050FA4" w:rsidRDefault="00E06E0F" w:rsidP="000A2731">
            <w:pPr>
              <w:pStyle w:val="AAAAAAATEXXXX"/>
              <w:ind w:firstLine="0"/>
              <w:jc w:val="right"/>
              <w:rPr>
                <w:sz w:val="18"/>
                <w:szCs w:val="18"/>
                <w:lang w:val="sq-AL"/>
              </w:rPr>
            </w:pPr>
          </w:p>
        </w:tc>
        <w:tc>
          <w:tcPr>
            <w:tcW w:w="941" w:type="dxa"/>
          </w:tcPr>
          <w:p w14:paraId="7D82C198" w14:textId="77777777" w:rsidR="00E06E0F" w:rsidRPr="00050FA4" w:rsidRDefault="00E06E0F" w:rsidP="000A2731">
            <w:pPr>
              <w:pStyle w:val="AAAAAAATEXXXX"/>
              <w:ind w:firstLine="0"/>
              <w:jc w:val="right"/>
              <w:rPr>
                <w:sz w:val="18"/>
                <w:szCs w:val="18"/>
                <w:lang w:val="sq-AL"/>
              </w:rPr>
            </w:pPr>
          </w:p>
        </w:tc>
        <w:tc>
          <w:tcPr>
            <w:tcW w:w="1883" w:type="dxa"/>
          </w:tcPr>
          <w:p w14:paraId="1C49CDF2" w14:textId="77777777" w:rsidR="00E06E0F" w:rsidRPr="00050FA4" w:rsidRDefault="00E06E0F" w:rsidP="000A2731">
            <w:pPr>
              <w:pStyle w:val="AAAAAAATEXXXX"/>
              <w:ind w:firstLine="0"/>
              <w:jc w:val="right"/>
              <w:rPr>
                <w:sz w:val="18"/>
                <w:szCs w:val="18"/>
                <w:lang w:val="sq-AL"/>
              </w:rPr>
            </w:pPr>
            <w:r w:rsidRPr="00050FA4">
              <w:rPr>
                <w:sz w:val="18"/>
                <w:szCs w:val="18"/>
                <w:lang w:val="sq-AL"/>
              </w:rPr>
              <w:t>216,499,794</w:t>
            </w:r>
          </w:p>
        </w:tc>
      </w:tr>
    </w:tbl>
    <w:p w14:paraId="678F6A57" w14:textId="77777777" w:rsidR="00E06E0F" w:rsidRPr="00050FA4" w:rsidRDefault="00E06E0F" w:rsidP="003F1DA7">
      <w:pPr>
        <w:pStyle w:val="AAAAAAATEXXXX"/>
        <w:rPr>
          <w:sz w:val="20"/>
          <w:szCs w:val="20"/>
          <w:lang w:val="sq-AL"/>
        </w:rPr>
      </w:pPr>
    </w:p>
    <w:tbl>
      <w:tblPr>
        <w:tblStyle w:val="TableGrid"/>
        <w:tblW w:w="10201" w:type="dxa"/>
        <w:tblLook w:val="04A0" w:firstRow="1" w:lastRow="0" w:firstColumn="1" w:lastColumn="0" w:noHBand="0" w:noVBand="1"/>
      </w:tblPr>
      <w:tblGrid>
        <w:gridCol w:w="938"/>
        <w:gridCol w:w="1313"/>
        <w:gridCol w:w="1028"/>
        <w:gridCol w:w="1030"/>
        <w:gridCol w:w="1094"/>
        <w:gridCol w:w="971"/>
        <w:gridCol w:w="1013"/>
        <w:gridCol w:w="939"/>
        <w:gridCol w:w="1875"/>
      </w:tblGrid>
      <w:tr w:rsidR="00FA29AB" w:rsidRPr="00050FA4" w14:paraId="15DF2C60" w14:textId="77777777" w:rsidTr="00F51BF1">
        <w:tc>
          <w:tcPr>
            <w:tcW w:w="10201" w:type="dxa"/>
            <w:gridSpan w:val="9"/>
            <w:shd w:val="clear" w:color="auto" w:fill="E5DFEC" w:themeFill="accent4" w:themeFillTint="33"/>
          </w:tcPr>
          <w:p w14:paraId="03EF7EC6" w14:textId="7094B733"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05:</w:t>
            </w:r>
            <w:r w:rsidR="000B0C45" w:rsidRPr="00050FA4">
              <w:rPr>
                <w:b/>
                <w:sz w:val="18"/>
                <w:szCs w:val="18"/>
                <w:lang w:val="sq-AL"/>
              </w:rPr>
              <w:t xml:space="preserve"> </w:t>
            </w:r>
            <w:r w:rsidR="00461CA0" w:rsidRPr="00050FA4">
              <w:rPr>
                <w:b/>
                <w:sz w:val="18"/>
                <w:szCs w:val="18"/>
                <w:lang w:val="sq-AL"/>
              </w:rPr>
              <w:t>Rritja e aksesit në kujdesin shëndetësor</w:t>
            </w:r>
          </w:p>
        </w:tc>
      </w:tr>
      <w:tr w:rsidR="00FA29AB" w:rsidRPr="00050FA4" w14:paraId="69B436E9" w14:textId="77777777" w:rsidTr="000A2731">
        <w:tc>
          <w:tcPr>
            <w:tcW w:w="941" w:type="dxa"/>
            <w:vAlign w:val="center"/>
          </w:tcPr>
          <w:p w14:paraId="2DB62C6D" w14:textId="2D075037"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316" w:type="dxa"/>
            <w:vAlign w:val="center"/>
          </w:tcPr>
          <w:p w14:paraId="40D32B5D" w14:textId="21965F28"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29" w:type="dxa"/>
            <w:vAlign w:val="center"/>
          </w:tcPr>
          <w:p w14:paraId="0033597E" w14:textId="4CCE6145"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25" w:type="dxa"/>
            <w:vAlign w:val="center"/>
          </w:tcPr>
          <w:p w14:paraId="4CFCEDEC" w14:textId="5803377C"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w:t>
            </w:r>
            <w:r w:rsidRPr="00050FA4">
              <w:rPr>
                <w:b/>
                <w:sz w:val="18"/>
                <w:szCs w:val="18"/>
                <w:lang w:val="sq-AL"/>
              </w:rPr>
              <w:lastRenderedPageBreak/>
              <w:t>publike</w:t>
            </w:r>
          </w:p>
        </w:tc>
        <w:tc>
          <w:tcPr>
            <w:tcW w:w="1096" w:type="dxa"/>
            <w:vAlign w:val="center"/>
          </w:tcPr>
          <w:p w14:paraId="1E404497" w14:textId="78AF452E" w:rsidR="00E06E0F" w:rsidRPr="00050FA4" w:rsidRDefault="005E44FE" w:rsidP="000A2731">
            <w:pPr>
              <w:pStyle w:val="AAAAAAATEXXXX"/>
              <w:ind w:firstLine="0"/>
              <w:jc w:val="center"/>
              <w:rPr>
                <w:b/>
                <w:sz w:val="18"/>
                <w:szCs w:val="18"/>
                <w:lang w:val="sq-AL"/>
              </w:rPr>
            </w:pPr>
            <w:r w:rsidRPr="00050FA4">
              <w:rPr>
                <w:b/>
                <w:sz w:val="18"/>
                <w:szCs w:val="18"/>
                <w:lang w:val="sq-AL"/>
              </w:rPr>
              <w:lastRenderedPageBreak/>
              <w:t>Fondet IPA</w:t>
            </w:r>
          </w:p>
        </w:tc>
        <w:tc>
          <w:tcPr>
            <w:tcW w:w="971" w:type="dxa"/>
            <w:vAlign w:val="center"/>
          </w:tcPr>
          <w:p w14:paraId="22940C28" w14:textId="38067E5C"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999" w:type="dxa"/>
            <w:vAlign w:val="center"/>
          </w:tcPr>
          <w:p w14:paraId="24A30FF5" w14:textId="426A9B31"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941" w:type="dxa"/>
            <w:vAlign w:val="center"/>
          </w:tcPr>
          <w:p w14:paraId="1EA7F10A"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883" w:type="dxa"/>
            <w:vAlign w:val="center"/>
          </w:tcPr>
          <w:p w14:paraId="2BD6C79A" w14:textId="0CBC4304"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5BC9AF1F" w14:textId="77777777" w:rsidTr="00F51BF1">
        <w:trPr>
          <w:trHeight w:val="323"/>
        </w:trPr>
        <w:tc>
          <w:tcPr>
            <w:tcW w:w="941" w:type="dxa"/>
          </w:tcPr>
          <w:p w14:paraId="41AB6BED" w14:textId="77777777" w:rsidR="00E06E0F" w:rsidRPr="00050FA4" w:rsidRDefault="00E06E0F" w:rsidP="00A250C1">
            <w:pPr>
              <w:pStyle w:val="AAAAAAATEXXXX"/>
              <w:ind w:firstLine="0"/>
              <w:rPr>
                <w:sz w:val="18"/>
                <w:szCs w:val="18"/>
                <w:lang w:val="sq-AL"/>
              </w:rPr>
            </w:pPr>
            <w:r w:rsidRPr="00050FA4">
              <w:rPr>
                <w:sz w:val="18"/>
                <w:szCs w:val="18"/>
                <w:lang w:val="sq-AL"/>
              </w:rPr>
              <w:lastRenderedPageBreak/>
              <w:t>2022</w:t>
            </w:r>
          </w:p>
        </w:tc>
        <w:tc>
          <w:tcPr>
            <w:tcW w:w="1316" w:type="dxa"/>
          </w:tcPr>
          <w:p w14:paraId="6858306C" w14:textId="015BA013" w:rsidR="00E06E0F" w:rsidRPr="00050FA4" w:rsidRDefault="00E06E0F" w:rsidP="00A250C1">
            <w:pPr>
              <w:pStyle w:val="AAAAAAATEXXXX"/>
              <w:ind w:firstLine="0"/>
              <w:rPr>
                <w:sz w:val="18"/>
                <w:szCs w:val="18"/>
                <w:lang w:val="sq-AL"/>
              </w:rPr>
            </w:pPr>
          </w:p>
        </w:tc>
        <w:tc>
          <w:tcPr>
            <w:tcW w:w="1029" w:type="dxa"/>
          </w:tcPr>
          <w:p w14:paraId="1A468A76" w14:textId="77777777" w:rsidR="00E06E0F" w:rsidRPr="00050FA4" w:rsidRDefault="00E06E0F" w:rsidP="00A250C1">
            <w:pPr>
              <w:pStyle w:val="AAAAAAATEXXXX"/>
              <w:ind w:firstLine="0"/>
              <w:rPr>
                <w:sz w:val="18"/>
                <w:szCs w:val="18"/>
                <w:lang w:val="sq-AL"/>
              </w:rPr>
            </w:pPr>
          </w:p>
        </w:tc>
        <w:tc>
          <w:tcPr>
            <w:tcW w:w="1025" w:type="dxa"/>
          </w:tcPr>
          <w:p w14:paraId="1F3A8193" w14:textId="77777777" w:rsidR="00E06E0F" w:rsidRPr="00050FA4" w:rsidRDefault="00E06E0F" w:rsidP="00A250C1">
            <w:pPr>
              <w:pStyle w:val="AAAAAAATEXXXX"/>
              <w:ind w:firstLine="0"/>
              <w:rPr>
                <w:sz w:val="18"/>
                <w:szCs w:val="18"/>
                <w:lang w:val="sq-AL"/>
              </w:rPr>
            </w:pPr>
          </w:p>
        </w:tc>
        <w:tc>
          <w:tcPr>
            <w:tcW w:w="1096" w:type="dxa"/>
          </w:tcPr>
          <w:p w14:paraId="22899A6E" w14:textId="344976B4" w:rsidR="00E06E0F" w:rsidRPr="00050FA4" w:rsidRDefault="00E06E0F" w:rsidP="00A250C1">
            <w:pPr>
              <w:pStyle w:val="AAAAAAATEXXXX"/>
              <w:ind w:firstLine="0"/>
              <w:rPr>
                <w:sz w:val="18"/>
                <w:szCs w:val="18"/>
                <w:lang w:val="sq-AL"/>
              </w:rPr>
            </w:pPr>
          </w:p>
        </w:tc>
        <w:tc>
          <w:tcPr>
            <w:tcW w:w="971" w:type="dxa"/>
          </w:tcPr>
          <w:p w14:paraId="13F62004" w14:textId="77777777" w:rsidR="00E06E0F" w:rsidRPr="00050FA4" w:rsidRDefault="00E06E0F" w:rsidP="00A250C1">
            <w:pPr>
              <w:pStyle w:val="AAAAAAATEXXXX"/>
              <w:ind w:firstLine="0"/>
              <w:rPr>
                <w:sz w:val="18"/>
                <w:szCs w:val="18"/>
                <w:lang w:val="sq-AL"/>
              </w:rPr>
            </w:pPr>
          </w:p>
        </w:tc>
        <w:tc>
          <w:tcPr>
            <w:tcW w:w="999" w:type="dxa"/>
          </w:tcPr>
          <w:p w14:paraId="6436F9D1" w14:textId="77777777" w:rsidR="00E06E0F" w:rsidRPr="00050FA4" w:rsidRDefault="00E06E0F" w:rsidP="00A250C1">
            <w:pPr>
              <w:pStyle w:val="AAAAAAATEXXXX"/>
              <w:ind w:firstLine="0"/>
              <w:rPr>
                <w:sz w:val="18"/>
                <w:szCs w:val="18"/>
                <w:lang w:val="sq-AL"/>
              </w:rPr>
            </w:pPr>
          </w:p>
        </w:tc>
        <w:tc>
          <w:tcPr>
            <w:tcW w:w="941" w:type="dxa"/>
            <w:shd w:val="clear" w:color="auto" w:fill="808080" w:themeFill="background1" w:themeFillShade="80"/>
          </w:tcPr>
          <w:p w14:paraId="2C1AA1E4" w14:textId="77777777" w:rsidR="00E06E0F" w:rsidRPr="00050FA4" w:rsidRDefault="00E06E0F" w:rsidP="00A250C1">
            <w:pPr>
              <w:pStyle w:val="AAAAAAATEXXXX"/>
              <w:ind w:firstLine="0"/>
              <w:rPr>
                <w:sz w:val="18"/>
                <w:szCs w:val="18"/>
                <w:lang w:val="sq-AL"/>
              </w:rPr>
            </w:pPr>
          </w:p>
        </w:tc>
        <w:tc>
          <w:tcPr>
            <w:tcW w:w="1883" w:type="dxa"/>
          </w:tcPr>
          <w:p w14:paraId="14C16EF0" w14:textId="0400F87D" w:rsidR="00E06E0F" w:rsidRPr="00050FA4" w:rsidRDefault="00E06E0F" w:rsidP="00A250C1">
            <w:pPr>
              <w:pStyle w:val="AAAAAAATEXXXX"/>
              <w:ind w:firstLine="0"/>
              <w:rPr>
                <w:sz w:val="18"/>
                <w:szCs w:val="18"/>
                <w:lang w:val="sq-AL"/>
              </w:rPr>
            </w:pPr>
          </w:p>
        </w:tc>
      </w:tr>
      <w:tr w:rsidR="00FA29AB" w:rsidRPr="00050FA4" w14:paraId="5E7DA8BF" w14:textId="77777777" w:rsidTr="00F51BF1">
        <w:tc>
          <w:tcPr>
            <w:tcW w:w="941" w:type="dxa"/>
          </w:tcPr>
          <w:p w14:paraId="63503278"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316" w:type="dxa"/>
          </w:tcPr>
          <w:p w14:paraId="16AD0940" w14:textId="63CB16D2" w:rsidR="00E06E0F" w:rsidRPr="00050FA4" w:rsidRDefault="00E06E0F" w:rsidP="00A250C1">
            <w:pPr>
              <w:pStyle w:val="AAAAAAATEXXXX"/>
              <w:ind w:firstLine="0"/>
              <w:rPr>
                <w:sz w:val="18"/>
                <w:szCs w:val="18"/>
                <w:lang w:val="sq-AL"/>
              </w:rPr>
            </w:pPr>
          </w:p>
        </w:tc>
        <w:tc>
          <w:tcPr>
            <w:tcW w:w="1029" w:type="dxa"/>
          </w:tcPr>
          <w:p w14:paraId="0748A60F" w14:textId="77777777" w:rsidR="00E06E0F" w:rsidRPr="00050FA4" w:rsidRDefault="00E06E0F" w:rsidP="00A250C1">
            <w:pPr>
              <w:pStyle w:val="AAAAAAATEXXXX"/>
              <w:ind w:firstLine="0"/>
              <w:rPr>
                <w:sz w:val="18"/>
                <w:szCs w:val="18"/>
                <w:lang w:val="sq-AL"/>
              </w:rPr>
            </w:pPr>
          </w:p>
        </w:tc>
        <w:tc>
          <w:tcPr>
            <w:tcW w:w="1025" w:type="dxa"/>
          </w:tcPr>
          <w:p w14:paraId="09173DB5" w14:textId="77777777" w:rsidR="00E06E0F" w:rsidRPr="00050FA4" w:rsidRDefault="00E06E0F" w:rsidP="00A250C1">
            <w:pPr>
              <w:pStyle w:val="AAAAAAATEXXXX"/>
              <w:ind w:firstLine="0"/>
              <w:rPr>
                <w:sz w:val="18"/>
                <w:szCs w:val="18"/>
                <w:lang w:val="sq-AL"/>
              </w:rPr>
            </w:pPr>
          </w:p>
        </w:tc>
        <w:tc>
          <w:tcPr>
            <w:tcW w:w="1096" w:type="dxa"/>
          </w:tcPr>
          <w:p w14:paraId="5BA6FB54" w14:textId="55B38A3D" w:rsidR="00E06E0F" w:rsidRPr="00050FA4" w:rsidRDefault="00E06E0F" w:rsidP="00A250C1">
            <w:pPr>
              <w:pStyle w:val="AAAAAAATEXXXX"/>
              <w:ind w:firstLine="0"/>
              <w:rPr>
                <w:sz w:val="18"/>
                <w:szCs w:val="18"/>
                <w:lang w:val="sq-AL"/>
              </w:rPr>
            </w:pPr>
          </w:p>
        </w:tc>
        <w:tc>
          <w:tcPr>
            <w:tcW w:w="971" w:type="dxa"/>
          </w:tcPr>
          <w:p w14:paraId="3004B6A9" w14:textId="77777777" w:rsidR="00E06E0F" w:rsidRPr="00050FA4" w:rsidRDefault="00E06E0F" w:rsidP="00A250C1">
            <w:pPr>
              <w:pStyle w:val="AAAAAAATEXXXX"/>
              <w:ind w:firstLine="0"/>
              <w:rPr>
                <w:sz w:val="18"/>
                <w:szCs w:val="18"/>
                <w:lang w:val="sq-AL"/>
              </w:rPr>
            </w:pPr>
          </w:p>
        </w:tc>
        <w:tc>
          <w:tcPr>
            <w:tcW w:w="999" w:type="dxa"/>
          </w:tcPr>
          <w:p w14:paraId="3FE02F83" w14:textId="77777777" w:rsidR="00E06E0F" w:rsidRPr="00050FA4" w:rsidRDefault="00E06E0F" w:rsidP="00A250C1">
            <w:pPr>
              <w:pStyle w:val="AAAAAAATEXXXX"/>
              <w:ind w:firstLine="0"/>
              <w:rPr>
                <w:sz w:val="18"/>
                <w:szCs w:val="18"/>
                <w:lang w:val="sq-AL"/>
              </w:rPr>
            </w:pPr>
          </w:p>
        </w:tc>
        <w:tc>
          <w:tcPr>
            <w:tcW w:w="941" w:type="dxa"/>
          </w:tcPr>
          <w:p w14:paraId="168B7E52" w14:textId="77777777" w:rsidR="00E06E0F" w:rsidRPr="00050FA4" w:rsidRDefault="00E06E0F" w:rsidP="00A250C1">
            <w:pPr>
              <w:pStyle w:val="AAAAAAATEXXXX"/>
              <w:ind w:firstLine="0"/>
              <w:rPr>
                <w:sz w:val="18"/>
                <w:szCs w:val="18"/>
                <w:lang w:val="sq-AL"/>
              </w:rPr>
            </w:pPr>
          </w:p>
        </w:tc>
        <w:tc>
          <w:tcPr>
            <w:tcW w:w="1883" w:type="dxa"/>
          </w:tcPr>
          <w:p w14:paraId="0079DF71" w14:textId="3318B3B9" w:rsidR="00E06E0F" w:rsidRPr="00050FA4" w:rsidRDefault="00E06E0F" w:rsidP="00A250C1">
            <w:pPr>
              <w:pStyle w:val="AAAAAAATEXXXX"/>
              <w:ind w:firstLine="0"/>
              <w:rPr>
                <w:sz w:val="18"/>
                <w:szCs w:val="18"/>
                <w:lang w:val="sq-AL"/>
              </w:rPr>
            </w:pPr>
          </w:p>
        </w:tc>
      </w:tr>
      <w:tr w:rsidR="00FA29AB" w:rsidRPr="00050FA4" w14:paraId="5DDA4D47" w14:textId="77777777" w:rsidTr="00F51BF1">
        <w:tc>
          <w:tcPr>
            <w:tcW w:w="941" w:type="dxa"/>
          </w:tcPr>
          <w:p w14:paraId="15BF9828"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316" w:type="dxa"/>
          </w:tcPr>
          <w:p w14:paraId="723D03A1" w14:textId="42407134" w:rsidR="00E06E0F" w:rsidRPr="00050FA4" w:rsidRDefault="00E06E0F" w:rsidP="00A250C1">
            <w:pPr>
              <w:pStyle w:val="AAAAAAATEXXXX"/>
              <w:ind w:firstLine="0"/>
              <w:rPr>
                <w:sz w:val="18"/>
                <w:szCs w:val="18"/>
                <w:lang w:val="sq-AL"/>
              </w:rPr>
            </w:pPr>
          </w:p>
        </w:tc>
        <w:tc>
          <w:tcPr>
            <w:tcW w:w="1029" w:type="dxa"/>
          </w:tcPr>
          <w:p w14:paraId="29C1342C" w14:textId="77777777" w:rsidR="00E06E0F" w:rsidRPr="00050FA4" w:rsidRDefault="00E06E0F" w:rsidP="00A250C1">
            <w:pPr>
              <w:pStyle w:val="AAAAAAATEXXXX"/>
              <w:ind w:firstLine="0"/>
              <w:rPr>
                <w:sz w:val="18"/>
                <w:szCs w:val="18"/>
                <w:lang w:val="sq-AL"/>
              </w:rPr>
            </w:pPr>
          </w:p>
        </w:tc>
        <w:tc>
          <w:tcPr>
            <w:tcW w:w="1025" w:type="dxa"/>
          </w:tcPr>
          <w:p w14:paraId="73FB390C" w14:textId="77777777" w:rsidR="00E06E0F" w:rsidRPr="00050FA4" w:rsidRDefault="00E06E0F" w:rsidP="00A250C1">
            <w:pPr>
              <w:pStyle w:val="AAAAAAATEXXXX"/>
              <w:ind w:firstLine="0"/>
              <w:rPr>
                <w:sz w:val="18"/>
                <w:szCs w:val="18"/>
                <w:lang w:val="sq-AL"/>
              </w:rPr>
            </w:pPr>
          </w:p>
        </w:tc>
        <w:tc>
          <w:tcPr>
            <w:tcW w:w="1096" w:type="dxa"/>
          </w:tcPr>
          <w:p w14:paraId="07C882FD" w14:textId="77777777" w:rsidR="00E06E0F" w:rsidRPr="00050FA4" w:rsidRDefault="00E06E0F" w:rsidP="00A250C1">
            <w:pPr>
              <w:pStyle w:val="AAAAAAATEXXXX"/>
              <w:ind w:firstLine="0"/>
              <w:rPr>
                <w:sz w:val="18"/>
                <w:szCs w:val="18"/>
                <w:lang w:val="sq-AL"/>
              </w:rPr>
            </w:pPr>
          </w:p>
        </w:tc>
        <w:tc>
          <w:tcPr>
            <w:tcW w:w="971" w:type="dxa"/>
          </w:tcPr>
          <w:p w14:paraId="3255E0AE" w14:textId="77777777" w:rsidR="00E06E0F" w:rsidRPr="00050FA4" w:rsidRDefault="00E06E0F" w:rsidP="00A250C1">
            <w:pPr>
              <w:pStyle w:val="AAAAAAATEXXXX"/>
              <w:ind w:firstLine="0"/>
              <w:rPr>
                <w:sz w:val="18"/>
                <w:szCs w:val="18"/>
                <w:lang w:val="sq-AL"/>
              </w:rPr>
            </w:pPr>
          </w:p>
        </w:tc>
        <w:tc>
          <w:tcPr>
            <w:tcW w:w="999" w:type="dxa"/>
          </w:tcPr>
          <w:p w14:paraId="2399329A" w14:textId="77777777" w:rsidR="00E06E0F" w:rsidRPr="00050FA4" w:rsidRDefault="00E06E0F" w:rsidP="00A250C1">
            <w:pPr>
              <w:pStyle w:val="AAAAAAATEXXXX"/>
              <w:ind w:firstLine="0"/>
              <w:rPr>
                <w:sz w:val="18"/>
                <w:szCs w:val="18"/>
                <w:lang w:val="sq-AL"/>
              </w:rPr>
            </w:pPr>
          </w:p>
        </w:tc>
        <w:tc>
          <w:tcPr>
            <w:tcW w:w="941" w:type="dxa"/>
          </w:tcPr>
          <w:p w14:paraId="47370B0C" w14:textId="77777777" w:rsidR="00E06E0F" w:rsidRPr="00050FA4" w:rsidRDefault="00E06E0F" w:rsidP="00A250C1">
            <w:pPr>
              <w:pStyle w:val="AAAAAAATEXXXX"/>
              <w:ind w:firstLine="0"/>
              <w:rPr>
                <w:sz w:val="18"/>
                <w:szCs w:val="18"/>
                <w:lang w:val="sq-AL"/>
              </w:rPr>
            </w:pPr>
          </w:p>
        </w:tc>
        <w:tc>
          <w:tcPr>
            <w:tcW w:w="1883" w:type="dxa"/>
          </w:tcPr>
          <w:p w14:paraId="25AFA1AE" w14:textId="0137518E" w:rsidR="00E06E0F" w:rsidRPr="00050FA4" w:rsidRDefault="00E06E0F" w:rsidP="00A250C1">
            <w:pPr>
              <w:pStyle w:val="AAAAAAATEXXXX"/>
              <w:ind w:firstLine="0"/>
              <w:rPr>
                <w:sz w:val="18"/>
                <w:szCs w:val="18"/>
                <w:lang w:val="sq-AL"/>
              </w:rPr>
            </w:pPr>
          </w:p>
        </w:tc>
      </w:tr>
    </w:tbl>
    <w:p w14:paraId="1AD3780F" w14:textId="77777777" w:rsidR="00E06E0F" w:rsidRPr="00050FA4" w:rsidRDefault="00E06E0F" w:rsidP="003F1DA7">
      <w:pPr>
        <w:pStyle w:val="AAAAAAATEXXXX"/>
        <w:rPr>
          <w:sz w:val="20"/>
          <w:szCs w:val="20"/>
          <w:lang w:val="sq-AL"/>
        </w:rPr>
      </w:pPr>
    </w:p>
    <w:p w14:paraId="3DB19411" w14:textId="57D15EE1" w:rsidR="00E06E0F" w:rsidRPr="00050FA4" w:rsidRDefault="00B2062A" w:rsidP="003F1DA7">
      <w:pPr>
        <w:pStyle w:val="AAAAAAATEXXXX"/>
        <w:rPr>
          <w:sz w:val="20"/>
          <w:szCs w:val="20"/>
          <w:lang w:val="sq-AL"/>
        </w:rPr>
      </w:pPr>
      <w:r w:rsidRPr="00050FA4">
        <w:rPr>
          <w:sz w:val="20"/>
          <w:szCs w:val="20"/>
          <w:lang w:val="sq-AL"/>
        </w:rPr>
        <w:t xml:space="preserve">Sfida </w:t>
      </w:r>
      <w:r w:rsidR="00262236" w:rsidRPr="00050FA4">
        <w:rPr>
          <w:sz w:val="20"/>
          <w:szCs w:val="20"/>
          <w:lang w:val="sq-AL"/>
        </w:rPr>
        <w:t>k</w:t>
      </w:r>
      <w:r w:rsidRPr="00050FA4">
        <w:rPr>
          <w:sz w:val="20"/>
          <w:szCs w:val="20"/>
          <w:lang w:val="sq-AL"/>
        </w:rPr>
        <w:t>yçe</w:t>
      </w:r>
      <w:r w:rsidR="000B0C45" w:rsidRPr="00050FA4">
        <w:rPr>
          <w:sz w:val="20"/>
          <w:szCs w:val="20"/>
          <w:lang w:val="sq-AL"/>
        </w:rPr>
        <w:t xml:space="preserve"> </w:t>
      </w:r>
      <w:r w:rsidR="00E06E0F" w:rsidRPr="00050FA4">
        <w:rPr>
          <w:sz w:val="20"/>
          <w:szCs w:val="20"/>
          <w:lang w:val="sq-AL"/>
        </w:rPr>
        <w:t>#3</w:t>
      </w:r>
    </w:p>
    <w:tbl>
      <w:tblPr>
        <w:tblStyle w:val="TableGrid"/>
        <w:tblW w:w="10201" w:type="dxa"/>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2F2D109E" w14:textId="77777777" w:rsidTr="00F51BF1">
        <w:tc>
          <w:tcPr>
            <w:tcW w:w="10201" w:type="dxa"/>
            <w:gridSpan w:val="9"/>
            <w:shd w:val="clear" w:color="auto" w:fill="E5DFEC" w:themeFill="accent4" w:themeFillTint="33"/>
          </w:tcPr>
          <w:p w14:paraId="608A27FD" w14:textId="12D6578E"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06:</w:t>
            </w:r>
            <w:r w:rsidR="000B0C45" w:rsidRPr="00050FA4">
              <w:rPr>
                <w:b/>
                <w:sz w:val="18"/>
                <w:szCs w:val="18"/>
                <w:lang w:val="sq-AL"/>
              </w:rPr>
              <w:t xml:space="preserve"> </w:t>
            </w:r>
            <w:r w:rsidR="00461CA0" w:rsidRPr="00050FA4">
              <w:rPr>
                <w:b/>
                <w:sz w:val="18"/>
                <w:szCs w:val="18"/>
                <w:lang w:val="sq-AL"/>
              </w:rPr>
              <w:t>Fuqizimi i luftës kundër informalitetit</w:t>
            </w:r>
          </w:p>
        </w:tc>
      </w:tr>
      <w:tr w:rsidR="00FA29AB" w:rsidRPr="00050FA4" w14:paraId="606A4B49" w14:textId="77777777" w:rsidTr="000A2731">
        <w:tc>
          <w:tcPr>
            <w:tcW w:w="1070" w:type="dxa"/>
            <w:vAlign w:val="center"/>
          </w:tcPr>
          <w:p w14:paraId="6EE352F7" w14:textId="04862F88"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70" w:type="dxa"/>
            <w:vAlign w:val="center"/>
          </w:tcPr>
          <w:p w14:paraId="21F2B835" w14:textId="7F4E732A"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71" w:type="dxa"/>
            <w:vAlign w:val="center"/>
          </w:tcPr>
          <w:p w14:paraId="77918113" w14:textId="6CB9C217"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70" w:type="dxa"/>
            <w:vAlign w:val="center"/>
          </w:tcPr>
          <w:p w14:paraId="24119C1B" w14:textId="233A1933"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71" w:type="dxa"/>
            <w:vAlign w:val="center"/>
          </w:tcPr>
          <w:p w14:paraId="529E885B" w14:textId="0911D546"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70" w:type="dxa"/>
            <w:vAlign w:val="center"/>
          </w:tcPr>
          <w:p w14:paraId="26E1EF04" w14:textId="2EAE0833"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71" w:type="dxa"/>
            <w:vAlign w:val="center"/>
          </w:tcPr>
          <w:p w14:paraId="449B2BC5" w14:textId="6DEFBBC0"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70" w:type="dxa"/>
            <w:vAlign w:val="center"/>
          </w:tcPr>
          <w:p w14:paraId="0FEAEAB4"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38" w:type="dxa"/>
            <w:vAlign w:val="center"/>
          </w:tcPr>
          <w:p w14:paraId="423AAF77" w14:textId="6512D66C"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334B3DFA" w14:textId="77777777" w:rsidTr="000A2731">
        <w:tc>
          <w:tcPr>
            <w:tcW w:w="1070" w:type="dxa"/>
          </w:tcPr>
          <w:p w14:paraId="68D70E4D"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70" w:type="dxa"/>
            <w:vAlign w:val="center"/>
          </w:tcPr>
          <w:p w14:paraId="1D4C9790"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1E5F1EE5"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4230F7C8"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6B9E7D29"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3A346F01"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08933C6E"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shd w:val="clear" w:color="auto" w:fill="808080" w:themeFill="background1" w:themeFillShade="80"/>
            <w:vAlign w:val="center"/>
          </w:tcPr>
          <w:p w14:paraId="1381EAE1"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638" w:type="dxa"/>
            <w:vAlign w:val="center"/>
          </w:tcPr>
          <w:p w14:paraId="7A1C85F0"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r>
      <w:tr w:rsidR="00FA29AB" w:rsidRPr="00050FA4" w14:paraId="11523468" w14:textId="77777777" w:rsidTr="000A2731">
        <w:tc>
          <w:tcPr>
            <w:tcW w:w="1070" w:type="dxa"/>
          </w:tcPr>
          <w:p w14:paraId="689567F9"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70" w:type="dxa"/>
            <w:vAlign w:val="center"/>
          </w:tcPr>
          <w:p w14:paraId="46C2B896"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3730395F"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5015B40C"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6BA91596"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50AE048A"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3EF11573"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41D0A529"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638" w:type="dxa"/>
            <w:vAlign w:val="center"/>
          </w:tcPr>
          <w:p w14:paraId="7C5CDB33"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r>
      <w:tr w:rsidR="00FA29AB" w:rsidRPr="00050FA4" w14:paraId="4D384C2A" w14:textId="77777777" w:rsidTr="000A2731">
        <w:tc>
          <w:tcPr>
            <w:tcW w:w="1070" w:type="dxa"/>
          </w:tcPr>
          <w:p w14:paraId="19B13D72"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70" w:type="dxa"/>
            <w:vAlign w:val="center"/>
          </w:tcPr>
          <w:p w14:paraId="3F8EF2B7"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6A022813"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6FC859AF"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74258748"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5EC3C6F9"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1" w:type="dxa"/>
            <w:vAlign w:val="center"/>
          </w:tcPr>
          <w:p w14:paraId="17B51501"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070" w:type="dxa"/>
            <w:vAlign w:val="center"/>
          </w:tcPr>
          <w:p w14:paraId="18F372F9"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c>
          <w:tcPr>
            <w:tcW w:w="1638" w:type="dxa"/>
            <w:vAlign w:val="center"/>
          </w:tcPr>
          <w:p w14:paraId="4E8E895B" w14:textId="77777777" w:rsidR="00E06E0F" w:rsidRPr="00050FA4" w:rsidRDefault="00E06E0F" w:rsidP="000A2731">
            <w:pPr>
              <w:pStyle w:val="AAAAAAATEXXXX"/>
              <w:ind w:firstLine="0"/>
              <w:jc w:val="right"/>
              <w:rPr>
                <w:sz w:val="18"/>
                <w:szCs w:val="18"/>
                <w:lang w:val="sq-AL"/>
              </w:rPr>
            </w:pPr>
            <w:r w:rsidRPr="00050FA4">
              <w:rPr>
                <w:sz w:val="18"/>
                <w:szCs w:val="18"/>
                <w:lang w:val="sq-AL"/>
              </w:rPr>
              <w:t>0</w:t>
            </w:r>
          </w:p>
        </w:tc>
      </w:tr>
    </w:tbl>
    <w:p w14:paraId="03CEB483"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58"/>
        <w:gridCol w:w="1066"/>
        <w:gridCol w:w="1067"/>
        <w:gridCol w:w="1066"/>
        <w:gridCol w:w="1061"/>
        <w:gridCol w:w="1096"/>
        <w:gridCol w:w="1065"/>
        <w:gridCol w:w="1059"/>
        <w:gridCol w:w="1663"/>
      </w:tblGrid>
      <w:tr w:rsidR="00FA29AB" w:rsidRPr="00050FA4" w14:paraId="282B20E0" w14:textId="77777777" w:rsidTr="000A2731">
        <w:trPr>
          <w:jc w:val="center"/>
        </w:trPr>
        <w:tc>
          <w:tcPr>
            <w:tcW w:w="10201" w:type="dxa"/>
            <w:gridSpan w:val="9"/>
            <w:shd w:val="clear" w:color="auto" w:fill="E5DFEC" w:themeFill="accent4" w:themeFillTint="33"/>
          </w:tcPr>
          <w:p w14:paraId="2BEFC37B" w14:textId="22B0AC50"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07:</w:t>
            </w:r>
            <w:r w:rsidR="000B0C45" w:rsidRPr="00050FA4">
              <w:rPr>
                <w:b/>
                <w:sz w:val="18"/>
                <w:szCs w:val="18"/>
                <w:lang w:val="sq-AL"/>
              </w:rPr>
              <w:t xml:space="preserve"> </w:t>
            </w:r>
            <w:r w:rsidR="00461CA0" w:rsidRPr="00050FA4">
              <w:rPr>
                <w:b/>
                <w:bCs/>
                <w:sz w:val="18"/>
                <w:szCs w:val="18"/>
                <w:lang w:val="sq-AL"/>
              </w:rPr>
              <w:t xml:space="preserve">Zhvillimi i kuadrit ligjor për të mbështetur </w:t>
            </w:r>
            <w:r w:rsidR="00461CA0" w:rsidRPr="00050FA4">
              <w:rPr>
                <w:b/>
                <w:bCs/>
                <w:i/>
                <w:sz w:val="18"/>
                <w:szCs w:val="18"/>
                <w:lang w:val="sq-AL"/>
              </w:rPr>
              <w:t xml:space="preserve">start-up </w:t>
            </w:r>
            <w:r w:rsidR="00461CA0" w:rsidRPr="00050FA4">
              <w:rPr>
                <w:b/>
                <w:bCs/>
                <w:sz w:val="18"/>
                <w:szCs w:val="18"/>
                <w:lang w:val="sq-AL"/>
              </w:rPr>
              <w:t>inovative</w:t>
            </w:r>
          </w:p>
        </w:tc>
      </w:tr>
      <w:tr w:rsidR="00FA29AB" w:rsidRPr="00050FA4" w14:paraId="5E378791" w14:textId="77777777" w:rsidTr="000A2731">
        <w:trPr>
          <w:jc w:val="center"/>
        </w:trPr>
        <w:tc>
          <w:tcPr>
            <w:tcW w:w="1058" w:type="dxa"/>
            <w:vAlign w:val="center"/>
          </w:tcPr>
          <w:p w14:paraId="1998E707" w14:textId="10F63B39"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66" w:type="dxa"/>
            <w:vAlign w:val="center"/>
          </w:tcPr>
          <w:p w14:paraId="19E3AD1F" w14:textId="7C31FA0F"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67" w:type="dxa"/>
            <w:vAlign w:val="center"/>
          </w:tcPr>
          <w:p w14:paraId="4E752CDE" w14:textId="20744333"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66" w:type="dxa"/>
            <w:vAlign w:val="center"/>
          </w:tcPr>
          <w:p w14:paraId="004719BE" w14:textId="2CBE5814"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61" w:type="dxa"/>
            <w:vAlign w:val="center"/>
          </w:tcPr>
          <w:p w14:paraId="42B34060" w14:textId="18CC39A5"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96" w:type="dxa"/>
            <w:vAlign w:val="center"/>
          </w:tcPr>
          <w:p w14:paraId="71B97F1C" w14:textId="14269458"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65" w:type="dxa"/>
            <w:vAlign w:val="center"/>
          </w:tcPr>
          <w:p w14:paraId="744E5466" w14:textId="7E0D5B98"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59" w:type="dxa"/>
            <w:vAlign w:val="center"/>
          </w:tcPr>
          <w:p w14:paraId="7C08B760"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63" w:type="dxa"/>
            <w:vAlign w:val="center"/>
          </w:tcPr>
          <w:p w14:paraId="756FD47C" w14:textId="3288EC44"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74B50F00" w14:textId="77777777" w:rsidTr="000A2731">
        <w:trPr>
          <w:jc w:val="center"/>
        </w:trPr>
        <w:tc>
          <w:tcPr>
            <w:tcW w:w="1058" w:type="dxa"/>
          </w:tcPr>
          <w:p w14:paraId="13589C85"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66" w:type="dxa"/>
          </w:tcPr>
          <w:p w14:paraId="497961CC" w14:textId="77777777" w:rsidR="00E06E0F" w:rsidRPr="00050FA4" w:rsidRDefault="00E06E0F" w:rsidP="00A250C1">
            <w:pPr>
              <w:pStyle w:val="AAAAAAATEXXXX"/>
              <w:ind w:firstLine="0"/>
              <w:rPr>
                <w:sz w:val="18"/>
                <w:szCs w:val="18"/>
                <w:lang w:val="sq-AL"/>
              </w:rPr>
            </w:pPr>
            <w:r w:rsidRPr="00050FA4">
              <w:rPr>
                <w:sz w:val="18"/>
                <w:szCs w:val="18"/>
                <w:lang w:val="sq-AL"/>
              </w:rPr>
              <w:t>123,559</w:t>
            </w:r>
          </w:p>
        </w:tc>
        <w:tc>
          <w:tcPr>
            <w:tcW w:w="1067" w:type="dxa"/>
          </w:tcPr>
          <w:p w14:paraId="50A9B3E3"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6" w:type="dxa"/>
          </w:tcPr>
          <w:p w14:paraId="1966F112"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1" w:type="dxa"/>
          </w:tcPr>
          <w:p w14:paraId="1D3AFEB5"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96" w:type="dxa"/>
            <w:vAlign w:val="center"/>
          </w:tcPr>
          <w:p w14:paraId="7B4A1DF2" w14:textId="77777777" w:rsidR="00E06E0F" w:rsidRPr="00050FA4" w:rsidRDefault="00E06E0F" w:rsidP="000A2731">
            <w:pPr>
              <w:pStyle w:val="AAAAAAATEXXXX"/>
              <w:ind w:firstLine="0"/>
              <w:jc w:val="right"/>
              <w:rPr>
                <w:sz w:val="18"/>
                <w:szCs w:val="18"/>
                <w:lang w:val="sq-AL"/>
              </w:rPr>
            </w:pPr>
            <w:r w:rsidRPr="00050FA4">
              <w:rPr>
                <w:sz w:val="18"/>
                <w:szCs w:val="18"/>
                <w:lang w:val="sq-AL"/>
              </w:rPr>
              <w:t>240,307</w:t>
            </w:r>
          </w:p>
        </w:tc>
        <w:tc>
          <w:tcPr>
            <w:tcW w:w="1065" w:type="dxa"/>
            <w:vAlign w:val="center"/>
          </w:tcPr>
          <w:p w14:paraId="656BD5F5" w14:textId="77777777" w:rsidR="00E06E0F" w:rsidRPr="00050FA4" w:rsidRDefault="00E06E0F" w:rsidP="000A2731">
            <w:pPr>
              <w:pStyle w:val="AAAAAAATEXXXX"/>
              <w:ind w:firstLine="0"/>
              <w:jc w:val="right"/>
              <w:rPr>
                <w:sz w:val="18"/>
                <w:szCs w:val="18"/>
                <w:lang w:val="sq-AL"/>
              </w:rPr>
            </w:pPr>
          </w:p>
        </w:tc>
        <w:tc>
          <w:tcPr>
            <w:tcW w:w="1059" w:type="dxa"/>
            <w:shd w:val="clear" w:color="auto" w:fill="808080" w:themeFill="background1" w:themeFillShade="80"/>
            <w:vAlign w:val="center"/>
          </w:tcPr>
          <w:p w14:paraId="74FBFA62" w14:textId="77777777" w:rsidR="00E06E0F" w:rsidRPr="00050FA4" w:rsidRDefault="00E06E0F" w:rsidP="000A2731">
            <w:pPr>
              <w:pStyle w:val="AAAAAAATEXXXX"/>
              <w:ind w:firstLine="0"/>
              <w:jc w:val="right"/>
              <w:rPr>
                <w:sz w:val="18"/>
                <w:szCs w:val="18"/>
                <w:lang w:val="sq-AL"/>
              </w:rPr>
            </w:pPr>
          </w:p>
        </w:tc>
        <w:tc>
          <w:tcPr>
            <w:tcW w:w="1663" w:type="dxa"/>
            <w:vAlign w:val="center"/>
          </w:tcPr>
          <w:p w14:paraId="01C16E67" w14:textId="77777777" w:rsidR="00E06E0F" w:rsidRPr="00050FA4" w:rsidRDefault="00E06E0F" w:rsidP="000A2731">
            <w:pPr>
              <w:pStyle w:val="AAAAAAATEXXXX"/>
              <w:ind w:firstLine="0"/>
              <w:jc w:val="right"/>
              <w:rPr>
                <w:sz w:val="18"/>
                <w:szCs w:val="18"/>
                <w:lang w:val="sq-AL"/>
              </w:rPr>
            </w:pPr>
            <w:r w:rsidRPr="00050FA4">
              <w:rPr>
                <w:sz w:val="18"/>
                <w:szCs w:val="18"/>
                <w:lang w:val="sq-AL"/>
              </w:rPr>
              <w:t>363,866</w:t>
            </w:r>
          </w:p>
        </w:tc>
      </w:tr>
      <w:tr w:rsidR="00FA29AB" w:rsidRPr="00050FA4" w14:paraId="35CE74AF" w14:textId="77777777" w:rsidTr="000A2731">
        <w:trPr>
          <w:jc w:val="center"/>
        </w:trPr>
        <w:tc>
          <w:tcPr>
            <w:tcW w:w="1058" w:type="dxa"/>
          </w:tcPr>
          <w:p w14:paraId="610D6BEF"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66" w:type="dxa"/>
          </w:tcPr>
          <w:p w14:paraId="5AF2A72F" w14:textId="77777777" w:rsidR="00E06E0F" w:rsidRPr="00050FA4" w:rsidRDefault="00E06E0F" w:rsidP="00A250C1">
            <w:pPr>
              <w:pStyle w:val="AAAAAAATEXXXX"/>
              <w:ind w:firstLine="0"/>
              <w:rPr>
                <w:sz w:val="18"/>
                <w:szCs w:val="18"/>
                <w:lang w:val="sq-AL"/>
              </w:rPr>
            </w:pPr>
            <w:r w:rsidRPr="00050FA4">
              <w:rPr>
                <w:sz w:val="18"/>
                <w:szCs w:val="18"/>
                <w:lang w:val="sq-AL"/>
              </w:rPr>
              <w:t>123,559</w:t>
            </w:r>
          </w:p>
        </w:tc>
        <w:tc>
          <w:tcPr>
            <w:tcW w:w="1067" w:type="dxa"/>
          </w:tcPr>
          <w:p w14:paraId="2A049D7A"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6" w:type="dxa"/>
          </w:tcPr>
          <w:p w14:paraId="0E1A1E46"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1" w:type="dxa"/>
          </w:tcPr>
          <w:p w14:paraId="1B082BD0"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96" w:type="dxa"/>
            <w:vAlign w:val="center"/>
          </w:tcPr>
          <w:p w14:paraId="23858FE0" w14:textId="77777777" w:rsidR="00E06E0F" w:rsidRPr="00050FA4" w:rsidRDefault="00E06E0F" w:rsidP="000A2731">
            <w:pPr>
              <w:pStyle w:val="AAAAAAATEXXXX"/>
              <w:ind w:firstLine="0"/>
              <w:jc w:val="right"/>
              <w:rPr>
                <w:sz w:val="18"/>
                <w:szCs w:val="18"/>
                <w:lang w:val="sq-AL"/>
              </w:rPr>
            </w:pPr>
            <w:r w:rsidRPr="00050FA4">
              <w:rPr>
                <w:sz w:val="18"/>
                <w:szCs w:val="18"/>
                <w:lang w:val="sq-AL"/>
              </w:rPr>
              <w:t>2,537,256</w:t>
            </w:r>
          </w:p>
        </w:tc>
        <w:tc>
          <w:tcPr>
            <w:tcW w:w="1065" w:type="dxa"/>
            <w:vAlign w:val="center"/>
          </w:tcPr>
          <w:p w14:paraId="55ED3886" w14:textId="77777777" w:rsidR="00E06E0F" w:rsidRPr="00050FA4" w:rsidRDefault="00E06E0F" w:rsidP="000A2731">
            <w:pPr>
              <w:pStyle w:val="AAAAAAATEXXXX"/>
              <w:ind w:firstLine="0"/>
              <w:jc w:val="right"/>
              <w:rPr>
                <w:sz w:val="18"/>
                <w:szCs w:val="18"/>
                <w:lang w:val="sq-AL"/>
              </w:rPr>
            </w:pPr>
          </w:p>
        </w:tc>
        <w:tc>
          <w:tcPr>
            <w:tcW w:w="1059" w:type="dxa"/>
            <w:vAlign w:val="center"/>
          </w:tcPr>
          <w:p w14:paraId="089E56B5" w14:textId="77777777" w:rsidR="00E06E0F" w:rsidRPr="00050FA4" w:rsidRDefault="00E06E0F" w:rsidP="000A2731">
            <w:pPr>
              <w:pStyle w:val="AAAAAAATEXXXX"/>
              <w:ind w:firstLine="0"/>
              <w:jc w:val="right"/>
              <w:rPr>
                <w:sz w:val="18"/>
                <w:szCs w:val="18"/>
                <w:lang w:val="sq-AL"/>
              </w:rPr>
            </w:pPr>
          </w:p>
        </w:tc>
        <w:tc>
          <w:tcPr>
            <w:tcW w:w="1663" w:type="dxa"/>
            <w:vAlign w:val="center"/>
          </w:tcPr>
          <w:p w14:paraId="3D71120E" w14:textId="77777777" w:rsidR="00E06E0F" w:rsidRPr="00050FA4" w:rsidRDefault="00E06E0F" w:rsidP="000A2731">
            <w:pPr>
              <w:pStyle w:val="AAAAAAATEXXXX"/>
              <w:ind w:firstLine="0"/>
              <w:jc w:val="right"/>
              <w:rPr>
                <w:sz w:val="18"/>
                <w:szCs w:val="18"/>
                <w:lang w:val="sq-AL"/>
              </w:rPr>
            </w:pPr>
            <w:r w:rsidRPr="00050FA4">
              <w:rPr>
                <w:sz w:val="18"/>
                <w:szCs w:val="18"/>
                <w:lang w:val="sq-AL"/>
              </w:rPr>
              <w:t>2,660,815</w:t>
            </w:r>
          </w:p>
        </w:tc>
      </w:tr>
      <w:tr w:rsidR="00FA29AB" w:rsidRPr="00050FA4" w14:paraId="24BAC0AE" w14:textId="77777777" w:rsidTr="000A2731">
        <w:trPr>
          <w:jc w:val="center"/>
        </w:trPr>
        <w:tc>
          <w:tcPr>
            <w:tcW w:w="1058" w:type="dxa"/>
          </w:tcPr>
          <w:p w14:paraId="4C5F2FFF"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66" w:type="dxa"/>
          </w:tcPr>
          <w:p w14:paraId="7AC11BFB" w14:textId="77777777" w:rsidR="00E06E0F" w:rsidRPr="00050FA4" w:rsidRDefault="00E06E0F" w:rsidP="00A250C1">
            <w:pPr>
              <w:pStyle w:val="AAAAAAATEXXXX"/>
              <w:ind w:firstLine="0"/>
              <w:rPr>
                <w:sz w:val="18"/>
                <w:szCs w:val="18"/>
                <w:lang w:val="sq-AL"/>
              </w:rPr>
            </w:pPr>
            <w:r w:rsidRPr="00050FA4">
              <w:rPr>
                <w:sz w:val="18"/>
                <w:szCs w:val="18"/>
                <w:lang w:val="sq-AL"/>
              </w:rPr>
              <w:t>123,559</w:t>
            </w:r>
          </w:p>
        </w:tc>
        <w:tc>
          <w:tcPr>
            <w:tcW w:w="1067" w:type="dxa"/>
          </w:tcPr>
          <w:p w14:paraId="5D5B5DEC"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6" w:type="dxa"/>
          </w:tcPr>
          <w:p w14:paraId="152F1CC0"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1" w:type="dxa"/>
          </w:tcPr>
          <w:p w14:paraId="4B6EA873"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96" w:type="dxa"/>
            <w:vAlign w:val="center"/>
          </w:tcPr>
          <w:p w14:paraId="6F410E2E" w14:textId="77777777" w:rsidR="00E06E0F" w:rsidRPr="00050FA4" w:rsidRDefault="00E06E0F" w:rsidP="000A2731">
            <w:pPr>
              <w:pStyle w:val="AAAAAAATEXXXX"/>
              <w:ind w:firstLine="0"/>
              <w:jc w:val="right"/>
              <w:rPr>
                <w:sz w:val="18"/>
                <w:szCs w:val="18"/>
                <w:lang w:val="sq-AL"/>
              </w:rPr>
            </w:pPr>
            <w:r w:rsidRPr="00050FA4">
              <w:rPr>
                <w:sz w:val="18"/>
                <w:szCs w:val="18"/>
                <w:lang w:val="sq-AL"/>
              </w:rPr>
              <w:t>2,537,256</w:t>
            </w:r>
          </w:p>
        </w:tc>
        <w:tc>
          <w:tcPr>
            <w:tcW w:w="1065" w:type="dxa"/>
            <w:vAlign w:val="center"/>
          </w:tcPr>
          <w:p w14:paraId="2DC9E2B6" w14:textId="77777777" w:rsidR="00E06E0F" w:rsidRPr="00050FA4" w:rsidRDefault="00E06E0F" w:rsidP="000A2731">
            <w:pPr>
              <w:pStyle w:val="AAAAAAATEXXXX"/>
              <w:ind w:firstLine="0"/>
              <w:jc w:val="right"/>
              <w:rPr>
                <w:sz w:val="18"/>
                <w:szCs w:val="18"/>
                <w:lang w:val="sq-AL"/>
              </w:rPr>
            </w:pPr>
          </w:p>
        </w:tc>
        <w:tc>
          <w:tcPr>
            <w:tcW w:w="1059" w:type="dxa"/>
            <w:vAlign w:val="center"/>
          </w:tcPr>
          <w:p w14:paraId="350B3E74" w14:textId="77777777" w:rsidR="00E06E0F" w:rsidRPr="00050FA4" w:rsidRDefault="00E06E0F" w:rsidP="000A2731">
            <w:pPr>
              <w:pStyle w:val="AAAAAAATEXXXX"/>
              <w:ind w:firstLine="0"/>
              <w:jc w:val="right"/>
              <w:rPr>
                <w:sz w:val="18"/>
                <w:szCs w:val="18"/>
                <w:lang w:val="sq-AL"/>
              </w:rPr>
            </w:pPr>
          </w:p>
        </w:tc>
        <w:tc>
          <w:tcPr>
            <w:tcW w:w="1663" w:type="dxa"/>
            <w:vAlign w:val="center"/>
          </w:tcPr>
          <w:p w14:paraId="0B67B5EB" w14:textId="77777777" w:rsidR="00E06E0F" w:rsidRPr="00050FA4" w:rsidRDefault="00E06E0F" w:rsidP="000A2731">
            <w:pPr>
              <w:pStyle w:val="AAAAAAATEXXXX"/>
              <w:ind w:firstLine="0"/>
              <w:jc w:val="right"/>
              <w:rPr>
                <w:sz w:val="18"/>
                <w:szCs w:val="18"/>
                <w:lang w:val="sq-AL"/>
              </w:rPr>
            </w:pPr>
            <w:r w:rsidRPr="00050FA4">
              <w:rPr>
                <w:sz w:val="18"/>
                <w:szCs w:val="18"/>
                <w:lang w:val="sq-AL"/>
              </w:rPr>
              <w:t>2,660,815</w:t>
            </w:r>
          </w:p>
        </w:tc>
      </w:tr>
    </w:tbl>
    <w:p w14:paraId="2B7E918E"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58"/>
        <w:gridCol w:w="1066"/>
        <w:gridCol w:w="1067"/>
        <w:gridCol w:w="1066"/>
        <w:gridCol w:w="1061"/>
        <w:gridCol w:w="1096"/>
        <w:gridCol w:w="1065"/>
        <w:gridCol w:w="1059"/>
        <w:gridCol w:w="1663"/>
      </w:tblGrid>
      <w:tr w:rsidR="00FA29AB" w:rsidRPr="00050FA4" w14:paraId="48CE3735" w14:textId="77777777" w:rsidTr="00D825ED">
        <w:trPr>
          <w:jc w:val="center"/>
        </w:trPr>
        <w:tc>
          <w:tcPr>
            <w:tcW w:w="10201" w:type="dxa"/>
            <w:gridSpan w:val="9"/>
            <w:shd w:val="clear" w:color="auto" w:fill="E5DFEC" w:themeFill="accent4" w:themeFillTint="33"/>
          </w:tcPr>
          <w:p w14:paraId="31A2ACDC" w14:textId="4A678916" w:rsidR="00E06E0F" w:rsidRPr="00050FA4" w:rsidRDefault="00B2062A" w:rsidP="00A250C1">
            <w:pPr>
              <w:pStyle w:val="AAAAAAATEXXXX"/>
              <w:ind w:firstLine="0"/>
              <w:rPr>
                <w:i/>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08:</w:t>
            </w:r>
            <w:r w:rsidR="000B0C45" w:rsidRPr="00050FA4">
              <w:rPr>
                <w:b/>
                <w:sz w:val="18"/>
                <w:szCs w:val="18"/>
                <w:lang w:val="sq-AL"/>
              </w:rPr>
              <w:t xml:space="preserve"> </w:t>
            </w:r>
            <w:r w:rsidR="00461CA0" w:rsidRPr="00050FA4">
              <w:rPr>
                <w:b/>
                <w:bCs/>
                <w:iCs/>
                <w:sz w:val="18"/>
                <w:szCs w:val="18"/>
                <w:lang w:val="sq-AL"/>
              </w:rPr>
              <w:t>Masat mbështetëse për NMVM</w:t>
            </w:r>
            <w:r w:rsidR="000109D2" w:rsidRPr="00050FA4">
              <w:rPr>
                <w:b/>
                <w:bCs/>
                <w:iCs/>
                <w:sz w:val="18"/>
                <w:szCs w:val="18"/>
                <w:lang w:val="sq-AL"/>
              </w:rPr>
              <w:t>-në</w:t>
            </w:r>
          </w:p>
        </w:tc>
      </w:tr>
      <w:tr w:rsidR="00FA29AB" w:rsidRPr="00050FA4" w14:paraId="3FFF5E8F" w14:textId="77777777" w:rsidTr="00D825ED">
        <w:trPr>
          <w:jc w:val="center"/>
        </w:trPr>
        <w:tc>
          <w:tcPr>
            <w:tcW w:w="1058" w:type="dxa"/>
            <w:vAlign w:val="center"/>
          </w:tcPr>
          <w:p w14:paraId="2A28CA71" w14:textId="379B047D"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66" w:type="dxa"/>
            <w:vAlign w:val="center"/>
          </w:tcPr>
          <w:p w14:paraId="79EB10E3" w14:textId="1E862BB3"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67" w:type="dxa"/>
            <w:vAlign w:val="center"/>
          </w:tcPr>
          <w:p w14:paraId="49F3CB60" w14:textId="468DD086"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66" w:type="dxa"/>
            <w:vAlign w:val="center"/>
          </w:tcPr>
          <w:p w14:paraId="28CE05E8" w14:textId="162C9BC2"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61" w:type="dxa"/>
            <w:vAlign w:val="center"/>
          </w:tcPr>
          <w:p w14:paraId="02C55B91" w14:textId="4CC6E3BB"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96" w:type="dxa"/>
            <w:vAlign w:val="center"/>
          </w:tcPr>
          <w:p w14:paraId="68568BAF" w14:textId="06B9BB96"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65" w:type="dxa"/>
            <w:vAlign w:val="center"/>
          </w:tcPr>
          <w:p w14:paraId="5B39B9C0" w14:textId="7F186D26"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59" w:type="dxa"/>
            <w:vAlign w:val="center"/>
          </w:tcPr>
          <w:p w14:paraId="5097F149"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63" w:type="dxa"/>
            <w:vAlign w:val="center"/>
          </w:tcPr>
          <w:p w14:paraId="701064FE" w14:textId="316F8592"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496F978B" w14:textId="77777777" w:rsidTr="00D825ED">
        <w:trPr>
          <w:jc w:val="center"/>
        </w:trPr>
        <w:tc>
          <w:tcPr>
            <w:tcW w:w="1058" w:type="dxa"/>
          </w:tcPr>
          <w:p w14:paraId="42DB5836"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66" w:type="dxa"/>
          </w:tcPr>
          <w:p w14:paraId="73D3D54C" w14:textId="77777777" w:rsidR="00E06E0F" w:rsidRPr="00050FA4" w:rsidRDefault="00E06E0F" w:rsidP="00A250C1">
            <w:pPr>
              <w:pStyle w:val="AAAAAAATEXXXX"/>
              <w:ind w:firstLine="0"/>
              <w:rPr>
                <w:sz w:val="18"/>
                <w:szCs w:val="18"/>
                <w:lang w:val="sq-AL"/>
              </w:rPr>
            </w:pPr>
            <w:r w:rsidRPr="00050FA4">
              <w:rPr>
                <w:sz w:val="18"/>
                <w:szCs w:val="18"/>
                <w:lang w:val="sq-AL"/>
              </w:rPr>
              <w:t>84,567</w:t>
            </w:r>
          </w:p>
        </w:tc>
        <w:tc>
          <w:tcPr>
            <w:tcW w:w="1067" w:type="dxa"/>
          </w:tcPr>
          <w:p w14:paraId="20AAC1F7"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6" w:type="dxa"/>
          </w:tcPr>
          <w:p w14:paraId="51DFF639"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1" w:type="dxa"/>
          </w:tcPr>
          <w:p w14:paraId="17F5CC37"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96" w:type="dxa"/>
          </w:tcPr>
          <w:p w14:paraId="4BA815D9" w14:textId="77777777" w:rsidR="00E06E0F" w:rsidRPr="00050FA4" w:rsidRDefault="00E06E0F" w:rsidP="00A250C1">
            <w:pPr>
              <w:pStyle w:val="AAAAAAATEXXXX"/>
              <w:ind w:firstLine="0"/>
              <w:rPr>
                <w:sz w:val="18"/>
                <w:szCs w:val="18"/>
                <w:lang w:val="sq-AL"/>
              </w:rPr>
            </w:pPr>
            <w:r w:rsidRPr="00050FA4">
              <w:rPr>
                <w:sz w:val="18"/>
                <w:szCs w:val="18"/>
                <w:lang w:val="sq-AL"/>
              </w:rPr>
              <w:t>2,219,057</w:t>
            </w:r>
          </w:p>
        </w:tc>
        <w:tc>
          <w:tcPr>
            <w:tcW w:w="1065" w:type="dxa"/>
          </w:tcPr>
          <w:p w14:paraId="0A5B04B2" w14:textId="77777777" w:rsidR="00E06E0F" w:rsidRPr="00050FA4" w:rsidRDefault="00E06E0F" w:rsidP="00A250C1">
            <w:pPr>
              <w:pStyle w:val="AAAAAAATEXXXX"/>
              <w:ind w:firstLine="0"/>
              <w:rPr>
                <w:sz w:val="18"/>
                <w:szCs w:val="18"/>
                <w:lang w:val="sq-AL"/>
              </w:rPr>
            </w:pPr>
          </w:p>
        </w:tc>
        <w:tc>
          <w:tcPr>
            <w:tcW w:w="1059" w:type="dxa"/>
            <w:shd w:val="clear" w:color="auto" w:fill="808080" w:themeFill="background1" w:themeFillShade="80"/>
          </w:tcPr>
          <w:p w14:paraId="60CFD27D" w14:textId="77777777" w:rsidR="00E06E0F" w:rsidRPr="00050FA4" w:rsidRDefault="00E06E0F" w:rsidP="00A250C1">
            <w:pPr>
              <w:pStyle w:val="AAAAAAATEXXXX"/>
              <w:ind w:firstLine="0"/>
              <w:rPr>
                <w:sz w:val="18"/>
                <w:szCs w:val="18"/>
                <w:lang w:val="sq-AL"/>
              </w:rPr>
            </w:pPr>
          </w:p>
        </w:tc>
        <w:tc>
          <w:tcPr>
            <w:tcW w:w="1663" w:type="dxa"/>
          </w:tcPr>
          <w:p w14:paraId="1FCAFD99" w14:textId="77777777" w:rsidR="00E06E0F" w:rsidRPr="00050FA4" w:rsidRDefault="00E06E0F" w:rsidP="00A250C1">
            <w:pPr>
              <w:pStyle w:val="AAAAAAATEXXXX"/>
              <w:ind w:firstLine="0"/>
              <w:rPr>
                <w:sz w:val="18"/>
                <w:szCs w:val="18"/>
                <w:lang w:val="sq-AL"/>
              </w:rPr>
            </w:pPr>
            <w:r w:rsidRPr="00050FA4">
              <w:rPr>
                <w:sz w:val="18"/>
                <w:szCs w:val="18"/>
                <w:lang w:val="sq-AL"/>
              </w:rPr>
              <w:t>2,303,624</w:t>
            </w:r>
          </w:p>
        </w:tc>
      </w:tr>
      <w:tr w:rsidR="00FA29AB" w:rsidRPr="00050FA4" w14:paraId="1D71C899" w14:textId="77777777" w:rsidTr="00D825ED">
        <w:trPr>
          <w:jc w:val="center"/>
        </w:trPr>
        <w:tc>
          <w:tcPr>
            <w:tcW w:w="1058" w:type="dxa"/>
          </w:tcPr>
          <w:p w14:paraId="59159BD7"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66" w:type="dxa"/>
          </w:tcPr>
          <w:p w14:paraId="2D0879F9" w14:textId="77777777" w:rsidR="00E06E0F" w:rsidRPr="00050FA4" w:rsidRDefault="00E06E0F" w:rsidP="00A250C1">
            <w:pPr>
              <w:pStyle w:val="AAAAAAATEXXXX"/>
              <w:ind w:firstLine="0"/>
              <w:rPr>
                <w:sz w:val="18"/>
                <w:szCs w:val="18"/>
                <w:lang w:val="sq-AL"/>
              </w:rPr>
            </w:pPr>
            <w:r w:rsidRPr="00050FA4">
              <w:rPr>
                <w:sz w:val="18"/>
                <w:szCs w:val="18"/>
                <w:lang w:val="sq-AL"/>
              </w:rPr>
              <w:t>208,040</w:t>
            </w:r>
          </w:p>
        </w:tc>
        <w:tc>
          <w:tcPr>
            <w:tcW w:w="1067" w:type="dxa"/>
          </w:tcPr>
          <w:p w14:paraId="393C0A64"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6" w:type="dxa"/>
          </w:tcPr>
          <w:p w14:paraId="4F677C5D"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1" w:type="dxa"/>
          </w:tcPr>
          <w:p w14:paraId="501AD40D"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96" w:type="dxa"/>
          </w:tcPr>
          <w:p w14:paraId="3045CF84" w14:textId="77777777" w:rsidR="00E06E0F" w:rsidRPr="00050FA4" w:rsidRDefault="00E06E0F" w:rsidP="00A250C1">
            <w:pPr>
              <w:pStyle w:val="AAAAAAATEXXXX"/>
              <w:ind w:firstLine="0"/>
              <w:rPr>
                <w:sz w:val="18"/>
                <w:szCs w:val="18"/>
                <w:lang w:val="sq-AL"/>
              </w:rPr>
            </w:pPr>
            <w:r w:rsidRPr="00050FA4">
              <w:rPr>
                <w:sz w:val="18"/>
                <w:szCs w:val="18"/>
                <w:lang w:val="sq-AL"/>
              </w:rPr>
              <w:t>2,210,340</w:t>
            </w:r>
          </w:p>
        </w:tc>
        <w:tc>
          <w:tcPr>
            <w:tcW w:w="1065" w:type="dxa"/>
          </w:tcPr>
          <w:p w14:paraId="0136B7CD" w14:textId="77777777" w:rsidR="00E06E0F" w:rsidRPr="00050FA4" w:rsidRDefault="00E06E0F" w:rsidP="00A250C1">
            <w:pPr>
              <w:pStyle w:val="AAAAAAATEXXXX"/>
              <w:ind w:firstLine="0"/>
              <w:rPr>
                <w:sz w:val="18"/>
                <w:szCs w:val="18"/>
                <w:lang w:val="sq-AL"/>
              </w:rPr>
            </w:pPr>
          </w:p>
        </w:tc>
        <w:tc>
          <w:tcPr>
            <w:tcW w:w="1059" w:type="dxa"/>
          </w:tcPr>
          <w:p w14:paraId="2B35D378" w14:textId="77777777" w:rsidR="00E06E0F" w:rsidRPr="00050FA4" w:rsidRDefault="00E06E0F" w:rsidP="00A250C1">
            <w:pPr>
              <w:pStyle w:val="AAAAAAATEXXXX"/>
              <w:ind w:firstLine="0"/>
              <w:rPr>
                <w:sz w:val="18"/>
                <w:szCs w:val="18"/>
                <w:lang w:val="sq-AL"/>
              </w:rPr>
            </w:pPr>
          </w:p>
        </w:tc>
        <w:tc>
          <w:tcPr>
            <w:tcW w:w="1663" w:type="dxa"/>
          </w:tcPr>
          <w:p w14:paraId="4AFE6B93" w14:textId="77777777" w:rsidR="00E06E0F" w:rsidRPr="00050FA4" w:rsidRDefault="00E06E0F" w:rsidP="00A250C1">
            <w:pPr>
              <w:pStyle w:val="AAAAAAATEXXXX"/>
              <w:ind w:firstLine="0"/>
              <w:rPr>
                <w:sz w:val="18"/>
                <w:szCs w:val="18"/>
                <w:lang w:val="sq-AL"/>
              </w:rPr>
            </w:pPr>
            <w:r w:rsidRPr="00050FA4">
              <w:rPr>
                <w:sz w:val="18"/>
                <w:szCs w:val="18"/>
                <w:lang w:val="sq-AL"/>
              </w:rPr>
              <w:t>2,418,380</w:t>
            </w:r>
          </w:p>
        </w:tc>
      </w:tr>
      <w:tr w:rsidR="00FA29AB" w:rsidRPr="00050FA4" w14:paraId="476D091A" w14:textId="77777777" w:rsidTr="00D825ED">
        <w:trPr>
          <w:jc w:val="center"/>
        </w:trPr>
        <w:tc>
          <w:tcPr>
            <w:tcW w:w="1058" w:type="dxa"/>
          </w:tcPr>
          <w:p w14:paraId="31295DD0"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66" w:type="dxa"/>
          </w:tcPr>
          <w:p w14:paraId="1B00D24D" w14:textId="77777777" w:rsidR="00E06E0F" w:rsidRPr="00050FA4" w:rsidRDefault="00E06E0F" w:rsidP="00A250C1">
            <w:pPr>
              <w:pStyle w:val="AAAAAAATEXXXX"/>
              <w:ind w:firstLine="0"/>
              <w:rPr>
                <w:sz w:val="18"/>
                <w:szCs w:val="18"/>
                <w:lang w:val="sq-AL"/>
              </w:rPr>
            </w:pPr>
            <w:r w:rsidRPr="00050FA4">
              <w:rPr>
                <w:sz w:val="18"/>
                <w:szCs w:val="18"/>
                <w:lang w:val="sq-AL"/>
              </w:rPr>
              <w:t>208,040</w:t>
            </w:r>
          </w:p>
        </w:tc>
        <w:tc>
          <w:tcPr>
            <w:tcW w:w="1067" w:type="dxa"/>
          </w:tcPr>
          <w:p w14:paraId="0990905E"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6" w:type="dxa"/>
          </w:tcPr>
          <w:p w14:paraId="09FF2910"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1" w:type="dxa"/>
          </w:tcPr>
          <w:p w14:paraId="1CD70628"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96" w:type="dxa"/>
          </w:tcPr>
          <w:p w14:paraId="001400FB"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65" w:type="dxa"/>
          </w:tcPr>
          <w:p w14:paraId="1A76457F" w14:textId="77777777" w:rsidR="00E06E0F" w:rsidRPr="00050FA4" w:rsidRDefault="00E06E0F" w:rsidP="00A250C1">
            <w:pPr>
              <w:pStyle w:val="AAAAAAATEXXXX"/>
              <w:ind w:firstLine="0"/>
              <w:rPr>
                <w:sz w:val="18"/>
                <w:szCs w:val="18"/>
                <w:lang w:val="sq-AL"/>
              </w:rPr>
            </w:pPr>
          </w:p>
        </w:tc>
        <w:tc>
          <w:tcPr>
            <w:tcW w:w="1059" w:type="dxa"/>
          </w:tcPr>
          <w:p w14:paraId="4654E856" w14:textId="77777777" w:rsidR="00E06E0F" w:rsidRPr="00050FA4" w:rsidRDefault="00E06E0F" w:rsidP="00A250C1">
            <w:pPr>
              <w:pStyle w:val="AAAAAAATEXXXX"/>
              <w:ind w:firstLine="0"/>
              <w:rPr>
                <w:sz w:val="18"/>
                <w:szCs w:val="18"/>
                <w:lang w:val="sq-AL"/>
              </w:rPr>
            </w:pPr>
          </w:p>
        </w:tc>
        <w:tc>
          <w:tcPr>
            <w:tcW w:w="1663" w:type="dxa"/>
          </w:tcPr>
          <w:p w14:paraId="42621283" w14:textId="77777777" w:rsidR="00E06E0F" w:rsidRPr="00050FA4" w:rsidRDefault="00E06E0F" w:rsidP="00A250C1">
            <w:pPr>
              <w:pStyle w:val="AAAAAAATEXXXX"/>
              <w:ind w:firstLine="0"/>
              <w:rPr>
                <w:sz w:val="18"/>
                <w:szCs w:val="18"/>
                <w:lang w:val="sq-AL"/>
              </w:rPr>
            </w:pPr>
            <w:r w:rsidRPr="00050FA4">
              <w:rPr>
                <w:sz w:val="18"/>
                <w:szCs w:val="18"/>
                <w:lang w:val="sq-AL"/>
              </w:rPr>
              <w:t>208,040</w:t>
            </w:r>
          </w:p>
        </w:tc>
      </w:tr>
    </w:tbl>
    <w:p w14:paraId="3D02F84C"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2AD1A0B0" w14:textId="77777777" w:rsidTr="00D825ED">
        <w:trPr>
          <w:jc w:val="center"/>
        </w:trPr>
        <w:tc>
          <w:tcPr>
            <w:tcW w:w="10201" w:type="dxa"/>
            <w:gridSpan w:val="9"/>
            <w:shd w:val="clear" w:color="auto" w:fill="E5DFEC" w:themeFill="accent4" w:themeFillTint="33"/>
          </w:tcPr>
          <w:p w14:paraId="35FC4AE2" w14:textId="4D5D8086"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09:</w:t>
            </w:r>
            <w:r w:rsidR="000B0C45" w:rsidRPr="00050FA4">
              <w:rPr>
                <w:b/>
                <w:sz w:val="18"/>
                <w:szCs w:val="18"/>
                <w:lang w:val="sq-AL"/>
              </w:rPr>
              <w:t xml:space="preserve"> </w:t>
            </w:r>
            <w:r w:rsidR="009D1DD3" w:rsidRPr="00050FA4">
              <w:rPr>
                <w:b/>
                <w:sz w:val="18"/>
                <w:szCs w:val="18"/>
                <w:lang w:val="sq-AL"/>
              </w:rPr>
              <w:t>Modernizimi i instrumenteve të pagesave me vlerë të vogël</w:t>
            </w:r>
          </w:p>
        </w:tc>
      </w:tr>
      <w:tr w:rsidR="00FA29AB" w:rsidRPr="00050FA4" w14:paraId="346D5B8F" w14:textId="77777777" w:rsidTr="00D825ED">
        <w:trPr>
          <w:jc w:val="center"/>
        </w:trPr>
        <w:tc>
          <w:tcPr>
            <w:tcW w:w="1070" w:type="dxa"/>
            <w:vAlign w:val="center"/>
          </w:tcPr>
          <w:p w14:paraId="470E3895" w14:textId="3DB09E67"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70" w:type="dxa"/>
            <w:vAlign w:val="center"/>
          </w:tcPr>
          <w:p w14:paraId="079D9243" w14:textId="7045B9BB"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71" w:type="dxa"/>
            <w:vAlign w:val="center"/>
          </w:tcPr>
          <w:p w14:paraId="4300B78E" w14:textId="2122A830"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70" w:type="dxa"/>
            <w:vAlign w:val="center"/>
          </w:tcPr>
          <w:p w14:paraId="0D8EAAAA" w14:textId="28950BE0"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71" w:type="dxa"/>
            <w:vAlign w:val="center"/>
          </w:tcPr>
          <w:p w14:paraId="3535FAB3" w14:textId="04FF3A0E"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70" w:type="dxa"/>
            <w:vAlign w:val="center"/>
          </w:tcPr>
          <w:p w14:paraId="72DF6EAE" w14:textId="1D3F141C"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71" w:type="dxa"/>
            <w:vAlign w:val="center"/>
          </w:tcPr>
          <w:p w14:paraId="00A5F842" w14:textId="5D43798A"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70" w:type="dxa"/>
            <w:vAlign w:val="center"/>
          </w:tcPr>
          <w:p w14:paraId="7A31B6F1"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38" w:type="dxa"/>
            <w:vAlign w:val="center"/>
          </w:tcPr>
          <w:p w14:paraId="604439E1" w14:textId="7F4B06DB"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73E3562A" w14:textId="77777777" w:rsidTr="00D825ED">
        <w:trPr>
          <w:jc w:val="center"/>
        </w:trPr>
        <w:tc>
          <w:tcPr>
            <w:tcW w:w="1070" w:type="dxa"/>
          </w:tcPr>
          <w:p w14:paraId="625E4939" w14:textId="77777777" w:rsidR="00BC0346" w:rsidRPr="00050FA4" w:rsidRDefault="00BC0346" w:rsidP="00A250C1">
            <w:pPr>
              <w:pStyle w:val="AAAAAAATEXXXX"/>
              <w:ind w:firstLine="0"/>
              <w:rPr>
                <w:sz w:val="18"/>
                <w:szCs w:val="18"/>
                <w:lang w:val="sq-AL"/>
              </w:rPr>
            </w:pPr>
            <w:r w:rsidRPr="00050FA4">
              <w:rPr>
                <w:sz w:val="18"/>
                <w:szCs w:val="18"/>
                <w:lang w:val="sq-AL"/>
              </w:rPr>
              <w:t>2022</w:t>
            </w:r>
          </w:p>
        </w:tc>
        <w:tc>
          <w:tcPr>
            <w:tcW w:w="1070" w:type="dxa"/>
          </w:tcPr>
          <w:p w14:paraId="562C0C76" w14:textId="77777777" w:rsidR="00BC0346" w:rsidRPr="00050FA4" w:rsidRDefault="00BC0346" w:rsidP="00A250C1">
            <w:pPr>
              <w:pStyle w:val="AAAAAAATEXXXX"/>
              <w:ind w:firstLine="0"/>
              <w:rPr>
                <w:sz w:val="18"/>
                <w:szCs w:val="18"/>
                <w:lang w:val="sq-AL"/>
              </w:rPr>
            </w:pPr>
          </w:p>
        </w:tc>
        <w:tc>
          <w:tcPr>
            <w:tcW w:w="1071" w:type="dxa"/>
          </w:tcPr>
          <w:p w14:paraId="72E6F543" w14:textId="77777777" w:rsidR="00BC0346" w:rsidRPr="00050FA4" w:rsidRDefault="00BC0346" w:rsidP="00A250C1">
            <w:pPr>
              <w:pStyle w:val="AAAAAAATEXXXX"/>
              <w:ind w:firstLine="0"/>
              <w:rPr>
                <w:sz w:val="18"/>
                <w:szCs w:val="18"/>
                <w:lang w:val="sq-AL"/>
              </w:rPr>
            </w:pPr>
          </w:p>
        </w:tc>
        <w:tc>
          <w:tcPr>
            <w:tcW w:w="1070" w:type="dxa"/>
          </w:tcPr>
          <w:p w14:paraId="215C08D9" w14:textId="77777777" w:rsidR="00BC0346" w:rsidRPr="00050FA4" w:rsidRDefault="00BC0346" w:rsidP="00A250C1">
            <w:pPr>
              <w:pStyle w:val="AAAAAAATEXXXX"/>
              <w:ind w:firstLine="0"/>
              <w:rPr>
                <w:sz w:val="18"/>
                <w:szCs w:val="18"/>
                <w:lang w:val="sq-AL"/>
              </w:rPr>
            </w:pPr>
          </w:p>
        </w:tc>
        <w:tc>
          <w:tcPr>
            <w:tcW w:w="1071" w:type="dxa"/>
          </w:tcPr>
          <w:p w14:paraId="62CC29E6" w14:textId="77777777" w:rsidR="00BC0346" w:rsidRPr="00050FA4" w:rsidRDefault="00BC0346" w:rsidP="00A250C1">
            <w:pPr>
              <w:pStyle w:val="AAAAAAATEXXXX"/>
              <w:ind w:firstLine="0"/>
              <w:rPr>
                <w:sz w:val="18"/>
                <w:szCs w:val="18"/>
                <w:lang w:val="sq-AL"/>
              </w:rPr>
            </w:pPr>
          </w:p>
        </w:tc>
        <w:tc>
          <w:tcPr>
            <w:tcW w:w="1070" w:type="dxa"/>
          </w:tcPr>
          <w:p w14:paraId="4D7037D1" w14:textId="77777777" w:rsidR="00BC0346" w:rsidRPr="00050FA4" w:rsidRDefault="00BC0346" w:rsidP="00A250C1">
            <w:pPr>
              <w:pStyle w:val="AAAAAAATEXXXX"/>
              <w:ind w:firstLine="0"/>
              <w:rPr>
                <w:sz w:val="18"/>
                <w:szCs w:val="18"/>
                <w:lang w:val="sq-AL"/>
              </w:rPr>
            </w:pPr>
          </w:p>
        </w:tc>
        <w:tc>
          <w:tcPr>
            <w:tcW w:w="1071" w:type="dxa"/>
          </w:tcPr>
          <w:p w14:paraId="651A2FE7" w14:textId="77777777" w:rsidR="00BC0346" w:rsidRPr="00050FA4" w:rsidRDefault="00BC0346" w:rsidP="00A250C1">
            <w:pPr>
              <w:pStyle w:val="AAAAAAATEXXXX"/>
              <w:ind w:firstLine="0"/>
              <w:rPr>
                <w:sz w:val="18"/>
                <w:szCs w:val="18"/>
                <w:lang w:val="sq-AL"/>
              </w:rPr>
            </w:pPr>
          </w:p>
        </w:tc>
        <w:tc>
          <w:tcPr>
            <w:tcW w:w="1070" w:type="dxa"/>
            <w:shd w:val="clear" w:color="auto" w:fill="auto"/>
          </w:tcPr>
          <w:p w14:paraId="38ACAF19" w14:textId="176E6AF0" w:rsidR="00BC0346" w:rsidRPr="00050FA4" w:rsidRDefault="00BC0346" w:rsidP="00A250C1">
            <w:pPr>
              <w:pStyle w:val="AAAAAAATEXXXX"/>
              <w:ind w:firstLine="0"/>
              <w:rPr>
                <w:sz w:val="18"/>
                <w:szCs w:val="18"/>
                <w:lang w:val="sq-AL"/>
              </w:rPr>
            </w:pPr>
            <w:r w:rsidRPr="00050FA4">
              <w:rPr>
                <w:sz w:val="18"/>
                <w:szCs w:val="18"/>
                <w:lang w:val="sq-AL"/>
              </w:rPr>
              <w:t>3,000,000</w:t>
            </w:r>
            <w:r w:rsidRPr="00050FA4">
              <w:rPr>
                <w:rStyle w:val="FootnoteReference"/>
                <w:rFonts w:cstheme="majorBidi"/>
                <w:color w:val="0D0D0D" w:themeColor="text1" w:themeTint="F2"/>
                <w:sz w:val="18"/>
                <w:szCs w:val="18"/>
                <w:lang w:val="sq-AL"/>
              </w:rPr>
              <w:footnoteReference w:id="42"/>
            </w:r>
          </w:p>
        </w:tc>
        <w:tc>
          <w:tcPr>
            <w:tcW w:w="1638" w:type="dxa"/>
          </w:tcPr>
          <w:p w14:paraId="53C6276D" w14:textId="34680E6A" w:rsidR="00BC0346" w:rsidRPr="00050FA4" w:rsidRDefault="00BC0346" w:rsidP="00A250C1">
            <w:pPr>
              <w:pStyle w:val="AAAAAAATEXXXX"/>
              <w:ind w:firstLine="0"/>
              <w:rPr>
                <w:sz w:val="18"/>
                <w:szCs w:val="18"/>
                <w:lang w:val="sq-AL"/>
              </w:rPr>
            </w:pPr>
            <w:r w:rsidRPr="00050FA4">
              <w:rPr>
                <w:sz w:val="18"/>
                <w:szCs w:val="18"/>
                <w:lang w:val="sq-AL"/>
              </w:rPr>
              <w:t>3,000,000</w:t>
            </w:r>
          </w:p>
        </w:tc>
      </w:tr>
      <w:tr w:rsidR="00FA29AB" w:rsidRPr="00050FA4" w14:paraId="1F397439" w14:textId="77777777" w:rsidTr="00D825ED">
        <w:trPr>
          <w:jc w:val="center"/>
        </w:trPr>
        <w:tc>
          <w:tcPr>
            <w:tcW w:w="1070" w:type="dxa"/>
          </w:tcPr>
          <w:p w14:paraId="736D73BA"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70" w:type="dxa"/>
          </w:tcPr>
          <w:p w14:paraId="48FDAB1E" w14:textId="77777777" w:rsidR="00E06E0F" w:rsidRPr="00050FA4" w:rsidRDefault="00E06E0F" w:rsidP="00A250C1">
            <w:pPr>
              <w:pStyle w:val="AAAAAAATEXXXX"/>
              <w:ind w:firstLine="0"/>
              <w:rPr>
                <w:sz w:val="18"/>
                <w:szCs w:val="18"/>
                <w:lang w:val="sq-AL"/>
              </w:rPr>
            </w:pPr>
          </w:p>
        </w:tc>
        <w:tc>
          <w:tcPr>
            <w:tcW w:w="1071" w:type="dxa"/>
          </w:tcPr>
          <w:p w14:paraId="469A842D" w14:textId="77777777" w:rsidR="00E06E0F" w:rsidRPr="00050FA4" w:rsidRDefault="00E06E0F" w:rsidP="00A250C1">
            <w:pPr>
              <w:pStyle w:val="AAAAAAATEXXXX"/>
              <w:ind w:firstLine="0"/>
              <w:rPr>
                <w:sz w:val="18"/>
                <w:szCs w:val="18"/>
                <w:lang w:val="sq-AL"/>
              </w:rPr>
            </w:pPr>
          </w:p>
        </w:tc>
        <w:tc>
          <w:tcPr>
            <w:tcW w:w="1070" w:type="dxa"/>
          </w:tcPr>
          <w:p w14:paraId="30CD89DD" w14:textId="77777777" w:rsidR="00E06E0F" w:rsidRPr="00050FA4" w:rsidRDefault="00E06E0F" w:rsidP="00A250C1">
            <w:pPr>
              <w:pStyle w:val="AAAAAAATEXXXX"/>
              <w:ind w:firstLine="0"/>
              <w:rPr>
                <w:sz w:val="18"/>
                <w:szCs w:val="18"/>
                <w:lang w:val="sq-AL"/>
              </w:rPr>
            </w:pPr>
          </w:p>
        </w:tc>
        <w:tc>
          <w:tcPr>
            <w:tcW w:w="1071" w:type="dxa"/>
          </w:tcPr>
          <w:p w14:paraId="582EC31E" w14:textId="77777777" w:rsidR="00E06E0F" w:rsidRPr="00050FA4" w:rsidRDefault="00E06E0F" w:rsidP="00A250C1">
            <w:pPr>
              <w:pStyle w:val="AAAAAAATEXXXX"/>
              <w:ind w:firstLine="0"/>
              <w:rPr>
                <w:sz w:val="18"/>
                <w:szCs w:val="18"/>
                <w:lang w:val="sq-AL"/>
              </w:rPr>
            </w:pPr>
          </w:p>
        </w:tc>
        <w:tc>
          <w:tcPr>
            <w:tcW w:w="1070" w:type="dxa"/>
          </w:tcPr>
          <w:p w14:paraId="15003BF4" w14:textId="77777777" w:rsidR="00E06E0F" w:rsidRPr="00050FA4" w:rsidRDefault="00E06E0F" w:rsidP="00A250C1">
            <w:pPr>
              <w:pStyle w:val="AAAAAAATEXXXX"/>
              <w:ind w:firstLine="0"/>
              <w:rPr>
                <w:sz w:val="18"/>
                <w:szCs w:val="18"/>
                <w:lang w:val="sq-AL"/>
              </w:rPr>
            </w:pPr>
          </w:p>
        </w:tc>
        <w:tc>
          <w:tcPr>
            <w:tcW w:w="1071" w:type="dxa"/>
          </w:tcPr>
          <w:p w14:paraId="4508C240" w14:textId="77777777" w:rsidR="00E06E0F" w:rsidRPr="00050FA4" w:rsidRDefault="00E06E0F" w:rsidP="00A250C1">
            <w:pPr>
              <w:pStyle w:val="AAAAAAATEXXXX"/>
              <w:ind w:firstLine="0"/>
              <w:rPr>
                <w:sz w:val="18"/>
                <w:szCs w:val="18"/>
                <w:lang w:val="sq-AL"/>
              </w:rPr>
            </w:pPr>
          </w:p>
        </w:tc>
        <w:tc>
          <w:tcPr>
            <w:tcW w:w="1070" w:type="dxa"/>
          </w:tcPr>
          <w:p w14:paraId="7C10FD71" w14:textId="77777777" w:rsidR="00E06E0F" w:rsidRPr="00050FA4" w:rsidRDefault="00E06E0F" w:rsidP="00A250C1">
            <w:pPr>
              <w:pStyle w:val="AAAAAAATEXXXX"/>
              <w:ind w:firstLine="0"/>
              <w:rPr>
                <w:sz w:val="18"/>
                <w:szCs w:val="18"/>
                <w:lang w:val="sq-AL"/>
              </w:rPr>
            </w:pPr>
          </w:p>
        </w:tc>
        <w:tc>
          <w:tcPr>
            <w:tcW w:w="1638" w:type="dxa"/>
          </w:tcPr>
          <w:p w14:paraId="32D7E358" w14:textId="77777777" w:rsidR="00E06E0F" w:rsidRPr="00050FA4" w:rsidRDefault="00E06E0F" w:rsidP="00A250C1">
            <w:pPr>
              <w:pStyle w:val="AAAAAAATEXXXX"/>
              <w:ind w:firstLine="0"/>
              <w:rPr>
                <w:sz w:val="18"/>
                <w:szCs w:val="18"/>
                <w:lang w:val="sq-AL"/>
              </w:rPr>
            </w:pPr>
          </w:p>
        </w:tc>
      </w:tr>
      <w:tr w:rsidR="00FA29AB" w:rsidRPr="00050FA4" w14:paraId="45C2E0A1" w14:textId="77777777" w:rsidTr="00D825ED">
        <w:trPr>
          <w:jc w:val="center"/>
        </w:trPr>
        <w:tc>
          <w:tcPr>
            <w:tcW w:w="1070" w:type="dxa"/>
          </w:tcPr>
          <w:p w14:paraId="7A2C6C98"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70" w:type="dxa"/>
          </w:tcPr>
          <w:p w14:paraId="154F04C6" w14:textId="77777777" w:rsidR="00E06E0F" w:rsidRPr="00050FA4" w:rsidRDefault="00E06E0F" w:rsidP="00A250C1">
            <w:pPr>
              <w:pStyle w:val="AAAAAAATEXXXX"/>
              <w:ind w:firstLine="0"/>
              <w:rPr>
                <w:sz w:val="18"/>
                <w:szCs w:val="18"/>
                <w:lang w:val="sq-AL"/>
              </w:rPr>
            </w:pPr>
          </w:p>
        </w:tc>
        <w:tc>
          <w:tcPr>
            <w:tcW w:w="1071" w:type="dxa"/>
          </w:tcPr>
          <w:p w14:paraId="1376D5A8" w14:textId="77777777" w:rsidR="00E06E0F" w:rsidRPr="00050FA4" w:rsidRDefault="00E06E0F" w:rsidP="00A250C1">
            <w:pPr>
              <w:pStyle w:val="AAAAAAATEXXXX"/>
              <w:ind w:firstLine="0"/>
              <w:rPr>
                <w:sz w:val="18"/>
                <w:szCs w:val="18"/>
                <w:lang w:val="sq-AL"/>
              </w:rPr>
            </w:pPr>
          </w:p>
        </w:tc>
        <w:tc>
          <w:tcPr>
            <w:tcW w:w="1070" w:type="dxa"/>
          </w:tcPr>
          <w:p w14:paraId="50EF4A93" w14:textId="77777777" w:rsidR="00E06E0F" w:rsidRPr="00050FA4" w:rsidRDefault="00E06E0F" w:rsidP="00A250C1">
            <w:pPr>
              <w:pStyle w:val="AAAAAAATEXXXX"/>
              <w:ind w:firstLine="0"/>
              <w:rPr>
                <w:sz w:val="18"/>
                <w:szCs w:val="18"/>
                <w:lang w:val="sq-AL"/>
              </w:rPr>
            </w:pPr>
          </w:p>
        </w:tc>
        <w:tc>
          <w:tcPr>
            <w:tcW w:w="1071" w:type="dxa"/>
          </w:tcPr>
          <w:p w14:paraId="070CBA41" w14:textId="77777777" w:rsidR="00E06E0F" w:rsidRPr="00050FA4" w:rsidRDefault="00E06E0F" w:rsidP="00A250C1">
            <w:pPr>
              <w:pStyle w:val="AAAAAAATEXXXX"/>
              <w:ind w:firstLine="0"/>
              <w:rPr>
                <w:sz w:val="18"/>
                <w:szCs w:val="18"/>
                <w:lang w:val="sq-AL"/>
              </w:rPr>
            </w:pPr>
          </w:p>
        </w:tc>
        <w:tc>
          <w:tcPr>
            <w:tcW w:w="1070" w:type="dxa"/>
          </w:tcPr>
          <w:p w14:paraId="0E5202B8" w14:textId="77777777" w:rsidR="00E06E0F" w:rsidRPr="00050FA4" w:rsidRDefault="00E06E0F" w:rsidP="00A250C1">
            <w:pPr>
              <w:pStyle w:val="AAAAAAATEXXXX"/>
              <w:ind w:firstLine="0"/>
              <w:rPr>
                <w:sz w:val="18"/>
                <w:szCs w:val="18"/>
                <w:lang w:val="sq-AL"/>
              </w:rPr>
            </w:pPr>
          </w:p>
        </w:tc>
        <w:tc>
          <w:tcPr>
            <w:tcW w:w="1071" w:type="dxa"/>
          </w:tcPr>
          <w:p w14:paraId="7B3EFBAC" w14:textId="77777777" w:rsidR="00E06E0F" w:rsidRPr="00050FA4" w:rsidRDefault="00E06E0F" w:rsidP="00A250C1">
            <w:pPr>
              <w:pStyle w:val="AAAAAAATEXXXX"/>
              <w:ind w:firstLine="0"/>
              <w:rPr>
                <w:sz w:val="18"/>
                <w:szCs w:val="18"/>
                <w:lang w:val="sq-AL"/>
              </w:rPr>
            </w:pPr>
          </w:p>
        </w:tc>
        <w:tc>
          <w:tcPr>
            <w:tcW w:w="1070" w:type="dxa"/>
          </w:tcPr>
          <w:p w14:paraId="3A49E37B" w14:textId="77777777" w:rsidR="00E06E0F" w:rsidRPr="00050FA4" w:rsidRDefault="00E06E0F" w:rsidP="00A250C1">
            <w:pPr>
              <w:pStyle w:val="AAAAAAATEXXXX"/>
              <w:ind w:firstLine="0"/>
              <w:rPr>
                <w:sz w:val="18"/>
                <w:szCs w:val="18"/>
                <w:lang w:val="sq-AL"/>
              </w:rPr>
            </w:pPr>
          </w:p>
        </w:tc>
        <w:tc>
          <w:tcPr>
            <w:tcW w:w="1638" w:type="dxa"/>
          </w:tcPr>
          <w:p w14:paraId="3FA8B209" w14:textId="77777777" w:rsidR="00E06E0F" w:rsidRPr="00050FA4" w:rsidRDefault="00E06E0F" w:rsidP="00A250C1">
            <w:pPr>
              <w:pStyle w:val="AAAAAAATEXXXX"/>
              <w:ind w:firstLine="0"/>
              <w:rPr>
                <w:sz w:val="18"/>
                <w:szCs w:val="18"/>
                <w:lang w:val="sq-AL"/>
              </w:rPr>
            </w:pPr>
          </w:p>
        </w:tc>
      </w:tr>
    </w:tbl>
    <w:p w14:paraId="603066C4" w14:textId="77777777" w:rsidR="00E06E0F" w:rsidRPr="00050FA4" w:rsidRDefault="00E06E0F" w:rsidP="003F1DA7">
      <w:pPr>
        <w:pStyle w:val="AAAAAAATEXXXX"/>
        <w:rPr>
          <w:sz w:val="20"/>
          <w:szCs w:val="20"/>
          <w:lang w:val="sq-AL"/>
        </w:rPr>
      </w:pPr>
    </w:p>
    <w:p w14:paraId="18D026AE" w14:textId="656DDCA1" w:rsidR="00E06E0F" w:rsidRPr="00050FA4" w:rsidRDefault="0089011F" w:rsidP="003F1DA7">
      <w:pPr>
        <w:pStyle w:val="AAAAAAATEXXXX"/>
        <w:jc w:val="center"/>
        <w:rPr>
          <w:lang w:val="sq-AL"/>
        </w:rPr>
      </w:pPr>
      <w:bookmarkStart w:id="144" w:name="_Toc93325803"/>
      <w:r w:rsidRPr="00050FA4">
        <w:rPr>
          <w:lang w:val="sq-AL"/>
        </w:rPr>
        <w:t>Fushat e tjera</w:t>
      </w:r>
      <w:bookmarkEnd w:id="144"/>
    </w:p>
    <w:tbl>
      <w:tblPr>
        <w:tblStyle w:val="TableGrid"/>
        <w:tblW w:w="10201" w:type="dxa"/>
        <w:jc w:val="center"/>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3CF18088" w14:textId="77777777" w:rsidTr="00D825ED">
        <w:trPr>
          <w:jc w:val="center"/>
        </w:trPr>
        <w:tc>
          <w:tcPr>
            <w:tcW w:w="10201" w:type="dxa"/>
            <w:gridSpan w:val="9"/>
            <w:shd w:val="clear" w:color="auto" w:fill="E5DFEC" w:themeFill="accent4" w:themeFillTint="33"/>
          </w:tcPr>
          <w:p w14:paraId="0468A0E7" w14:textId="36E50BE1"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10:</w:t>
            </w:r>
            <w:r w:rsidR="000B0C45" w:rsidRPr="00050FA4">
              <w:rPr>
                <w:b/>
                <w:sz w:val="18"/>
                <w:szCs w:val="18"/>
                <w:lang w:val="sq-AL"/>
              </w:rPr>
              <w:t xml:space="preserve"> </w:t>
            </w:r>
            <w:r w:rsidR="00461CA0" w:rsidRPr="00050FA4">
              <w:rPr>
                <w:b/>
                <w:sz w:val="18"/>
                <w:szCs w:val="18"/>
                <w:lang w:val="sq-AL"/>
              </w:rPr>
              <w:t>Investimet strategjike publike</w:t>
            </w:r>
          </w:p>
        </w:tc>
      </w:tr>
      <w:tr w:rsidR="00FA29AB" w:rsidRPr="00050FA4" w14:paraId="48302A69" w14:textId="77777777" w:rsidTr="00D825ED">
        <w:trPr>
          <w:jc w:val="center"/>
        </w:trPr>
        <w:tc>
          <w:tcPr>
            <w:tcW w:w="1070" w:type="dxa"/>
            <w:vAlign w:val="center"/>
          </w:tcPr>
          <w:p w14:paraId="17DCA73E" w14:textId="5E15022E"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1070" w:type="dxa"/>
            <w:vAlign w:val="center"/>
          </w:tcPr>
          <w:p w14:paraId="0708B418" w14:textId="361F6BAC"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71" w:type="dxa"/>
            <w:vAlign w:val="center"/>
          </w:tcPr>
          <w:p w14:paraId="73F1A387" w14:textId="5C2E48C0"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70" w:type="dxa"/>
            <w:vAlign w:val="center"/>
          </w:tcPr>
          <w:p w14:paraId="181B75B2" w14:textId="77B6CBA5"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71" w:type="dxa"/>
            <w:vAlign w:val="center"/>
          </w:tcPr>
          <w:p w14:paraId="707EE6AF" w14:textId="40465FE7"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70" w:type="dxa"/>
            <w:vAlign w:val="center"/>
          </w:tcPr>
          <w:p w14:paraId="4F64AA2E" w14:textId="6A5D2B43"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71" w:type="dxa"/>
            <w:vAlign w:val="center"/>
          </w:tcPr>
          <w:p w14:paraId="63E1820C" w14:textId="41D8CCB5"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70" w:type="dxa"/>
            <w:vAlign w:val="center"/>
          </w:tcPr>
          <w:p w14:paraId="5D46F04E"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38" w:type="dxa"/>
            <w:vAlign w:val="center"/>
          </w:tcPr>
          <w:p w14:paraId="057DDA66" w14:textId="15700181"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39909A5F" w14:textId="77777777" w:rsidTr="00D825ED">
        <w:trPr>
          <w:jc w:val="center"/>
        </w:trPr>
        <w:tc>
          <w:tcPr>
            <w:tcW w:w="1070" w:type="dxa"/>
          </w:tcPr>
          <w:p w14:paraId="7AD7D030"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70" w:type="dxa"/>
          </w:tcPr>
          <w:p w14:paraId="445ABDAB" w14:textId="77777777" w:rsidR="00E06E0F" w:rsidRPr="00050FA4" w:rsidRDefault="00E06E0F" w:rsidP="00A250C1">
            <w:pPr>
              <w:pStyle w:val="AAAAAAATEXXXX"/>
              <w:ind w:firstLine="0"/>
              <w:rPr>
                <w:sz w:val="18"/>
                <w:szCs w:val="18"/>
                <w:lang w:val="sq-AL"/>
              </w:rPr>
            </w:pPr>
            <w:r w:rsidRPr="00050FA4">
              <w:rPr>
                <w:sz w:val="18"/>
                <w:szCs w:val="18"/>
                <w:lang w:val="sq-AL"/>
              </w:rPr>
              <w:t>64,755</w:t>
            </w:r>
          </w:p>
        </w:tc>
        <w:tc>
          <w:tcPr>
            <w:tcW w:w="1071" w:type="dxa"/>
          </w:tcPr>
          <w:p w14:paraId="682B2941"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0" w:type="dxa"/>
          </w:tcPr>
          <w:p w14:paraId="5ADA7E2D"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1" w:type="dxa"/>
          </w:tcPr>
          <w:p w14:paraId="0B275CD7" w14:textId="77777777" w:rsidR="00E06E0F" w:rsidRPr="00050FA4" w:rsidRDefault="00E06E0F" w:rsidP="00A250C1">
            <w:pPr>
              <w:pStyle w:val="AAAAAAATEXXXX"/>
              <w:ind w:firstLine="0"/>
              <w:rPr>
                <w:sz w:val="18"/>
                <w:szCs w:val="18"/>
                <w:lang w:val="sq-AL"/>
              </w:rPr>
            </w:pPr>
            <w:r w:rsidRPr="00050FA4">
              <w:rPr>
                <w:sz w:val="18"/>
                <w:szCs w:val="18"/>
                <w:lang w:val="sq-AL"/>
              </w:rPr>
              <w:t>812,431</w:t>
            </w:r>
          </w:p>
        </w:tc>
        <w:tc>
          <w:tcPr>
            <w:tcW w:w="1070" w:type="dxa"/>
          </w:tcPr>
          <w:p w14:paraId="00216B71"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1" w:type="dxa"/>
          </w:tcPr>
          <w:p w14:paraId="1D237E88"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0" w:type="dxa"/>
            <w:shd w:val="clear" w:color="auto" w:fill="808080" w:themeFill="background1" w:themeFillShade="80"/>
          </w:tcPr>
          <w:p w14:paraId="75B9EEE3"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638" w:type="dxa"/>
          </w:tcPr>
          <w:p w14:paraId="790E6DA0" w14:textId="77777777" w:rsidR="00E06E0F" w:rsidRPr="00050FA4" w:rsidRDefault="00E06E0F" w:rsidP="00A250C1">
            <w:pPr>
              <w:pStyle w:val="AAAAAAATEXXXX"/>
              <w:ind w:firstLine="0"/>
              <w:rPr>
                <w:sz w:val="18"/>
                <w:szCs w:val="18"/>
                <w:lang w:val="sq-AL"/>
              </w:rPr>
            </w:pPr>
            <w:r w:rsidRPr="00050FA4">
              <w:rPr>
                <w:sz w:val="18"/>
                <w:szCs w:val="18"/>
                <w:lang w:val="sq-AL"/>
              </w:rPr>
              <w:t>877,186</w:t>
            </w:r>
          </w:p>
        </w:tc>
      </w:tr>
      <w:tr w:rsidR="00FA29AB" w:rsidRPr="00050FA4" w14:paraId="542B7528" w14:textId="77777777" w:rsidTr="00D825ED">
        <w:trPr>
          <w:trHeight w:val="232"/>
          <w:jc w:val="center"/>
        </w:trPr>
        <w:tc>
          <w:tcPr>
            <w:tcW w:w="1070" w:type="dxa"/>
          </w:tcPr>
          <w:p w14:paraId="7B7F031A"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70" w:type="dxa"/>
          </w:tcPr>
          <w:p w14:paraId="52A6FF6B" w14:textId="77777777" w:rsidR="00E06E0F" w:rsidRPr="00050FA4" w:rsidRDefault="00E06E0F" w:rsidP="00A250C1">
            <w:pPr>
              <w:pStyle w:val="AAAAAAATEXXXX"/>
              <w:ind w:firstLine="0"/>
              <w:rPr>
                <w:sz w:val="18"/>
                <w:szCs w:val="18"/>
                <w:lang w:val="sq-AL"/>
              </w:rPr>
            </w:pPr>
            <w:r w:rsidRPr="00050FA4">
              <w:rPr>
                <w:sz w:val="18"/>
                <w:szCs w:val="18"/>
                <w:lang w:val="sq-AL"/>
              </w:rPr>
              <w:t>64,755</w:t>
            </w:r>
          </w:p>
        </w:tc>
        <w:tc>
          <w:tcPr>
            <w:tcW w:w="1071" w:type="dxa"/>
          </w:tcPr>
          <w:p w14:paraId="6BA19930"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0" w:type="dxa"/>
          </w:tcPr>
          <w:p w14:paraId="317EC72A"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1" w:type="dxa"/>
          </w:tcPr>
          <w:p w14:paraId="67AB727E" w14:textId="77777777" w:rsidR="00E06E0F" w:rsidRPr="00050FA4" w:rsidRDefault="00E06E0F" w:rsidP="00A250C1">
            <w:pPr>
              <w:pStyle w:val="AAAAAAATEXXXX"/>
              <w:ind w:firstLine="0"/>
              <w:rPr>
                <w:sz w:val="18"/>
                <w:szCs w:val="18"/>
                <w:lang w:val="sq-AL"/>
              </w:rPr>
            </w:pPr>
            <w:r w:rsidRPr="00050FA4">
              <w:rPr>
                <w:sz w:val="18"/>
                <w:szCs w:val="18"/>
                <w:lang w:val="sq-AL"/>
              </w:rPr>
              <w:t>812,431</w:t>
            </w:r>
          </w:p>
        </w:tc>
        <w:tc>
          <w:tcPr>
            <w:tcW w:w="1070" w:type="dxa"/>
          </w:tcPr>
          <w:p w14:paraId="37543C9E"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1" w:type="dxa"/>
          </w:tcPr>
          <w:p w14:paraId="35A64201"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070" w:type="dxa"/>
          </w:tcPr>
          <w:p w14:paraId="463EFA94" w14:textId="77777777" w:rsidR="00E06E0F" w:rsidRPr="00050FA4" w:rsidRDefault="00E06E0F" w:rsidP="00A250C1">
            <w:pPr>
              <w:pStyle w:val="AAAAAAATEXXXX"/>
              <w:ind w:firstLine="0"/>
              <w:rPr>
                <w:sz w:val="18"/>
                <w:szCs w:val="18"/>
                <w:lang w:val="sq-AL"/>
              </w:rPr>
            </w:pPr>
            <w:r w:rsidRPr="00050FA4">
              <w:rPr>
                <w:sz w:val="18"/>
                <w:szCs w:val="18"/>
                <w:lang w:val="sq-AL"/>
              </w:rPr>
              <w:t>N/A</w:t>
            </w:r>
          </w:p>
        </w:tc>
        <w:tc>
          <w:tcPr>
            <w:tcW w:w="1638" w:type="dxa"/>
          </w:tcPr>
          <w:p w14:paraId="791FCDEA" w14:textId="77777777" w:rsidR="00E06E0F" w:rsidRPr="00050FA4" w:rsidRDefault="00E06E0F" w:rsidP="00A250C1">
            <w:pPr>
              <w:pStyle w:val="AAAAAAATEXXXX"/>
              <w:ind w:firstLine="0"/>
              <w:rPr>
                <w:sz w:val="18"/>
                <w:szCs w:val="18"/>
                <w:lang w:val="sq-AL"/>
              </w:rPr>
            </w:pPr>
            <w:r w:rsidRPr="00050FA4">
              <w:rPr>
                <w:sz w:val="18"/>
                <w:szCs w:val="18"/>
                <w:lang w:val="sq-AL"/>
              </w:rPr>
              <w:t>877,186</w:t>
            </w:r>
          </w:p>
        </w:tc>
      </w:tr>
      <w:tr w:rsidR="00FA29AB" w:rsidRPr="00050FA4" w14:paraId="27B3C39E" w14:textId="77777777" w:rsidTr="00D825ED">
        <w:trPr>
          <w:jc w:val="center"/>
        </w:trPr>
        <w:tc>
          <w:tcPr>
            <w:tcW w:w="1070" w:type="dxa"/>
          </w:tcPr>
          <w:p w14:paraId="223A4FC8"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70" w:type="dxa"/>
          </w:tcPr>
          <w:p w14:paraId="321373BD" w14:textId="77777777" w:rsidR="00E06E0F" w:rsidRPr="00050FA4" w:rsidRDefault="00E06E0F" w:rsidP="00A250C1">
            <w:pPr>
              <w:pStyle w:val="AAAAAAATEXXXX"/>
              <w:ind w:firstLine="0"/>
              <w:rPr>
                <w:sz w:val="18"/>
                <w:szCs w:val="18"/>
                <w:lang w:val="sq-AL"/>
              </w:rPr>
            </w:pPr>
          </w:p>
        </w:tc>
        <w:tc>
          <w:tcPr>
            <w:tcW w:w="1071" w:type="dxa"/>
          </w:tcPr>
          <w:p w14:paraId="2F4BE976" w14:textId="77777777" w:rsidR="00E06E0F" w:rsidRPr="00050FA4" w:rsidRDefault="00E06E0F" w:rsidP="00A250C1">
            <w:pPr>
              <w:pStyle w:val="AAAAAAATEXXXX"/>
              <w:ind w:firstLine="0"/>
              <w:rPr>
                <w:sz w:val="18"/>
                <w:szCs w:val="18"/>
                <w:lang w:val="sq-AL"/>
              </w:rPr>
            </w:pPr>
          </w:p>
        </w:tc>
        <w:tc>
          <w:tcPr>
            <w:tcW w:w="1070" w:type="dxa"/>
          </w:tcPr>
          <w:p w14:paraId="0E481881" w14:textId="77777777" w:rsidR="00E06E0F" w:rsidRPr="00050FA4" w:rsidRDefault="00E06E0F" w:rsidP="00A250C1">
            <w:pPr>
              <w:pStyle w:val="AAAAAAATEXXXX"/>
              <w:ind w:firstLine="0"/>
              <w:rPr>
                <w:sz w:val="18"/>
                <w:szCs w:val="18"/>
                <w:lang w:val="sq-AL"/>
              </w:rPr>
            </w:pPr>
          </w:p>
        </w:tc>
        <w:tc>
          <w:tcPr>
            <w:tcW w:w="1071" w:type="dxa"/>
          </w:tcPr>
          <w:p w14:paraId="7EE0CF05" w14:textId="77777777" w:rsidR="00E06E0F" w:rsidRPr="00050FA4" w:rsidRDefault="00E06E0F" w:rsidP="00A250C1">
            <w:pPr>
              <w:pStyle w:val="AAAAAAATEXXXX"/>
              <w:ind w:firstLine="0"/>
              <w:rPr>
                <w:sz w:val="18"/>
                <w:szCs w:val="18"/>
                <w:lang w:val="sq-AL"/>
              </w:rPr>
            </w:pPr>
          </w:p>
        </w:tc>
        <w:tc>
          <w:tcPr>
            <w:tcW w:w="1070" w:type="dxa"/>
          </w:tcPr>
          <w:p w14:paraId="117301EF" w14:textId="77777777" w:rsidR="00E06E0F" w:rsidRPr="00050FA4" w:rsidRDefault="00E06E0F" w:rsidP="00A250C1">
            <w:pPr>
              <w:pStyle w:val="AAAAAAATEXXXX"/>
              <w:ind w:firstLine="0"/>
              <w:rPr>
                <w:sz w:val="18"/>
                <w:szCs w:val="18"/>
                <w:lang w:val="sq-AL"/>
              </w:rPr>
            </w:pPr>
          </w:p>
        </w:tc>
        <w:tc>
          <w:tcPr>
            <w:tcW w:w="1071" w:type="dxa"/>
          </w:tcPr>
          <w:p w14:paraId="041DDEE8" w14:textId="77777777" w:rsidR="00E06E0F" w:rsidRPr="00050FA4" w:rsidRDefault="00E06E0F" w:rsidP="00A250C1">
            <w:pPr>
              <w:pStyle w:val="AAAAAAATEXXXX"/>
              <w:ind w:firstLine="0"/>
              <w:rPr>
                <w:sz w:val="18"/>
                <w:szCs w:val="18"/>
                <w:lang w:val="sq-AL"/>
              </w:rPr>
            </w:pPr>
          </w:p>
        </w:tc>
        <w:tc>
          <w:tcPr>
            <w:tcW w:w="1070" w:type="dxa"/>
          </w:tcPr>
          <w:p w14:paraId="08FD1CC9" w14:textId="77777777" w:rsidR="00E06E0F" w:rsidRPr="00050FA4" w:rsidRDefault="00E06E0F" w:rsidP="00A250C1">
            <w:pPr>
              <w:pStyle w:val="AAAAAAATEXXXX"/>
              <w:ind w:firstLine="0"/>
              <w:rPr>
                <w:sz w:val="18"/>
                <w:szCs w:val="18"/>
                <w:lang w:val="sq-AL"/>
              </w:rPr>
            </w:pPr>
          </w:p>
        </w:tc>
        <w:tc>
          <w:tcPr>
            <w:tcW w:w="1638" w:type="dxa"/>
          </w:tcPr>
          <w:p w14:paraId="71460ED4" w14:textId="77777777" w:rsidR="00E06E0F" w:rsidRPr="00050FA4" w:rsidRDefault="00E06E0F" w:rsidP="00A250C1">
            <w:pPr>
              <w:pStyle w:val="AAAAAAATEXXXX"/>
              <w:ind w:firstLine="0"/>
              <w:rPr>
                <w:sz w:val="18"/>
                <w:szCs w:val="18"/>
                <w:lang w:val="sq-AL"/>
              </w:rPr>
            </w:pPr>
          </w:p>
        </w:tc>
      </w:tr>
    </w:tbl>
    <w:p w14:paraId="36644DC1"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603593D2" w14:textId="77777777" w:rsidTr="00D825ED">
        <w:trPr>
          <w:jc w:val="center"/>
        </w:trPr>
        <w:tc>
          <w:tcPr>
            <w:tcW w:w="10201" w:type="dxa"/>
            <w:gridSpan w:val="9"/>
            <w:shd w:val="clear" w:color="auto" w:fill="E5DFEC" w:themeFill="accent4" w:themeFillTint="33"/>
          </w:tcPr>
          <w:p w14:paraId="4107B849" w14:textId="681B7C7D"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11:</w:t>
            </w:r>
            <w:r w:rsidR="000B0C45" w:rsidRPr="00050FA4">
              <w:rPr>
                <w:b/>
                <w:sz w:val="18"/>
                <w:szCs w:val="18"/>
                <w:lang w:val="sq-AL"/>
              </w:rPr>
              <w:t xml:space="preserve"> </w:t>
            </w:r>
            <w:r w:rsidR="00461CA0" w:rsidRPr="00050FA4">
              <w:rPr>
                <w:b/>
                <w:sz w:val="18"/>
                <w:szCs w:val="18"/>
                <w:lang w:val="sq-AL"/>
              </w:rPr>
              <w:t xml:space="preserve">Zhvillimi i infrastrukturës </w:t>
            </w:r>
            <w:r w:rsidR="00461CA0" w:rsidRPr="00050FA4">
              <w:rPr>
                <w:b/>
                <w:i/>
                <w:sz w:val="18"/>
                <w:szCs w:val="18"/>
                <w:lang w:val="sq-AL"/>
              </w:rPr>
              <w:t>broadband</w:t>
            </w:r>
            <w:r w:rsidR="00461CA0" w:rsidRPr="00050FA4">
              <w:rPr>
                <w:b/>
                <w:sz w:val="18"/>
                <w:szCs w:val="18"/>
                <w:lang w:val="sq-AL"/>
              </w:rPr>
              <w:t xml:space="preserve"> për ekonominë digjital</w:t>
            </w:r>
          </w:p>
        </w:tc>
      </w:tr>
      <w:tr w:rsidR="00FA29AB" w:rsidRPr="00050FA4" w14:paraId="4B5932CC" w14:textId="77777777" w:rsidTr="00D825ED">
        <w:trPr>
          <w:jc w:val="center"/>
        </w:trPr>
        <w:tc>
          <w:tcPr>
            <w:tcW w:w="1070" w:type="dxa"/>
            <w:vAlign w:val="center"/>
          </w:tcPr>
          <w:p w14:paraId="0274CE30" w14:textId="4206E207" w:rsidR="00E06E0F" w:rsidRPr="00050FA4" w:rsidRDefault="005E44FE" w:rsidP="000A2731">
            <w:pPr>
              <w:pStyle w:val="AAAAAAATEXXXX"/>
              <w:ind w:firstLine="0"/>
              <w:jc w:val="center"/>
              <w:rPr>
                <w:b/>
                <w:sz w:val="18"/>
                <w:szCs w:val="18"/>
                <w:lang w:val="sq-AL"/>
              </w:rPr>
            </w:pPr>
            <w:r w:rsidRPr="00050FA4">
              <w:rPr>
                <w:b/>
                <w:sz w:val="18"/>
                <w:szCs w:val="18"/>
                <w:lang w:val="sq-AL"/>
              </w:rPr>
              <w:lastRenderedPageBreak/>
              <w:t>Viti</w:t>
            </w:r>
          </w:p>
        </w:tc>
        <w:tc>
          <w:tcPr>
            <w:tcW w:w="1070" w:type="dxa"/>
            <w:vAlign w:val="center"/>
          </w:tcPr>
          <w:p w14:paraId="5616B452" w14:textId="3AA7F806"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71" w:type="dxa"/>
            <w:vAlign w:val="center"/>
          </w:tcPr>
          <w:p w14:paraId="40108010" w14:textId="6B7750B9"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70" w:type="dxa"/>
            <w:vAlign w:val="center"/>
          </w:tcPr>
          <w:p w14:paraId="540DC139" w14:textId="76602DDC"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71" w:type="dxa"/>
            <w:vAlign w:val="center"/>
          </w:tcPr>
          <w:p w14:paraId="2EBA98A0" w14:textId="50C3D530"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70" w:type="dxa"/>
            <w:vAlign w:val="center"/>
          </w:tcPr>
          <w:p w14:paraId="477E01B3" w14:textId="3D0AA061"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071" w:type="dxa"/>
            <w:vAlign w:val="center"/>
          </w:tcPr>
          <w:p w14:paraId="4814061F" w14:textId="5C56B228"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1070" w:type="dxa"/>
            <w:vAlign w:val="center"/>
          </w:tcPr>
          <w:p w14:paraId="433BA1C9"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638" w:type="dxa"/>
            <w:vAlign w:val="center"/>
          </w:tcPr>
          <w:p w14:paraId="61BA83A5" w14:textId="7FB69CF1"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39D46857" w14:textId="77777777" w:rsidTr="00D825ED">
        <w:trPr>
          <w:jc w:val="center"/>
        </w:trPr>
        <w:tc>
          <w:tcPr>
            <w:tcW w:w="1070" w:type="dxa"/>
          </w:tcPr>
          <w:p w14:paraId="37FE9E7E"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70" w:type="dxa"/>
          </w:tcPr>
          <w:p w14:paraId="3E130E35" w14:textId="77777777" w:rsidR="00E06E0F" w:rsidRPr="00050FA4" w:rsidRDefault="00E06E0F" w:rsidP="00A250C1">
            <w:pPr>
              <w:pStyle w:val="AAAAAAATEXXXX"/>
              <w:ind w:firstLine="0"/>
              <w:rPr>
                <w:sz w:val="18"/>
                <w:szCs w:val="18"/>
                <w:lang w:val="sq-AL"/>
              </w:rPr>
            </w:pPr>
            <w:r w:rsidRPr="00050FA4">
              <w:rPr>
                <w:sz w:val="18"/>
                <w:szCs w:val="18"/>
                <w:lang w:val="sq-AL"/>
              </w:rPr>
              <w:t>163333</w:t>
            </w:r>
          </w:p>
        </w:tc>
        <w:tc>
          <w:tcPr>
            <w:tcW w:w="1071" w:type="dxa"/>
          </w:tcPr>
          <w:p w14:paraId="7C14D733"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4690B876"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1" w:type="dxa"/>
          </w:tcPr>
          <w:p w14:paraId="3901674D"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05E4C60D" w14:textId="77777777" w:rsidR="00E06E0F" w:rsidRPr="00050FA4" w:rsidRDefault="00E06E0F" w:rsidP="00A250C1">
            <w:pPr>
              <w:pStyle w:val="AAAAAAATEXXXX"/>
              <w:ind w:firstLine="0"/>
              <w:rPr>
                <w:sz w:val="18"/>
                <w:szCs w:val="18"/>
                <w:lang w:val="sq-AL"/>
              </w:rPr>
            </w:pPr>
            <w:r w:rsidRPr="00050FA4">
              <w:rPr>
                <w:sz w:val="18"/>
                <w:szCs w:val="18"/>
                <w:lang w:val="sq-AL"/>
              </w:rPr>
              <w:t>950000</w:t>
            </w:r>
          </w:p>
        </w:tc>
        <w:tc>
          <w:tcPr>
            <w:tcW w:w="1071" w:type="dxa"/>
          </w:tcPr>
          <w:p w14:paraId="348E825E"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shd w:val="clear" w:color="auto" w:fill="808080" w:themeFill="background1" w:themeFillShade="80"/>
          </w:tcPr>
          <w:p w14:paraId="5A2C18FA" w14:textId="77777777" w:rsidR="00E06E0F" w:rsidRPr="00050FA4" w:rsidRDefault="00E06E0F" w:rsidP="00A250C1">
            <w:pPr>
              <w:pStyle w:val="AAAAAAATEXXXX"/>
              <w:ind w:firstLine="0"/>
              <w:rPr>
                <w:sz w:val="18"/>
                <w:szCs w:val="18"/>
                <w:lang w:val="sq-AL"/>
              </w:rPr>
            </w:pPr>
          </w:p>
        </w:tc>
        <w:tc>
          <w:tcPr>
            <w:tcW w:w="1638" w:type="dxa"/>
          </w:tcPr>
          <w:p w14:paraId="68C71DF0" w14:textId="77777777" w:rsidR="00E06E0F" w:rsidRPr="00050FA4" w:rsidRDefault="00E06E0F" w:rsidP="00A250C1">
            <w:pPr>
              <w:pStyle w:val="AAAAAAATEXXXX"/>
              <w:ind w:firstLine="0"/>
              <w:rPr>
                <w:sz w:val="18"/>
                <w:szCs w:val="18"/>
                <w:lang w:val="sq-AL"/>
              </w:rPr>
            </w:pPr>
            <w:r w:rsidRPr="00050FA4">
              <w:rPr>
                <w:sz w:val="18"/>
                <w:szCs w:val="18"/>
                <w:lang w:val="sq-AL"/>
              </w:rPr>
              <w:t>1113333</w:t>
            </w:r>
          </w:p>
        </w:tc>
      </w:tr>
      <w:tr w:rsidR="00FA29AB" w:rsidRPr="00050FA4" w14:paraId="5AA844E1" w14:textId="77777777" w:rsidTr="00D825ED">
        <w:trPr>
          <w:jc w:val="center"/>
        </w:trPr>
        <w:tc>
          <w:tcPr>
            <w:tcW w:w="1070" w:type="dxa"/>
          </w:tcPr>
          <w:p w14:paraId="24B39784"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70" w:type="dxa"/>
          </w:tcPr>
          <w:p w14:paraId="18C8687D" w14:textId="77777777" w:rsidR="00E06E0F" w:rsidRPr="00050FA4" w:rsidRDefault="00E06E0F" w:rsidP="00A250C1">
            <w:pPr>
              <w:pStyle w:val="AAAAAAATEXXXX"/>
              <w:ind w:firstLine="0"/>
              <w:rPr>
                <w:sz w:val="18"/>
                <w:szCs w:val="18"/>
                <w:lang w:val="sq-AL"/>
              </w:rPr>
            </w:pPr>
            <w:r w:rsidRPr="00050FA4">
              <w:rPr>
                <w:sz w:val="18"/>
                <w:szCs w:val="18"/>
                <w:lang w:val="sq-AL"/>
              </w:rPr>
              <w:t>133333</w:t>
            </w:r>
          </w:p>
        </w:tc>
        <w:tc>
          <w:tcPr>
            <w:tcW w:w="1071" w:type="dxa"/>
          </w:tcPr>
          <w:p w14:paraId="5B5D4C77"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254B4EE5"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1" w:type="dxa"/>
          </w:tcPr>
          <w:p w14:paraId="551E5C9D"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08D3E06F" w14:textId="77777777" w:rsidR="00E06E0F" w:rsidRPr="00050FA4" w:rsidRDefault="00E06E0F" w:rsidP="00A250C1">
            <w:pPr>
              <w:pStyle w:val="AAAAAAATEXXXX"/>
              <w:ind w:firstLine="0"/>
              <w:rPr>
                <w:sz w:val="18"/>
                <w:szCs w:val="18"/>
                <w:lang w:val="sq-AL"/>
              </w:rPr>
            </w:pPr>
            <w:r w:rsidRPr="00050FA4">
              <w:rPr>
                <w:sz w:val="18"/>
                <w:szCs w:val="18"/>
                <w:lang w:val="sq-AL"/>
              </w:rPr>
              <w:t>3300000</w:t>
            </w:r>
          </w:p>
        </w:tc>
        <w:tc>
          <w:tcPr>
            <w:tcW w:w="1071" w:type="dxa"/>
          </w:tcPr>
          <w:p w14:paraId="4355BD4B"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4B4BBE36"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638" w:type="dxa"/>
          </w:tcPr>
          <w:p w14:paraId="33CD00E6" w14:textId="77777777" w:rsidR="00E06E0F" w:rsidRPr="00050FA4" w:rsidRDefault="00E06E0F" w:rsidP="00A250C1">
            <w:pPr>
              <w:pStyle w:val="AAAAAAATEXXXX"/>
              <w:ind w:firstLine="0"/>
              <w:rPr>
                <w:sz w:val="18"/>
                <w:szCs w:val="18"/>
                <w:lang w:val="sq-AL"/>
              </w:rPr>
            </w:pPr>
            <w:r w:rsidRPr="00050FA4">
              <w:rPr>
                <w:sz w:val="18"/>
                <w:szCs w:val="18"/>
                <w:lang w:val="sq-AL"/>
              </w:rPr>
              <w:t>3433333</w:t>
            </w:r>
          </w:p>
        </w:tc>
      </w:tr>
      <w:tr w:rsidR="00FA29AB" w:rsidRPr="00050FA4" w14:paraId="45687C3D" w14:textId="77777777" w:rsidTr="00D825ED">
        <w:trPr>
          <w:jc w:val="center"/>
        </w:trPr>
        <w:tc>
          <w:tcPr>
            <w:tcW w:w="1070" w:type="dxa"/>
          </w:tcPr>
          <w:p w14:paraId="046756F7"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70" w:type="dxa"/>
          </w:tcPr>
          <w:p w14:paraId="0B7FF270" w14:textId="77777777" w:rsidR="00E06E0F" w:rsidRPr="00050FA4" w:rsidRDefault="00E06E0F" w:rsidP="00A250C1">
            <w:pPr>
              <w:pStyle w:val="AAAAAAATEXXXX"/>
              <w:ind w:firstLine="0"/>
              <w:rPr>
                <w:sz w:val="18"/>
                <w:szCs w:val="18"/>
                <w:lang w:val="sq-AL"/>
              </w:rPr>
            </w:pPr>
            <w:r w:rsidRPr="00050FA4">
              <w:rPr>
                <w:sz w:val="18"/>
                <w:szCs w:val="18"/>
                <w:lang w:val="sq-AL"/>
              </w:rPr>
              <w:t>33333</w:t>
            </w:r>
          </w:p>
        </w:tc>
        <w:tc>
          <w:tcPr>
            <w:tcW w:w="1071" w:type="dxa"/>
          </w:tcPr>
          <w:p w14:paraId="468468B6"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60B1E688"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1" w:type="dxa"/>
          </w:tcPr>
          <w:p w14:paraId="23E5D623"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4354B151" w14:textId="77777777" w:rsidR="00E06E0F" w:rsidRPr="00050FA4" w:rsidRDefault="00E06E0F" w:rsidP="00A250C1">
            <w:pPr>
              <w:pStyle w:val="AAAAAAATEXXXX"/>
              <w:ind w:firstLine="0"/>
              <w:rPr>
                <w:sz w:val="18"/>
                <w:szCs w:val="18"/>
                <w:lang w:val="sq-AL"/>
              </w:rPr>
            </w:pPr>
            <w:r w:rsidRPr="00050FA4">
              <w:rPr>
                <w:sz w:val="18"/>
                <w:szCs w:val="18"/>
                <w:lang w:val="sq-AL"/>
              </w:rPr>
              <w:t>2500000</w:t>
            </w:r>
          </w:p>
        </w:tc>
        <w:tc>
          <w:tcPr>
            <w:tcW w:w="1071" w:type="dxa"/>
          </w:tcPr>
          <w:p w14:paraId="23233789"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70" w:type="dxa"/>
          </w:tcPr>
          <w:p w14:paraId="191644B6"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638" w:type="dxa"/>
          </w:tcPr>
          <w:p w14:paraId="0656A79A" w14:textId="77777777" w:rsidR="00E06E0F" w:rsidRPr="00050FA4" w:rsidRDefault="00E06E0F" w:rsidP="00A250C1">
            <w:pPr>
              <w:pStyle w:val="AAAAAAATEXXXX"/>
              <w:ind w:firstLine="0"/>
              <w:rPr>
                <w:sz w:val="18"/>
                <w:szCs w:val="18"/>
                <w:lang w:val="sq-AL"/>
              </w:rPr>
            </w:pPr>
            <w:r w:rsidRPr="00050FA4">
              <w:rPr>
                <w:sz w:val="18"/>
                <w:szCs w:val="18"/>
                <w:lang w:val="sq-AL"/>
              </w:rPr>
              <w:t>2533333</w:t>
            </w:r>
          </w:p>
        </w:tc>
      </w:tr>
    </w:tbl>
    <w:p w14:paraId="5472F9F7"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724"/>
        <w:gridCol w:w="947"/>
        <w:gridCol w:w="1011"/>
        <w:gridCol w:w="1030"/>
        <w:gridCol w:w="803"/>
        <w:gridCol w:w="1014"/>
        <w:gridCol w:w="1180"/>
        <w:gridCol w:w="757"/>
        <w:gridCol w:w="1735"/>
      </w:tblGrid>
      <w:tr w:rsidR="00FA29AB" w:rsidRPr="00050FA4" w14:paraId="59ACE245" w14:textId="77777777" w:rsidTr="00D825ED">
        <w:trPr>
          <w:jc w:val="center"/>
        </w:trPr>
        <w:tc>
          <w:tcPr>
            <w:tcW w:w="10201" w:type="dxa"/>
            <w:gridSpan w:val="9"/>
            <w:shd w:val="clear" w:color="auto" w:fill="E5DFEC" w:themeFill="accent4" w:themeFillTint="33"/>
          </w:tcPr>
          <w:p w14:paraId="59EC4F59" w14:textId="5334F0ED"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12:</w:t>
            </w:r>
            <w:r w:rsidR="000B0C45" w:rsidRPr="00050FA4">
              <w:rPr>
                <w:b/>
                <w:sz w:val="18"/>
                <w:szCs w:val="18"/>
                <w:lang w:val="sq-AL"/>
              </w:rPr>
              <w:t xml:space="preserve"> </w:t>
            </w:r>
            <w:r w:rsidR="00461CA0" w:rsidRPr="00050FA4">
              <w:rPr>
                <w:b/>
                <w:bCs/>
                <w:sz w:val="18"/>
                <w:szCs w:val="18"/>
                <w:lang w:val="sq-AL"/>
              </w:rPr>
              <w:t>Thellimi i integrimit ekonomik</w:t>
            </w:r>
          </w:p>
        </w:tc>
      </w:tr>
      <w:tr w:rsidR="00FA29AB" w:rsidRPr="00050FA4" w14:paraId="3FE70FCF" w14:textId="77777777" w:rsidTr="00D825ED">
        <w:trPr>
          <w:jc w:val="center"/>
        </w:trPr>
        <w:tc>
          <w:tcPr>
            <w:tcW w:w="1736" w:type="dxa"/>
            <w:vAlign w:val="center"/>
          </w:tcPr>
          <w:p w14:paraId="58716235" w14:textId="09CCBE6F" w:rsidR="00E06E0F" w:rsidRPr="00050FA4" w:rsidRDefault="005E44FE" w:rsidP="000A2731">
            <w:pPr>
              <w:pStyle w:val="AAAAAAATEXXXX"/>
              <w:ind w:firstLine="0"/>
              <w:jc w:val="center"/>
              <w:rPr>
                <w:b/>
                <w:sz w:val="18"/>
                <w:szCs w:val="18"/>
                <w:lang w:val="sq-AL"/>
              </w:rPr>
            </w:pPr>
            <w:r w:rsidRPr="00050FA4">
              <w:rPr>
                <w:b/>
                <w:sz w:val="18"/>
                <w:szCs w:val="18"/>
                <w:lang w:val="sq-AL"/>
              </w:rPr>
              <w:t>Viti</w:t>
            </w:r>
          </w:p>
        </w:tc>
        <w:tc>
          <w:tcPr>
            <w:tcW w:w="948" w:type="dxa"/>
            <w:vAlign w:val="center"/>
          </w:tcPr>
          <w:p w14:paraId="10D16FBC" w14:textId="0DD1742B" w:rsidR="00E06E0F" w:rsidRPr="00050FA4" w:rsidRDefault="005E44FE" w:rsidP="000A2731">
            <w:pPr>
              <w:pStyle w:val="AAAAAAATEXXXX"/>
              <w:ind w:firstLine="0"/>
              <w:jc w:val="center"/>
              <w:rPr>
                <w:b/>
                <w:sz w:val="18"/>
                <w:szCs w:val="18"/>
                <w:lang w:val="sq-AL"/>
              </w:rPr>
            </w:pPr>
            <w:r w:rsidRPr="00050FA4">
              <w:rPr>
                <w:b/>
                <w:sz w:val="18"/>
                <w:szCs w:val="18"/>
                <w:lang w:val="sq-AL"/>
              </w:rPr>
              <w:t>Buxheti qendror</w:t>
            </w:r>
          </w:p>
        </w:tc>
        <w:tc>
          <w:tcPr>
            <w:tcW w:w="1013" w:type="dxa"/>
            <w:vAlign w:val="center"/>
          </w:tcPr>
          <w:p w14:paraId="4DB84907" w14:textId="2766FD92" w:rsidR="00E06E0F" w:rsidRPr="00050FA4" w:rsidRDefault="004D1F24" w:rsidP="000A2731">
            <w:pPr>
              <w:pStyle w:val="AAAAAAATEXXXX"/>
              <w:ind w:firstLine="0"/>
              <w:jc w:val="center"/>
              <w:rPr>
                <w:b/>
                <w:sz w:val="18"/>
                <w:szCs w:val="18"/>
                <w:lang w:val="sq-AL"/>
              </w:rPr>
            </w:pPr>
            <w:r w:rsidRPr="00050FA4">
              <w:rPr>
                <w:b/>
                <w:sz w:val="18"/>
                <w:szCs w:val="18"/>
                <w:lang w:val="sq-AL"/>
              </w:rPr>
              <w:t>Buxheti vendor</w:t>
            </w:r>
          </w:p>
        </w:tc>
        <w:tc>
          <w:tcPr>
            <w:tcW w:w="1002" w:type="dxa"/>
            <w:vAlign w:val="center"/>
          </w:tcPr>
          <w:p w14:paraId="31D66131" w14:textId="5439DFD2" w:rsidR="00E06E0F" w:rsidRPr="00050FA4" w:rsidRDefault="005E44FE" w:rsidP="000A2731">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803" w:type="dxa"/>
            <w:vAlign w:val="center"/>
          </w:tcPr>
          <w:p w14:paraId="085B71DE" w14:textId="52B180B9" w:rsidR="00E06E0F" w:rsidRPr="00050FA4" w:rsidRDefault="005E44FE" w:rsidP="000A2731">
            <w:pPr>
              <w:pStyle w:val="AAAAAAATEXXXX"/>
              <w:ind w:firstLine="0"/>
              <w:jc w:val="center"/>
              <w:rPr>
                <w:b/>
                <w:sz w:val="18"/>
                <w:szCs w:val="18"/>
                <w:lang w:val="sq-AL"/>
              </w:rPr>
            </w:pPr>
            <w:r w:rsidRPr="00050FA4">
              <w:rPr>
                <w:b/>
                <w:sz w:val="18"/>
                <w:szCs w:val="18"/>
                <w:lang w:val="sq-AL"/>
              </w:rPr>
              <w:t>Fondet IPA</w:t>
            </w:r>
          </w:p>
        </w:tc>
        <w:tc>
          <w:tcPr>
            <w:tcW w:w="1015" w:type="dxa"/>
            <w:vAlign w:val="center"/>
          </w:tcPr>
          <w:p w14:paraId="372BF5B1" w14:textId="27E7C210" w:rsidR="00E06E0F" w:rsidRPr="00050FA4" w:rsidRDefault="005E44FE" w:rsidP="000A2731">
            <w:pPr>
              <w:pStyle w:val="AAAAAAATEXXXX"/>
              <w:ind w:firstLine="0"/>
              <w:jc w:val="center"/>
              <w:rPr>
                <w:b/>
                <w:sz w:val="18"/>
                <w:szCs w:val="18"/>
                <w:lang w:val="sq-AL"/>
              </w:rPr>
            </w:pPr>
            <w:r w:rsidRPr="00050FA4">
              <w:rPr>
                <w:b/>
                <w:sz w:val="18"/>
                <w:szCs w:val="18"/>
                <w:lang w:val="sq-AL"/>
              </w:rPr>
              <w:t>Dhurime të tjera</w:t>
            </w:r>
          </w:p>
        </w:tc>
        <w:tc>
          <w:tcPr>
            <w:tcW w:w="1182" w:type="dxa"/>
            <w:vAlign w:val="center"/>
          </w:tcPr>
          <w:p w14:paraId="2C7D48F1" w14:textId="0EE0ACC5" w:rsidR="00E06E0F" w:rsidRPr="00050FA4" w:rsidRDefault="005E44FE" w:rsidP="000A2731">
            <w:pPr>
              <w:pStyle w:val="AAAAAAATEXXXX"/>
              <w:ind w:firstLine="0"/>
              <w:jc w:val="center"/>
              <w:rPr>
                <w:b/>
                <w:sz w:val="18"/>
                <w:szCs w:val="18"/>
                <w:lang w:val="sq-AL"/>
              </w:rPr>
            </w:pPr>
            <w:r w:rsidRPr="00050FA4">
              <w:rPr>
                <w:b/>
                <w:sz w:val="18"/>
                <w:szCs w:val="18"/>
                <w:lang w:val="sq-AL"/>
              </w:rPr>
              <w:t>Hua projektesh</w:t>
            </w:r>
          </w:p>
        </w:tc>
        <w:tc>
          <w:tcPr>
            <w:tcW w:w="759" w:type="dxa"/>
            <w:vAlign w:val="center"/>
          </w:tcPr>
          <w:p w14:paraId="5D63FD85" w14:textId="77777777" w:rsidR="00E06E0F" w:rsidRPr="00050FA4" w:rsidRDefault="00E06E0F" w:rsidP="000A2731">
            <w:pPr>
              <w:pStyle w:val="AAAAAAATEXXXX"/>
              <w:ind w:firstLine="0"/>
              <w:jc w:val="center"/>
              <w:rPr>
                <w:b/>
                <w:sz w:val="18"/>
                <w:szCs w:val="18"/>
                <w:lang w:val="sq-AL"/>
              </w:rPr>
            </w:pPr>
            <w:r w:rsidRPr="00050FA4">
              <w:rPr>
                <w:b/>
                <w:sz w:val="18"/>
                <w:szCs w:val="18"/>
                <w:lang w:val="sq-AL"/>
              </w:rPr>
              <w:t>TBD</w:t>
            </w:r>
          </w:p>
        </w:tc>
        <w:tc>
          <w:tcPr>
            <w:tcW w:w="1743" w:type="dxa"/>
            <w:vAlign w:val="center"/>
          </w:tcPr>
          <w:p w14:paraId="6001CB74" w14:textId="3FF8D896" w:rsidR="00E06E0F" w:rsidRPr="00050FA4" w:rsidRDefault="005E44FE" w:rsidP="000A2731">
            <w:pPr>
              <w:pStyle w:val="AAAAAAATEXXXX"/>
              <w:ind w:firstLine="0"/>
              <w:jc w:val="center"/>
              <w:rPr>
                <w:b/>
                <w:sz w:val="18"/>
                <w:szCs w:val="18"/>
                <w:lang w:val="sq-AL"/>
              </w:rPr>
            </w:pPr>
            <w:r w:rsidRPr="00050FA4">
              <w:rPr>
                <w:b/>
                <w:sz w:val="18"/>
                <w:szCs w:val="18"/>
                <w:lang w:val="sq-AL"/>
              </w:rPr>
              <w:t>Totali</w:t>
            </w:r>
          </w:p>
        </w:tc>
      </w:tr>
      <w:tr w:rsidR="00FA29AB" w:rsidRPr="00050FA4" w14:paraId="7236E88D" w14:textId="77777777" w:rsidTr="00D825ED">
        <w:trPr>
          <w:jc w:val="center"/>
        </w:trPr>
        <w:tc>
          <w:tcPr>
            <w:tcW w:w="10201" w:type="dxa"/>
            <w:gridSpan w:val="9"/>
          </w:tcPr>
          <w:p w14:paraId="1E565CE8" w14:textId="1C1EC184" w:rsidR="00E06E0F" w:rsidRPr="00050FA4" w:rsidRDefault="00E06E0F" w:rsidP="00A250C1">
            <w:pPr>
              <w:pStyle w:val="AAAAAAATEXXXX"/>
              <w:ind w:firstLine="0"/>
              <w:rPr>
                <w:sz w:val="18"/>
                <w:szCs w:val="18"/>
                <w:lang w:val="sq-AL"/>
              </w:rPr>
            </w:pPr>
            <w:r w:rsidRPr="00050FA4">
              <w:rPr>
                <w:sz w:val="18"/>
                <w:szCs w:val="18"/>
                <w:lang w:val="sq-AL"/>
              </w:rPr>
              <w:t>Implementation</w:t>
            </w:r>
            <w:r w:rsidR="000B0C45" w:rsidRPr="00050FA4">
              <w:rPr>
                <w:sz w:val="18"/>
                <w:szCs w:val="18"/>
                <w:lang w:val="sq-AL"/>
              </w:rPr>
              <w:t xml:space="preserve"> </w:t>
            </w:r>
            <w:r w:rsidRPr="00050FA4">
              <w:rPr>
                <w:sz w:val="18"/>
                <w:szCs w:val="18"/>
                <w:lang w:val="sq-AL"/>
              </w:rPr>
              <w:t>of</w:t>
            </w:r>
            <w:r w:rsidR="000B0C45" w:rsidRPr="00050FA4">
              <w:rPr>
                <w:sz w:val="18"/>
                <w:szCs w:val="18"/>
                <w:lang w:val="sq-AL"/>
              </w:rPr>
              <w:t xml:space="preserve"> </w:t>
            </w:r>
            <w:r w:rsidRPr="00050FA4">
              <w:rPr>
                <w:sz w:val="18"/>
                <w:szCs w:val="18"/>
                <w:lang w:val="sq-AL"/>
              </w:rPr>
              <w:t>National</w:t>
            </w:r>
            <w:r w:rsidR="000B0C45" w:rsidRPr="00050FA4">
              <w:rPr>
                <w:sz w:val="18"/>
                <w:szCs w:val="18"/>
                <w:lang w:val="sq-AL"/>
              </w:rPr>
              <w:t xml:space="preserve"> </w:t>
            </w:r>
            <w:r w:rsidRPr="00050FA4">
              <w:rPr>
                <w:sz w:val="18"/>
                <w:szCs w:val="18"/>
                <w:lang w:val="sq-AL"/>
              </w:rPr>
              <w:t>Single</w:t>
            </w:r>
            <w:r w:rsidR="000B0C45" w:rsidRPr="00050FA4">
              <w:rPr>
                <w:sz w:val="18"/>
                <w:szCs w:val="18"/>
                <w:lang w:val="sq-AL"/>
              </w:rPr>
              <w:t xml:space="preserve"> </w:t>
            </w:r>
            <w:r w:rsidRPr="00050FA4">
              <w:rPr>
                <w:sz w:val="18"/>
                <w:szCs w:val="18"/>
                <w:lang w:val="sq-AL"/>
              </w:rPr>
              <w:t>Window</w:t>
            </w:r>
            <w:r w:rsidRPr="00050FA4">
              <w:rPr>
                <w:rStyle w:val="FootnoteReference"/>
                <w:rFonts w:cstheme="majorBidi"/>
                <w:color w:val="0D0D0D" w:themeColor="text1" w:themeTint="F2"/>
                <w:sz w:val="18"/>
                <w:szCs w:val="18"/>
                <w:lang w:val="sq-AL"/>
              </w:rPr>
              <w:footnoteReference w:id="43"/>
            </w:r>
          </w:p>
        </w:tc>
      </w:tr>
      <w:tr w:rsidR="00FA29AB" w:rsidRPr="00050FA4" w14:paraId="2A9C15A6" w14:textId="77777777" w:rsidTr="00D825ED">
        <w:trPr>
          <w:jc w:val="center"/>
        </w:trPr>
        <w:tc>
          <w:tcPr>
            <w:tcW w:w="1736" w:type="dxa"/>
          </w:tcPr>
          <w:p w14:paraId="3F8452DF" w14:textId="764F3BA0" w:rsidR="00E06E0F" w:rsidRPr="00050FA4" w:rsidRDefault="00E06E0F" w:rsidP="00A250C1">
            <w:pPr>
              <w:pStyle w:val="AAAAAAATEXXXX"/>
              <w:ind w:firstLine="0"/>
              <w:rPr>
                <w:sz w:val="18"/>
                <w:szCs w:val="18"/>
                <w:lang w:val="sq-AL"/>
              </w:rPr>
            </w:pPr>
            <w:r w:rsidRPr="00050FA4">
              <w:rPr>
                <w:sz w:val="18"/>
                <w:szCs w:val="18"/>
                <w:lang w:val="sq-AL"/>
              </w:rPr>
              <w:t>2022</w:t>
            </w:r>
            <w:r w:rsidR="000B0C45" w:rsidRPr="00050FA4">
              <w:rPr>
                <w:sz w:val="18"/>
                <w:szCs w:val="18"/>
                <w:lang w:val="sq-AL"/>
              </w:rPr>
              <w:t xml:space="preserve"> </w:t>
            </w:r>
            <w:r w:rsidRPr="00050FA4">
              <w:rPr>
                <w:sz w:val="18"/>
                <w:szCs w:val="18"/>
                <w:lang w:val="sq-AL"/>
              </w:rPr>
              <w:t>-</w:t>
            </w:r>
            <w:r w:rsidR="000B0C45" w:rsidRPr="00050FA4">
              <w:rPr>
                <w:sz w:val="18"/>
                <w:szCs w:val="18"/>
                <w:lang w:val="sq-AL"/>
              </w:rPr>
              <w:t xml:space="preserve"> </w:t>
            </w:r>
            <w:r w:rsidRPr="00050FA4">
              <w:rPr>
                <w:sz w:val="18"/>
                <w:szCs w:val="18"/>
                <w:lang w:val="sq-AL"/>
              </w:rPr>
              <w:t>2024</w:t>
            </w:r>
          </w:p>
        </w:tc>
        <w:tc>
          <w:tcPr>
            <w:tcW w:w="948" w:type="dxa"/>
          </w:tcPr>
          <w:p w14:paraId="526C1358"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13" w:type="dxa"/>
          </w:tcPr>
          <w:p w14:paraId="172F0B1C"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02" w:type="dxa"/>
          </w:tcPr>
          <w:p w14:paraId="02C9F97B"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803" w:type="dxa"/>
          </w:tcPr>
          <w:p w14:paraId="1974A207"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15" w:type="dxa"/>
          </w:tcPr>
          <w:p w14:paraId="2A789ED1"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182" w:type="dxa"/>
          </w:tcPr>
          <w:p w14:paraId="70719236" w14:textId="77777777" w:rsidR="00E06E0F" w:rsidRPr="00050FA4" w:rsidRDefault="00E06E0F" w:rsidP="00A250C1">
            <w:pPr>
              <w:pStyle w:val="AAAAAAATEXXXX"/>
              <w:ind w:firstLine="0"/>
              <w:rPr>
                <w:sz w:val="18"/>
                <w:szCs w:val="18"/>
                <w:lang w:val="sq-AL"/>
              </w:rPr>
            </w:pPr>
            <w:r w:rsidRPr="00050FA4">
              <w:rPr>
                <w:sz w:val="18"/>
                <w:szCs w:val="18"/>
                <w:lang w:val="sq-AL"/>
              </w:rPr>
              <w:t>3,562,500</w:t>
            </w:r>
          </w:p>
        </w:tc>
        <w:tc>
          <w:tcPr>
            <w:tcW w:w="759" w:type="dxa"/>
          </w:tcPr>
          <w:p w14:paraId="50031D19"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743" w:type="dxa"/>
          </w:tcPr>
          <w:p w14:paraId="22802F1C" w14:textId="77777777" w:rsidR="00E06E0F" w:rsidRPr="00050FA4" w:rsidRDefault="00E06E0F" w:rsidP="00A250C1">
            <w:pPr>
              <w:pStyle w:val="AAAAAAATEXXXX"/>
              <w:ind w:firstLine="0"/>
              <w:rPr>
                <w:sz w:val="18"/>
                <w:szCs w:val="18"/>
                <w:lang w:val="sq-AL"/>
              </w:rPr>
            </w:pPr>
            <w:r w:rsidRPr="00050FA4">
              <w:rPr>
                <w:sz w:val="18"/>
                <w:szCs w:val="18"/>
                <w:lang w:val="sq-AL"/>
              </w:rPr>
              <w:t>3,562,500</w:t>
            </w:r>
          </w:p>
        </w:tc>
      </w:tr>
      <w:tr w:rsidR="00FA29AB" w:rsidRPr="00050FA4" w14:paraId="672968E5" w14:textId="77777777" w:rsidTr="00D825ED">
        <w:trPr>
          <w:jc w:val="center"/>
        </w:trPr>
        <w:tc>
          <w:tcPr>
            <w:tcW w:w="10201" w:type="dxa"/>
            <w:gridSpan w:val="9"/>
          </w:tcPr>
          <w:p w14:paraId="40F737ED" w14:textId="1C39F14C" w:rsidR="00E06E0F" w:rsidRPr="00050FA4" w:rsidRDefault="00E06E0F" w:rsidP="00A250C1">
            <w:pPr>
              <w:pStyle w:val="AAAAAAATEXXXX"/>
              <w:ind w:firstLine="0"/>
              <w:rPr>
                <w:sz w:val="18"/>
                <w:szCs w:val="18"/>
                <w:lang w:val="sq-AL"/>
              </w:rPr>
            </w:pPr>
            <w:r w:rsidRPr="00050FA4">
              <w:rPr>
                <w:sz w:val="18"/>
                <w:szCs w:val="18"/>
                <w:lang w:val="sq-AL"/>
              </w:rPr>
              <w:t>Implementation</w:t>
            </w:r>
            <w:r w:rsidR="000B0C45" w:rsidRPr="00050FA4">
              <w:rPr>
                <w:sz w:val="18"/>
                <w:szCs w:val="18"/>
                <w:lang w:val="sq-AL"/>
              </w:rPr>
              <w:t xml:space="preserve"> </w:t>
            </w:r>
            <w:r w:rsidRPr="00050FA4">
              <w:rPr>
                <w:sz w:val="18"/>
                <w:szCs w:val="18"/>
                <w:lang w:val="sq-AL"/>
              </w:rPr>
              <w:t>of</w:t>
            </w:r>
            <w:r w:rsidR="000B0C45" w:rsidRPr="00050FA4">
              <w:rPr>
                <w:sz w:val="18"/>
                <w:szCs w:val="18"/>
                <w:lang w:val="sq-AL"/>
              </w:rPr>
              <w:t xml:space="preserve"> </w:t>
            </w:r>
            <w:r w:rsidRPr="00050FA4">
              <w:rPr>
                <w:sz w:val="18"/>
                <w:szCs w:val="18"/>
                <w:lang w:val="sq-AL"/>
              </w:rPr>
              <w:t>NCTS</w:t>
            </w:r>
            <w:r w:rsidRPr="00050FA4">
              <w:rPr>
                <w:rStyle w:val="FootnoteReference"/>
                <w:rFonts w:cstheme="majorBidi"/>
                <w:color w:val="0D0D0D" w:themeColor="text1" w:themeTint="F2"/>
                <w:sz w:val="18"/>
                <w:szCs w:val="18"/>
                <w:lang w:val="sq-AL"/>
              </w:rPr>
              <w:footnoteReference w:id="44"/>
            </w:r>
          </w:p>
        </w:tc>
      </w:tr>
      <w:tr w:rsidR="00FA29AB" w:rsidRPr="00050FA4" w14:paraId="683DA3A8" w14:textId="77777777" w:rsidTr="00D825ED">
        <w:trPr>
          <w:jc w:val="center"/>
        </w:trPr>
        <w:tc>
          <w:tcPr>
            <w:tcW w:w="1736" w:type="dxa"/>
          </w:tcPr>
          <w:p w14:paraId="3AAA0550" w14:textId="4010E866" w:rsidR="00E06E0F" w:rsidRPr="00050FA4" w:rsidRDefault="00E06E0F" w:rsidP="00A250C1">
            <w:pPr>
              <w:pStyle w:val="AAAAAAATEXXXX"/>
              <w:ind w:firstLine="0"/>
              <w:rPr>
                <w:sz w:val="18"/>
                <w:szCs w:val="18"/>
                <w:lang w:val="sq-AL"/>
              </w:rPr>
            </w:pPr>
            <w:r w:rsidRPr="00050FA4">
              <w:rPr>
                <w:sz w:val="18"/>
                <w:szCs w:val="18"/>
                <w:lang w:val="sq-AL"/>
              </w:rPr>
              <w:t>2022</w:t>
            </w:r>
            <w:r w:rsidR="000B0C45" w:rsidRPr="00050FA4">
              <w:rPr>
                <w:sz w:val="18"/>
                <w:szCs w:val="18"/>
                <w:lang w:val="sq-AL"/>
              </w:rPr>
              <w:t xml:space="preserve"> </w:t>
            </w:r>
            <w:r w:rsidRPr="00050FA4">
              <w:rPr>
                <w:sz w:val="18"/>
                <w:szCs w:val="18"/>
                <w:lang w:val="sq-AL"/>
              </w:rPr>
              <w:t>-</w:t>
            </w:r>
            <w:r w:rsidR="000B0C45" w:rsidRPr="00050FA4">
              <w:rPr>
                <w:sz w:val="18"/>
                <w:szCs w:val="18"/>
                <w:lang w:val="sq-AL"/>
              </w:rPr>
              <w:t xml:space="preserve"> </w:t>
            </w:r>
            <w:r w:rsidRPr="00050FA4">
              <w:rPr>
                <w:sz w:val="18"/>
                <w:szCs w:val="18"/>
                <w:lang w:val="sq-AL"/>
              </w:rPr>
              <w:t>2024</w:t>
            </w:r>
          </w:p>
        </w:tc>
        <w:tc>
          <w:tcPr>
            <w:tcW w:w="948" w:type="dxa"/>
          </w:tcPr>
          <w:p w14:paraId="279AAC06"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13" w:type="dxa"/>
          </w:tcPr>
          <w:p w14:paraId="73C63379"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02" w:type="dxa"/>
          </w:tcPr>
          <w:p w14:paraId="15B1AC3C"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803" w:type="dxa"/>
          </w:tcPr>
          <w:p w14:paraId="5C293643"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15" w:type="dxa"/>
          </w:tcPr>
          <w:p w14:paraId="34139895"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182" w:type="dxa"/>
          </w:tcPr>
          <w:p w14:paraId="6ED169B6" w14:textId="77777777" w:rsidR="00E06E0F" w:rsidRPr="00050FA4" w:rsidRDefault="00E06E0F" w:rsidP="00A250C1">
            <w:pPr>
              <w:pStyle w:val="AAAAAAATEXXXX"/>
              <w:ind w:firstLine="0"/>
              <w:rPr>
                <w:sz w:val="18"/>
                <w:szCs w:val="18"/>
                <w:lang w:val="sq-AL"/>
              </w:rPr>
            </w:pPr>
            <w:r w:rsidRPr="00050FA4">
              <w:rPr>
                <w:sz w:val="18"/>
                <w:szCs w:val="18"/>
                <w:lang w:val="sq-AL"/>
              </w:rPr>
              <w:t>1,812,500</w:t>
            </w:r>
          </w:p>
        </w:tc>
        <w:tc>
          <w:tcPr>
            <w:tcW w:w="759" w:type="dxa"/>
          </w:tcPr>
          <w:p w14:paraId="72D1664C"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743" w:type="dxa"/>
          </w:tcPr>
          <w:p w14:paraId="664E6320" w14:textId="77777777" w:rsidR="00E06E0F" w:rsidRPr="00050FA4" w:rsidRDefault="00E06E0F" w:rsidP="00A250C1">
            <w:pPr>
              <w:pStyle w:val="AAAAAAATEXXXX"/>
              <w:ind w:firstLine="0"/>
              <w:rPr>
                <w:sz w:val="18"/>
                <w:szCs w:val="18"/>
                <w:lang w:val="sq-AL"/>
              </w:rPr>
            </w:pPr>
            <w:r w:rsidRPr="00050FA4">
              <w:rPr>
                <w:sz w:val="18"/>
                <w:szCs w:val="18"/>
                <w:lang w:val="sq-AL"/>
              </w:rPr>
              <w:t>1,812,500</w:t>
            </w:r>
          </w:p>
        </w:tc>
      </w:tr>
      <w:tr w:rsidR="00FA29AB" w:rsidRPr="00050FA4" w14:paraId="14E8F6D0" w14:textId="77777777" w:rsidTr="00D825ED">
        <w:trPr>
          <w:jc w:val="center"/>
        </w:trPr>
        <w:tc>
          <w:tcPr>
            <w:tcW w:w="10201" w:type="dxa"/>
            <w:gridSpan w:val="9"/>
          </w:tcPr>
          <w:p w14:paraId="1FBC467D" w14:textId="061A6809" w:rsidR="00E06E0F" w:rsidRPr="00050FA4" w:rsidRDefault="00E06E0F" w:rsidP="00A250C1">
            <w:pPr>
              <w:pStyle w:val="AAAAAAATEXXXX"/>
              <w:ind w:firstLine="0"/>
              <w:rPr>
                <w:sz w:val="18"/>
                <w:szCs w:val="18"/>
                <w:lang w:val="sq-AL"/>
              </w:rPr>
            </w:pPr>
            <w:r w:rsidRPr="00050FA4">
              <w:rPr>
                <w:sz w:val="18"/>
                <w:szCs w:val="18"/>
                <w:lang w:val="sq-AL"/>
              </w:rPr>
              <w:t>Implementation</w:t>
            </w:r>
            <w:r w:rsidR="000B0C45" w:rsidRPr="00050FA4">
              <w:rPr>
                <w:sz w:val="18"/>
                <w:szCs w:val="18"/>
                <w:lang w:val="sq-AL"/>
              </w:rPr>
              <w:t xml:space="preserve"> </w:t>
            </w:r>
            <w:r w:rsidRPr="00050FA4">
              <w:rPr>
                <w:sz w:val="18"/>
                <w:szCs w:val="18"/>
                <w:lang w:val="sq-AL"/>
              </w:rPr>
              <w:t>of</w:t>
            </w:r>
            <w:r w:rsidR="000B0C45" w:rsidRPr="00050FA4">
              <w:rPr>
                <w:sz w:val="18"/>
                <w:szCs w:val="18"/>
                <w:lang w:val="sq-AL"/>
              </w:rPr>
              <w:t xml:space="preserve"> </w:t>
            </w:r>
            <w:r w:rsidRPr="00050FA4">
              <w:rPr>
                <w:sz w:val="18"/>
                <w:szCs w:val="18"/>
                <w:lang w:val="sq-AL"/>
              </w:rPr>
              <w:t>Single</w:t>
            </w:r>
            <w:r w:rsidR="000B0C45" w:rsidRPr="00050FA4">
              <w:rPr>
                <w:sz w:val="18"/>
                <w:szCs w:val="18"/>
                <w:lang w:val="sq-AL"/>
              </w:rPr>
              <w:t xml:space="preserve"> </w:t>
            </w:r>
            <w:r w:rsidRPr="00050FA4">
              <w:rPr>
                <w:sz w:val="18"/>
                <w:szCs w:val="18"/>
                <w:lang w:val="sq-AL"/>
              </w:rPr>
              <w:t>Window</w:t>
            </w:r>
            <w:r w:rsidR="000B0C45" w:rsidRPr="00050FA4">
              <w:rPr>
                <w:sz w:val="18"/>
                <w:szCs w:val="18"/>
                <w:lang w:val="sq-AL"/>
              </w:rPr>
              <w:t xml:space="preserve"> </w:t>
            </w:r>
            <w:r w:rsidRPr="00050FA4">
              <w:rPr>
                <w:sz w:val="18"/>
                <w:szCs w:val="18"/>
                <w:lang w:val="sq-AL"/>
              </w:rPr>
              <w:t>and</w:t>
            </w:r>
            <w:r w:rsidR="000B0C45" w:rsidRPr="00050FA4">
              <w:rPr>
                <w:sz w:val="18"/>
                <w:szCs w:val="18"/>
                <w:lang w:val="sq-AL"/>
              </w:rPr>
              <w:t xml:space="preserve"> </w:t>
            </w:r>
            <w:r w:rsidRPr="00050FA4">
              <w:rPr>
                <w:sz w:val="18"/>
                <w:szCs w:val="18"/>
                <w:lang w:val="sq-AL"/>
              </w:rPr>
              <w:t>NCTS</w:t>
            </w:r>
            <w:r w:rsidRPr="00050FA4">
              <w:rPr>
                <w:rStyle w:val="FootnoteReference"/>
                <w:rFonts w:cstheme="majorBidi"/>
                <w:color w:val="0D0D0D" w:themeColor="text1" w:themeTint="F2"/>
                <w:sz w:val="18"/>
                <w:szCs w:val="18"/>
                <w:lang w:val="sq-AL"/>
              </w:rPr>
              <w:footnoteReference w:id="45"/>
            </w:r>
          </w:p>
        </w:tc>
      </w:tr>
      <w:tr w:rsidR="00FA29AB" w:rsidRPr="00050FA4" w14:paraId="57292960" w14:textId="77777777" w:rsidTr="00D825ED">
        <w:trPr>
          <w:jc w:val="center"/>
        </w:trPr>
        <w:tc>
          <w:tcPr>
            <w:tcW w:w="1736" w:type="dxa"/>
          </w:tcPr>
          <w:p w14:paraId="48515564" w14:textId="7D46EC5C" w:rsidR="00E06E0F" w:rsidRPr="00050FA4" w:rsidRDefault="00E06E0F" w:rsidP="00A250C1">
            <w:pPr>
              <w:pStyle w:val="AAAAAAATEXXXX"/>
              <w:ind w:firstLine="0"/>
              <w:rPr>
                <w:sz w:val="18"/>
                <w:szCs w:val="18"/>
                <w:lang w:val="sq-AL"/>
              </w:rPr>
            </w:pPr>
            <w:r w:rsidRPr="00050FA4">
              <w:rPr>
                <w:sz w:val="18"/>
                <w:szCs w:val="18"/>
                <w:lang w:val="sq-AL"/>
              </w:rPr>
              <w:t>2022</w:t>
            </w:r>
            <w:r w:rsidR="000B0C45" w:rsidRPr="00050FA4">
              <w:rPr>
                <w:sz w:val="18"/>
                <w:szCs w:val="18"/>
                <w:lang w:val="sq-AL"/>
              </w:rPr>
              <w:t xml:space="preserve"> </w:t>
            </w:r>
            <w:r w:rsidRPr="00050FA4">
              <w:rPr>
                <w:sz w:val="18"/>
                <w:szCs w:val="18"/>
                <w:lang w:val="sq-AL"/>
              </w:rPr>
              <w:t>-</w:t>
            </w:r>
            <w:r w:rsidR="000B0C45" w:rsidRPr="00050FA4">
              <w:rPr>
                <w:sz w:val="18"/>
                <w:szCs w:val="18"/>
                <w:lang w:val="sq-AL"/>
              </w:rPr>
              <w:t xml:space="preserve"> </w:t>
            </w:r>
            <w:r w:rsidRPr="00050FA4">
              <w:rPr>
                <w:sz w:val="18"/>
                <w:szCs w:val="18"/>
                <w:lang w:val="sq-AL"/>
              </w:rPr>
              <w:t>2024</w:t>
            </w:r>
          </w:p>
        </w:tc>
        <w:tc>
          <w:tcPr>
            <w:tcW w:w="948" w:type="dxa"/>
          </w:tcPr>
          <w:p w14:paraId="7345B045"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13" w:type="dxa"/>
          </w:tcPr>
          <w:p w14:paraId="53884A31"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02" w:type="dxa"/>
          </w:tcPr>
          <w:p w14:paraId="2E930ED9"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803" w:type="dxa"/>
          </w:tcPr>
          <w:p w14:paraId="5AAD5487"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15" w:type="dxa"/>
          </w:tcPr>
          <w:p w14:paraId="469093A3" w14:textId="77777777" w:rsidR="00E06E0F" w:rsidRPr="00050FA4" w:rsidRDefault="00E06E0F" w:rsidP="00A250C1">
            <w:pPr>
              <w:pStyle w:val="AAAAAAATEXXXX"/>
              <w:ind w:firstLine="0"/>
              <w:rPr>
                <w:sz w:val="18"/>
                <w:szCs w:val="18"/>
                <w:lang w:val="sq-AL"/>
              </w:rPr>
            </w:pPr>
            <w:r w:rsidRPr="00050FA4">
              <w:rPr>
                <w:sz w:val="18"/>
                <w:szCs w:val="18"/>
                <w:lang w:val="sq-AL"/>
              </w:rPr>
              <w:t>218,750</w:t>
            </w:r>
            <w:r w:rsidRPr="00050FA4">
              <w:rPr>
                <w:rFonts w:ascii="Times New Roman" w:hAnsi="Times New Roman"/>
                <w:sz w:val="18"/>
                <w:szCs w:val="18"/>
                <w:lang w:val="sq-AL"/>
              </w:rPr>
              <w:t>‬</w:t>
            </w:r>
          </w:p>
        </w:tc>
        <w:tc>
          <w:tcPr>
            <w:tcW w:w="1182" w:type="dxa"/>
          </w:tcPr>
          <w:p w14:paraId="337CB0D4"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759" w:type="dxa"/>
          </w:tcPr>
          <w:p w14:paraId="51987BF9"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743" w:type="dxa"/>
          </w:tcPr>
          <w:p w14:paraId="61D8D9D2" w14:textId="77777777" w:rsidR="00E06E0F" w:rsidRPr="00050FA4" w:rsidRDefault="00E06E0F" w:rsidP="00A250C1">
            <w:pPr>
              <w:pStyle w:val="AAAAAAATEXXXX"/>
              <w:ind w:firstLine="0"/>
              <w:rPr>
                <w:sz w:val="18"/>
                <w:szCs w:val="18"/>
                <w:lang w:val="sq-AL"/>
              </w:rPr>
            </w:pPr>
            <w:r w:rsidRPr="00050FA4">
              <w:rPr>
                <w:sz w:val="18"/>
                <w:szCs w:val="18"/>
                <w:lang w:val="sq-AL"/>
              </w:rPr>
              <w:t>218,750</w:t>
            </w:r>
            <w:r w:rsidRPr="00050FA4">
              <w:rPr>
                <w:rFonts w:ascii="Times New Roman" w:hAnsi="Times New Roman"/>
                <w:sz w:val="18"/>
                <w:szCs w:val="18"/>
                <w:lang w:val="sq-AL"/>
              </w:rPr>
              <w:t>‬</w:t>
            </w:r>
          </w:p>
        </w:tc>
      </w:tr>
    </w:tbl>
    <w:p w14:paraId="61252AC7"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45"/>
        <w:gridCol w:w="1061"/>
        <w:gridCol w:w="1062"/>
        <w:gridCol w:w="1145"/>
        <w:gridCol w:w="1057"/>
        <w:gridCol w:w="1066"/>
        <w:gridCol w:w="1133"/>
        <w:gridCol w:w="1046"/>
        <w:gridCol w:w="1586"/>
      </w:tblGrid>
      <w:tr w:rsidR="00FA29AB" w:rsidRPr="00050FA4" w14:paraId="5FB12D53" w14:textId="77777777" w:rsidTr="00D825ED">
        <w:trPr>
          <w:jc w:val="center"/>
        </w:trPr>
        <w:tc>
          <w:tcPr>
            <w:tcW w:w="10201" w:type="dxa"/>
            <w:gridSpan w:val="9"/>
            <w:shd w:val="clear" w:color="auto" w:fill="E5DFEC" w:themeFill="accent4" w:themeFillTint="33"/>
          </w:tcPr>
          <w:p w14:paraId="69E70B80" w14:textId="74E88044"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13:</w:t>
            </w:r>
            <w:r w:rsidR="000B0C45" w:rsidRPr="00050FA4">
              <w:rPr>
                <w:b/>
                <w:sz w:val="18"/>
                <w:szCs w:val="18"/>
                <w:lang w:val="sq-AL"/>
              </w:rPr>
              <w:t xml:space="preserve"> </w:t>
            </w:r>
            <w:r w:rsidR="00461CA0" w:rsidRPr="00050FA4">
              <w:rPr>
                <w:b/>
                <w:sz w:val="18"/>
                <w:szCs w:val="18"/>
                <w:lang w:val="sq-AL"/>
              </w:rPr>
              <w:t>Liberalizimi i tregut të energjisë</w:t>
            </w:r>
            <w:r w:rsidR="00E06E0F" w:rsidRPr="00050FA4">
              <w:rPr>
                <w:rStyle w:val="FootnoteReference"/>
                <w:rFonts w:cstheme="majorBidi"/>
                <w:b/>
                <w:color w:val="0D0D0D" w:themeColor="text1" w:themeTint="F2"/>
                <w:sz w:val="18"/>
                <w:szCs w:val="18"/>
                <w:lang w:val="sq-AL"/>
              </w:rPr>
              <w:footnoteReference w:id="46"/>
            </w:r>
          </w:p>
        </w:tc>
      </w:tr>
      <w:tr w:rsidR="00FA29AB" w:rsidRPr="00050FA4" w14:paraId="559028A2" w14:textId="77777777" w:rsidTr="00D825ED">
        <w:trPr>
          <w:jc w:val="center"/>
        </w:trPr>
        <w:tc>
          <w:tcPr>
            <w:tcW w:w="1045" w:type="dxa"/>
            <w:vAlign w:val="center"/>
          </w:tcPr>
          <w:p w14:paraId="2B24C4B6" w14:textId="6950B1F9" w:rsidR="00E06E0F" w:rsidRPr="00050FA4" w:rsidRDefault="005E44FE" w:rsidP="005407AC">
            <w:pPr>
              <w:pStyle w:val="AAAAAAATEXXXX"/>
              <w:ind w:firstLine="0"/>
              <w:jc w:val="center"/>
              <w:rPr>
                <w:b/>
                <w:sz w:val="18"/>
                <w:szCs w:val="18"/>
                <w:lang w:val="sq-AL"/>
              </w:rPr>
            </w:pPr>
            <w:r w:rsidRPr="00050FA4">
              <w:rPr>
                <w:b/>
                <w:sz w:val="18"/>
                <w:szCs w:val="18"/>
                <w:lang w:val="sq-AL"/>
              </w:rPr>
              <w:t>Viti</w:t>
            </w:r>
          </w:p>
        </w:tc>
        <w:tc>
          <w:tcPr>
            <w:tcW w:w="1061" w:type="dxa"/>
            <w:vAlign w:val="center"/>
          </w:tcPr>
          <w:p w14:paraId="3C9B41C0" w14:textId="531EF8C9" w:rsidR="00E06E0F" w:rsidRPr="00050FA4" w:rsidRDefault="005E44FE" w:rsidP="005407AC">
            <w:pPr>
              <w:pStyle w:val="AAAAAAATEXXXX"/>
              <w:ind w:firstLine="0"/>
              <w:jc w:val="center"/>
              <w:rPr>
                <w:b/>
                <w:sz w:val="18"/>
                <w:szCs w:val="18"/>
                <w:lang w:val="sq-AL"/>
              </w:rPr>
            </w:pPr>
            <w:r w:rsidRPr="00050FA4">
              <w:rPr>
                <w:b/>
                <w:sz w:val="18"/>
                <w:szCs w:val="18"/>
                <w:lang w:val="sq-AL"/>
              </w:rPr>
              <w:t>Buxheti qendror</w:t>
            </w:r>
          </w:p>
        </w:tc>
        <w:tc>
          <w:tcPr>
            <w:tcW w:w="1062" w:type="dxa"/>
            <w:vAlign w:val="center"/>
          </w:tcPr>
          <w:p w14:paraId="2B362F1B" w14:textId="57DD39A1" w:rsidR="00E06E0F" w:rsidRPr="00050FA4" w:rsidRDefault="004D1F24" w:rsidP="005407AC">
            <w:pPr>
              <w:pStyle w:val="AAAAAAATEXXXX"/>
              <w:ind w:firstLine="0"/>
              <w:jc w:val="center"/>
              <w:rPr>
                <w:b/>
                <w:sz w:val="18"/>
                <w:szCs w:val="18"/>
                <w:lang w:val="sq-AL"/>
              </w:rPr>
            </w:pPr>
            <w:r w:rsidRPr="00050FA4">
              <w:rPr>
                <w:b/>
                <w:sz w:val="18"/>
                <w:szCs w:val="18"/>
                <w:lang w:val="sq-AL"/>
              </w:rPr>
              <w:t>Buxheti vendor</w:t>
            </w:r>
          </w:p>
        </w:tc>
        <w:tc>
          <w:tcPr>
            <w:tcW w:w="1145" w:type="dxa"/>
            <w:vAlign w:val="center"/>
          </w:tcPr>
          <w:p w14:paraId="58B9D5CE" w14:textId="4C1131A6" w:rsidR="00E06E0F" w:rsidRPr="00050FA4" w:rsidRDefault="005E44FE" w:rsidP="005407AC">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57" w:type="dxa"/>
            <w:vAlign w:val="center"/>
          </w:tcPr>
          <w:p w14:paraId="6C4C261C" w14:textId="7B4CD90F" w:rsidR="00E06E0F" w:rsidRPr="00050FA4" w:rsidRDefault="005E44FE" w:rsidP="005407AC">
            <w:pPr>
              <w:pStyle w:val="AAAAAAATEXXXX"/>
              <w:ind w:firstLine="0"/>
              <w:jc w:val="center"/>
              <w:rPr>
                <w:b/>
                <w:sz w:val="18"/>
                <w:szCs w:val="18"/>
                <w:lang w:val="sq-AL"/>
              </w:rPr>
            </w:pPr>
            <w:r w:rsidRPr="00050FA4">
              <w:rPr>
                <w:b/>
                <w:sz w:val="18"/>
                <w:szCs w:val="18"/>
                <w:lang w:val="sq-AL"/>
              </w:rPr>
              <w:t>Fondet IPA</w:t>
            </w:r>
          </w:p>
        </w:tc>
        <w:tc>
          <w:tcPr>
            <w:tcW w:w="1066" w:type="dxa"/>
            <w:vAlign w:val="center"/>
          </w:tcPr>
          <w:p w14:paraId="405EFE0D" w14:textId="5E6F2208" w:rsidR="00E06E0F" w:rsidRPr="00050FA4" w:rsidRDefault="005E44FE" w:rsidP="005407AC">
            <w:pPr>
              <w:pStyle w:val="AAAAAAATEXXXX"/>
              <w:ind w:firstLine="0"/>
              <w:jc w:val="center"/>
              <w:rPr>
                <w:b/>
                <w:sz w:val="18"/>
                <w:szCs w:val="18"/>
                <w:lang w:val="sq-AL"/>
              </w:rPr>
            </w:pPr>
            <w:r w:rsidRPr="00050FA4">
              <w:rPr>
                <w:b/>
                <w:sz w:val="18"/>
                <w:szCs w:val="18"/>
                <w:lang w:val="sq-AL"/>
              </w:rPr>
              <w:t>Dhurime të tjera</w:t>
            </w:r>
          </w:p>
        </w:tc>
        <w:tc>
          <w:tcPr>
            <w:tcW w:w="1133" w:type="dxa"/>
            <w:vAlign w:val="center"/>
          </w:tcPr>
          <w:p w14:paraId="1745188F" w14:textId="207A6A72" w:rsidR="00E06E0F" w:rsidRPr="00050FA4" w:rsidRDefault="005E44FE" w:rsidP="005407AC">
            <w:pPr>
              <w:pStyle w:val="AAAAAAATEXXXX"/>
              <w:ind w:firstLine="0"/>
              <w:jc w:val="center"/>
              <w:rPr>
                <w:b/>
                <w:sz w:val="18"/>
                <w:szCs w:val="18"/>
                <w:lang w:val="sq-AL"/>
              </w:rPr>
            </w:pPr>
            <w:r w:rsidRPr="00050FA4">
              <w:rPr>
                <w:b/>
                <w:sz w:val="18"/>
                <w:szCs w:val="18"/>
                <w:lang w:val="sq-AL"/>
              </w:rPr>
              <w:t>Hua projektesh</w:t>
            </w:r>
          </w:p>
        </w:tc>
        <w:tc>
          <w:tcPr>
            <w:tcW w:w="1046" w:type="dxa"/>
            <w:vAlign w:val="center"/>
          </w:tcPr>
          <w:p w14:paraId="50CBE5A3" w14:textId="77777777" w:rsidR="00E06E0F" w:rsidRPr="00050FA4" w:rsidRDefault="00E06E0F" w:rsidP="005407AC">
            <w:pPr>
              <w:pStyle w:val="AAAAAAATEXXXX"/>
              <w:ind w:firstLine="0"/>
              <w:jc w:val="center"/>
              <w:rPr>
                <w:b/>
                <w:sz w:val="18"/>
                <w:szCs w:val="18"/>
                <w:lang w:val="sq-AL"/>
              </w:rPr>
            </w:pPr>
            <w:r w:rsidRPr="00050FA4">
              <w:rPr>
                <w:b/>
                <w:sz w:val="18"/>
                <w:szCs w:val="18"/>
                <w:lang w:val="sq-AL"/>
              </w:rPr>
              <w:t>TBD</w:t>
            </w:r>
          </w:p>
        </w:tc>
        <w:tc>
          <w:tcPr>
            <w:tcW w:w="1586" w:type="dxa"/>
            <w:vAlign w:val="center"/>
          </w:tcPr>
          <w:p w14:paraId="39358731" w14:textId="507FBC32" w:rsidR="00E06E0F" w:rsidRPr="00050FA4" w:rsidRDefault="005E44FE" w:rsidP="005407AC">
            <w:pPr>
              <w:pStyle w:val="AAAAAAATEXXXX"/>
              <w:ind w:firstLine="0"/>
              <w:jc w:val="center"/>
              <w:rPr>
                <w:b/>
                <w:sz w:val="18"/>
                <w:szCs w:val="18"/>
                <w:lang w:val="sq-AL"/>
              </w:rPr>
            </w:pPr>
            <w:r w:rsidRPr="00050FA4">
              <w:rPr>
                <w:b/>
                <w:sz w:val="18"/>
                <w:szCs w:val="18"/>
                <w:lang w:val="sq-AL"/>
              </w:rPr>
              <w:t>Totali</w:t>
            </w:r>
          </w:p>
        </w:tc>
      </w:tr>
      <w:tr w:rsidR="00FA29AB" w:rsidRPr="00050FA4" w14:paraId="6AEF6E6A" w14:textId="77777777" w:rsidTr="00D825ED">
        <w:trPr>
          <w:jc w:val="center"/>
        </w:trPr>
        <w:tc>
          <w:tcPr>
            <w:tcW w:w="1045" w:type="dxa"/>
          </w:tcPr>
          <w:p w14:paraId="1673B3C8" w14:textId="77777777" w:rsidR="00516B92" w:rsidRPr="00050FA4" w:rsidRDefault="00516B92" w:rsidP="00A250C1">
            <w:pPr>
              <w:pStyle w:val="AAAAAAATEXXXX"/>
              <w:ind w:firstLine="0"/>
              <w:rPr>
                <w:sz w:val="18"/>
                <w:szCs w:val="18"/>
                <w:lang w:val="sq-AL"/>
              </w:rPr>
            </w:pPr>
            <w:r w:rsidRPr="00050FA4">
              <w:rPr>
                <w:sz w:val="18"/>
                <w:szCs w:val="18"/>
                <w:lang w:val="sq-AL"/>
              </w:rPr>
              <w:t>2022</w:t>
            </w:r>
          </w:p>
        </w:tc>
        <w:tc>
          <w:tcPr>
            <w:tcW w:w="1061" w:type="dxa"/>
          </w:tcPr>
          <w:p w14:paraId="6FC4CCD4" w14:textId="3D43AFB5" w:rsidR="00516B92" w:rsidRPr="00050FA4" w:rsidRDefault="00516B92" w:rsidP="00A250C1">
            <w:pPr>
              <w:pStyle w:val="AAAAAAATEXXXX"/>
              <w:ind w:firstLine="0"/>
              <w:rPr>
                <w:sz w:val="18"/>
                <w:szCs w:val="18"/>
                <w:lang w:val="sq-AL"/>
              </w:rPr>
            </w:pPr>
            <w:r w:rsidRPr="00050FA4">
              <w:rPr>
                <w:sz w:val="18"/>
                <w:szCs w:val="18"/>
                <w:lang w:val="sq-AL"/>
              </w:rPr>
              <w:t>N/A</w:t>
            </w:r>
          </w:p>
        </w:tc>
        <w:tc>
          <w:tcPr>
            <w:tcW w:w="1062" w:type="dxa"/>
          </w:tcPr>
          <w:p w14:paraId="6BF2E4AA" w14:textId="2662E1C7" w:rsidR="00516B92" w:rsidRPr="00050FA4" w:rsidRDefault="00516B92" w:rsidP="00A250C1">
            <w:pPr>
              <w:pStyle w:val="AAAAAAATEXXXX"/>
              <w:ind w:firstLine="0"/>
              <w:rPr>
                <w:sz w:val="18"/>
                <w:szCs w:val="18"/>
                <w:lang w:val="sq-AL"/>
              </w:rPr>
            </w:pPr>
            <w:r w:rsidRPr="00050FA4">
              <w:rPr>
                <w:sz w:val="18"/>
                <w:szCs w:val="18"/>
                <w:lang w:val="sq-AL"/>
              </w:rPr>
              <w:t>N/A</w:t>
            </w:r>
          </w:p>
        </w:tc>
        <w:tc>
          <w:tcPr>
            <w:tcW w:w="1145" w:type="dxa"/>
          </w:tcPr>
          <w:p w14:paraId="603B2D24" w14:textId="3A26C672" w:rsidR="00516B92" w:rsidRPr="00050FA4" w:rsidRDefault="00516B92" w:rsidP="00A250C1">
            <w:pPr>
              <w:pStyle w:val="AAAAAAATEXXXX"/>
              <w:ind w:firstLine="0"/>
              <w:rPr>
                <w:sz w:val="18"/>
                <w:szCs w:val="18"/>
                <w:lang w:val="sq-AL"/>
              </w:rPr>
            </w:pPr>
            <w:r w:rsidRPr="00050FA4">
              <w:rPr>
                <w:sz w:val="18"/>
                <w:szCs w:val="18"/>
                <w:lang w:val="sq-AL"/>
              </w:rPr>
              <w:t>N/A</w:t>
            </w:r>
          </w:p>
        </w:tc>
        <w:tc>
          <w:tcPr>
            <w:tcW w:w="1057" w:type="dxa"/>
          </w:tcPr>
          <w:p w14:paraId="593FA0C2" w14:textId="25DC2851" w:rsidR="00516B92" w:rsidRPr="00050FA4" w:rsidRDefault="00516B92" w:rsidP="00A250C1">
            <w:pPr>
              <w:pStyle w:val="AAAAAAATEXXXX"/>
              <w:ind w:firstLine="0"/>
              <w:rPr>
                <w:sz w:val="18"/>
                <w:szCs w:val="18"/>
                <w:lang w:val="sq-AL"/>
              </w:rPr>
            </w:pPr>
            <w:r w:rsidRPr="00050FA4">
              <w:rPr>
                <w:sz w:val="18"/>
                <w:szCs w:val="18"/>
                <w:lang w:val="sq-AL"/>
              </w:rPr>
              <w:t>N/A</w:t>
            </w:r>
          </w:p>
        </w:tc>
        <w:tc>
          <w:tcPr>
            <w:tcW w:w="1066" w:type="dxa"/>
          </w:tcPr>
          <w:p w14:paraId="790714C8" w14:textId="66D3C63D" w:rsidR="00516B92" w:rsidRPr="00050FA4" w:rsidRDefault="00516B92" w:rsidP="00A250C1">
            <w:pPr>
              <w:pStyle w:val="AAAAAAATEXXXX"/>
              <w:ind w:firstLine="0"/>
              <w:rPr>
                <w:sz w:val="18"/>
                <w:szCs w:val="18"/>
                <w:lang w:val="sq-AL"/>
              </w:rPr>
            </w:pPr>
            <w:r w:rsidRPr="00050FA4">
              <w:rPr>
                <w:sz w:val="18"/>
                <w:szCs w:val="18"/>
                <w:lang w:val="sq-AL"/>
              </w:rPr>
              <w:t>N/A</w:t>
            </w:r>
          </w:p>
        </w:tc>
        <w:tc>
          <w:tcPr>
            <w:tcW w:w="1133" w:type="dxa"/>
          </w:tcPr>
          <w:p w14:paraId="1FB5227C" w14:textId="1ED902C1" w:rsidR="00516B92" w:rsidRPr="00050FA4" w:rsidRDefault="00516B92" w:rsidP="00A250C1">
            <w:pPr>
              <w:pStyle w:val="AAAAAAATEXXXX"/>
              <w:ind w:firstLine="0"/>
              <w:rPr>
                <w:sz w:val="18"/>
                <w:szCs w:val="18"/>
                <w:lang w:val="sq-AL"/>
              </w:rPr>
            </w:pPr>
            <w:r w:rsidRPr="00050FA4">
              <w:rPr>
                <w:sz w:val="18"/>
                <w:szCs w:val="18"/>
                <w:lang w:val="sq-AL"/>
              </w:rPr>
              <w:t>N/A</w:t>
            </w:r>
          </w:p>
        </w:tc>
        <w:tc>
          <w:tcPr>
            <w:tcW w:w="1046" w:type="dxa"/>
            <w:shd w:val="clear" w:color="auto" w:fill="808080" w:themeFill="background1" w:themeFillShade="80"/>
          </w:tcPr>
          <w:p w14:paraId="02F8C332" w14:textId="05074BF0" w:rsidR="00516B92" w:rsidRPr="00050FA4" w:rsidRDefault="00516B92" w:rsidP="00A250C1">
            <w:pPr>
              <w:pStyle w:val="AAAAAAATEXXXX"/>
              <w:ind w:firstLine="0"/>
              <w:rPr>
                <w:sz w:val="18"/>
                <w:szCs w:val="18"/>
                <w:lang w:val="sq-AL"/>
              </w:rPr>
            </w:pPr>
          </w:p>
        </w:tc>
        <w:tc>
          <w:tcPr>
            <w:tcW w:w="1586" w:type="dxa"/>
          </w:tcPr>
          <w:p w14:paraId="1C6507F8" w14:textId="7A8E4B5F" w:rsidR="00516B92" w:rsidRPr="00050FA4" w:rsidRDefault="00516B92" w:rsidP="00A250C1">
            <w:pPr>
              <w:pStyle w:val="AAAAAAATEXXXX"/>
              <w:ind w:firstLine="0"/>
              <w:rPr>
                <w:sz w:val="18"/>
                <w:szCs w:val="18"/>
                <w:lang w:val="sq-AL"/>
              </w:rPr>
            </w:pPr>
            <w:r w:rsidRPr="00050FA4">
              <w:rPr>
                <w:sz w:val="18"/>
                <w:szCs w:val="18"/>
                <w:lang w:val="sq-AL"/>
              </w:rPr>
              <w:t>N/A</w:t>
            </w:r>
          </w:p>
        </w:tc>
      </w:tr>
      <w:tr w:rsidR="00FA29AB" w:rsidRPr="00050FA4" w14:paraId="43756BB0" w14:textId="77777777" w:rsidTr="00D825ED">
        <w:trPr>
          <w:jc w:val="center"/>
        </w:trPr>
        <w:tc>
          <w:tcPr>
            <w:tcW w:w="1045" w:type="dxa"/>
          </w:tcPr>
          <w:p w14:paraId="7E6BC79F" w14:textId="77777777" w:rsidR="00516B92" w:rsidRPr="00050FA4" w:rsidRDefault="00516B92" w:rsidP="00A250C1">
            <w:pPr>
              <w:pStyle w:val="AAAAAAATEXXXX"/>
              <w:ind w:firstLine="0"/>
              <w:rPr>
                <w:sz w:val="18"/>
                <w:szCs w:val="18"/>
                <w:lang w:val="sq-AL"/>
              </w:rPr>
            </w:pPr>
            <w:r w:rsidRPr="00050FA4">
              <w:rPr>
                <w:sz w:val="18"/>
                <w:szCs w:val="18"/>
                <w:lang w:val="sq-AL"/>
              </w:rPr>
              <w:t>2023</w:t>
            </w:r>
          </w:p>
        </w:tc>
        <w:tc>
          <w:tcPr>
            <w:tcW w:w="1061" w:type="dxa"/>
          </w:tcPr>
          <w:p w14:paraId="07D62D5B" w14:textId="0C01C8DE" w:rsidR="00516B92" w:rsidRPr="00050FA4" w:rsidRDefault="00516B92" w:rsidP="00A250C1">
            <w:pPr>
              <w:pStyle w:val="AAAAAAATEXXXX"/>
              <w:ind w:firstLine="0"/>
              <w:rPr>
                <w:sz w:val="18"/>
                <w:szCs w:val="18"/>
                <w:lang w:val="sq-AL"/>
              </w:rPr>
            </w:pPr>
            <w:r w:rsidRPr="00050FA4">
              <w:rPr>
                <w:sz w:val="18"/>
                <w:szCs w:val="18"/>
                <w:lang w:val="sq-AL"/>
              </w:rPr>
              <w:t>N/A</w:t>
            </w:r>
          </w:p>
        </w:tc>
        <w:tc>
          <w:tcPr>
            <w:tcW w:w="1062" w:type="dxa"/>
          </w:tcPr>
          <w:p w14:paraId="3E96A2A6" w14:textId="3A7C4C6F" w:rsidR="00516B92" w:rsidRPr="00050FA4" w:rsidRDefault="00516B92" w:rsidP="00A250C1">
            <w:pPr>
              <w:pStyle w:val="AAAAAAATEXXXX"/>
              <w:ind w:firstLine="0"/>
              <w:rPr>
                <w:sz w:val="18"/>
                <w:szCs w:val="18"/>
                <w:lang w:val="sq-AL"/>
              </w:rPr>
            </w:pPr>
            <w:r w:rsidRPr="00050FA4">
              <w:rPr>
                <w:sz w:val="18"/>
                <w:szCs w:val="18"/>
                <w:lang w:val="sq-AL"/>
              </w:rPr>
              <w:t>N/A</w:t>
            </w:r>
          </w:p>
        </w:tc>
        <w:tc>
          <w:tcPr>
            <w:tcW w:w="1145" w:type="dxa"/>
          </w:tcPr>
          <w:p w14:paraId="33EA82B0" w14:textId="7C97DB9A" w:rsidR="00516B92" w:rsidRPr="00050FA4" w:rsidRDefault="00516B92" w:rsidP="00A250C1">
            <w:pPr>
              <w:pStyle w:val="AAAAAAATEXXXX"/>
              <w:ind w:firstLine="0"/>
              <w:rPr>
                <w:sz w:val="18"/>
                <w:szCs w:val="18"/>
                <w:lang w:val="sq-AL"/>
              </w:rPr>
            </w:pPr>
            <w:r w:rsidRPr="00050FA4">
              <w:rPr>
                <w:sz w:val="18"/>
                <w:szCs w:val="18"/>
                <w:lang w:val="sq-AL"/>
              </w:rPr>
              <w:t>N/A</w:t>
            </w:r>
          </w:p>
        </w:tc>
        <w:tc>
          <w:tcPr>
            <w:tcW w:w="1057" w:type="dxa"/>
          </w:tcPr>
          <w:p w14:paraId="46A45F3F" w14:textId="0A03716A" w:rsidR="00516B92" w:rsidRPr="00050FA4" w:rsidRDefault="00516B92" w:rsidP="00A250C1">
            <w:pPr>
              <w:pStyle w:val="AAAAAAATEXXXX"/>
              <w:ind w:firstLine="0"/>
              <w:rPr>
                <w:sz w:val="18"/>
                <w:szCs w:val="18"/>
                <w:lang w:val="sq-AL"/>
              </w:rPr>
            </w:pPr>
            <w:r w:rsidRPr="00050FA4">
              <w:rPr>
                <w:sz w:val="18"/>
                <w:szCs w:val="18"/>
                <w:lang w:val="sq-AL"/>
              </w:rPr>
              <w:t>N/A</w:t>
            </w:r>
          </w:p>
        </w:tc>
        <w:tc>
          <w:tcPr>
            <w:tcW w:w="1066" w:type="dxa"/>
          </w:tcPr>
          <w:p w14:paraId="2AE6CE67" w14:textId="6568F031" w:rsidR="00516B92" w:rsidRPr="00050FA4" w:rsidRDefault="00516B92" w:rsidP="00A250C1">
            <w:pPr>
              <w:pStyle w:val="AAAAAAATEXXXX"/>
              <w:ind w:firstLine="0"/>
              <w:rPr>
                <w:sz w:val="18"/>
                <w:szCs w:val="18"/>
                <w:lang w:val="sq-AL"/>
              </w:rPr>
            </w:pPr>
            <w:r w:rsidRPr="00050FA4">
              <w:rPr>
                <w:sz w:val="18"/>
                <w:szCs w:val="18"/>
                <w:lang w:val="sq-AL"/>
              </w:rPr>
              <w:t>N/A</w:t>
            </w:r>
          </w:p>
        </w:tc>
        <w:tc>
          <w:tcPr>
            <w:tcW w:w="1133" w:type="dxa"/>
          </w:tcPr>
          <w:p w14:paraId="73890913" w14:textId="064B62F5" w:rsidR="00516B92" w:rsidRPr="00050FA4" w:rsidRDefault="00516B92" w:rsidP="00A250C1">
            <w:pPr>
              <w:pStyle w:val="AAAAAAATEXXXX"/>
              <w:ind w:firstLine="0"/>
              <w:rPr>
                <w:sz w:val="18"/>
                <w:szCs w:val="18"/>
                <w:lang w:val="sq-AL"/>
              </w:rPr>
            </w:pPr>
            <w:r w:rsidRPr="00050FA4">
              <w:rPr>
                <w:sz w:val="18"/>
                <w:szCs w:val="18"/>
                <w:lang w:val="sq-AL"/>
              </w:rPr>
              <w:t>N/A</w:t>
            </w:r>
          </w:p>
        </w:tc>
        <w:tc>
          <w:tcPr>
            <w:tcW w:w="1046" w:type="dxa"/>
          </w:tcPr>
          <w:p w14:paraId="6B2E1EED" w14:textId="43FE24DF" w:rsidR="00516B92" w:rsidRPr="00050FA4" w:rsidRDefault="00516B92" w:rsidP="00A250C1">
            <w:pPr>
              <w:pStyle w:val="AAAAAAATEXXXX"/>
              <w:ind w:firstLine="0"/>
              <w:rPr>
                <w:sz w:val="18"/>
                <w:szCs w:val="18"/>
                <w:lang w:val="sq-AL"/>
              </w:rPr>
            </w:pPr>
            <w:r w:rsidRPr="00050FA4">
              <w:rPr>
                <w:sz w:val="18"/>
                <w:szCs w:val="18"/>
                <w:lang w:val="sq-AL"/>
              </w:rPr>
              <w:t>N/A</w:t>
            </w:r>
          </w:p>
        </w:tc>
        <w:tc>
          <w:tcPr>
            <w:tcW w:w="1586" w:type="dxa"/>
          </w:tcPr>
          <w:p w14:paraId="63656235" w14:textId="3FEE6F0D" w:rsidR="00516B92" w:rsidRPr="00050FA4" w:rsidRDefault="00516B92" w:rsidP="00A250C1">
            <w:pPr>
              <w:pStyle w:val="AAAAAAATEXXXX"/>
              <w:ind w:firstLine="0"/>
              <w:rPr>
                <w:sz w:val="18"/>
                <w:szCs w:val="18"/>
                <w:lang w:val="sq-AL"/>
              </w:rPr>
            </w:pPr>
            <w:r w:rsidRPr="00050FA4">
              <w:rPr>
                <w:sz w:val="18"/>
                <w:szCs w:val="18"/>
                <w:lang w:val="sq-AL"/>
              </w:rPr>
              <w:t>N/A</w:t>
            </w:r>
          </w:p>
        </w:tc>
      </w:tr>
      <w:tr w:rsidR="00FA29AB" w:rsidRPr="00050FA4" w14:paraId="670C6520" w14:textId="77777777" w:rsidTr="00D825ED">
        <w:trPr>
          <w:jc w:val="center"/>
        </w:trPr>
        <w:tc>
          <w:tcPr>
            <w:tcW w:w="1045" w:type="dxa"/>
          </w:tcPr>
          <w:p w14:paraId="0AB11003" w14:textId="77777777" w:rsidR="00516B92" w:rsidRPr="00050FA4" w:rsidRDefault="00516B92" w:rsidP="00A250C1">
            <w:pPr>
              <w:pStyle w:val="AAAAAAATEXXXX"/>
              <w:ind w:firstLine="0"/>
              <w:rPr>
                <w:sz w:val="18"/>
                <w:szCs w:val="18"/>
                <w:lang w:val="sq-AL"/>
              </w:rPr>
            </w:pPr>
            <w:r w:rsidRPr="00050FA4">
              <w:rPr>
                <w:sz w:val="18"/>
                <w:szCs w:val="18"/>
                <w:lang w:val="sq-AL"/>
              </w:rPr>
              <w:t>2024</w:t>
            </w:r>
          </w:p>
        </w:tc>
        <w:tc>
          <w:tcPr>
            <w:tcW w:w="1061" w:type="dxa"/>
          </w:tcPr>
          <w:p w14:paraId="45C00B19" w14:textId="3B83A00D" w:rsidR="00516B92" w:rsidRPr="00050FA4" w:rsidRDefault="00516B92" w:rsidP="00A250C1">
            <w:pPr>
              <w:pStyle w:val="AAAAAAATEXXXX"/>
              <w:ind w:firstLine="0"/>
              <w:rPr>
                <w:sz w:val="18"/>
                <w:szCs w:val="18"/>
                <w:lang w:val="sq-AL"/>
              </w:rPr>
            </w:pPr>
            <w:r w:rsidRPr="00050FA4">
              <w:rPr>
                <w:sz w:val="18"/>
                <w:szCs w:val="18"/>
                <w:lang w:val="sq-AL"/>
              </w:rPr>
              <w:t>N/A</w:t>
            </w:r>
          </w:p>
        </w:tc>
        <w:tc>
          <w:tcPr>
            <w:tcW w:w="1062" w:type="dxa"/>
          </w:tcPr>
          <w:p w14:paraId="737686E9" w14:textId="4D8D208E" w:rsidR="00516B92" w:rsidRPr="00050FA4" w:rsidRDefault="00516B92" w:rsidP="00A250C1">
            <w:pPr>
              <w:pStyle w:val="AAAAAAATEXXXX"/>
              <w:ind w:firstLine="0"/>
              <w:rPr>
                <w:sz w:val="18"/>
                <w:szCs w:val="18"/>
                <w:lang w:val="sq-AL"/>
              </w:rPr>
            </w:pPr>
            <w:r w:rsidRPr="00050FA4">
              <w:rPr>
                <w:sz w:val="18"/>
                <w:szCs w:val="18"/>
                <w:lang w:val="sq-AL"/>
              </w:rPr>
              <w:t>N/A</w:t>
            </w:r>
          </w:p>
        </w:tc>
        <w:tc>
          <w:tcPr>
            <w:tcW w:w="1145" w:type="dxa"/>
          </w:tcPr>
          <w:p w14:paraId="252287C4" w14:textId="68D09B21" w:rsidR="00516B92" w:rsidRPr="00050FA4" w:rsidRDefault="00516B92" w:rsidP="00A250C1">
            <w:pPr>
              <w:pStyle w:val="AAAAAAATEXXXX"/>
              <w:ind w:firstLine="0"/>
              <w:rPr>
                <w:sz w:val="18"/>
                <w:szCs w:val="18"/>
                <w:lang w:val="sq-AL"/>
              </w:rPr>
            </w:pPr>
            <w:r w:rsidRPr="00050FA4">
              <w:rPr>
                <w:sz w:val="18"/>
                <w:szCs w:val="18"/>
                <w:lang w:val="sq-AL"/>
              </w:rPr>
              <w:t>N/A</w:t>
            </w:r>
          </w:p>
        </w:tc>
        <w:tc>
          <w:tcPr>
            <w:tcW w:w="1057" w:type="dxa"/>
          </w:tcPr>
          <w:p w14:paraId="38BF2C11" w14:textId="412295A6" w:rsidR="00516B92" w:rsidRPr="00050FA4" w:rsidRDefault="00516B92" w:rsidP="00A250C1">
            <w:pPr>
              <w:pStyle w:val="AAAAAAATEXXXX"/>
              <w:ind w:firstLine="0"/>
              <w:rPr>
                <w:sz w:val="18"/>
                <w:szCs w:val="18"/>
                <w:lang w:val="sq-AL"/>
              </w:rPr>
            </w:pPr>
            <w:r w:rsidRPr="00050FA4">
              <w:rPr>
                <w:sz w:val="18"/>
                <w:szCs w:val="18"/>
                <w:lang w:val="sq-AL"/>
              </w:rPr>
              <w:t>N/A</w:t>
            </w:r>
          </w:p>
        </w:tc>
        <w:tc>
          <w:tcPr>
            <w:tcW w:w="1066" w:type="dxa"/>
          </w:tcPr>
          <w:p w14:paraId="190A550E" w14:textId="05D3866F" w:rsidR="00516B92" w:rsidRPr="00050FA4" w:rsidRDefault="00516B92" w:rsidP="00A250C1">
            <w:pPr>
              <w:pStyle w:val="AAAAAAATEXXXX"/>
              <w:ind w:firstLine="0"/>
              <w:rPr>
                <w:sz w:val="18"/>
                <w:szCs w:val="18"/>
                <w:lang w:val="sq-AL"/>
              </w:rPr>
            </w:pPr>
            <w:r w:rsidRPr="00050FA4">
              <w:rPr>
                <w:sz w:val="18"/>
                <w:szCs w:val="18"/>
                <w:lang w:val="sq-AL"/>
              </w:rPr>
              <w:t>N/A</w:t>
            </w:r>
          </w:p>
        </w:tc>
        <w:tc>
          <w:tcPr>
            <w:tcW w:w="1133" w:type="dxa"/>
          </w:tcPr>
          <w:p w14:paraId="3C6DBB80" w14:textId="1520175D" w:rsidR="00516B92" w:rsidRPr="00050FA4" w:rsidRDefault="00516B92" w:rsidP="00A250C1">
            <w:pPr>
              <w:pStyle w:val="AAAAAAATEXXXX"/>
              <w:ind w:firstLine="0"/>
              <w:rPr>
                <w:sz w:val="18"/>
                <w:szCs w:val="18"/>
                <w:lang w:val="sq-AL"/>
              </w:rPr>
            </w:pPr>
            <w:r w:rsidRPr="00050FA4">
              <w:rPr>
                <w:sz w:val="18"/>
                <w:szCs w:val="18"/>
                <w:lang w:val="sq-AL"/>
              </w:rPr>
              <w:t>N/A</w:t>
            </w:r>
          </w:p>
        </w:tc>
        <w:tc>
          <w:tcPr>
            <w:tcW w:w="1046" w:type="dxa"/>
          </w:tcPr>
          <w:p w14:paraId="58BEE6EE" w14:textId="07D96046" w:rsidR="00516B92" w:rsidRPr="00050FA4" w:rsidRDefault="00516B92" w:rsidP="00A250C1">
            <w:pPr>
              <w:pStyle w:val="AAAAAAATEXXXX"/>
              <w:ind w:firstLine="0"/>
              <w:rPr>
                <w:sz w:val="18"/>
                <w:szCs w:val="18"/>
                <w:lang w:val="sq-AL"/>
              </w:rPr>
            </w:pPr>
            <w:r w:rsidRPr="00050FA4">
              <w:rPr>
                <w:sz w:val="18"/>
                <w:szCs w:val="18"/>
                <w:lang w:val="sq-AL"/>
              </w:rPr>
              <w:t>N/A</w:t>
            </w:r>
          </w:p>
        </w:tc>
        <w:tc>
          <w:tcPr>
            <w:tcW w:w="1586" w:type="dxa"/>
          </w:tcPr>
          <w:p w14:paraId="2EAE129A" w14:textId="39272329" w:rsidR="00516B92" w:rsidRPr="00050FA4" w:rsidRDefault="00516B92" w:rsidP="00A250C1">
            <w:pPr>
              <w:pStyle w:val="AAAAAAATEXXXX"/>
              <w:ind w:firstLine="0"/>
              <w:rPr>
                <w:sz w:val="18"/>
                <w:szCs w:val="18"/>
                <w:lang w:val="sq-AL"/>
              </w:rPr>
            </w:pPr>
            <w:r w:rsidRPr="00050FA4">
              <w:rPr>
                <w:sz w:val="18"/>
                <w:szCs w:val="18"/>
                <w:lang w:val="sq-AL"/>
              </w:rPr>
              <w:t>N/A</w:t>
            </w:r>
          </w:p>
        </w:tc>
      </w:tr>
    </w:tbl>
    <w:p w14:paraId="61906BE4"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819"/>
        <w:gridCol w:w="1412"/>
        <w:gridCol w:w="988"/>
        <w:gridCol w:w="1145"/>
        <w:gridCol w:w="868"/>
        <w:gridCol w:w="1271"/>
        <w:gridCol w:w="1133"/>
        <w:gridCol w:w="836"/>
        <w:gridCol w:w="1729"/>
      </w:tblGrid>
      <w:tr w:rsidR="00FA29AB" w:rsidRPr="00050FA4" w14:paraId="0871980A" w14:textId="77777777" w:rsidTr="005407AC">
        <w:trPr>
          <w:jc w:val="center"/>
        </w:trPr>
        <w:tc>
          <w:tcPr>
            <w:tcW w:w="10201" w:type="dxa"/>
            <w:gridSpan w:val="9"/>
            <w:shd w:val="clear" w:color="auto" w:fill="E5DFEC" w:themeFill="accent4" w:themeFillTint="33"/>
          </w:tcPr>
          <w:p w14:paraId="7C87FFE9" w14:textId="07BB0384"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14:</w:t>
            </w:r>
            <w:r w:rsidR="000B0C45" w:rsidRPr="00050FA4">
              <w:rPr>
                <w:b/>
                <w:sz w:val="18"/>
                <w:szCs w:val="18"/>
                <w:lang w:val="sq-AL"/>
              </w:rPr>
              <w:t xml:space="preserve"> </w:t>
            </w:r>
            <w:r w:rsidR="00461CA0" w:rsidRPr="00050FA4">
              <w:rPr>
                <w:b/>
                <w:sz w:val="18"/>
                <w:szCs w:val="18"/>
                <w:lang w:val="sq-AL"/>
              </w:rPr>
              <w:t>Diversifikimi i burimeve të energjisë përmes promovimit të burimeve të riperteritshme të energjisë dhe përmirësimit të eficencës energjetike</w:t>
            </w:r>
          </w:p>
        </w:tc>
      </w:tr>
      <w:tr w:rsidR="00FA29AB" w:rsidRPr="00050FA4" w14:paraId="1D97F641" w14:textId="77777777" w:rsidTr="005407AC">
        <w:trPr>
          <w:jc w:val="center"/>
        </w:trPr>
        <w:tc>
          <w:tcPr>
            <w:tcW w:w="819" w:type="dxa"/>
            <w:vAlign w:val="center"/>
          </w:tcPr>
          <w:p w14:paraId="08E27DFF" w14:textId="441C07AC" w:rsidR="00E06E0F" w:rsidRPr="00050FA4" w:rsidRDefault="005E44FE" w:rsidP="005407AC">
            <w:pPr>
              <w:pStyle w:val="AAAAAAATEXXXX"/>
              <w:ind w:firstLine="0"/>
              <w:jc w:val="center"/>
              <w:rPr>
                <w:b/>
                <w:sz w:val="18"/>
                <w:szCs w:val="18"/>
                <w:lang w:val="sq-AL"/>
              </w:rPr>
            </w:pPr>
            <w:r w:rsidRPr="00050FA4">
              <w:rPr>
                <w:b/>
                <w:sz w:val="18"/>
                <w:szCs w:val="18"/>
                <w:lang w:val="sq-AL"/>
              </w:rPr>
              <w:t>Viti</w:t>
            </w:r>
          </w:p>
        </w:tc>
        <w:tc>
          <w:tcPr>
            <w:tcW w:w="1412" w:type="dxa"/>
            <w:vAlign w:val="center"/>
          </w:tcPr>
          <w:p w14:paraId="74084240" w14:textId="02955E83" w:rsidR="00E06E0F" w:rsidRPr="00050FA4" w:rsidRDefault="005E44FE" w:rsidP="005407AC">
            <w:pPr>
              <w:pStyle w:val="AAAAAAATEXXXX"/>
              <w:ind w:firstLine="0"/>
              <w:jc w:val="center"/>
              <w:rPr>
                <w:b/>
                <w:sz w:val="18"/>
                <w:szCs w:val="18"/>
                <w:lang w:val="sq-AL"/>
              </w:rPr>
            </w:pPr>
            <w:r w:rsidRPr="00050FA4">
              <w:rPr>
                <w:b/>
                <w:sz w:val="18"/>
                <w:szCs w:val="18"/>
                <w:lang w:val="sq-AL"/>
              </w:rPr>
              <w:t>Buxheti qendror</w:t>
            </w:r>
          </w:p>
        </w:tc>
        <w:tc>
          <w:tcPr>
            <w:tcW w:w="988" w:type="dxa"/>
            <w:vAlign w:val="center"/>
          </w:tcPr>
          <w:p w14:paraId="7BE28E4D" w14:textId="4B0C1F74" w:rsidR="00E06E0F" w:rsidRPr="00050FA4" w:rsidRDefault="004D1F24" w:rsidP="005407AC">
            <w:pPr>
              <w:pStyle w:val="AAAAAAATEXXXX"/>
              <w:ind w:firstLine="0"/>
              <w:jc w:val="center"/>
              <w:rPr>
                <w:b/>
                <w:sz w:val="18"/>
                <w:szCs w:val="18"/>
                <w:lang w:val="sq-AL"/>
              </w:rPr>
            </w:pPr>
            <w:r w:rsidRPr="00050FA4">
              <w:rPr>
                <w:b/>
                <w:sz w:val="18"/>
                <w:szCs w:val="18"/>
                <w:lang w:val="sq-AL"/>
              </w:rPr>
              <w:t>Buxheti vendor</w:t>
            </w:r>
          </w:p>
        </w:tc>
        <w:tc>
          <w:tcPr>
            <w:tcW w:w="1145" w:type="dxa"/>
            <w:vAlign w:val="center"/>
          </w:tcPr>
          <w:p w14:paraId="3D7A2652" w14:textId="0C31BB0E" w:rsidR="00E06E0F" w:rsidRPr="00050FA4" w:rsidRDefault="005E44FE" w:rsidP="005407AC">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868" w:type="dxa"/>
            <w:vAlign w:val="center"/>
          </w:tcPr>
          <w:p w14:paraId="121CE57E" w14:textId="22873F98" w:rsidR="00E06E0F" w:rsidRPr="00050FA4" w:rsidRDefault="005E44FE" w:rsidP="005407AC">
            <w:pPr>
              <w:pStyle w:val="AAAAAAATEXXXX"/>
              <w:ind w:firstLine="0"/>
              <w:jc w:val="center"/>
              <w:rPr>
                <w:b/>
                <w:sz w:val="18"/>
                <w:szCs w:val="18"/>
                <w:lang w:val="sq-AL"/>
              </w:rPr>
            </w:pPr>
            <w:r w:rsidRPr="00050FA4">
              <w:rPr>
                <w:b/>
                <w:sz w:val="18"/>
                <w:szCs w:val="18"/>
                <w:lang w:val="sq-AL"/>
              </w:rPr>
              <w:t>Fondet IPA</w:t>
            </w:r>
          </w:p>
        </w:tc>
        <w:tc>
          <w:tcPr>
            <w:tcW w:w="1271" w:type="dxa"/>
            <w:vAlign w:val="center"/>
          </w:tcPr>
          <w:p w14:paraId="799CD41C" w14:textId="156A3EE3" w:rsidR="00E06E0F" w:rsidRPr="00050FA4" w:rsidRDefault="005E44FE" w:rsidP="005407AC">
            <w:pPr>
              <w:pStyle w:val="AAAAAAATEXXXX"/>
              <w:ind w:firstLine="0"/>
              <w:jc w:val="center"/>
              <w:rPr>
                <w:b/>
                <w:sz w:val="18"/>
                <w:szCs w:val="18"/>
                <w:lang w:val="sq-AL"/>
              </w:rPr>
            </w:pPr>
            <w:r w:rsidRPr="00050FA4">
              <w:rPr>
                <w:b/>
                <w:sz w:val="18"/>
                <w:szCs w:val="18"/>
                <w:lang w:val="sq-AL"/>
              </w:rPr>
              <w:t>Dhurime të tjera</w:t>
            </w:r>
          </w:p>
        </w:tc>
        <w:tc>
          <w:tcPr>
            <w:tcW w:w="1133" w:type="dxa"/>
            <w:vAlign w:val="center"/>
          </w:tcPr>
          <w:p w14:paraId="10821F00" w14:textId="580CD31E" w:rsidR="00E06E0F" w:rsidRPr="00050FA4" w:rsidRDefault="005E44FE" w:rsidP="005407AC">
            <w:pPr>
              <w:pStyle w:val="AAAAAAATEXXXX"/>
              <w:ind w:firstLine="0"/>
              <w:jc w:val="center"/>
              <w:rPr>
                <w:b/>
                <w:sz w:val="18"/>
                <w:szCs w:val="18"/>
                <w:lang w:val="sq-AL"/>
              </w:rPr>
            </w:pPr>
            <w:r w:rsidRPr="00050FA4">
              <w:rPr>
                <w:b/>
                <w:sz w:val="18"/>
                <w:szCs w:val="18"/>
                <w:lang w:val="sq-AL"/>
              </w:rPr>
              <w:t>Hua projektesh</w:t>
            </w:r>
          </w:p>
        </w:tc>
        <w:tc>
          <w:tcPr>
            <w:tcW w:w="836" w:type="dxa"/>
            <w:vAlign w:val="center"/>
          </w:tcPr>
          <w:p w14:paraId="6AEBFAF8" w14:textId="77777777" w:rsidR="00E06E0F" w:rsidRPr="00050FA4" w:rsidRDefault="00E06E0F" w:rsidP="005407AC">
            <w:pPr>
              <w:pStyle w:val="AAAAAAATEXXXX"/>
              <w:ind w:firstLine="0"/>
              <w:jc w:val="center"/>
              <w:rPr>
                <w:b/>
                <w:sz w:val="18"/>
                <w:szCs w:val="18"/>
                <w:lang w:val="sq-AL"/>
              </w:rPr>
            </w:pPr>
            <w:r w:rsidRPr="00050FA4">
              <w:rPr>
                <w:b/>
                <w:sz w:val="18"/>
                <w:szCs w:val="18"/>
                <w:lang w:val="sq-AL"/>
              </w:rPr>
              <w:t>TBD</w:t>
            </w:r>
          </w:p>
        </w:tc>
        <w:tc>
          <w:tcPr>
            <w:tcW w:w="1729" w:type="dxa"/>
            <w:vAlign w:val="center"/>
          </w:tcPr>
          <w:p w14:paraId="7A07F03B" w14:textId="3CF667C5" w:rsidR="00E06E0F" w:rsidRPr="00050FA4" w:rsidRDefault="005E44FE" w:rsidP="005407AC">
            <w:pPr>
              <w:pStyle w:val="AAAAAAATEXXXX"/>
              <w:ind w:firstLine="0"/>
              <w:jc w:val="center"/>
              <w:rPr>
                <w:b/>
                <w:sz w:val="18"/>
                <w:szCs w:val="18"/>
                <w:lang w:val="sq-AL"/>
              </w:rPr>
            </w:pPr>
            <w:r w:rsidRPr="00050FA4">
              <w:rPr>
                <w:b/>
                <w:sz w:val="18"/>
                <w:szCs w:val="18"/>
                <w:lang w:val="sq-AL"/>
              </w:rPr>
              <w:t>Totali</w:t>
            </w:r>
          </w:p>
        </w:tc>
      </w:tr>
      <w:tr w:rsidR="00FA29AB" w:rsidRPr="00050FA4" w14:paraId="7A5948D0" w14:textId="77777777" w:rsidTr="005407AC">
        <w:trPr>
          <w:jc w:val="center"/>
        </w:trPr>
        <w:tc>
          <w:tcPr>
            <w:tcW w:w="819" w:type="dxa"/>
          </w:tcPr>
          <w:p w14:paraId="69CEE7F7" w14:textId="77777777" w:rsidR="00516B92" w:rsidRPr="00050FA4" w:rsidRDefault="00516B92" w:rsidP="00A250C1">
            <w:pPr>
              <w:pStyle w:val="AAAAAAATEXXXX"/>
              <w:ind w:firstLine="0"/>
              <w:rPr>
                <w:sz w:val="18"/>
                <w:szCs w:val="18"/>
                <w:lang w:val="sq-AL"/>
              </w:rPr>
            </w:pPr>
            <w:r w:rsidRPr="00050FA4">
              <w:rPr>
                <w:sz w:val="18"/>
                <w:szCs w:val="18"/>
                <w:lang w:val="sq-AL"/>
              </w:rPr>
              <w:t>2022</w:t>
            </w:r>
          </w:p>
        </w:tc>
        <w:tc>
          <w:tcPr>
            <w:tcW w:w="1412" w:type="dxa"/>
          </w:tcPr>
          <w:p w14:paraId="41A5CC17" w14:textId="7D3C33CE" w:rsidR="00516B92" w:rsidRPr="00050FA4" w:rsidRDefault="00516B92" w:rsidP="00A250C1">
            <w:pPr>
              <w:pStyle w:val="AAAAAAATEXXXX"/>
              <w:ind w:firstLine="0"/>
              <w:rPr>
                <w:sz w:val="18"/>
                <w:szCs w:val="18"/>
                <w:lang w:val="sq-AL"/>
              </w:rPr>
            </w:pPr>
            <w:r w:rsidRPr="00050FA4">
              <w:rPr>
                <w:sz w:val="18"/>
                <w:szCs w:val="18"/>
                <w:lang w:val="sq-AL"/>
              </w:rPr>
              <w:t>N/A</w:t>
            </w:r>
          </w:p>
        </w:tc>
        <w:tc>
          <w:tcPr>
            <w:tcW w:w="988" w:type="dxa"/>
          </w:tcPr>
          <w:p w14:paraId="109374A3" w14:textId="099C4EBD" w:rsidR="00516B92" w:rsidRPr="00050FA4" w:rsidRDefault="00516B92" w:rsidP="00A250C1">
            <w:pPr>
              <w:pStyle w:val="AAAAAAATEXXXX"/>
              <w:ind w:firstLine="0"/>
              <w:rPr>
                <w:sz w:val="18"/>
                <w:szCs w:val="18"/>
                <w:lang w:val="sq-AL"/>
              </w:rPr>
            </w:pPr>
            <w:r w:rsidRPr="00050FA4">
              <w:rPr>
                <w:sz w:val="18"/>
                <w:szCs w:val="18"/>
                <w:lang w:val="sq-AL"/>
              </w:rPr>
              <w:t>N/A</w:t>
            </w:r>
          </w:p>
        </w:tc>
        <w:tc>
          <w:tcPr>
            <w:tcW w:w="1145" w:type="dxa"/>
          </w:tcPr>
          <w:p w14:paraId="03EE425F" w14:textId="4C856786" w:rsidR="00516B92" w:rsidRPr="00050FA4" w:rsidRDefault="00516B92" w:rsidP="00A250C1">
            <w:pPr>
              <w:pStyle w:val="AAAAAAATEXXXX"/>
              <w:ind w:firstLine="0"/>
              <w:rPr>
                <w:sz w:val="18"/>
                <w:szCs w:val="18"/>
                <w:lang w:val="sq-AL"/>
              </w:rPr>
            </w:pPr>
            <w:r w:rsidRPr="00050FA4">
              <w:rPr>
                <w:sz w:val="18"/>
                <w:szCs w:val="18"/>
                <w:lang w:val="sq-AL"/>
              </w:rPr>
              <w:t>N/A</w:t>
            </w:r>
          </w:p>
        </w:tc>
        <w:tc>
          <w:tcPr>
            <w:tcW w:w="868" w:type="dxa"/>
          </w:tcPr>
          <w:p w14:paraId="6674EFFB" w14:textId="34E168BB" w:rsidR="00516B92" w:rsidRPr="00050FA4" w:rsidRDefault="00516B92" w:rsidP="00A250C1">
            <w:pPr>
              <w:pStyle w:val="AAAAAAATEXXXX"/>
              <w:ind w:firstLine="0"/>
              <w:rPr>
                <w:sz w:val="18"/>
                <w:szCs w:val="18"/>
                <w:lang w:val="sq-AL"/>
              </w:rPr>
            </w:pPr>
            <w:r w:rsidRPr="00050FA4">
              <w:rPr>
                <w:sz w:val="18"/>
                <w:szCs w:val="18"/>
                <w:lang w:val="sq-AL"/>
              </w:rPr>
              <w:t>N/A</w:t>
            </w:r>
          </w:p>
        </w:tc>
        <w:tc>
          <w:tcPr>
            <w:tcW w:w="1271" w:type="dxa"/>
          </w:tcPr>
          <w:p w14:paraId="2F27563D" w14:textId="467B9ABC" w:rsidR="00516B92" w:rsidRPr="00050FA4" w:rsidRDefault="00516B92" w:rsidP="00A250C1">
            <w:pPr>
              <w:pStyle w:val="AAAAAAATEXXXX"/>
              <w:ind w:firstLine="0"/>
              <w:rPr>
                <w:sz w:val="18"/>
                <w:szCs w:val="18"/>
                <w:lang w:val="sq-AL"/>
              </w:rPr>
            </w:pPr>
            <w:r w:rsidRPr="00050FA4">
              <w:rPr>
                <w:sz w:val="18"/>
                <w:szCs w:val="18"/>
                <w:lang w:val="sq-AL"/>
              </w:rPr>
              <w:t>N/A</w:t>
            </w:r>
          </w:p>
        </w:tc>
        <w:tc>
          <w:tcPr>
            <w:tcW w:w="1133" w:type="dxa"/>
          </w:tcPr>
          <w:p w14:paraId="132424C6" w14:textId="0EEBFF1C" w:rsidR="00516B92" w:rsidRPr="00050FA4" w:rsidRDefault="00516B92" w:rsidP="00A250C1">
            <w:pPr>
              <w:pStyle w:val="AAAAAAATEXXXX"/>
              <w:ind w:firstLine="0"/>
              <w:rPr>
                <w:sz w:val="18"/>
                <w:szCs w:val="18"/>
                <w:lang w:val="sq-AL"/>
              </w:rPr>
            </w:pPr>
            <w:r w:rsidRPr="00050FA4">
              <w:rPr>
                <w:sz w:val="18"/>
                <w:szCs w:val="18"/>
                <w:lang w:val="sq-AL"/>
              </w:rPr>
              <w:t>N/A</w:t>
            </w:r>
          </w:p>
        </w:tc>
        <w:tc>
          <w:tcPr>
            <w:tcW w:w="836" w:type="dxa"/>
            <w:shd w:val="clear" w:color="auto" w:fill="808080" w:themeFill="background1" w:themeFillShade="80"/>
          </w:tcPr>
          <w:p w14:paraId="6CA385C3" w14:textId="77777777" w:rsidR="00516B92" w:rsidRPr="00050FA4" w:rsidRDefault="00516B92" w:rsidP="00A250C1">
            <w:pPr>
              <w:pStyle w:val="AAAAAAATEXXXX"/>
              <w:ind w:firstLine="0"/>
              <w:rPr>
                <w:sz w:val="18"/>
                <w:szCs w:val="18"/>
                <w:lang w:val="sq-AL"/>
              </w:rPr>
            </w:pPr>
          </w:p>
        </w:tc>
        <w:tc>
          <w:tcPr>
            <w:tcW w:w="1729" w:type="dxa"/>
          </w:tcPr>
          <w:p w14:paraId="584F6EC4" w14:textId="0EA67C5D" w:rsidR="00516B92" w:rsidRPr="00050FA4" w:rsidRDefault="00516B92" w:rsidP="00A250C1">
            <w:pPr>
              <w:pStyle w:val="AAAAAAATEXXXX"/>
              <w:ind w:firstLine="0"/>
              <w:rPr>
                <w:sz w:val="18"/>
                <w:szCs w:val="18"/>
                <w:lang w:val="sq-AL"/>
              </w:rPr>
            </w:pPr>
            <w:r w:rsidRPr="00050FA4">
              <w:rPr>
                <w:sz w:val="18"/>
                <w:szCs w:val="18"/>
                <w:lang w:val="sq-AL"/>
              </w:rPr>
              <w:t>N/A</w:t>
            </w:r>
          </w:p>
        </w:tc>
      </w:tr>
      <w:tr w:rsidR="00FA29AB" w:rsidRPr="00050FA4" w14:paraId="5C206D0F" w14:textId="77777777" w:rsidTr="005407AC">
        <w:trPr>
          <w:jc w:val="center"/>
        </w:trPr>
        <w:tc>
          <w:tcPr>
            <w:tcW w:w="819" w:type="dxa"/>
          </w:tcPr>
          <w:p w14:paraId="4E4B5E2E" w14:textId="77777777" w:rsidR="00516B92" w:rsidRPr="00050FA4" w:rsidRDefault="00516B92" w:rsidP="00A250C1">
            <w:pPr>
              <w:pStyle w:val="AAAAAAATEXXXX"/>
              <w:ind w:firstLine="0"/>
              <w:rPr>
                <w:sz w:val="18"/>
                <w:szCs w:val="18"/>
                <w:lang w:val="sq-AL"/>
              </w:rPr>
            </w:pPr>
            <w:r w:rsidRPr="00050FA4">
              <w:rPr>
                <w:sz w:val="18"/>
                <w:szCs w:val="18"/>
                <w:lang w:val="sq-AL"/>
              </w:rPr>
              <w:t>2023</w:t>
            </w:r>
          </w:p>
        </w:tc>
        <w:tc>
          <w:tcPr>
            <w:tcW w:w="1412" w:type="dxa"/>
          </w:tcPr>
          <w:p w14:paraId="3C68E60D" w14:textId="23FDAF30" w:rsidR="00516B92" w:rsidRPr="00050FA4" w:rsidRDefault="00516B92" w:rsidP="00A250C1">
            <w:pPr>
              <w:pStyle w:val="AAAAAAATEXXXX"/>
              <w:ind w:firstLine="0"/>
              <w:rPr>
                <w:sz w:val="18"/>
                <w:szCs w:val="18"/>
                <w:lang w:val="sq-AL"/>
              </w:rPr>
            </w:pPr>
            <w:r w:rsidRPr="00050FA4">
              <w:rPr>
                <w:sz w:val="18"/>
                <w:szCs w:val="18"/>
                <w:lang w:val="sq-AL"/>
              </w:rPr>
              <w:t>N/A</w:t>
            </w:r>
          </w:p>
        </w:tc>
        <w:tc>
          <w:tcPr>
            <w:tcW w:w="988" w:type="dxa"/>
          </w:tcPr>
          <w:p w14:paraId="1F4E444F" w14:textId="56368F24" w:rsidR="00516B92" w:rsidRPr="00050FA4" w:rsidRDefault="00516B92" w:rsidP="00A250C1">
            <w:pPr>
              <w:pStyle w:val="AAAAAAATEXXXX"/>
              <w:ind w:firstLine="0"/>
              <w:rPr>
                <w:sz w:val="18"/>
                <w:szCs w:val="18"/>
                <w:lang w:val="sq-AL"/>
              </w:rPr>
            </w:pPr>
            <w:r w:rsidRPr="00050FA4">
              <w:rPr>
                <w:sz w:val="18"/>
                <w:szCs w:val="18"/>
                <w:lang w:val="sq-AL"/>
              </w:rPr>
              <w:t>N/A</w:t>
            </w:r>
          </w:p>
        </w:tc>
        <w:tc>
          <w:tcPr>
            <w:tcW w:w="1145" w:type="dxa"/>
          </w:tcPr>
          <w:p w14:paraId="189F5E66" w14:textId="061E3598" w:rsidR="00516B92" w:rsidRPr="00050FA4" w:rsidRDefault="00516B92" w:rsidP="00A250C1">
            <w:pPr>
              <w:pStyle w:val="AAAAAAATEXXXX"/>
              <w:ind w:firstLine="0"/>
              <w:rPr>
                <w:sz w:val="18"/>
                <w:szCs w:val="18"/>
                <w:lang w:val="sq-AL"/>
              </w:rPr>
            </w:pPr>
            <w:r w:rsidRPr="00050FA4">
              <w:rPr>
                <w:sz w:val="18"/>
                <w:szCs w:val="18"/>
                <w:lang w:val="sq-AL"/>
              </w:rPr>
              <w:t>N/A</w:t>
            </w:r>
          </w:p>
        </w:tc>
        <w:tc>
          <w:tcPr>
            <w:tcW w:w="868" w:type="dxa"/>
          </w:tcPr>
          <w:p w14:paraId="34F51E69" w14:textId="4FFAAFB5" w:rsidR="00516B92" w:rsidRPr="00050FA4" w:rsidRDefault="00516B92" w:rsidP="00A250C1">
            <w:pPr>
              <w:pStyle w:val="AAAAAAATEXXXX"/>
              <w:ind w:firstLine="0"/>
              <w:rPr>
                <w:sz w:val="18"/>
                <w:szCs w:val="18"/>
                <w:lang w:val="sq-AL"/>
              </w:rPr>
            </w:pPr>
            <w:r w:rsidRPr="00050FA4">
              <w:rPr>
                <w:sz w:val="18"/>
                <w:szCs w:val="18"/>
                <w:lang w:val="sq-AL"/>
              </w:rPr>
              <w:t>N/A</w:t>
            </w:r>
          </w:p>
        </w:tc>
        <w:tc>
          <w:tcPr>
            <w:tcW w:w="1271" w:type="dxa"/>
          </w:tcPr>
          <w:p w14:paraId="3A9C7431" w14:textId="5F338207" w:rsidR="00516B92" w:rsidRPr="00050FA4" w:rsidRDefault="00516B92" w:rsidP="00A250C1">
            <w:pPr>
              <w:pStyle w:val="AAAAAAATEXXXX"/>
              <w:ind w:firstLine="0"/>
              <w:rPr>
                <w:sz w:val="18"/>
                <w:szCs w:val="18"/>
                <w:lang w:val="sq-AL"/>
              </w:rPr>
            </w:pPr>
            <w:r w:rsidRPr="00050FA4">
              <w:rPr>
                <w:sz w:val="18"/>
                <w:szCs w:val="18"/>
                <w:lang w:val="sq-AL"/>
              </w:rPr>
              <w:t>N/A</w:t>
            </w:r>
          </w:p>
        </w:tc>
        <w:tc>
          <w:tcPr>
            <w:tcW w:w="1133" w:type="dxa"/>
          </w:tcPr>
          <w:p w14:paraId="1F2251AC" w14:textId="56102720" w:rsidR="00516B92" w:rsidRPr="00050FA4" w:rsidRDefault="00516B92" w:rsidP="00A250C1">
            <w:pPr>
              <w:pStyle w:val="AAAAAAATEXXXX"/>
              <w:ind w:firstLine="0"/>
              <w:rPr>
                <w:sz w:val="18"/>
                <w:szCs w:val="18"/>
                <w:lang w:val="sq-AL"/>
              </w:rPr>
            </w:pPr>
            <w:r w:rsidRPr="00050FA4">
              <w:rPr>
                <w:sz w:val="18"/>
                <w:szCs w:val="18"/>
                <w:lang w:val="sq-AL"/>
              </w:rPr>
              <w:t>N/A</w:t>
            </w:r>
          </w:p>
        </w:tc>
        <w:tc>
          <w:tcPr>
            <w:tcW w:w="836" w:type="dxa"/>
          </w:tcPr>
          <w:p w14:paraId="02A3ED1C" w14:textId="44B9D5A2" w:rsidR="00516B92" w:rsidRPr="00050FA4" w:rsidRDefault="00516B92" w:rsidP="00A250C1">
            <w:pPr>
              <w:pStyle w:val="AAAAAAATEXXXX"/>
              <w:ind w:firstLine="0"/>
              <w:rPr>
                <w:sz w:val="18"/>
                <w:szCs w:val="18"/>
                <w:lang w:val="sq-AL"/>
              </w:rPr>
            </w:pPr>
            <w:r w:rsidRPr="00050FA4">
              <w:rPr>
                <w:sz w:val="18"/>
                <w:szCs w:val="18"/>
                <w:lang w:val="sq-AL"/>
              </w:rPr>
              <w:t>N/A</w:t>
            </w:r>
          </w:p>
        </w:tc>
        <w:tc>
          <w:tcPr>
            <w:tcW w:w="1729" w:type="dxa"/>
          </w:tcPr>
          <w:p w14:paraId="65CBF26F" w14:textId="28458DFB" w:rsidR="00516B92" w:rsidRPr="00050FA4" w:rsidRDefault="00516B92" w:rsidP="00A250C1">
            <w:pPr>
              <w:pStyle w:val="AAAAAAATEXXXX"/>
              <w:ind w:firstLine="0"/>
              <w:rPr>
                <w:sz w:val="18"/>
                <w:szCs w:val="18"/>
                <w:lang w:val="sq-AL"/>
              </w:rPr>
            </w:pPr>
            <w:r w:rsidRPr="00050FA4">
              <w:rPr>
                <w:sz w:val="18"/>
                <w:szCs w:val="18"/>
                <w:lang w:val="sq-AL"/>
              </w:rPr>
              <w:t>N/A</w:t>
            </w:r>
          </w:p>
        </w:tc>
      </w:tr>
      <w:tr w:rsidR="00FA29AB" w:rsidRPr="00050FA4" w14:paraId="05D3B348" w14:textId="77777777" w:rsidTr="005407AC">
        <w:trPr>
          <w:jc w:val="center"/>
        </w:trPr>
        <w:tc>
          <w:tcPr>
            <w:tcW w:w="819" w:type="dxa"/>
          </w:tcPr>
          <w:p w14:paraId="6304B608" w14:textId="77777777" w:rsidR="00516B92" w:rsidRPr="00050FA4" w:rsidRDefault="00516B92" w:rsidP="00A250C1">
            <w:pPr>
              <w:pStyle w:val="AAAAAAATEXXXX"/>
              <w:ind w:firstLine="0"/>
              <w:rPr>
                <w:sz w:val="18"/>
                <w:szCs w:val="18"/>
                <w:lang w:val="sq-AL"/>
              </w:rPr>
            </w:pPr>
            <w:r w:rsidRPr="00050FA4">
              <w:rPr>
                <w:sz w:val="18"/>
                <w:szCs w:val="18"/>
                <w:lang w:val="sq-AL"/>
              </w:rPr>
              <w:t>2024</w:t>
            </w:r>
          </w:p>
        </w:tc>
        <w:tc>
          <w:tcPr>
            <w:tcW w:w="1412" w:type="dxa"/>
          </w:tcPr>
          <w:p w14:paraId="46C84C17" w14:textId="0F649FC4" w:rsidR="00516B92" w:rsidRPr="00050FA4" w:rsidRDefault="00516B92" w:rsidP="00A250C1">
            <w:pPr>
              <w:pStyle w:val="AAAAAAATEXXXX"/>
              <w:ind w:firstLine="0"/>
              <w:rPr>
                <w:sz w:val="18"/>
                <w:szCs w:val="18"/>
                <w:lang w:val="sq-AL"/>
              </w:rPr>
            </w:pPr>
            <w:r w:rsidRPr="00050FA4">
              <w:rPr>
                <w:sz w:val="18"/>
                <w:szCs w:val="18"/>
                <w:lang w:val="sq-AL"/>
              </w:rPr>
              <w:t>N/A</w:t>
            </w:r>
          </w:p>
        </w:tc>
        <w:tc>
          <w:tcPr>
            <w:tcW w:w="988" w:type="dxa"/>
          </w:tcPr>
          <w:p w14:paraId="0D1BD983" w14:textId="2251E3EB" w:rsidR="00516B92" w:rsidRPr="00050FA4" w:rsidRDefault="00516B92" w:rsidP="00A250C1">
            <w:pPr>
              <w:pStyle w:val="AAAAAAATEXXXX"/>
              <w:ind w:firstLine="0"/>
              <w:rPr>
                <w:sz w:val="18"/>
                <w:szCs w:val="18"/>
                <w:lang w:val="sq-AL"/>
              </w:rPr>
            </w:pPr>
            <w:r w:rsidRPr="00050FA4">
              <w:rPr>
                <w:sz w:val="18"/>
                <w:szCs w:val="18"/>
                <w:lang w:val="sq-AL"/>
              </w:rPr>
              <w:t>N/A</w:t>
            </w:r>
          </w:p>
        </w:tc>
        <w:tc>
          <w:tcPr>
            <w:tcW w:w="1145" w:type="dxa"/>
          </w:tcPr>
          <w:p w14:paraId="00743130" w14:textId="3AA16D50" w:rsidR="00516B92" w:rsidRPr="00050FA4" w:rsidRDefault="00516B92" w:rsidP="00A250C1">
            <w:pPr>
              <w:pStyle w:val="AAAAAAATEXXXX"/>
              <w:ind w:firstLine="0"/>
              <w:rPr>
                <w:sz w:val="18"/>
                <w:szCs w:val="18"/>
                <w:lang w:val="sq-AL"/>
              </w:rPr>
            </w:pPr>
            <w:r w:rsidRPr="00050FA4">
              <w:rPr>
                <w:sz w:val="18"/>
                <w:szCs w:val="18"/>
                <w:lang w:val="sq-AL"/>
              </w:rPr>
              <w:t>N/A</w:t>
            </w:r>
          </w:p>
        </w:tc>
        <w:tc>
          <w:tcPr>
            <w:tcW w:w="868" w:type="dxa"/>
          </w:tcPr>
          <w:p w14:paraId="048FB391" w14:textId="5DEB5FB7" w:rsidR="00516B92" w:rsidRPr="00050FA4" w:rsidRDefault="00516B92" w:rsidP="00A250C1">
            <w:pPr>
              <w:pStyle w:val="AAAAAAATEXXXX"/>
              <w:ind w:firstLine="0"/>
              <w:rPr>
                <w:sz w:val="18"/>
                <w:szCs w:val="18"/>
                <w:lang w:val="sq-AL"/>
              </w:rPr>
            </w:pPr>
            <w:r w:rsidRPr="00050FA4">
              <w:rPr>
                <w:sz w:val="18"/>
                <w:szCs w:val="18"/>
                <w:lang w:val="sq-AL"/>
              </w:rPr>
              <w:t>N/A</w:t>
            </w:r>
          </w:p>
        </w:tc>
        <w:tc>
          <w:tcPr>
            <w:tcW w:w="1271" w:type="dxa"/>
          </w:tcPr>
          <w:p w14:paraId="17E86CD7" w14:textId="29C3DE87" w:rsidR="00516B92" w:rsidRPr="00050FA4" w:rsidRDefault="00516B92" w:rsidP="00A250C1">
            <w:pPr>
              <w:pStyle w:val="AAAAAAATEXXXX"/>
              <w:ind w:firstLine="0"/>
              <w:rPr>
                <w:sz w:val="18"/>
                <w:szCs w:val="18"/>
                <w:lang w:val="sq-AL"/>
              </w:rPr>
            </w:pPr>
            <w:r w:rsidRPr="00050FA4">
              <w:rPr>
                <w:sz w:val="18"/>
                <w:szCs w:val="18"/>
                <w:lang w:val="sq-AL"/>
              </w:rPr>
              <w:t>N/A</w:t>
            </w:r>
          </w:p>
        </w:tc>
        <w:tc>
          <w:tcPr>
            <w:tcW w:w="1133" w:type="dxa"/>
          </w:tcPr>
          <w:p w14:paraId="4AA424B1" w14:textId="5A3C9BDC" w:rsidR="00516B92" w:rsidRPr="00050FA4" w:rsidRDefault="00516B92" w:rsidP="00A250C1">
            <w:pPr>
              <w:pStyle w:val="AAAAAAATEXXXX"/>
              <w:ind w:firstLine="0"/>
              <w:rPr>
                <w:sz w:val="18"/>
                <w:szCs w:val="18"/>
                <w:lang w:val="sq-AL"/>
              </w:rPr>
            </w:pPr>
            <w:r w:rsidRPr="00050FA4">
              <w:rPr>
                <w:sz w:val="18"/>
                <w:szCs w:val="18"/>
                <w:lang w:val="sq-AL"/>
              </w:rPr>
              <w:t>N/A</w:t>
            </w:r>
          </w:p>
        </w:tc>
        <w:tc>
          <w:tcPr>
            <w:tcW w:w="836" w:type="dxa"/>
          </w:tcPr>
          <w:p w14:paraId="162077CC" w14:textId="62343750" w:rsidR="00516B92" w:rsidRPr="00050FA4" w:rsidRDefault="00516B92" w:rsidP="00A250C1">
            <w:pPr>
              <w:pStyle w:val="AAAAAAATEXXXX"/>
              <w:ind w:firstLine="0"/>
              <w:rPr>
                <w:sz w:val="18"/>
                <w:szCs w:val="18"/>
                <w:lang w:val="sq-AL"/>
              </w:rPr>
            </w:pPr>
            <w:r w:rsidRPr="00050FA4">
              <w:rPr>
                <w:sz w:val="18"/>
                <w:szCs w:val="18"/>
                <w:lang w:val="sq-AL"/>
              </w:rPr>
              <w:t>N/A</w:t>
            </w:r>
          </w:p>
        </w:tc>
        <w:tc>
          <w:tcPr>
            <w:tcW w:w="1729" w:type="dxa"/>
          </w:tcPr>
          <w:p w14:paraId="76A07C76" w14:textId="083AE397" w:rsidR="00516B92" w:rsidRPr="00050FA4" w:rsidRDefault="00516B92" w:rsidP="00A250C1">
            <w:pPr>
              <w:pStyle w:val="AAAAAAATEXXXX"/>
              <w:ind w:firstLine="0"/>
              <w:rPr>
                <w:sz w:val="18"/>
                <w:szCs w:val="18"/>
                <w:lang w:val="sq-AL"/>
              </w:rPr>
            </w:pPr>
            <w:r w:rsidRPr="00050FA4">
              <w:rPr>
                <w:sz w:val="18"/>
                <w:szCs w:val="18"/>
                <w:lang w:val="sq-AL"/>
              </w:rPr>
              <w:t>N/A</w:t>
            </w:r>
          </w:p>
        </w:tc>
      </w:tr>
    </w:tbl>
    <w:p w14:paraId="259180BD" w14:textId="77777777" w:rsidR="00E06E0F" w:rsidRPr="00050FA4" w:rsidRDefault="00E06E0F" w:rsidP="003F1DA7">
      <w:pPr>
        <w:pStyle w:val="AAAAAAATEXXXX"/>
        <w:rPr>
          <w:sz w:val="20"/>
          <w:szCs w:val="20"/>
          <w:lang w:val="sq-AL"/>
        </w:rPr>
      </w:pPr>
    </w:p>
    <w:tbl>
      <w:tblPr>
        <w:tblStyle w:val="TableGrid"/>
        <w:tblW w:w="10201" w:type="dxa"/>
        <w:shd w:val="clear" w:color="auto" w:fill="E5DFEC" w:themeFill="accent4" w:themeFillTint="33"/>
        <w:tblLayout w:type="fixed"/>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7C91C7C0" w14:textId="77777777" w:rsidTr="00F51BF1">
        <w:tc>
          <w:tcPr>
            <w:tcW w:w="10201" w:type="dxa"/>
            <w:gridSpan w:val="9"/>
            <w:shd w:val="clear" w:color="auto" w:fill="E5DFEC" w:themeFill="accent4" w:themeFillTint="33"/>
          </w:tcPr>
          <w:p w14:paraId="5A04933F" w14:textId="217AC586" w:rsidR="00E06E0F" w:rsidRPr="00050FA4" w:rsidRDefault="00B2062A" w:rsidP="00A250C1">
            <w:pPr>
              <w:pStyle w:val="AAAAAAATEXXXX"/>
              <w:ind w:firstLine="0"/>
              <w:rPr>
                <w:sz w:val="20"/>
                <w:szCs w:val="20"/>
                <w:lang w:val="sq-AL"/>
              </w:rPr>
            </w:pPr>
            <w:r w:rsidRPr="00050FA4">
              <w:rPr>
                <w:b/>
                <w:sz w:val="20"/>
                <w:szCs w:val="20"/>
                <w:lang w:val="sq-AL"/>
              </w:rPr>
              <w:t>Masa e reformës</w:t>
            </w:r>
            <w:r w:rsidR="000B0C45" w:rsidRPr="00050FA4">
              <w:rPr>
                <w:b/>
                <w:sz w:val="20"/>
                <w:szCs w:val="20"/>
                <w:lang w:val="sq-AL"/>
              </w:rPr>
              <w:t xml:space="preserve"> </w:t>
            </w:r>
            <w:r w:rsidR="00E06E0F" w:rsidRPr="00050FA4">
              <w:rPr>
                <w:b/>
                <w:sz w:val="20"/>
                <w:szCs w:val="20"/>
                <w:lang w:val="sq-AL"/>
              </w:rPr>
              <w:t>15:</w:t>
            </w:r>
            <w:r w:rsidR="000B0C45" w:rsidRPr="00050FA4">
              <w:rPr>
                <w:b/>
                <w:sz w:val="20"/>
                <w:szCs w:val="20"/>
                <w:lang w:val="sq-AL"/>
              </w:rPr>
              <w:t xml:space="preserve"> </w:t>
            </w:r>
            <w:r w:rsidR="00461CA0" w:rsidRPr="00050FA4">
              <w:rPr>
                <w:b/>
                <w:sz w:val="20"/>
                <w:szCs w:val="20"/>
                <w:lang w:val="sq-AL"/>
              </w:rPr>
              <w:t>Rehabilitimi dhe ndërtimi i segmentit hekurudhor Durrës-TIA-Tiranë</w:t>
            </w:r>
          </w:p>
        </w:tc>
      </w:tr>
      <w:tr w:rsidR="00FA29AB" w:rsidRPr="00050FA4" w14:paraId="0C90A2DC" w14:textId="77777777" w:rsidTr="005407AC">
        <w:tc>
          <w:tcPr>
            <w:tcW w:w="1070" w:type="dxa"/>
            <w:shd w:val="clear" w:color="auto" w:fill="auto"/>
            <w:vAlign w:val="center"/>
          </w:tcPr>
          <w:p w14:paraId="7FA91837" w14:textId="19894FC1" w:rsidR="00E06E0F" w:rsidRPr="00050FA4" w:rsidRDefault="005E44FE" w:rsidP="005407AC">
            <w:pPr>
              <w:pStyle w:val="AAAAAAATEXXXX"/>
              <w:ind w:firstLine="0"/>
              <w:jc w:val="center"/>
              <w:rPr>
                <w:b/>
                <w:sz w:val="20"/>
                <w:szCs w:val="20"/>
                <w:lang w:val="sq-AL"/>
              </w:rPr>
            </w:pPr>
            <w:r w:rsidRPr="00050FA4">
              <w:rPr>
                <w:b/>
                <w:sz w:val="20"/>
                <w:szCs w:val="20"/>
                <w:lang w:val="sq-AL"/>
              </w:rPr>
              <w:t>Viti</w:t>
            </w:r>
          </w:p>
        </w:tc>
        <w:tc>
          <w:tcPr>
            <w:tcW w:w="1070" w:type="dxa"/>
            <w:shd w:val="clear" w:color="auto" w:fill="auto"/>
            <w:vAlign w:val="center"/>
          </w:tcPr>
          <w:p w14:paraId="151305C5" w14:textId="32808832" w:rsidR="00E06E0F" w:rsidRPr="00050FA4" w:rsidRDefault="005E44FE" w:rsidP="005407AC">
            <w:pPr>
              <w:pStyle w:val="AAAAAAATEXXXX"/>
              <w:ind w:firstLine="0"/>
              <w:jc w:val="center"/>
              <w:rPr>
                <w:b/>
                <w:sz w:val="20"/>
                <w:szCs w:val="20"/>
                <w:lang w:val="sq-AL"/>
              </w:rPr>
            </w:pPr>
            <w:r w:rsidRPr="00050FA4">
              <w:rPr>
                <w:b/>
                <w:sz w:val="20"/>
                <w:szCs w:val="20"/>
                <w:lang w:val="sq-AL"/>
              </w:rPr>
              <w:t>Buxheti qendror</w:t>
            </w:r>
          </w:p>
        </w:tc>
        <w:tc>
          <w:tcPr>
            <w:tcW w:w="1071" w:type="dxa"/>
            <w:shd w:val="clear" w:color="auto" w:fill="auto"/>
            <w:vAlign w:val="center"/>
          </w:tcPr>
          <w:p w14:paraId="15D11FED" w14:textId="7567F18C" w:rsidR="00E06E0F" w:rsidRPr="00050FA4" w:rsidRDefault="004D1F24" w:rsidP="005407AC">
            <w:pPr>
              <w:pStyle w:val="AAAAAAATEXXXX"/>
              <w:ind w:firstLine="0"/>
              <w:jc w:val="center"/>
              <w:rPr>
                <w:b/>
                <w:sz w:val="20"/>
                <w:szCs w:val="20"/>
                <w:lang w:val="sq-AL"/>
              </w:rPr>
            </w:pPr>
            <w:r w:rsidRPr="00050FA4">
              <w:rPr>
                <w:b/>
                <w:sz w:val="20"/>
                <w:szCs w:val="20"/>
                <w:lang w:val="sq-AL"/>
              </w:rPr>
              <w:t>Buxheti vendor</w:t>
            </w:r>
          </w:p>
        </w:tc>
        <w:tc>
          <w:tcPr>
            <w:tcW w:w="1070" w:type="dxa"/>
            <w:shd w:val="clear" w:color="auto" w:fill="auto"/>
            <w:vAlign w:val="center"/>
          </w:tcPr>
          <w:p w14:paraId="12C273E8" w14:textId="71B16BCD" w:rsidR="00E06E0F" w:rsidRPr="00050FA4" w:rsidRDefault="005E44FE" w:rsidP="005407AC">
            <w:pPr>
              <w:pStyle w:val="AAAAAAATEXXXX"/>
              <w:ind w:firstLine="0"/>
              <w:jc w:val="center"/>
              <w:rPr>
                <w:b/>
                <w:sz w:val="20"/>
                <w:szCs w:val="20"/>
                <w:lang w:val="sq-AL"/>
              </w:rPr>
            </w:pPr>
            <w:r w:rsidRPr="00050FA4">
              <w:rPr>
                <w:b/>
                <w:sz w:val="20"/>
                <w:szCs w:val="20"/>
                <w:lang w:val="sq-AL"/>
              </w:rPr>
              <w:t xml:space="preserve">Burime të tjera </w:t>
            </w:r>
            <w:r w:rsidR="004D1F24" w:rsidRPr="00050FA4">
              <w:rPr>
                <w:b/>
                <w:sz w:val="20"/>
                <w:szCs w:val="20"/>
                <w:lang w:val="sq-AL"/>
              </w:rPr>
              <w:t>kombëtare</w:t>
            </w:r>
            <w:r w:rsidRPr="00050FA4">
              <w:rPr>
                <w:b/>
                <w:sz w:val="20"/>
                <w:szCs w:val="20"/>
                <w:lang w:val="sq-AL"/>
              </w:rPr>
              <w:t xml:space="preserve"> të financave publike</w:t>
            </w:r>
          </w:p>
        </w:tc>
        <w:tc>
          <w:tcPr>
            <w:tcW w:w="1071" w:type="dxa"/>
            <w:shd w:val="clear" w:color="auto" w:fill="auto"/>
            <w:vAlign w:val="center"/>
          </w:tcPr>
          <w:p w14:paraId="48E55695" w14:textId="34164D9A" w:rsidR="00E06E0F" w:rsidRPr="00050FA4" w:rsidRDefault="005E44FE" w:rsidP="005407AC">
            <w:pPr>
              <w:pStyle w:val="AAAAAAATEXXXX"/>
              <w:ind w:firstLine="0"/>
              <w:jc w:val="center"/>
              <w:rPr>
                <w:b/>
                <w:sz w:val="20"/>
                <w:szCs w:val="20"/>
                <w:lang w:val="sq-AL"/>
              </w:rPr>
            </w:pPr>
            <w:r w:rsidRPr="00050FA4">
              <w:rPr>
                <w:b/>
                <w:sz w:val="20"/>
                <w:szCs w:val="20"/>
                <w:lang w:val="sq-AL"/>
              </w:rPr>
              <w:t>Fondet IPA</w:t>
            </w:r>
          </w:p>
        </w:tc>
        <w:tc>
          <w:tcPr>
            <w:tcW w:w="1070" w:type="dxa"/>
            <w:shd w:val="clear" w:color="auto" w:fill="auto"/>
            <w:vAlign w:val="center"/>
          </w:tcPr>
          <w:p w14:paraId="21378106" w14:textId="6D27F0D9" w:rsidR="00E06E0F" w:rsidRPr="00050FA4" w:rsidRDefault="005E44FE" w:rsidP="005407AC">
            <w:pPr>
              <w:pStyle w:val="AAAAAAATEXXXX"/>
              <w:ind w:firstLine="0"/>
              <w:jc w:val="center"/>
              <w:rPr>
                <w:b/>
                <w:sz w:val="20"/>
                <w:szCs w:val="20"/>
                <w:lang w:val="sq-AL"/>
              </w:rPr>
            </w:pPr>
            <w:r w:rsidRPr="00050FA4">
              <w:rPr>
                <w:b/>
                <w:sz w:val="20"/>
                <w:szCs w:val="20"/>
                <w:lang w:val="sq-AL"/>
              </w:rPr>
              <w:t>Dhurime të tjera</w:t>
            </w:r>
          </w:p>
        </w:tc>
        <w:tc>
          <w:tcPr>
            <w:tcW w:w="1071" w:type="dxa"/>
            <w:shd w:val="clear" w:color="auto" w:fill="auto"/>
            <w:vAlign w:val="center"/>
          </w:tcPr>
          <w:p w14:paraId="695D966C" w14:textId="0D7263E6" w:rsidR="00E06E0F" w:rsidRPr="00050FA4" w:rsidRDefault="005E44FE" w:rsidP="005407AC">
            <w:pPr>
              <w:pStyle w:val="AAAAAAATEXXXX"/>
              <w:ind w:firstLine="0"/>
              <w:jc w:val="center"/>
              <w:rPr>
                <w:b/>
                <w:sz w:val="20"/>
                <w:szCs w:val="20"/>
                <w:lang w:val="sq-AL"/>
              </w:rPr>
            </w:pPr>
            <w:r w:rsidRPr="00050FA4">
              <w:rPr>
                <w:b/>
                <w:sz w:val="20"/>
                <w:szCs w:val="20"/>
                <w:lang w:val="sq-AL"/>
              </w:rPr>
              <w:t>Hua projektesh</w:t>
            </w:r>
          </w:p>
        </w:tc>
        <w:tc>
          <w:tcPr>
            <w:tcW w:w="1070" w:type="dxa"/>
            <w:shd w:val="clear" w:color="auto" w:fill="auto"/>
            <w:vAlign w:val="center"/>
          </w:tcPr>
          <w:p w14:paraId="4660A5DE" w14:textId="77777777" w:rsidR="00E06E0F" w:rsidRPr="00050FA4" w:rsidRDefault="00E06E0F" w:rsidP="005407AC">
            <w:pPr>
              <w:pStyle w:val="AAAAAAATEXXXX"/>
              <w:ind w:firstLine="0"/>
              <w:jc w:val="center"/>
              <w:rPr>
                <w:b/>
                <w:sz w:val="20"/>
                <w:szCs w:val="20"/>
                <w:lang w:val="sq-AL"/>
              </w:rPr>
            </w:pPr>
            <w:r w:rsidRPr="00050FA4">
              <w:rPr>
                <w:b/>
                <w:sz w:val="20"/>
                <w:szCs w:val="20"/>
                <w:lang w:val="sq-AL"/>
              </w:rPr>
              <w:t>TBD</w:t>
            </w:r>
          </w:p>
        </w:tc>
        <w:tc>
          <w:tcPr>
            <w:tcW w:w="1638" w:type="dxa"/>
            <w:shd w:val="clear" w:color="auto" w:fill="auto"/>
            <w:vAlign w:val="center"/>
          </w:tcPr>
          <w:p w14:paraId="04C8206D" w14:textId="60E98E4F" w:rsidR="00E06E0F" w:rsidRPr="00050FA4" w:rsidRDefault="005E44FE" w:rsidP="005407AC">
            <w:pPr>
              <w:pStyle w:val="AAAAAAATEXXXX"/>
              <w:ind w:firstLine="0"/>
              <w:jc w:val="center"/>
              <w:rPr>
                <w:b/>
                <w:sz w:val="20"/>
                <w:szCs w:val="20"/>
                <w:lang w:val="sq-AL"/>
              </w:rPr>
            </w:pPr>
            <w:r w:rsidRPr="00050FA4">
              <w:rPr>
                <w:b/>
                <w:sz w:val="20"/>
                <w:szCs w:val="20"/>
                <w:lang w:val="sq-AL"/>
              </w:rPr>
              <w:t>Totali</w:t>
            </w:r>
          </w:p>
        </w:tc>
      </w:tr>
      <w:tr w:rsidR="00FA29AB" w:rsidRPr="00050FA4" w14:paraId="3AAAE2A5" w14:textId="77777777" w:rsidTr="00F51BF1">
        <w:tc>
          <w:tcPr>
            <w:tcW w:w="1070" w:type="dxa"/>
            <w:shd w:val="clear" w:color="auto" w:fill="auto"/>
          </w:tcPr>
          <w:p w14:paraId="23C47A4F" w14:textId="77777777" w:rsidR="00E06E0F" w:rsidRPr="00050FA4" w:rsidRDefault="00E06E0F" w:rsidP="00A250C1">
            <w:pPr>
              <w:pStyle w:val="AAAAAAATEXXXX"/>
              <w:ind w:firstLine="0"/>
              <w:rPr>
                <w:sz w:val="20"/>
                <w:szCs w:val="20"/>
                <w:lang w:val="sq-AL"/>
              </w:rPr>
            </w:pPr>
            <w:r w:rsidRPr="00050FA4">
              <w:rPr>
                <w:sz w:val="20"/>
                <w:szCs w:val="20"/>
                <w:lang w:val="sq-AL"/>
              </w:rPr>
              <w:t>2022</w:t>
            </w:r>
          </w:p>
        </w:tc>
        <w:tc>
          <w:tcPr>
            <w:tcW w:w="1070" w:type="dxa"/>
            <w:shd w:val="clear" w:color="auto" w:fill="auto"/>
          </w:tcPr>
          <w:p w14:paraId="4394FEDE" w14:textId="4DB424AB" w:rsidR="00E06E0F" w:rsidRPr="00050FA4" w:rsidRDefault="00E06E0F" w:rsidP="00A250C1">
            <w:pPr>
              <w:pStyle w:val="AAAAAAATEXXXX"/>
              <w:ind w:firstLine="0"/>
              <w:rPr>
                <w:sz w:val="20"/>
                <w:szCs w:val="20"/>
                <w:lang w:val="sq-AL"/>
              </w:rPr>
            </w:pPr>
            <w:r w:rsidRPr="00050FA4">
              <w:rPr>
                <w:sz w:val="20"/>
                <w:szCs w:val="20"/>
                <w:lang w:val="sq-AL"/>
              </w:rPr>
              <w:t>6.06</w:t>
            </w:r>
            <w:r w:rsidR="000B0C45" w:rsidRPr="00050FA4">
              <w:rPr>
                <w:sz w:val="20"/>
                <w:szCs w:val="20"/>
                <w:lang w:val="sq-AL"/>
              </w:rPr>
              <w:t xml:space="preserve"> </w:t>
            </w:r>
            <w:r w:rsidRPr="00050FA4">
              <w:rPr>
                <w:sz w:val="20"/>
                <w:szCs w:val="20"/>
                <w:lang w:val="sq-AL"/>
              </w:rPr>
              <w:t>mn</w:t>
            </w:r>
          </w:p>
        </w:tc>
        <w:tc>
          <w:tcPr>
            <w:tcW w:w="1071" w:type="dxa"/>
            <w:shd w:val="clear" w:color="auto" w:fill="auto"/>
          </w:tcPr>
          <w:p w14:paraId="46026024" w14:textId="0B0EE914" w:rsidR="00E06E0F" w:rsidRPr="00050FA4" w:rsidRDefault="00E06E0F" w:rsidP="00A250C1">
            <w:pPr>
              <w:pStyle w:val="AAAAAAATEXXXX"/>
              <w:ind w:firstLine="0"/>
              <w:rPr>
                <w:sz w:val="20"/>
                <w:szCs w:val="20"/>
                <w:lang w:val="sq-AL"/>
              </w:rPr>
            </w:pPr>
            <w:r w:rsidRPr="00050FA4">
              <w:rPr>
                <w:sz w:val="20"/>
                <w:szCs w:val="20"/>
                <w:lang w:val="sq-AL"/>
              </w:rPr>
              <w:t>6.06</w:t>
            </w:r>
            <w:r w:rsidR="000B0C45" w:rsidRPr="00050FA4">
              <w:rPr>
                <w:sz w:val="20"/>
                <w:szCs w:val="20"/>
                <w:lang w:val="sq-AL"/>
              </w:rPr>
              <w:t xml:space="preserve"> </w:t>
            </w:r>
            <w:r w:rsidRPr="00050FA4">
              <w:rPr>
                <w:sz w:val="20"/>
                <w:szCs w:val="20"/>
                <w:lang w:val="sq-AL"/>
              </w:rPr>
              <w:t>mn</w:t>
            </w:r>
          </w:p>
        </w:tc>
        <w:tc>
          <w:tcPr>
            <w:tcW w:w="1070" w:type="dxa"/>
            <w:shd w:val="clear" w:color="auto" w:fill="auto"/>
          </w:tcPr>
          <w:p w14:paraId="642F2895"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1" w:type="dxa"/>
            <w:shd w:val="clear" w:color="auto" w:fill="auto"/>
          </w:tcPr>
          <w:p w14:paraId="0034BE5D" w14:textId="4B22AFC8" w:rsidR="00E06E0F" w:rsidRPr="00050FA4" w:rsidRDefault="00E06E0F" w:rsidP="00A250C1">
            <w:pPr>
              <w:pStyle w:val="AAAAAAATEXXXX"/>
              <w:ind w:firstLine="0"/>
              <w:rPr>
                <w:sz w:val="20"/>
                <w:szCs w:val="20"/>
                <w:lang w:val="sq-AL"/>
              </w:rPr>
            </w:pPr>
            <w:r w:rsidRPr="00050FA4">
              <w:rPr>
                <w:sz w:val="20"/>
                <w:szCs w:val="20"/>
                <w:lang w:val="sq-AL"/>
              </w:rPr>
              <w:t>26</w:t>
            </w:r>
            <w:r w:rsidR="000B0C45" w:rsidRPr="00050FA4">
              <w:rPr>
                <w:sz w:val="20"/>
                <w:szCs w:val="20"/>
                <w:lang w:val="sq-AL"/>
              </w:rPr>
              <w:t xml:space="preserve"> </w:t>
            </w:r>
            <w:r w:rsidRPr="00050FA4">
              <w:rPr>
                <w:sz w:val="20"/>
                <w:szCs w:val="20"/>
                <w:lang w:val="sq-AL"/>
              </w:rPr>
              <w:t>mn</w:t>
            </w:r>
          </w:p>
        </w:tc>
        <w:tc>
          <w:tcPr>
            <w:tcW w:w="1070" w:type="dxa"/>
            <w:shd w:val="clear" w:color="auto" w:fill="auto"/>
          </w:tcPr>
          <w:p w14:paraId="0277AE49" w14:textId="0164F280" w:rsidR="00E06E0F" w:rsidRPr="00050FA4" w:rsidRDefault="00E06E0F" w:rsidP="00A250C1">
            <w:pPr>
              <w:pStyle w:val="AAAAAAATEXXXX"/>
              <w:ind w:firstLine="0"/>
              <w:rPr>
                <w:sz w:val="20"/>
                <w:szCs w:val="20"/>
                <w:lang w:val="sq-AL"/>
              </w:rPr>
            </w:pPr>
            <w:r w:rsidRPr="00050FA4">
              <w:rPr>
                <w:sz w:val="20"/>
                <w:szCs w:val="20"/>
                <w:lang w:val="sq-AL"/>
              </w:rPr>
              <w:t>10.65</w:t>
            </w:r>
            <w:r w:rsidR="000B0C45" w:rsidRPr="00050FA4">
              <w:rPr>
                <w:sz w:val="20"/>
                <w:szCs w:val="20"/>
                <w:lang w:val="sq-AL"/>
              </w:rPr>
              <w:t xml:space="preserve"> </w:t>
            </w:r>
            <w:r w:rsidRPr="00050FA4">
              <w:rPr>
                <w:sz w:val="20"/>
                <w:szCs w:val="20"/>
                <w:lang w:val="sq-AL"/>
              </w:rPr>
              <w:t>mn</w:t>
            </w:r>
          </w:p>
        </w:tc>
        <w:tc>
          <w:tcPr>
            <w:tcW w:w="1071" w:type="dxa"/>
            <w:shd w:val="clear" w:color="auto" w:fill="auto"/>
          </w:tcPr>
          <w:p w14:paraId="4465D859" w14:textId="5CE85533" w:rsidR="00E06E0F" w:rsidRPr="00050FA4" w:rsidRDefault="00E06E0F" w:rsidP="00A250C1">
            <w:pPr>
              <w:pStyle w:val="AAAAAAATEXXXX"/>
              <w:ind w:firstLine="0"/>
              <w:rPr>
                <w:sz w:val="20"/>
                <w:szCs w:val="20"/>
                <w:lang w:val="sq-AL"/>
              </w:rPr>
            </w:pPr>
            <w:r w:rsidRPr="00050FA4">
              <w:rPr>
                <w:sz w:val="20"/>
                <w:szCs w:val="20"/>
                <w:lang w:val="sq-AL"/>
              </w:rPr>
              <w:t>36.87</w:t>
            </w:r>
            <w:r w:rsidR="000B0C45" w:rsidRPr="00050FA4">
              <w:rPr>
                <w:sz w:val="20"/>
                <w:szCs w:val="20"/>
                <w:lang w:val="sq-AL"/>
              </w:rPr>
              <w:t xml:space="preserve"> </w:t>
            </w:r>
            <w:r w:rsidRPr="00050FA4">
              <w:rPr>
                <w:sz w:val="20"/>
                <w:szCs w:val="20"/>
                <w:lang w:val="sq-AL"/>
              </w:rPr>
              <w:t>mn</w:t>
            </w:r>
          </w:p>
        </w:tc>
        <w:tc>
          <w:tcPr>
            <w:tcW w:w="1070" w:type="dxa"/>
            <w:shd w:val="clear" w:color="auto" w:fill="auto"/>
          </w:tcPr>
          <w:p w14:paraId="1229AE88" w14:textId="77777777" w:rsidR="00E06E0F" w:rsidRPr="00050FA4" w:rsidRDefault="00E06E0F" w:rsidP="00A250C1">
            <w:pPr>
              <w:pStyle w:val="AAAAAAATEXXXX"/>
              <w:ind w:firstLine="0"/>
              <w:rPr>
                <w:sz w:val="20"/>
                <w:szCs w:val="20"/>
                <w:lang w:val="sq-AL"/>
              </w:rPr>
            </w:pPr>
          </w:p>
        </w:tc>
        <w:tc>
          <w:tcPr>
            <w:tcW w:w="1638" w:type="dxa"/>
            <w:shd w:val="clear" w:color="auto" w:fill="auto"/>
          </w:tcPr>
          <w:p w14:paraId="641953A6" w14:textId="644D8E2C" w:rsidR="00E06E0F" w:rsidRPr="00050FA4" w:rsidRDefault="00E06E0F" w:rsidP="00A250C1">
            <w:pPr>
              <w:pStyle w:val="AAAAAAATEXXXX"/>
              <w:ind w:firstLine="0"/>
              <w:rPr>
                <w:sz w:val="20"/>
                <w:szCs w:val="20"/>
                <w:lang w:val="sq-AL"/>
              </w:rPr>
            </w:pPr>
            <w:r w:rsidRPr="00050FA4">
              <w:rPr>
                <w:sz w:val="20"/>
                <w:szCs w:val="20"/>
                <w:lang w:val="sq-AL"/>
              </w:rPr>
              <w:t>79.58</w:t>
            </w:r>
            <w:r w:rsidR="000B0C45" w:rsidRPr="00050FA4">
              <w:rPr>
                <w:sz w:val="20"/>
                <w:szCs w:val="20"/>
                <w:lang w:val="sq-AL"/>
              </w:rPr>
              <w:t xml:space="preserve"> </w:t>
            </w:r>
            <w:r w:rsidRPr="00050FA4">
              <w:rPr>
                <w:sz w:val="20"/>
                <w:szCs w:val="20"/>
                <w:lang w:val="sq-AL"/>
              </w:rPr>
              <w:t>mn</w:t>
            </w:r>
          </w:p>
        </w:tc>
      </w:tr>
      <w:tr w:rsidR="00FA29AB" w:rsidRPr="00050FA4" w14:paraId="5EAC64DF" w14:textId="77777777" w:rsidTr="00F51BF1">
        <w:tc>
          <w:tcPr>
            <w:tcW w:w="1070" w:type="dxa"/>
            <w:shd w:val="clear" w:color="auto" w:fill="auto"/>
          </w:tcPr>
          <w:p w14:paraId="48C59787" w14:textId="77777777" w:rsidR="00E06E0F" w:rsidRPr="00050FA4" w:rsidRDefault="00E06E0F" w:rsidP="00A250C1">
            <w:pPr>
              <w:pStyle w:val="AAAAAAATEXXXX"/>
              <w:ind w:firstLine="0"/>
              <w:rPr>
                <w:sz w:val="20"/>
                <w:szCs w:val="20"/>
                <w:lang w:val="sq-AL"/>
              </w:rPr>
            </w:pPr>
            <w:r w:rsidRPr="00050FA4">
              <w:rPr>
                <w:sz w:val="20"/>
                <w:szCs w:val="20"/>
                <w:lang w:val="sq-AL"/>
              </w:rPr>
              <w:t>2023</w:t>
            </w:r>
          </w:p>
        </w:tc>
        <w:tc>
          <w:tcPr>
            <w:tcW w:w="1070" w:type="dxa"/>
            <w:shd w:val="clear" w:color="auto" w:fill="auto"/>
          </w:tcPr>
          <w:p w14:paraId="5F52E9BC" w14:textId="4E48FB70" w:rsidR="00E06E0F" w:rsidRPr="00050FA4" w:rsidRDefault="00E06E0F" w:rsidP="00A250C1">
            <w:pPr>
              <w:pStyle w:val="AAAAAAATEXXXX"/>
              <w:ind w:firstLine="0"/>
              <w:rPr>
                <w:sz w:val="20"/>
                <w:szCs w:val="20"/>
                <w:lang w:val="sq-AL"/>
              </w:rPr>
            </w:pPr>
            <w:r w:rsidRPr="00050FA4">
              <w:rPr>
                <w:sz w:val="20"/>
                <w:szCs w:val="20"/>
                <w:lang w:val="sq-AL"/>
              </w:rPr>
              <w:t>5</w:t>
            </w:r>
            <w:r w:rsidR="000B0C45" w:rsidRPr="00050FA4">
              <w:rPr>
                <w:sz w:val="20"/>
                <w:szCs w:val="20"/>
                <w:lang w:val="sq-AL"/>
              </w:rPr>
              <w:t xml:space="preserve"> </w:t>
            </w:r>
            <w:r w:rsidRPr="00050FA4">
              <w:rPr>
                <w:sz w:val="20"/>
                <w:szCs w:val="20"/>
                <w:lang w:val="sq-AL"/>
              </w:rPr>
              <w:t>mn</w:t>
            </w:r>
          </w:p>
        </w:tc>
        <w:tc>
          <w:tcPr>
            <w:tcW w:w="1071" w:type="dxa"/>
            <w:shd w:val="clear" w:color="auto" w:fill="auto"/>
          </w:tcPr>
          <w:p w14:paraId="0ADDCD62"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0" w:type="dxa"/>
            <w:shd w:val="clear" w:color="auto" w:fill="auto"/>
          </w:tcPr>
          <w:p w14:paraId="7A1CD448"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1" w:type="dxa"/>
            <w:shd w:val="clear" w:color="auto" w:fill="auto"/>
          </w:tcPr>
          <w:p w14:paraId="3F08CA63"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0" w:type="dxa"/>
            <w:shd w:val="clear" w:color="auto" w:fill="auto"/>
          </w:tcPr>
          <w:p w14:paraId="4F491819" w14:textId="77777777" w:rsidR="00E06E0F" w:rsidRPr="00050FA4" w:rsidRDefault="00E06E0F" w:rsidP="00A250C1">
            <w:pPr>
              <w:pStyle w:val="AAAAAAATEXXXX"/>
              <w:ind w:firstLine="0"/>
              <w:rPr>
                <w:sz w:val="20"/>
                <w:szCs w:val="20"/>
                <w:lang w:val="sq-AL"/>
              </w:rPr>
            </w:pPr>
            <w:r w:rsidRPr="00050FA4">
              <w:rPr>
                <w:sz w:val="20"/>
                <w:szCs w:val="20"/>
                <w:lang w:val="sq-AL"/>
              </w:rPr>
              <w:t>870k</w:t>
            </w:r>
          </w:p>
        </w:tc>
        <w:tc>
          <w:tcPr>
            <w:tcW w:w="1071" w:type="dxa"/>
            <w:shd w:val="clear" w:color="auto" w:fill="auto"/>
          </w:tcPr>
          <w:p w14:paraId="422E52A5"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0" w:type="dxa"/>
            <w:shd w:val="clear" w:color="auto" w:fill="auto"/>
          </w:tcPr>
          <w:p w14:paraId="06255C70" w14:textId="77777777" w:rsidR="00E06E0F" w:rsidRPr="00050FA4" w:rsidRDefault="00E06E0F" w:rsidP="00A250C1">
            <w:pPr>
              <w:pStyle w:val="AAAAAAATEXXXX"/>
              <w:ind w:firstLine="0"/>
              <w:rPr>
                <w:sz w:val="20"/>
                <w:szCs w:val="20"/>
                <w:lang w:val="sq-AL"/>
              </w:rPr>
            </w:pPr>
          </w:p>
        </w:tc>
        <w:tc>
          <w:tcPr>
            <w:tcW w:w="1638" w:type="dxa"/>
            <w:shd w:val="clear" w:color="auto" w:fill="auto"/>
          </w:tcPr>
          <w:p w14:paraId="6257D5A7" w14:textId="7819FEE2" w:rsidR="00E06E0F" w:rsidRPr="00050FA4" w:rsidRDefault="00E06E0F" w:rsidP="00A250C1">
            <w:pPr>
              <w:pStyle w:val="AAAAAAATEXXXX"/>
              <w:ind w:firstLine="0"/>
              <w:rPr>
                <w:sz w:val="20"/>
                <w:szCs w:val="20"/>
                <w:lang w:val="sq-AL"/>
              </w:rPr>
            </w:pPr>
            <w:r w:rsidRPr="00050FA4">
              <w:rPr>
                <w:sz w:val="20"/>
                <w:szCs w:val="20"/>
                <w:lang w:val="sq-AL"/>
              </w:rPr>
              <w:t>5.87</w:t>
            </w:r>
            <w:r w:rsidR="000B0C45" w:rsidRPr="00050FA4">
              <w:rPr>
                <w:sz w:val="20"/>
                <w:szCs w:val="20"/>
                <w:lang w:val="sq-AL"/>
              </w:rPr>
              <w:t xml:space="preserve"> </w:t>
            </w:r>
            <w:r w:rsidRPr="00050FA4">
              <w:rPr>
                <w:sz w:val="20"/>
                <w:szCs w:val="20"/>
                <w:lang w:val="sq-AL"/>
              </w:rPr>
              <w:t>mn</w:t>
            </w:r>
          </w:p>
        </w:tc>
      </w:tr>
      <w:tr w:rsidR="00FA29AB" w:rsidRPr="00050FA4" w14:paraId="040156DB" w14:textId="77777777" w:rsidTr="00F51BF1">
        <w:tc>
          <w:tcPr>
            <w:tcW w:w="1070" w:type="dxa"/>
            <w:shd w:val="clear" w:color="auto" w:fill="auto"/>
          </w:tcPr>
          <w:p w14:paraId="16A6ACDC" w14:textId="77777777" w:rsidR="00E06E0F" w:rsidRPr="00050FA4" w:rsidRDefault="00E06E0F" w:rsidP="00A250C1">
            <w:pPr>
              <w:pStyle w:val="AAAAAAATEXXXX"/>
              <w:ind w:firstLine="0"/>
              <w:rPr>
                <w:sz w:val="20"/>
                <w:szCs w:val="20"/>
                <w:lang w:val="sq-AL"/>
              </w:rPr>
            </w:pPr>
            <w:r w:rsidRPr="00050FA4">
              <w:rPr>
                <w:sz w:val="20"/>
                <w:szCs w:val="20"/>
                <w:lang w:val="sq-AL"/>
              </w:rPr>
              <w:t>2024</w:t>
            </w:r>
          </w:p>
        </w:tc>
        <w:tc>
          <w:tcPr>
            <w:tcW w:w="1070" w:type="dxa"/>
            <w:shd w:val="clear" w:color="auto" w:fill="auto"/>
          </w:tcPr>
          <w:p w14:paraId="13423257" w14:textId="70A54333" w:rsidR="00E06E0F" w:rsidRPr="00050FA4" w:rsidRDefault="00E06E0F" w:rsidP="00A250C1">
            <w:pPr>
              <w:pStyle w:val="AAAAAAATEXXXX"/>
              <w:ind w:firstLine="0"/>
              <w:rPr>
                <w:sz w:val="20"/>
                <w:szCs w:val="20"/>
                <w:lang w:val="sq-AL"/>
              </w:rPr>
            </w:pPr>
            <w:r w:rsidRPr="00050FA4">
              <w:rPr>
                <w:sz w:val="20"/>
                <w:szCs w:val="20"/>
                <w:lang w:val="sq-AL"/>
              </w:rPr>
              <w:t>5</w:t>
            </w:r>
            <w:r w:rsidR="000B0C45" w:rsidRPr="00050FA4">
              <w:rPr>
                <w:sz w:val="20"/>
                <w:szCs w:val="20"/>
                <w:lang w:val="sq-AL"/>
              </w:rPr>
              <w:t xml:space="preserve"> </w:t>
            </w:r>
            <w:r w:rsidRPr="00050FA4">
              <w:rPr>
                <w:sz w:val="20"/>
                <w:szCs w:val="20"/>
                <w:lang w:val="sq-AL"/>
              </w:rPr>
              <w:t>mn</w:t>
            </w:r>
          </w:p>
        </w:tc>
        <w:tc>
          <w:tcPr>
            <w:tcW w:w="1071" w:type="dxa"/>
            <w:shd w:val="clear" w:color="auto" w:fill="auto"/>
          </w:tcPr>
          <w:p w14:paraId="6D91F2D8"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0" w:type="dxa"/>
            <w:shd w:val="clear" w:color="auto" w:fill="auto"/>
          </w:tcPr>
          <w:p w14:paraId="131E2E00"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1" w:type="dxa"/>
            <w:shd w:val="clear" w:color="auto" w:fill="auto"/>
          </w:tcPr>
          <w:p w14:paraId="07D76E46"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0" w:type="dxa"/>
            <w:shd w:val="clear" w:color="auto" w:fill="auto"/>
          </w:tcPr>
          <w:p w14:paraId="6EAE36B6"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1" w:type="dxa"/>
            <w:shd w:val="clear" w:color="auto" w:fill="auto"/>
          </w:tcPr>
          <w:p w14:paraId="2C75E8AB" w14:textId="77777777" w:rsidR="00E06E0F" w:rsidRPr="00050FA4" w:rsidRDefault="00E06E0F" w:rsidP="00A250C1">
            <w:pPr>
              <w:pStyle w:val="AAAAAAATEXXXX"/>
              <w:ind w:firstLine="0"/>
              <w:rPr>
                <w:sz w:val="20"/>
                <w:szCs w:val="20"/>
                <w:lang w:val="sq-AL"/>
              </w:rPr>
            </w:pPr>
            <w:r w:rsidRPr="00050FA4">
              <w:rPr>
                <w:sz w:val="20"/>
                <w:szCs w:val="20"/>
                <w:lang w:val="sq-AL"/>
              </w:rPr>
              <w:t>0</w:t>
            </w:r>
          </w:p>
        </w:tc>
        <w:tc>
          <w:tcPr>
            <w:tcW w:w="1070" w:type="dxa"/>
            <w:shd w:val="clear" w:color="auto" w:fill="auto"/>
          </w:tcPr>
          <w:p w14:paraId="426BA809" w14:textId="77777777" w:rsidR="00E06E0F" w:rsidRPr="00050FA4" w:rsidRDefault="00E06E0F" w:rsidP="00A250C1">
            <w:pPr>
              <w:pStyle w:val="AAAAAAATEXXXX"/>
              <w:ind w:firstLine="0"/>
              <w:rPr>
                <w:sz w:val="20"/>
                <w:szCs w:val="20"/>
                <w:lang w:val="sq-AL"/>
              </w:rPr>
            </w:pPr>
          </w:p>
        </w:tc>
        <w:tc>
          <w:tcPr>
            <w:tcW w:w="1638" w:type="dxa"/>
            <w:shd w:val="clear" w:color="auto" w:fill="auto"/>
          </w:tcPr>
          <w:p w14:paraId="371A38C9" w14:textId="7045089E" w:rsidR="00E06E0F" w:rsidRPr="00050FA4" w:rsidRDefault="00E06E0F" w:rsidP="00A250C1">
            <w:pPr>
              <w:pStyle w:val="AAAAAAATEXXXX"/>
              <w:ind w:firstLine="0"/>
              <w:rPr>
                <w:sz w:val="20"/>
                <w:szCs w:val="20"/>
                <w:lang w:val="sq-AL"/>
              </w:rPr>
            </w:pPr>
            <w:r w:rsidRPr="00050FA4">
              <w:rPr>
                <w:sz w:val="20"/>
                <w:szCs w:val="20"/>
                <w:lang w:val="sq-AL"/>
              </w:rPr>
              <w:t>5</w:t>
            </w:r>
            <w:r w:rsidR="000B0C45" w:rsidRPr="00050FA4">
              <w:rPr>
                <w:sz w:val="20"/>
                <w:szCs w:val="20"/>
                <w:lang w:val="sq-AL"/>
              </w:rPr>
              <w:t xml:space="preserve"> </w:t>
            </w:r>
            <w:r w:rsidRPr="00050FA4">
              <w:rPr>
                <w:sz w:val="20"/>
                <w:szCs w:val="20"/>
                <w:lang w:val="sq-AL"/>
              </w:rPr>
              <w:t>mn</w:t>
            </w:r>
          </w:p>
        </w:tc>
      </w:tr>
    </w:tbl>
    <w:p w14:paraId="426DCF3F" w14:textId="77777777" w:rsidR="00E06E0F" w:rsidRPr="00050FA4" w:rsidRDefault="00E06E0F" w:rsidP="003F1DA7">
      <w:pPr>
        <w:pStyle w:val="AAAAAAATEXXXX"/>
        <w:rPr>
          <w:sz w:val="20"/>
          <w:szCs w:val="20"/>
          <w:lang w:val="sq-AL"/>
        </w:rPr>
      </w:pPr>
    </w:p>
    <w:p w14:paraId="1D8EF97E" w14:textId="77777777" w:rsidR="000109D2" w:rsidRPr="00050FA4" w:rsidRDefault="000109D2" w:rsidP="003F1DA7">
      <w:pPr>
        <w:pStyle w:val="AAAAAAATEXXXX"/>
        <w:rPr>
          <w:sz w:val="20"/>
          <w:szCs w:val="20"/>
          <w:lang w:val="sq-AL"/>
        </w:rPr>
      </w:pPr>
    </w:p>
    <w:p w14:paraId="110606BB" w14:textId="77777777" w:rsidR="000109D2" w:rsidRPr="00050FA4" w:rsidRDefault="000109D2"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70"/>
        <w:gridCol w:w="1070"/>
        <w:gridCol w:w="1071"/>
        <w:gridCol w:w="1070"/>
        <w:gridCol w:w="1071"/>
        <w:gridCol w:w="1070"/>
        <w:gridCol w:w="1071"/>
        <w:gridCol w:w="1070"/>
        <w:gridCol w:w="1638"/>
      </w:tblGrid>
      <w:tr w:rsidR="00FA29AB" w:rsidRPr="00050FA4" w14:paraId="6E8CC01E" w14:textId="77777777" w:rsidTr="00D825ED">
        <w:trPr>
          <w:jc w:val="center"/>
        </w:trPr>
        <w:tc>
          <w:tcPr>
            <w:tcW w:w="10201" w:type="dxa"/>
            <w:gridSpan w:val="9"/>
            <w:shd w:val="clear" w:color="auto" w:fill="E5DFEC" w:themeFill="accent4" w:themeFillTint="33"/>
          </w:tcPr>
          <w:p w14:paraId="09B48CDD" w14:textId="7EABFCCE" w:rsidR="00E06E0F" w:rsidRPr="00050FA4" w:rsidRDefault="00B2062A" w:rsidP="00A250C1">
            <w:pPr>
              <w:pStyle w:val="AAAAAAATEXXXX"/>
              <w:ind w:firstLine="0"/>
              <w:rPr>
                <w:sz w:val="18"/>
                <w:szCs w:val="18"/>
                <w:lang w:val="sq-AL"/>
              </w:rPr>
            </w:pPr>
            <w:r w:rsidRPr="00050FA4">
              <w:rPr>
                <w:b/>
                <w:sz w:val="18"/>
                <w:szCs w:val="18"/>
                <w:lang w:val="sq-AL"/>
              </w:rPr>
              <w:lastRenderedPageBreak/>
              <w:t>Masa e reformës</w:t>
            </w:r>
            <w:r w:rsidR="000B0C45" w:rsidRPr="00050FA4">
              <w:rPr>
                <w:b/>
                <w:sz w:val="18"/>
                <w:szCs w:val="18"/>
                <w:lang w:val="sq-AL"/>
              </w:rPr>
              <w:t xml:space="preserve"> </w:t>
            </w:r>
            <w:r w:rsidR="00E06E0F" w:rsidRPr="00050FA4">
              <w:rPr>
                <w:b/>
                <w:sz w:val="18"/>
                <w:szCs w:val="18"/>
                <w:lang w:val="sq-AL"/>
              </w:rPr>
              <w:t>16:</w:t>
            </w:r>
            <w:r w:rsidR="000B0C45" w:rsidRPr="00050FA4">
              <w:rPr>
                <w:b/>
                <w:sz w:val="18"/>
                <w:szCs w:val="18"/>
                <w:lang w:val="sq-AL"/>
              </w:rPr>
              <w:t xml:space="preserve"> </w:t>
            </w:r>
            <w:r w:rsidR="00461CA0" w:rsidRPr="00050FA4">
              <w:rPr>
                <w:b/>
                <w:sz w:val="18"/>
                <w:szCs w:val="18"/>
                <w:lang w:val="sq-AL"/>
              </w:rPr>
              <w:t>Marina më të mira dhe qeverisje dhe shërbime detare</w:t>
            </w:r>
          </w:p>
        </w:tc>
      </w:tr>
      <w:tr w:rsidR="00FA29AB" w:rsidRPr="00050FA4" w14:paraId="64058DA1" w14:textId="77777777" w:rsidTr="00D825ED">
        <w:trPr>
          <w:jc w:val="center"/>
        </w:trPr>
        <w:tc>
          <w:tcPr>
            <w:tcW w:w="1070" w:type="dxa"/>
            <w:vAlign w:val="center"/>
          </w:tcPr>
          <w:p w14:paraId="28B323D4" w14:textId="08A45DFE" w:rsidR="00E06E0F" w:rsidRPr="00050FA4" w:rsidRDefault="005E44FE" w:rsidP="005407AC">
            <w:pPr>
              <w:pStyle w:val="AAAAAAATEXXXX"/>
              <w:ind w:firstLine="0"/>
              <w:jc w:val="center"/>
              <w:rPr>
                <w:b/>
                <w:sz w:val="18"/>
                <w:szCs w:val="18"/>
                <w:lang w:val="sq-AL"/>
              </w:rPr>
            </w:pPr>
            <w:r w:rsidRPr="00050FA4">
              <w:rPr>
                <w:b/>
                <w:sz w:val="18"/>
                <w:szCs w:val="18"/>
                <w:lang w:val="sq-AL"/>
              </w:rPr>
              <w:t>Viti</w:t>
            </w:r>
          </w:p>
        </w:tc>
        <w:tc>
          <w:tcPr>
            <w:tcW w:w="1070" w:type="dxa"/>
            <w:vAlign w:val="center"/>
          </w:tcPr>
          <w:p w14:paraId="7B724943" w14:textId="7838AA87" w:rsidR="00E06E0F" w:rsidRPr="00050FA4" w:rsidRDefault="005E44FE" w:rsidP="005407AC">
            <w:pPr>
              <w:pStyle w:val="AAAAAAATEXXXX"/>
              <w:ind w:firstLine="0"/>
              <w:jc w:val="center"/>
              <w:rPr>
                <w:b/>
                <w:sz w:val="18"/>
                <w:szCs w:val="18"/>
                <w:lang w:val="sq-AL"/>
              </w:rPr>
            </w:pPr>
            <w:r w:rsidRPr="00050FA4">
              <w:rPr>
                <w:b/>
                <w:sz w:val="18"/>
                <w:szCs w:val="18"/>
                <w:lang w:val="sq-AL"/>
              </w:rPr>
              <w:t>Buxheti qendror</w:t>
            </w:r>
          </w:p>
        </w:tc>
        <w:tc>
          <w:tcPr>
            <w:tcW w:w="1071" w:type="dxa"/>
            <w:vAlign w:val="center"/>
          </w:tcPr>
          <w:p w14:paraId="6A7199F4" w14:textId="3A415602" w:rsidR="00E06E0F" w:rsidRPr="00050FA4" w:rsidRDefault="004D1F24" w:rsidP="005407AC">
            <w:pPr>
              <w:pStyle w:val="AAAAAAATEXXXX"/>
              <w:ind w:firstLine="0"/>
              <w:jc w:val="center"/>
              <w:rPr>
                <w:b/>
                <w:sz w:val="18"/>
                <w:szCs w:val="18"/>
                <w:lang w:val="sq-AL"/>
              </w:rPr>
            </w:pPr>
            <w:r w:rsidRPr="00050FA4">
              <w:rPr>
                <w:b/>
                <w:sz w:val="18"/>
                <w:szCs w:val="18"/>
                <w:lang w:val="sq-AL"/>
              </w:rPr>
              <w:t>Buxheti vendor</w:t>
            </w:r>
          </w:p>
        </w:tc>
        <w:tc>
          <w:tcPr>
            <w:tcW w:w="1070" w:type="dxa"/>
            <w:vAlign w:val="center"/>
          </w:tcPr>
          <w:p w14:paraId="232C2758" w14:textId="08FB83C2" w:rsidR="00E06E0F" w:rsidRPr="00050FA4" w:rsidRDefault="005E44FE" w:rsidP="005407AC">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71" w:type="dxa"/>
            <w:vAlign w:val="center"/>
          </w:tcPr>
          <w:p w14:paraId="6FEE1E8D" w14:textId="1985786E" w:rsidR="00E06E0F" w:rsidRPr="00050FA4" w:rsidRDefault="005E44FE" w:rsidP="005407AC">
            <w:pPr>
              <w:pStyle w:val="AAAAAAATEXXXX"/>
              <w:ind w:firstLine="0"/>
              <w:jc w:val="center"/>
              <w:rPr>
                <w:b/>
                <w:sz w:val="18"/>
                <w:szCs w:val="18"/>
                <w:lang w:val="sq-AL"/>
              </w:rPr>
            </w:pPr>
            <w:r w:rsidRPr="00050FA4">
              <w:rPr>
                <w:b/>
                <w:sz w:val="18"/>
                <w:szCs w:val="18"/>
                <w:lang w:val="sq-AL"/>
              </w:rPr>
              <w:t>Fondet IPA</w:t>
            </w:r>
          </w:p>
        </w:tc>
        <w:tc>
          <w:tcPr>
            <w:tcW w:w="1070" w:type="dxa"/>
            <w:vAlign w:val="center"/>
          </w:tcPr>
          <w:p w14:paraId="1D170149" w14:textId="7C1A9503" w:rsidR="00E06E0F" w:rsidRPr="00050FA4" w:rsidRDefault="005E44FE" w:rsidP="005407AC">
            <w:pPr>
              <w:pStyle w:val="AAAAAAATEXXXX"/>
              <w:ind w:firstLine="0"/>
              <w:jc w:val="center"/>
              <w:rPr>
                <w:b/>
                <w:sz w:val="18"/>
                <w:szCs w:val="18"/>
                <w:lang w:val="sq-AL"/>
              </w:rPr>
            </w:pPr>
            <w:r w:rsidRPr="00050FA4">
              <w:rPr>
                <w:b/>
                <w:sz w:val="18"/>
                <w:szCs w:val="18"/>
                <w:lang w:val="sq-AL"/>
              </w:rPr>
              <w:t>Dhurime të tjera</w:t>
            </w:r>
          </w:p>
        </w:tc>
        <w:tc>
          <w:tcPr>
            <w:tcW w:w="1071" w:type="dxa"/>
            <w:vAlign w:val="center"/>
          </w:tcPr>
          <w:p w14:paraId="1698FCF4" w14:textId="5DA9B9D9" w:rsidR="00E06E0F" w:rsidRPr="00050FA4" w:rsidRDefault="005E44FE" w:rsidP="005407AC">
            <w:pPr>
              <w:pStyle w:val="AAAAAAATEXXXX"/>
              <w:ind w:firstLine="0"/>
              <w:jc w:val="center"/>
              <w:rPr>
                <w:b/>
                <w:sz w:val="18"/>
                <w:szCs w:val="18"/>
                <w:lang w:val="sq-AL"/>
              </w:rPr>
            </w:pPr>
            <w:r w:rsidRPr="00050FA4">
              <w:rPr>
                <w:b/>
                <w:sz w:val="18"/>
                <w:szCs w:val="18"/>
                <w:lang w:val="sq-AL"/>
              </w:rPr>
              <w:t>Hua projektesh</w:t>
            </w:r>
          </w:p>
        </w:tc>
        <w:tc>
          <w:tcPr>
            <w:tcW w:w="1070" w:type="dxa"/>
            <w:vAlign w:val="center"/>
          </w:tcPr>
          <w:p w14:paraId="062CCF4C" w14:textId="77777777" w:rsidR="00E06E0F" w:rsidRPr="00050FA4" w:rsidRDefault="00E06E0F" w:rsidP="005407AC">
            <w:pPr>
              <w:pStyle w:val="AAAAAAATEXXXX"/>
              <w:ind w:firstLine="0"/>
              <w:jc w:val="center"/>
              <w:rPr>
                <w:b/>
                <w:sz w:val="18"/>
                <w:szCs w:val="18"/>
                <w:lang w:val="sq-AL"/>
              </w:rPr>
            </w:pPr>
            <w:r w:rsidRPr="00050FA4">
              <w:rPr>
                <w:b/>
                <w:sz w:val="18"/>
                <w:szCs w:val="18"/>
                <w:lang w:val="sq-AL"/>
              </w:rPr>
              <w:t>TBD</w:t>
            </w:r>
          </w:p>
        </w:tc>
        <w:tc>
          <w:tcPr>
            <w:tcW w:w="1638" w:type="dxa"/>
            <w:vAlign w:val="center"/>
          </w:tcPr>
          <w:p w14:paraId="001941FF" w14:textId="17E825D9" w:rsidR="00E06E0F" w:rsidRPr="00050FA4" w:rsidRDefault="005E44FE" w:rsidP="005407AC">
            <w:pPr>
              <w:pStyle w:val="AAAAAAATEXXXX"/>
              <w:ind w:firstLine="0"/>
              <w:jc w:val="center"/>
              <w:rPr>
                <w:b/>
                <w:sz w:val="18"/>
                <w:szCs w:val="18"/>
                <w:lang w:val="sq-AL"/>
              </w:rPr>
            </w:pPr>
            <w:r w:rsidRPr="00050FA4">
              <w:rPr>
                <w:b/>
                <w:sz w:val="18"/>
                <w:szCs w:val="18"/>
                <w:lang w:val="sq-AL"/>
              </w:rPr>
              <w:t>Totali</w:t>
            </w:r>
          </w:p>
        </w:tc>
      </w:tr>
      <w:tr w:rsidR="00FA29AB" w:rsidRPr="00050FA4" w14:paraId="3ADEDB79" w14:textId="77777777" w:rsidTr="00D825ED">
        <w:trPr>
          <w:jc w:val="center"/>
        </w:trPr>
        <w:tc>
          <w:tcPr>
            <w:tcW w:w="1070" w:type="dxa"/>
          </w:tcPr>
          <w:p w14:paraId="441749F5"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70" w:type="dxa"/>
            <w:vAlign w:val="center"/>
          </w:tcPr>
          <w:p w14:paraId="4C7D15C4" w14:textId="77777777" w:rsidR="00E06E0F" w:rsidRPr="00050FA4" w:rsidRDefault="00E06E0F" w:rsidP="00A250C1">
            <w:pPr>
              <w:pStyle w:val="AAAAAAATEXXXX"/>
              <w:ind w:firstLine="0"/>
              <w:rPr>
                <w:sz w:val="18"/>
                <w:szCs w:val="18"/>
                <w:lang w:val="sq-AL"/>
              </w:rPr>
            </w:pPr>
          </w:p>
        </w:tc>
        <w:tc>
          <w:tcPr>
            <w:tcW w:w="1071" w:type="dxa"/>
            <w:vAlign w:val="center"/>
          </w:tcPr>
          <w:p w14:paraId="75B8F144" w14:textId="77777777" w:rsidR="00E06E0F" w:rsidRPr="00050FA4" w:rsidRDefault="00E06E0F" w:rsidP="00A250C1">
            <w:pPr>
              <w:pStyle w:val="AAAAAAATEXXXX"/>
              <w:ind w:firstLine="0"/>
              <w:rPr>
                <w:sz w:val="18"/>
                <w:szCs w:val="18"/>
                <w:lang w:val="sq-AL"/>
              </w:rPr>
            </w:pPr>
          </w:p>
        </w:tc>
        <w:tc>
          <w:tcPr>
            <w:tcW w:w="1070" w:type="dxa"/>
            <w:vAlign w:val="center"/>
          </w:tcPr>
          <w:p w14:paraId="530CC193" w14:textId="77777777" w:rsidR="00E06E0F" w:rsidRPr="00050FA4" w:rsidRDefault="00E06E0F" w:rsidP="00A250C1">
            <w:pPr>
              <w:pStyle w:val="AAAAAAATEXXXX"/>
              <w:ind w:firstLine="0"/>
              <w:rPr>
                <w:sz w:val="18"/>
                <w:szCs w:val="18"/>
                <w:lang w:val="sq-AL"/>
              </w:rPr>
            </w:pPr>
          </w:p>
        </w:tc>
        <w:tc>
          <w:tcPr>
            <w:tcW w:w="1071" w:type="dxa"/>
            <w:vAlign w:val="center"/>
          </w:tcPr>
          <w:p w14:paraId="2B6B189E" w14:textId="77777777" w:rsidR="00E06E0F" w:rsidRPr="00050FA4" w:rsidRDefault="00E06E0F" w:rsidP="00A250C1">
            <w:pPr>
              <w:pStyle w:val="AAAAAAATEXXXX"/>
              <w:ind w:firstLine="0"/>
              <w:rPr>
                <w:sz w:val="18"/>
                <w:szCs w:val="18"/>
                <w:lang w:val="sq-AL"/>
              </w:rPr>
            </w:pPr>
          </w:p>
        </w:tc>
        <w:tc>
          <w:tcPr>
            <w:tcW w:w="1070" w:type="dxa"/>
            <w:vAlign w:val="center"/>
          </w:tcPr>
          <w:p w14:paraId="469C34AC" w14:textId="77777777" w:rsidR="00E06E0F" w:rsidRPr="00050FA4" w:rsidRDefault="00E06E0F" w:rsidP="00A250C1">
            <w:pPr>
              <w:pStyle w:val="AAAAAAATEXXXX"/>
              <w:ind w:firstLine="0"/>
              <w:rPr>
                <w:sz w:val="18"/>
                <w:szCs w:val="18"/>
                <w:lang w:val="sq-AL"/>
              </w:rPr>
            </w:pPr>
          </w:p>
        </w:tc>
        <w:tc>
          <w:tcPr>
            <w:tcW w:w="1071" w:type="dxa"/>
            <w:vAlign w:val="center"/>
          </w:tcPr>
          <w:p w14:paraId="719D8B10" w14:textId="77777777" w:rsidR="00E06E0F" w:rsidRPr="00050FA4" w:rsidRDefault="00E06E0F" w:rsidP="00A250C1">
            <w:pPr>
              <w:pStyle w:val="AAAAAAATEXXXX"/>
              <w:ind w:firstLine="0"/>
              <w:rPr>
                <w:sz w:val="18"/>
                <w:szCs w:val="18"/>
                <w:lang w:val="sq-AL"/>
              </w:rPr>
            </w:pPr>
          </w:p>
        </w:tc>
        <w:tc>
          <w:tcPr>
            <w:tcW w:w="1070" w:type="dxa"/>
            <w:shd w:val="clear" w:color="auto" w:fill="808080" w:themeFill="background1" w:themeFillShade="80"/>
            <w:vAlign w:val="center"/>
          </w:tcPr>
          <w:p w14:paraId="43ECEA2F" w14:textId="77777777" w:rsidR="00E06E0F" w:rsidRPr="00050FA4" w:rsidRDefault="00E06E0F" w:rsidP="00A250C1">
            <w:pPr>
              <w:pStyle w:val="AAAAAAATEXXXX"/>
              <w:ind w:firstLine="0"/>
              <w:rPr>
                <w:sz w:val="18"/>
                <w:szCs w:val="18"/>
                <w:lang w:val="sq-AL"/>
              </w:rPr>
            </w:pPr>
          </w:p>
        </w:tc>
        <w:tc>
          <w:tcPr>
            <w:tcW w:w="1638" w:type="dxa"/>
            <w:vAlign w:val="center"/>
          </w:tcPr>
          <w:p w14:paraId="72E0F333" w14:textId="77777777" w:rsidR="00E06E0F" w:rsidRPr="00050FA4" w:rsidRDefault="00E06E0F" w:rsidP="00A250C1">
            <w:pPr>
              <w:pStyle w:val="AAAAAAATEXXXX"/>
              <w:ind w:firstLine="0"/>
              <w:rPr>
                <w:sz w:val="18"/>
                <w:szCs w:val="18"/>
                <w:lang w:val="sq-AL"/>
              </w:rPr>
            </w:pPr>
          </w:p>
        </w:tc>
      </w:tr>
      <w:tr w:rsidR="00FA29AB" w:rsidRPr="00050FA4" w14:paraId="53A6428F" w14:textId="77777777" w:rsidTr="00D825ED">
        <w:trPr>
          <w:jc w:val="center"/>
        </w:trPr>
        <w:tc>
          <w:tcPr>
            <w:tcW w:w="1070" w:type="dxa"/>
          </w:tcPr>
          <w:p w14:paraId="129672D2"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70" w:type="dxa"/>
            <w:vAlign w:val="center"/>
          </w:tcPr>
          <w:p w14:paraId="30BFAF2B" w14:textId="77777777" w:rsidR="00E06E0F" w:rsidRPr="00050FA4" w:rsidRDefault="00E06E0F" w:rsidP="00A250C1">
            <w:pPr>
              <w:pStyle w:val="AAAAAAATEXXXX"/>
              <w:ind w:firstLine="0"/>
              <w:rPr>
                <w:sz w:val="18"/>
                <w:szCs w:val="18"/>
                <w:lang w:val="sq-AL"/>
              </w:rPr>
            </w:pPr>
          </w:p>
        </w:tc>
        <w:tc>
          <w:tcPr>
            <w:tcW w:w="1071" w:type="dxa"/>
            <w:vAlign w:val="center"/>
          </w:tcPr>
          <w:p w14:paraId="44AFC609" w14:textId="77777777" w:rsidR="00E06E0F" w:rsidRPr="00050FA4" w:rsidRDefault="00E06E0F" w:rsidP="00A250C1">
            <w:pPr>
              <w:pStyle w:val="AAAAAAATEXXXX"/>
              <w:ind w:firstLine="0"/>
              <w:rPr>
                <w:sz w:val="18"/>
                <w:szCs w:val="18"/>
                <w:lang w:val="sq-AL"/>
              </w:rPr>
            </w:pPr>
          </w:p>
        </w:tc>
        <w:tc>
          <w:tcPr>
            <w:tcW w:w="1070" w:type="dxa"/>
            <w:vAlign w:val="center"/>
          </w:tcPr>
          <w:p w14:paraId="264D10B3" w14:textId="77777777" w:rsidR="00E06E0F" w:rsidRPr="00050FA4" w:rsidRDefault="00E06E0F" w:rsidP="00A250C1">
            <w:pPr>
              <w:pStyle w:val="AAAAAAATEXXXX"/>
              <w:ind w:firstLine="0"/>
              <w:rPr>
                <w:sz w:val="18"/>
                <w:szCs w:val="18"/>
                <w:lang w:val="sq-AL"/>
              </w:rPr>
            </w:pPr>
          </w:p>
        </w:tc>
        <w:tc>
          <w:tcPr>
            <w:tcW w:w="1071" w:type="dxa"/>
            <w:vAlign w:val="center"/>
          </w:tcPr>
          <w:p w14:paraId="75867D2A" w14:textId="77777777" w:rsidR="00E06E0F" w:rsidRPr="00050FA4" w:rsidRDefault="00E06E0F" w:rsidP="00A250C1">
            <w:pPr>
              <w:pStyle w:val="AAAAAAATEXXXX"/>
              <w:ind w:firstLine="0"/>
              <w:rPr>
                <w:sz w:val="18"/>
                <w:szCs w:val="18"/>
                <w:lang w:val="sq-AL"/>
              </w:rPr>
            </w:pPr>
          </w:p>
        </w:tc>
        <w:tc>
          <w:tcPr>
            <w:tcW w:w="1070" w:type="dxa"/>
            <w:vAlign w:val="center"/>
          </w:tcPr>
          <w:p w14:paraId="437CA1CE" w14:textId="77777777" w:rsidR="00E06E0F" w:rsidRPr="00050FA4" w:rsidRDefault="00E06E0F" w:rsidP="00A250C1">
            <w:pPr>
              <w:pStyle w:val="AAAAAAATEXXXX"/>
              <w:ind w:firstLine="0"/>
              <w:rPr>
                <w:sz w:val="18"/>
                <w:szCs w:val="18"/>
                <w:lang w:val="sq-AL"/>
              </w:rPr>
            </w:pPr>
          </w:p>
        </w:tc>
        <w:tc>
          <w:tcPr>
            <w:tcW w:w="1071" w:type="dxa"/>
            <w:vAlign w:val="center"/>
          </w:tcPr>
          <w:p w14:paraId="1F5824E5" w14:textId="77777777" w:rsidR="00E06E0F" w:rsidRPr="00050FA4" w:rsidRDefault="00E06E0F" w:rsidP="00A250C1">
            <w:pPr>
              <w:pStyle w:val="AAAAAAATEXXXX"/>
              <w:ind w:firstLine="0"/>
              <w:rPr>
                <w:sz w:val="18"/>
                <w:szCs w:val="18"/>
                <w:lang w:val="sq-AL"/>
              </w:rPr>
            </w:pPr>
          </w:p>
        </w:tc>
        <w:tc>
          <w:tcPr>
            <w:tcW w:w="1070" w:type="dxa"/>
            <w:vAlign w:val="center"/>
          </w:tcPr>
          <w:p w14:paraId="138C1C7E" w14:textId="77777777" w:rsidR="00E06E0F" w:rsidRPr="00050FA4" w:rsidRDefault="00E06E0F" w:rsidP="00A250C1">
            <w:pPr>
              <w:pStyle w:val="AAAAAAATEXXXX"/>
              <w:ind w:firstLine="0"/>
              <w:rPr>
                <w:sz w:val="18"/>
                <w:szCs w:val="18"/>
                <w:lang w:val="sq-AL"/>
              </w:rPr>
            </w:pPr>
          </w:p>
        </w:tc>
        <w:tc>
          <w:tcPr>
            <w:tcW w:w="1638" w:type="dxa"/>
            <w:vAlign w:val="center"/>
          </w:tcPr>
          <w:p w14:paraId="012DC334" w14:textId="77777777" w:rsidR="00E06E0F" w:rsidRPr="00050FA4" w:rsidRDefault="00E06E0F" w:rsidP="00A250C1">
            <w:pPr>
              <w:pStyle w:val="AAAAAAATEXXXX"/>
              <w:ind w:firstLine="0"/>
              <w:rPr>
                <w:sz w:val="18"/>
                <w:szCs w:val="18"/>
                <w:lang w:val="sq-AL"/>
              </w:rPr>
            </w:pPr>
          </w:p>
        </w:tc>
      </w:tr>
      <w:tr w:rsidR="00FA29AB" w:rsidRPr="00050FA4" w14:paraId="5947DDD3" w14:textId="77777777" w:rsidTr="00D825ED">
        <w:trPr>
          <w:jc w:val="center"/>
        </w:trPr>
        <w:tc>
          <w:tcPr>
            <w:tcW w:w="1070" w:type="dxa"/>
          </w:tcPr>
          <w:p w14:paraId="2C544949"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70" w:type="dxa"/>
            <w:vAlign w:val="center"/>
          </w:tcPr>
          <w:p w14:paraId="388C3296" w14:textId="77777777" w:rsidR="00E06E0F" w:rsidRPr="00050FA4" w:rsidRDefault="00E06E0F" w:rsidP="00A250C1">
            <w:pPr>
              <w:pStyle w:val="AAAAAAATEXXXX"/>
              <w:ind w:firstLine="0"/>
              <w:rPr>
                <w:sz w:val="18"/>
                <w:szCs w:val="18"/>
                <w:lang w:val="sq-AL"/>
              </w:rPr>
            </w:pPr>
          </w:p>
        </w:tc>
        <w:tc>
          <w:tcPr>
            <w:tcW w:w="1071" w:type="dxa"/>
            <w:vAlign w:val="center"/>
          </w:tcPr>
          <w:p w14:paraId="757D7FC0" w14:textId="77777777" w:rsidR="00E06E0F" w:rsidRPr="00050FA4" w:rsidRDefault="00E06E0F" w:rsidP="00D825ED">
            <w:pPr>
              <w:pStyle w:val="AAAAAAATEXXXX"/>
              <w:ind w:firstLine="0"/>
              <w:jc w:val="center"/>
              <w:rPr>
                <w:sz w:val="18"/>
                <w:szCs w:val="18"/>
                <w:lang w:val="sq-AL"/>
              </w:rPr>
            </w:pPr>
          </w:p>
        </w:tc>
        <w:tc>
          <w:tcPr>
            <w:tcW w:w="1070" w:type="dxa"/>
            <w:vAlign w:val="center"/>
          </w:tcPr>
          <w:p w14:paraId="6A9AF217" w14:textId="77777777" w:rsidR="00E06E0F" w:rsidRPr="00050FA4" w:rsidRDefault="00E06E0F" w:rsidP="00A250C1">
            <w:pPr>
              <w:pStyle w:val="AAAAAAATEXXXX"/>
              <w:ind w:firstLine="0"/>
              <w:rPr>
                <w:sz w:val="18"/>
                <w:szCs w:val="18"/>
                <w:lang w:val="sq-AL"/>
              </w:rPr>
            </w:pPr>
          </w:p>
        </w:tc>
        <w:tc>
          <w:tcPr>
            <w:tcW w:w="1071" w:type="dxa"/>
            <w:vAlign w:val="center"/>
          </w:tcPr>
          <w:p w14:paraId="55465A9C" w14:textId="77777777" w:rsidR="00E06E0F" w:rsidRPr="00050FA4" w:rsidRDefault="00E06E0F" w:rsidP="00A250C1">
            <w:pPr>
              <w:pStyle w:val="AAAAAAATEXXXX"/>
              <w:ind w:firstLine="0"/>
              <w:rPr>
                <w:sz w:val="18"/>
                <w:szCs w:val="18"/>
                <w:lang w:val="sq-AL"/>
              </w:rPr>
            </w:pPr>
          </w:p>
        </w:tc>
        <w:tc>
          <w:tcPr>
            <w:tcW w:w="1070" w:type="dxa"/>
            <w:vAlign w:val="center"/>
          </w:tcPr>
          <w:p w14:paraId="070EEEFD" w14:textId="77777777" w:rsidR="00E06E0F" w:rsidRPr="00050FA4" w:rsidRDefault="00E06E0F" w:rsidP="00A250C1">
            <w:pPr>
              <w:pStyle w:val="AAAAAAATEXXXX"/>
              <w:ind w:firstLine="0"/>
              <w:rPr>
                <w:sz w:val="18"/>
                <w:szCs w:val="18"/>
                <w:lang w:val="sq-AL"/>
              </w:rPr>
            </w:pPr>
          </w:p>
        </w:tc>
        <w:tc>
          <w:tcPr>
            <w:tcW w:w="1071" w:type="dxa"/>
            <w:vAlign w:val="center"/>
          </w:tcPr>
          <w:p w14:paraId="62F30AFE" w14:textId="77777777" w:rsidR="00E06E0F" w:rsidRPr="00050FA4" w:rsidRDefault="00E06E0F" w:rsidP="00A250C1">
            <w:pPr>
              <w:pStyle w:val="AAAAAAATEXXXX"/>
              <w:ind w:firstLine="0"/>
              <w:rPr>
                <w:sz w:val="18"/>
                <w:szCs w:val="18"/>
                <w:lang w:val="sq-AL"/>
              </w:rPr>
            </w:pPr>
          </w:p>
        </w:tc>
        <w:tc>
          <w:tcPr>
            <w:tcW w:w="1070" w:type="dxa"/>
            <w:vAlign w:val="center"/>
          </w:tcPr>
          <w:p w14:paraId="20F99D20" w14:textId="77777777" w:rsidR="00E06E0F" w:rsidRPr="00050FA4" w:rsidRDefault="00E06E0F" w:rsidP="00A250C1">
            <w:pPr>
              <w:pStyle w:val="AAAAAAATEXXXX"/>
              <w:ind w:firstLine="0"/>
              <w:rPr>
                <w:sz w:val="18"/>
                <w:szCs w:val="18"/>
                <w:lang w:val="sq-AL"/>
              </w:rPr>
            </w:pPr>
          </w:p>
        </w:tc>
        <w:tc>
          <w:tcPr>
            <w:tcW w:w="1638" w:type="dxa"/>
            <w:vAlign w:val="center"/>
          </w:tcPr>
          <w:p w14:paraId="230D88DA" w14:textId="77777777" w:rsidR="00E06E0F" w:rsidRPr="00050FA4" w:rsidRDefault="00E06E0F" w:rsidP="00A250C1">
            <w:pPr>
              <w:pStyle w:val="AAAAAAATEXXXX"/>
              <w:ind w:firstLine="0"/>
              <w:rPr>
                <w:sz w:val="18"/>
                <w:szCs w:val="18"/>
                <w:lang w:val="sq-AL"/>
              </w:rPr>
            </w:pPr>
          </w:p>
        </w:tc>
      </w:tr>
    </w:tbl>
    <w:p w14:paraId="3515BE32"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66"/>
        <w:gridCol w:w="1069"/>
        <w:gridCol w:w="1069"/>
        <w:gridCol w:w="1068"/>
        <w:gridCol w:w="1067"/>
        <w:gridCol w:w="1066"/>
        <w:gridCol w:w="1068"/>
        <w:gridCol w:w="1065"/>
        <w:gridCol w:w="1663"/>
      </w:tblGrid>
      <w:tr w:rsidR="00FA29AB" w:rsidRPr="00050FA4" w14:paraId="72AB4B9D" w14:textId="77777777" w:rsidTr="00D825ED">
        <w:trPr>
          <w:jc w:val="center"/>
        </w:trPr>
        <w:tc>
          <w:tcPr>
            <w:tcW w:w="10201" w:type="dxa"/>
            <w:gridSpan w:val="9"/>
            <w:shd w:val="clear" w:color="auto" w:fill="E5DFEC" w:themeFill="accent4" w:themeFillTint="33"/>
          </w:tcPr>
          <w:p w14:paraId="1E2E5623" w14:textId="571101CB"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17:</w:t>
            </w:r>
            <w:r w:rsidR="000B0C45" w:rsidRPr="00050FA4">
              <w:rPr>
                <w:b/>
                <w:sz w:val="18"/>
                <w:szCs w:val="18"/>
                <w:lang w:val="sq-AL"/>
              </w:rPr>
              <w:t xml:space="preserve"> </w:t>
            </w:r>
            <w:r w:rsidR="00461CA0" w:rsidRPr="00050FA4">
              <w:rPr>
                <w:b/>
                <w:sz w:val="18"/>
                <w:szCs w:val="18"/>
                <w:lang w:val="sq-AL"/>
              </w:rPr>
              <w:t>Mbështetja e zbatimit të reformës kurrikulare para universitare dhe trajnimit të mësuesve</w:t>
            </w:r>
          </w:p>
        </w:tc>
      </w:tr>
      <w:tr w:rsidR="00FA29AB" w:rsidRPr="00050FA4" w14:paraId="19D89AB0" w14:textId="77777777" w:rsidTr="00D825ED">
        <w:trPr>
          <w:jc w:val="center"/>
        </w:trPr>
        <w:tc>
          <w:tcPr>
            <w:tcW w:w="1066" w:type="dxa"/>
            <w:vAlign w:val="center"/>
          </w:tcPr>
          <w:p w14:paraId="3080AA24" w14:textId="0BDD80EF" w:rsidR="00E06E0F" w:rsidRPr="00050FA4" w:rsidRDefault="005E44FE" w:rsidP="005407AC">
            <w:pPr>
              <w:pStyle w:val="AAAAAAATEXXXX"/>
              <w:ind w:firstLine="0"/>
              <w:jc w:val="center"/>
              <w:rPr>
                <w:b/>
                <w:sz w:val="18"/>
                <w:szCs w:val="18"/>
                <w:lang w:val="sq-AL"/>
              </w:rPr>
            </w:pPr>
            <w:r w:rsidRPr="00050FA4">
              <w:rPr>
                <w:b/>
                <w:sz w:val="18"/>
                <w:szCs w:val="18"/>
                <w:lang w:val="sq-AL"/>
              </w:rPr>
              <w:t>Viti</w:t>
            </w:r>
          </w:p>
        </w:tc>
        <w:tc>
          <w:tcPr>
            <w:tcW w:w="1069" w:type="dxa"/>
            <w:vAlign w:val="center"/>
          </w:tcPr>
          <w:p w14:paraId="530BF454" w14:textId="712CF6C5" w:rsidR="00E06E0F" w:rsidRPr="00050FA4" w:rsidRDefault="005E44FE" w:rsidP="005407AC">
            <w:pPr>
              <w:pStyle w:val="AAAAAAATEXXXX"/>
              <w:ind w:firstLine="0"/>
              <w:jc w:val="center"/>
              <w:rPr>
                <w:b/>
                <w:sz w:val="18"/>
                <w:szCs w:val="18"/>
                <w:lang w:val="sq-AL"/>
              </w:rPr>
            </w:pPr>
            <w:r w:rsidRPr="00050FA4">
              <w:rPr>
                <w:b/>
                <w:sz w:val="18"/>
                <w:szCs w:val="18"/>
                <w:lang w:val="sq-AL"/>
              </w:rPr>
              <w:t>Buxheti qendror</w:t>
            </w:r>
          </w:p>
        </w:tc>
        <w:tc>
          <w:tcPr>
            <w:tcW w:w="1069" w:type="dxa"/>
            <w:vAlign w:val="center"/>
          </w:tcPr>
          <w:p w14:paraId="0CA91EC6" w14:textId="05F9049F" w:rsidR="00E06E0F" w:rsidRPr="00050FA4" w:rsidRDefault="004D1F24" w:rsidP="005407AC">
            <w:pPr>
              <w:pStyle w:val="AAAAAAATEXXXX"/>
              <w:ind w:firstLine="0"/>
              <w:jc w:val="center"/>
              <w:rPr>
                <w:b/>
                <w:sz w:val="18"/>
                <w:szCs w:val="18"/>
                <w:lang w:val="sq-AL"/>
              </w:rPr>
            </w:pPr>
            <w:r w:rsidRPr="00050FA4">
              <w:rPr>
                <w:b/>
                <w:sz w:val="18"/>
                <w:szCs w:val="18"/>
                <w:lang w:val="sq-AL"/>
              </w:rPr>
              <w:t>Buxheti vendor</w:t>
            </w:r>
          </w:p>
        </w:tc>
        <w:tc>
          <w:tcPr>
            <w:tcW w:w="1068" w:type="dxa"/>
            <w:vAlign w:val="center"/>
          </w:tcPr>
          <w:p w14:paraId="4F0E46C1" w14:textId="27E3A1C5" w:rsidR="00E06E0F" w:rsidRPr="00050FA4" w:rsidRDefault="005E44FE" w:rsidP="005407AC">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67" w:type="dxa"/>
            <w:vAlign w:val="center"/>
          </w:tcPr>
          <w:p w14:paraId="71BD361F" w14:textId="672E6D2C" w:rsidR="00E06E0F" w:rsidRPr="00050FA4" w:rsidRDefault="005E44FE" w:rsidP="005407AC">
            <w:pPr>
              <w:pStyle w:val="AAAAAAATEXXXX"/>
              <w:ind w:firstLine="0"/>
              <w:jc w:val="center"/>
              <w:rPr>
                <w:b/>
                <w:sz w:val="18"/>
                <w:szCs w:val="18"/>
                <w:lang w:val="sq-AL"/>
              </w:rPr>
            </w:pPr>
            <w:r w:rsidRPr="00050FA4">
              <w:rPr>
                <w:b/>
                <w:sz w:val="18"/>
                <w:szCs w:val="18"/>
                <w:lang w:val="sq-AL"/>
              </w:rPr>
              <w:t>Fondet IPA</w:t>
            </w:r>
          </w:p>
        </w:tc>
        <w:tc>
          <w:tcPr>
            <w:tcW w:w="1066" w:type="dxa"/>
            <w:vAlign w:val="center"/>
          </w:tcPr>
          <w:p w14:paraId="02D24591" w14:textId="289102B8" w:rsidR="00E06E0F" w:rsidRPr="00050FA4" w:rsidRDefault="005E44FE" w:rsidP="005407AC">
            <w:pPr>
              <w:pStyle w:val="AAAAAAATEXXXX"/>
              <w:ind w:firstLine="0"/>
              <w:jc w:val="center"/>
              <w:rPr>
                <w:b/>
                <w:sz w:val="18"/>
                <w:szCs w:val="18"/>
                <w:lang w:val="sq-AL"/>
              </w:rPr>
            </w:pPr>
            <w:r w:rsidRPr="00050FA4">
              <w:rPr>
                <w:b/>
                <w:sz w:val="18"/>
                <w:szCs w:val="18"/>
                <w:lang w:val="sq-AL"/>
              </w:rPr>
              <w:t>Dhurime të tjera</w:t>
            </w:r>
          </w:p>
        </w:tc>
        <w:tc>
          <w:tcPr>
            <w:tcW w:w="1068" w:type="dxa"/>
            <w:vAlign w:val="center"/>
          </w:tcPr>
          <w:p w14:paraId="57C37A5B" w14:textId="1835DF16" w:rsidR="00E06E0F" w:rsidRPr="00050FA4" w:rsidRDefault="005E44FE" w:rsidP="005407AC">
            <w:pPr>
              <w:pStyle w:val="AAAAAAATEXXXX"/>
              <w:ind w:firstLine="0"/>
              <w:jc w:val="center"/>
              <w:rPr>
                <w:b/>
                <w:sz w:val="18"/>
                <w:szCs w:val="18"/>
                <w:lang w:val="sq-AL"/>
              </w:rPr>
            </w:pPr>
            <w:r w:rsidRPr="00050FA4">
              <w:rPr>
                <w:b/>
                <w:sz w:val="18"/>
                <w:szCs w:val="18"/>
                <w:lang w:val="sq-AL"/>
              </w:rPr>
              <w:t>Hua projektesh</w:t>
            </w:r>
          </w:p>
        </w:tc>
        <w:tc>
          <w:tcPr>
            <w:tcW w:w="1065" w:type="dxa"/>
            <w:vAlign w:val="center"/>
          </w:tcPr>
          <w:p w14:paraId="0139D520" w14:textId="77777777" w:rsidR="00E06E0F" w:rsidRPr="00050FA4" w:rsidRDefault="00E06E0F" w:rsidP="005407AC">
            <w:pPr>
              <w:pStyle w:val="AAAAAAATEXXXX"/>
              <w:ind w:firstLine="0"/>
              <w:jc w:val="center"/>
              <w:rPr>
                <w:b/>
                <w:sz w:val="18"/>
                <w:szCs w:val="18"/>
                <w:lang w:val="sq-AL"/>
              </w:rPr>
            </w:pPr>
            <w:r w:rsidRPr="00050FA4">
              <w:rPr>
                <w:b/>
                <w:sz w:val="18"/>
                <w:szCs w:val="18"/>
                <w:lang w:val="sq-AL"/>
              </w:rPr>
              <w:t>TBD</w:t>
            </w:r>
          </w:p>
        </w:tc>
        <w:tc>
          <w:tcPr>
            <w:tcW w:w="1663" w:type="dxa"/>
            <w:vAlign w:val="center"/>
          </w:tcPr>
          <w:p w14:paraId="22B1CB7F" w14:textId="73411AD1" w:rsidR="00E06E0F" w:rsidRPr="00050FA4" w:rsidRDefault="005E44FE" w:rsidP="005407AC">
            <w:pPr>
              <w:pStyle w:val="AAAAAAATEXXXX"/>
              <w:ind w:firstLine="0"/>
              <w:jc w:val="center"/>
              <w:rPr>
                <w:b/>
                <w:sz w:val="18"/>
                <w:szCs w:val="18"/>
                <w:lang w:val="sq-AL"/>
              </w:rPr>
            </w:pPr>
            <w:r w:rsidRPr="00050FA4">
              <w:rPr>
                <w:b/>
                <w:sz w:val="18"/>
                <w:szCs w:val="18"/>
                <w:lang w:val="sq-AL"/>
              </w:rPr>
              <w:t>Totali</w:t>
            </w:r>
          </w:p>
        </w:tc>
      </w:tr>
      <w:tr w:rsidR="00FA29AB" w:rsidRPr="00050FA4" w14:paraId="118F4D55" w14:textId="77777777" w:rsidTr="00D825ED">
        <w:trPr>
          <w:jc w:val="center"/>
        </w:trPr>
        <w:tc>
          <w:tcPr>
            <w:tcW w:w="1066" w:type="dxa"/>
          </w:tcPr>
          <w:p w14:paraId="25B2FEDC"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69" w:type="dxa"/>
            <w:vAlign w:val="center"/>
          </w:tcPr>
          <w:p w14:paraId="5EE8007E" w14:textId="77777777" w:rsidR="00E06E0F" w:rsidRPr="00050FA4" w:rsidRDefault="00E06E0F" w:rsidP="00A250C1">
            <w:pPr>
              <w:pStyle w:val="AAAAAAATEXXXX"/>
              <w:ind w:firstLine="0"/>
              <w:rPr>
                <w:sz w:val="18"/>
                <w:szCs w:val="18"/>
                <w:lang w:val="sq-AL"/>
              </w:rPr>
            </w:pPr>
            <w:r w:rsidRPr="00050FA4">
              <w:rPr>
                <w:sz w:val="18"/>
                <w:szCs w:val="18"/>
                <w:lang w:val="sq-AL"/>
              </w:rPr>
              <w:t>196,851</w:t>
            </w:r>
          </w:p>
        </w:tc>
        <w:tc>
          <w:tcPr>
            <w:tcW w:w="1069" w:type="dxa"/>
            <w:vAlign w:val="center"/>
          </w:tcPr>
          <w:p w14:paraId="0567DDAC"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8" w:type="dxa"/>
            <w:vAlign w:val="center"/>
          </w:tcPr>
          <w:p w14:paraId="7CAFBCE3"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7" w:type="dxa"/>
            <w:vAlign w:val="center"/>
          </w:tcPr>
          <w:p w14:paraId="7CEE5383"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6" w:type="dxa"/>
            <w:vAlign w:val="center"/>
          </w:tcPr>
          <w:p w14:paraId="5E06BCF4"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8" w:type="dxa"/>
            <w:vAlign w:val="center"/>
          </w:tcPr>
          <w:p w14:paraId="438BB9ED"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5" w:type="dxa"/>
            <w:shd w:val="clear" w:color="auto" w:fill="808080" w:themeFill="background1" w:themeFillShade="80"/>
            <w:vAlign w:val="center"/>
          </w:tcPr>
          <w:p w14:paraId="62689868"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663" w:type="dxa"/>
            <w:vAlign w:val="center"/>
          </w:tcPr>
          <w:p w14:paraId="61ABA96B" w14:textId="77777777" w:rsidR="00E06E0F" w:rsidRPr="00050FA4" w:rsidRDefault="00E06E0F" w:rsidP="00A250C1">
            <w:pPr>
              <w:pStyle w:val="AAAAAAATEXXXX"/>
              <w:ind w:firstLine="0"/>
              <w:rPr>
                <w:sz w:val="18"/>
                <w:szCs w:val="18"/>
                <w:lang w:val="sq-AL"/>
              </w:rPr>
            </w:pPr>
            <w:r w:rsidRPr="00050FA4">
              <w:rPr>
                <w:sz w:val="18"/>
                <w:szCs w:val="18"/>
                <w:lang w:val="sq-AL"/>
              </w:rPr>
              <w:t>196,851.1</w:t>
            </w:r>
          </w:p>
        </w:tc>
      </w:tr>
      <w:tr w:rsidR="00FA29AB" w:rsidRPr="00050FA4" w14:paraId="616DEB08" w14:textId="77777777" w:rsidTr="00D825ED">
        <w:trPr>
          <w:jc w:val="center"/>
        </w:trPr>
        <w:tc>
          <w:tcPr>
            <w:tcW w:w="1066" w:type="dxa"/>
          </w:tcPr>
          <w:p w14:paraId="41967917"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69" w:type="dxa"/>
            <w:vAlign w:val="center"/>
          </w:tcPr>
          <w:p w14:paraId="44B03E92" w14:textId="77777777" w:rsidR="00E06E0F" w:rsidRPr="00050FA4" w:rsidRDefault="00E06E0F" w:rsidP="00A250C1">
            <w:pPr>
              <w:pStyle w:val="AAAAAAATEXXXX"/>
              <w:ind w:firstLine="0"/>
              <w:rPr>
                <w:sz w:val="18"/>
                <w:szCs w:val="18"/>
                <w:lang w:val="sq-AL"/>
              </w:rPr>
            </w:pPr>
            <w:r w:rsidRPr="00050FA4">
              <w:rPr>
                <w:sz w:val="18"/>
                <w:szCs w:val="18"/>
                <w:lang w:val="sq-AL"/>
              </w:rPr>
              <w:t>383,936</w:t>
            </w:r>
          </w:p>
        </w:tc>
        <w:tc>
          <w:tcPr>
            <w:tcW w:w="1069" w:type="dxa"/>
            <w:vAlign w:val="center"/>
          </w:tcPr>
          <w:p w14:paraId="385D515D"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8" w:type="dxa"/>
            <w:vAlign w:val="center"/>
          </w:tcPr>
          <w:p w14:paraId="6F072CF5"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7" w:type="dxa"/>
            <w:vAlign w:val="center"/>
          </w:tcPr>
          <w:p w14:paraId="01549A7C"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6" w:type="dxa"/>
            <w:vAlign w:val="center"/>
          </w:tcPr>
          <w:p w14:paraId="25B734AE"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8" w:type="dxa"/>
            <w:vAlign w:val="center"/>
          </w:tcPr>
          <w:p w14:paraId="006CC272"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5" w:type="dxa"/>
            <w:vAlign w:val="center"/>
          </w:tcPr>
          <w:p w14:paraId="676C361D"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663" w:type="dxa"/>
            <w:vAlign w:val="center"/>
          </w:tcPr>
          <w:p w14:paraId="3D64DC8D" w14:textId="77777777" w:rsidR="00E06E0F" w:rsidRPr="00050FA4" w:rsidRDefault="00E06E0F" w:rsidP="00A250C1">
            <w:pPr>
              <w:pStyle w:val="AAAAAAATEXXXX"/>
              <w:ind w:firstLine="0"/>
              <w:rPr>
                <w:sz w:val="18"/>
                <w:szCs w:val="18"/>
                <w:lang w:val="sq-AL"/>
              </w:rPr>
            </w:pPr>
            <w:r w:rsidRPr="00050FA4">
              <w:rPr>
                <w:sz w:val="18"/>
                <w:szCs w:val="18"/>
                <w:lang w:val="sq-AL"/>
              </w:rPr>
              <w:t>383,936.0</w:t>
            </w:r>
          </w:p>
        </w:tc>
      </w:tr>
      <w:tr w:rsidR="00FA29AB" w:rsidRPr="00050FA4" w14:paraId="7F352CE8" w14:textId="77777777" w:rsidTr="00D825ED">
        <w:trPr>
          <w:jc w:val="center"/>
        </w:trPr>
        <w:tc>
          <w:tcPr>
            <w:tcW w:w="1066" w:type="dxa"/>
          </w:tcPr>
          <w:p w14:paraId="50DE7BA1"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69" w:type="dxa"/>
            <w:vAlign w:val="center"/>
          </w:tcPr>
          <w:p w14:paraId="0239B4A5" w14:textId="77777777" w:rsidR="00E06E0F" w:rsidRPr="00050FA4" w:rsidRDefault="00E06E0F" w:rsidP="00A250C1">
            <w:pPr>
              <w:pStyle w:val="AAAAAAATEXXXX"/>
              <w:ind w:firstLine="0"/>
              <w:rPr>
                <w:sz w:val="18"/>
                <w:szCs w:val="18"/>
                <w:lang w:val="sq-AL"/>
              </w:rPr>
            </w:pPr>
            <w:r w:rsidRPr="00050FA4">
              <w:rPr>
                <w:sz w:val="18"/>
                <w:szCs w:val="18"/>
                <w:lang w:val="sq-AL"/>
              </w:rPr>
              <w:t>541,722</w:t>
            </w:r>
          </w:p>
        </w:tc>
        <w:tc>
          <w:tcPr>
            <w:tcW w:w="1069" w:type="dxa"/>
            <w:vAlign w:val="center"/>
          </w:tcPr>
          <w:p w14:paraId="7AD3D9A8"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8" w:type="dxa"/>
            <w:vAlign w:val="center"/>
          </w:tcPr>
          <w:p w14:paraId="2C51F952"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7" w:type="dxa"/>
            <w:vAlign w:val="center"/>
          </w:tcPr>
          <w:p w14:paraId="5FD68FEF"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6" w:type="dxa"/>
            <w:vAlign w:val="center"/>
          </w:tcPr>
          <w:p w14:paraId="455CB929"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8" w:type="dxa"/>
            <w:vAlign w:val="center"/>
          </w:tcPr>
          <w:p w14:paraId="113844F8"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065" w:type="dxa"/>
            <w:vAlign w:val="center"/>
          </w:tcPr>
          <w:p w14:paraId="36BAA73A" w14:textId="77777777" w:rsidR="00E06E0F" w:rsidRPr="00050FA4" w:rsidRDefault="00E06E0F" w:rsidP="00A250C1">
            <w:pPr>
              <w:pStyle w:val="AAAAAAATEXXXX"/>
              <w:ind w:firstLine="0"/>
              <w:rPr>
                <w:sz w:val="18"/>
                <w:szCs w:val="18"/>
                <w:lang w:val="sq-AL"/>
              </w:rPr>
            </w:pPr>
            <w:r w:rsidRPr="00050FA4">
              <w:rPr>
                <w:sz w:val="18"/>
                <w:szCs w:val="18"/>
                <w:lang w:val="sq-AL"/>
              </w:rPr>
              <w:t>0</w:t>
            </w:r>
          </w:p>
        </w:tc>
        <w:tc>
          <w:tcPr>
            <w:tcW w:w="1663" w:type="dxa"/>
            <w:vAlign w:val="center"/>
          </w:tcPr>
          <w:p w14:paraId="31AE1A56" w14:textId="77777777" w:rsidR="00E06E0F" w:rsidRPr="00050FA4" w:rsidRDefault="00E06E0F" w:rsidP="00A250C1">
            <w:pPr>
              <w:pStyle w:val="AAAAAAATEXXXX"/>
              <w:ind w:firstLine="0"/>
              <w:rPr>
                <w:sz w:val="18"/>
                <w:szCs w:val="18"/>
                <w:lang w:val="sq-AL"/>
              </w:rPr>
            </w:pPr>
            <w:r w:rsidRPr="00050FA4">
              <w:rPr>
                <w:sz w:val="18"/>
                <w:szCs w:val="18"/>
                <w:lang w:val="sq-AL"/>
              </w:rPr>
              <w:t>541,722.0</w:t>
            </w:r>
          </w:p>
        </w:tc>
      </w:tr>
    </w:tbl>
    <w:p w14:paraId="3608AE0D"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59"/>
        <w:gridCol w:w="1096"/>
        <w:gridCol w:w="1068"/>
        <w:gridCol w:w="1066"/>
        <w:gridCol w:w="1062"/>
        <w:gridCol w:w="1062"/>
        <w:gridCol w:w="1065"/>
        <w:gridCol w:w="1060"/>
        <w:gridCol w:w="1663"/>
      </w:tblGrid>
      <w:tr w:rsidR="00FA29AB" w:rsidRPr="00050FA4" w14:paraId="49AC5900" w14:textId="77777777" w:rsidTr="00D825ED">
        <w:trPr>
          <w:jc w:val="center"/>
        </w:trPr>
        <w:tc>
          <w:tcPr>
            <w:tcW w:w="10201" w:type="dxa"/>
            <w:gridSpan w:val="9"/>
            <w:shd w:val="clear" w:color="auto" w:fill="E5DFEC" w:themeFill="accent4" w:themeFillTint="33"/>
          </w:tcPr>
          <w:p w14:paraId="060A069D" w14:textId="59E49392"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18:</w:t>
            </w:r>
            <w:r w:rsidR="000B0C45" w:rsidRPr="00050FA4">
              <w:rPr>
                <w:b/>
                <w:sz w:val="18"/>
                <w:szCs w:val="18"/>
                <w:lang w:val="sq-AL"/>
              </w:rPr>
              <w:t xml:space="preserve"> </w:t>
            </w:r>
            <w:r w:rsidR="00461CA0" w:rsidRPr="00050FA4">
              <w:rPr>
                <w:b/>
                <w:sz w:val="18"/>
                <w:szCs w:val="18"/>
                <w:lang w:val="sq-AL"/>
              </w:rPr>
              <w:t>Gjithë përfshirja dhe barazia në arsim</w:t>
            </w:r>
          </w:p>
        </w:tc>
      </w:tr>
      <w:tr w:rsidR="00FA29AB" w:rsidRPr="00050FA4" w14:paraId="51F0E324" w14:textId="77777777" w:rsidTr="00D825ED">
        <w:trPr>
          <w:jc w:val="center"/>
        </w:trPr>
        <w:tc>
          <w:tcPr>
            <w:tcW w:w="1059" w:type="dxa"/>
            <w:vAlign w:val="center"/>
          </w:tcPr>
          <w:p w14:paraId="73DF3608" w14:textId="0594C85A" w:rsidR="00E06E0F" w:rsidRPr="00050FA4" w:rsidRDefault="005E44FE" w:rsidP="005407AC">
            <w:pPr>
              <w:pStyle w:val="AAAAAAATEXXXX"/>
              <w:ind w:firstLine="0"/>
              <w:jc w:val="center"/>
              <w:rPr>
                <w:b/>
                <w:sz w:val="18"/>
                <w:szCs w:val="18"/>
                <w:lang w:val="sq-AL"/>
              </w:rPr>
            </w:pPr>
            <w:r w:rsidRPr="00050FA4">
              <w:rPr>
                <w:b/>
                <w:sz w:val="18"/>
                <w:szCs w:val="18"/>
                <w:lang w:val="sq-AL"/>
              </w:rPr>
              <w:t>Viti</w:t>
            </w:r>
          </w:p>
        </w:tc>
        <w:tc>
          <w:tcPr>
            <w:tcW w:w="1096" w:type="dxa"/>
            <w:vAlign w:val="center"/>
          </w:tcPr>
          <w:p w14:paraId="5528B35C" w14:textId="61FAE63D" w:rsidR="00E06E0F" w:rsidRPr="00050FA4" w:rsidRDefault="005E44FE" w:rsidP="005407AC">
            <w:pPr>
              <w:pStyle w:val="AAAAAAATEXXXX"/>
              <w:ind w:firstLine="0"/>
              <w:jc w:val="center"/>
              <w:rPr>
                <w:b/>
                <w:sz w:val="18"/>
                <w:szCs w:val="18"/>
                <w:lang w:val="sq-AL"/>
              </w:rPr>
            </w:pPr>
            <w:r w:rsidRPr="00050FA4">
              <w:rPr>
                <w:b/>
                <w:sz w:val="18"/>
                <w:szCs w:val="18"/>
                <w:lang w:val="sq-AL"/>
              </w:rPr>
              <w:t>Buxheti qendror</w:t>
            </w:r>
          </w:p>
        </w:tc>
        <w:tc>
          <w:tcPr>
            <w:tcW w:w="1068" w:type="dxa"/>
            <w:vAlign w:val="center"/>
          </w:tcPr>
          <w:p w14:paraId="1575C457" w14:textId="6531039C" w:rsidR="00E06E0F" w:rsidRPr="00050FA4" w:rsidRDefault="004D1F24" w:rsidP="005407AC">
            <w:pPr>
              <w:pStyle w:val="AAAAAAATEXXXX"/>
              <w:ind w:firstLine="0"/>
              <w:jc w:val="center"/>
              <w:rPr>
                <w:b/>
                <w:sz w:val="18"/>
                <w:szCs w:val="18"/>
                <w:lang w:val="sq-AL"/>
              </w:rPr>
            </w:pPr>
            <w:r w:rsidRPr="00050FA4">
              <w:rPr>
                <w:b/>
                <w:sz w:val="18"/>
                <w:szCs w:val="18"/>
                <w:lang w:val="sq-AL"/>
              </w:rPr>
              <w:t>Buxheti vendor</w:t>
            </w:r>
          </w:p>
        </w:tc>
        <w:tc>
          <w:tcPr>
            <w:tcW w:w="1066" w:type="dxa"/>
            <w:vAlign w:val="center"/>
          </w:tcPr>
          <w:p w14:paraId="61F9F101" w14:textId="3FB61009" w:rsidR="00E06E0F" w:rsidRPr="00050FA4" w:rsidRDefault="005E44FE" w:rsidP="005407AC">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62" w:type="dxa"/>
            <w:vAlign w:val="center"/>
          </w:tcPr>
          <w:p w14:paraId="4C9FA46E" w14:textId="761C36B4" w:rsidR="00E06E0F" w:rsidRPr="00050FA4" w:rsidRDefault="005E44FE" w:rsidP="005407AC">
            <w:pPr>
              <w:pStyle w:val="AAAAAAATEXXXX"/>
              <w:ind w:firstLine="0"/>
              <w:jc w:val="center"/>
              <w:rPr>
                <w:b/>
                <w:sz w:val="18"/>
                <w:szCs w:val="18"/>
                <w:lang w:val="sq-AL"/>
              </w:rPr>
            </w:pPr>
            <w:r w:rsidRPr="00050FA4">
              <w:rPr>
                <w:b/>
                <w:sz w:val="18"/>
                <w:szCs w:val="18"/>
                <w:lang w:val="sq-AL"/>
              </w:rPr>
              <w:t>Fondet IPA</w:t>
            </w:r>
          </w:p>
        </w:tc>
        <w:tc>
          <w:tcPr>
            <w:tcW w:w="1062" w:type="dxa"/>
            <w:vAlign w:val="center"/>
          </w:tcPr>
          <w:p w14:paraId="2373ED79" w14:textId="5B75A44F" w:rsidR="00E06E0F" w:rsidRPr="00050FA4" w:rsidRDefault="005E44FE" w:rsidP="005407AC">
            <w:pPr>
              <w:pStyle w:val="AAAAAAATEXXXX"/>
              <w:ind w:firstLine="0"/>
              <w:jc w:val="center"/>
              <w:rPr>
                <w:b/>
                <w:sz w:val="18"/>
                <w:szCs w:val="18"/>
                <w:lang w:val="sq-AL"/>
              </w:rPr>
            </w:pPr>
            <w:r w:rsidRPr="00050FA4">
              <w:rPr>
                <w:b/>
                <w:sz w:val="18"/>
                <w:szCs w:val="18"/>
                <w:lang w:val="sq-AL"/>
              </w:rPr>
              <w:t>Dhurime të tjera</w:t>
            </w:r>
          </w:p>
        </w:tc>
        <w:tc>
          <w:tcPr>
            <w:tcW w:w="1065" w:type="dxa"/>
            <w:vAlign w:val="center"/>
          </w:tcPr>
          <w:p w14:paraId="316A08CF" w14:textId="7AB7303E" w:rsidR="00E06E0F" w:rsidRPr="00050FA4" w:rsidRDefault="005E44FE" w:rsidP="005407AC">
            <w:pPr>
              <w:pStyle w:val="AAAAAAATEXXXX"/>
              <w:ind w:firstLine="0"/>
              <w:jc w:val="center"/>
              <w:rPr>
                <w:b/>
                <w:sz w:val="18"/>
                <w:szCs w:val="18"/>
                <w:lang w:val="sq-AL"/>
              </w:rPr>
            </w:pPr>
            <w:r w:rsidRPr="00050FA4">
              <w:rPr>
                <w:b/>
                <w:sz w:val="18"/>
                <w:szCs w:val="18"/>
                <w:lang w:val="sq-AL"/>
              </w:rPr>
              <w:t>Hua projektesh</w:t>
            </w:r>
          </w:p>
        </w:tc>
        <w:tc>
          <w:tcPr>
            <w:tcW w:w="1060" w:type="dxa"/>
            <w:vAlign w:val="center"/>
          </w:tcPr>
          <w:p w14:paraId="4BE0BC79" w14:textId="77777777" w:rsidR="00E06E0F" w:rsidRPr="00050FA4" w:rsidRDefault="00E06E0F" w:rsidP="005407AC">
            <w:pPr>
              <w:pStyle w:val="AAAAAAATEXXXX"/>
              <w:ind w:firstLine="0"/>
              <w:jc w:val="center"/>
              <w:rPr>
                <w:b/>
                <w:sz w:val="18"/>
                <w:szCs w:val="18"/>
                <w:lang w:val="sq-AL"/>
              </w:rPr>
            </w:pPr>
            <w:r w:rsidRPr="00050FA4">
              <w:rPr>
                <w:b/>
                <w:sz w:val="18"/>
                <w:szCs w:val="18"/>
                <w:lang w:val="sq-AL"/>
              </w:rPr>
              <w:t>TBD</w:t>
            </w:r>
          </w:p>
        </w:tc>
        <w:tc>
          <w:tcPr>
            <w:tcW w:w="1663" w:type="dxa"/>
            <w:vAlign w:val="center"/>
          </w:tcPr>
          <w:p w14:paraId="07AB4E8B" w14:textId="0392AD22" w:rsidR="00E06E0F" w:rsidRPr="00050FA4" w:rsidRDefault="005E44FE" w:rsidP="005407AC">
            <w:pPr>
              <w:pStyle w:val="AAAAAAATEXXXX"/>
              <w:ind w:firstLine="0"/>
              <w:jc w:val="center"/>
              <w:rPr>
                <w:b/>
                <w:sz w:val="18"/>
                <w:szCs w:val="18"/>
                <w:lang w:val="sq-AL"/>
              </w:rPr>
            </w:pPr>
            <w:r w:rsidRPr="00050FA4">
              <w:rPr>
                <w:b/>
                <w:sz w:val="18"/>
                <w:szCs w:val="18"/>
                <w:lang w:val="sq-AL"/>
              </w:rPr>
              <w:t>Totali</w:t>
            </w:r>
          </w:p>
        </w:tc>
      </w:tr>
      <w:tr w:rsidR="00FA29AB" w:rsidRPr="00050FA4" w14:paraId="76D0AE63" w14:textId="77777777" w:rsidTr="00D825ED">
        <w:trPr>
          <w:jc w:val="center"/>
        </w:trPr>
        <w:tc>
          <w:tcPr>
            <w:tcW w:w="1059" w:type="dxa"/>
          </w:tcPr>
          <w:p w14:paraId="2146C235"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96" w:type="dxa"/>
            <w:vAlign w:val="center"/>
          </w:tcPr>
          <w:p w14:paraId="329534D6" w14:textId="77777777" w:rsidR="00E06E0F" w:rsidRPr="00050FA4" w:rsidRDefault="00E06E0F" w:rsidP="00A250C1">
            <w:pPr>
              <w:pStyle w:val="AAAAAAATEXXXX"/>
              <w:ind w:firstLine="0"/>
              <w:rPr>
                <w:sz w:val="18"/>
                <w:szCs w:val="18"/>
                <w:lang w:val="sq-AL"/>
              </w:rPr>
            </w:pPr>
            <w:r w:rsidRPr="00050FA4">
              <w:rPr>
                <w:sz w:val="18"/>
                <w:szCs w:val="18"/>
                <w:lang w:val="sq-AL" w:eastAsia="sq-AL"/>
              </w:rPr>
              <w:t>171,353.0</w:t>
            </w:r>
          </w:p>
        </w:tc>
        <w:tc>
          <w:tcPr>
            <w:tcW w:w="1068" w:type="dxa"/>
            <w:vAlign w:val="center"/>
          </w:tcPr>
          <w:p w14:paraId="2118B775"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6" w:type="dxa"/>
            <w:vAlign w:val="center"/>
          </w:tcPr>
          <w:p w14:paraId="4C42C271"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382A5912"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4BA7D038"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5" w:type="dxa"/>
            <w:vAlign w:val="center"/>
          </w:tcPr>
          <w:p w14:paraId="7FEBD586"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0" w:type="dxa"/>
            <w:shd w:val="clear" w:color="auto" w:fill="808080" w:themeFill="background1" w:themeFillShade="80"/>
            <w:vAlign w:val="center"/>
          </w:tcPr>
          <w:p w14:paraId="156B6613"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663" w:type="dxa"/>
            <w:vAlign w:val="center"/>
          </w:tcPr>
          <w:p w14:paraId="5437AC0F" w14:textId="77777777" w:rsidR="00E06E0F" w:rsidRPr="00050FA4" w:rsidRDefault="00E06E0F" w:rsidP="00A250C1">
            <w:pPr>
              <w:pStyle w:val="AAAAAAATEXXXX"/>
              <w:ind w:firstLine="0"/>
              <w:rPr>
                <w:sz w:val="18"/>
                <w:szCs w:val="18"/>
                <w:lang w:val="sq-AL"/>
              </w:rPr>
            </w:pPr>
            <w:r w:rsidRPr="00050FA4">
              <w:rPr>
                <w:sz w:val="18"/>
                <w:szCs w:val="18"/>
                <w:lang w:val="sq-AL" w:eastAsia="sq-AL"/>
              </w:rPr>
              <w:t>171,353.0</w:t>
            </w:r>
          </w:p>
        </w:tc>
      </w:tr>
      <w:tr w:rsidR="00FA29AB" w:rsidRPr="00050FA4" w14:paraId="4CCA65F3" w14:textId="77777777" w:rsidTr="00D825ED">
        <w:trPr>
          <w:jc w:val="center"/>
        </w:trPr>
        <w:tc>
          <w:tcPr>
            <w:tcW w:w="1059" w:type="dxa"/>
          </w:tcPr>
          <w:p w14:paraId="3EBEFE3B"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96" w:type="dxa"/>
            <w:vAlign w:val="center"/>
          </w:tcPr>
          <w:p w14:paraId="402BF76C" w14:textId="77777777" w:rsidR="00E06E0F" w:rsidRPr="00050FA4" w:rsidRDefault="00E06E0F" w:rsidP="00A250C1">
            <w:pPr>
              <w:pStyle w:val="AAAAAAATEXXXX"/>
              <w:ind w:firstLine="0"/>
              <w:rPr>
                <w:sz w:val="18"/>
                <w:szCs w:val="18"/>
                <w:lang w:val="sq-AL"/>
              </w:rPr>
            </w:pPr>
            <w:r w:rsidRPr="00050FA4">
              <w:rPr>
                <w:sz w:val="18"/>
                <w:szCs w:val="18"/>
                <w:lang w:val="sq-AL" w:eastAsia="sq-AL"/>
              </w:rPr>
              <w:t>176,493.0</w:t>
            </w:r>
          </w:p>
        </w:tc>
        <w:tc>
          <w:tcPr>
            <w:tcW w:w="1068" w:type="dxa"/>
            <w:vAlign w:val="center"/>
          </w:tcPr>
          <w:p w14:paraId="71BFC9D7"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6" w:type="dxa"/>
            <w:vAlign w:val="center"/>
          </w:tcPr>
          <w:p w14:paraId="65AF349D"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0D826074"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5DBAE774"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5" w:type="dxa"/>
            <w:vAlign w:val="center"/>
          </w:tcPr>
          <w:p w14:paraId="664E3883"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0" w:type="dxa"/>
            <w:vAlign w:val="center"/>
          </w:tcPr>
          <w:p w14:paraId="61DADE97"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663" w:type="dxa"/>
            <w:vAlign w:val="center"/>
          </w:tcPr>
          <w:p w14:paraId="249A415D" w14:textId="77777777" w:rsidR="00E06E0F" w:rsidRPr="00050FA4" w:rsidRDefault="00E06E0F" w:rsidP="00A250C1">
            <w:pPr>
              <w:pStyle w:val="AAAAAAATEXXXX"/>
              <w:ind w:firstLine="0"/>
              <w:rPr>
                <w:sz w:val="18"/>
                <w:szCs w:val="18"/>
                <w:lang w:val="sq-AL"/>
              </w:rPr>
            </w:pPr>
            <w:r w:rsidRPr="00050FA4">
              <w:rPr>
                <w:sz w:val="18"/>
                <w:szCs w:val="18"/>
                <w:lang w:val="sq-AL" w:eastAsia="sq-AL"/>
              </w:rPr>
              <w:t>176,493.0</w:t>
            </w:r>
          </w:p>
        </w:tc>
      </w:tr>
      <w:tr w:rsidR="00FA29AB" w:rsidRPr="00050FA4" w14:paraId="00A847A1" w14:textId="77777777" w:rsidTr="00D825ED">
        <w:trPr>
          <w:jc w:val="center"/>
        </w:trPr>
        <w:tc>
          <w:tcPr>
            <w:tcW w:w="1059" w:type="dxa"/>
          </w:tcPr>
          <w:p w14:paraId="0BB5FAF7"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96" w:type="dxa"/>
            <w:vAlign w:val="center"/>
          </w:tcPr>
          <w:p w14:paraId="5F69877B" w14:textId="77777777" w:rsidR="00E06E0F" w:rsidRPr="00050FA4" w:rsidRDefault="00E06E0F" w:rsidP="00A250C1">
            <w:pPr>
              <w:pStyle w:val="AAAAAAATEXXXX"/>
              <w:ind w:firstLine="0"/>
              <w:rPr>
                <w:sz w:val="18"/>
                <w:szCs w:val="18"/>
                <w:lang w:val="sq-AL"/>
              </w:rPr>
            </w:pPr>
            <w:r w:rsidRPr="00050FA4">
              <w:rPr>
                <w:sz w:val="18"/>
                <w:szCs w:val="18"/>
                <w:lang w:val="sq-AL" w:eastAsia="sq-AL"/>
              </w:rPr>
              <w:t>181,788.0</w:t>
            </w:r>
          </w:p>
        </w:tc>
        <w:tc>
          <w:tcPr>
            <w:tcW w:w="1068" w:type="dxa"/>
            <w:vAlign w:val="center"/>
          </w:tcPr>
          <w:p w14:paraId="6E7F6AE6"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6" w:type="dxa"/>
            <w:vAlign w:val="center"/>
          </w:tcPr>
          <w:p w14:paraId="2934E501"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6D421D1E"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1C640C39"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5" w:type="dxa"/>
            <w:vAlign w:val="center"/>
          </w:tcPr>
          <w:p w14:paraId="4535B827"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0" w:type="dxa"/>
            <w:vAlign w:val="center"/>
          </w:tcPr>
          <w:p w14:paraId="38E69B04"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663" w:type="dxa"/>
            <w:vAlign w:val="center"/>
          </w:tcPr>
          <w:p w14:paraId="01D5C30C" w14:textId="77777777" w:rsidR="00E06E0F" w:rsidRPr="00050FA4" w:rsidRDefault="00E06E0F" w:rsidP="00A250C1">
            <w:pPr>
              <w:pStyle w:val="AAAAAAATEXXXX"/>
              <w:ind w:firstLine="0"/>
              <w:rPr>
                <w:sz w:val="18"/>
                <w:szCs w:val="18"/>
                <w:lang w:val="sq-AL"/>
              </w:rPr>
            </w:pPr>
            <w:r w:rsidRPr="00050FA4">
              <w:rPr>
                <w:sz w:val="18"/>
                <w:szCs w:val="18"/>
                <w:lang w:val="sq-AL" w:eastAsia="sq-AL"/>
              </w:rPr>
              <w:t>181,788.0</w:t>
            </w:r>
          </w:p>
        </w:tc>
      </w:tr>
    </w:tbl>
    <w:p w14:paraId="52D09BAB" w14:textId="77777777" w:rsidR="00E06E0F" w:rsidRPr="00050FA4" w:rsidRDefault="00E06E0F" w:rsidP="003F1DA7">
      <w:pPr>
        <w:pStyle w:val="AAAAAAATEXXXX"/>
        <w:rPr>
          <w:sz w:val="20"/>
          <w:szCs w:val="20"/>
          <w:lang w:val="sq-AL"/>
        </w:rPr>
      </w:pPr>
    </w:p>
    <w:tbl>
      <w:tblPr>
        <w:tblStyle w:val="TableGrid"/>
        <w:tblW w:w="10201" w:type="dxa"/>
        <w:jc w:val="center"/>
        <w:tblLook w:val="04A0" w:firstRow="1" w:lastRow="0" w:firstColumn="1" w:lastColumn="0" w:noHBand="0" w:noVBand="1"/>
      </w:tblPr>
      <w:tblGrid>
        <w:gridCol w:w="1059"/>
        <w:gridCol w:w="1096"/>
        <w:gridCol w:w="1068"/>
        <w:gridCol w:w="1066"/>
        <w:gridCol w:w="1062"/>
        <w:gridCol w:w="1062"/>
        <w:gridCol w:w="1065"/>
        <w:gridCol w:w="1060"/>
        <w:gridCol w:w="1663"/>
      </w:tblGrid>
      <w:tr w:rsidR="00FA29AB" w:rsidRPr="00050FA4" w14:paraId="5D9EC372" w14:textId="77777777" w:rsidTr="00D825ED">
        <w:trPr>
          <w:jc w:val="center"/>
        </w:trPr>
        <w:tc>
          <w:tcPr>
            <w:tcW w:w="10201" w:type="dxa"/>
            <w:gridSpan w:val="9"/>
            <w:shd w:val="clear" w:color="auto" w:fill="E5DFEC" w:themeFill="accent4" w:themeFillTint="33"/>
          </w:tcPr>
          <w:p w14:paraId="27F0D817" w14:textId="2150DFE2" w:rsidR="00E06E0F" w:rsidRPr="00050FA4" w:rsidRDefault="00B2062A" w:rsidP="00A250C1">
            <w:pPr>
              <w:pStyle w:val="AAAAAAATEXXXX"/>
              <w:ind w:firstLine="0"/>
              <w:rPr>
                <w:sz w:val="18"/>
                <w:szCs w:val="18"/>
                <w:lang w:val="sq-AL"/>
              </w:rPr>
            </w:pPr>
            <w:r w:rsidRPr="00050FA4">
              <w:rPr>
                <w:b/>
                <w:sz w:val="18"/>
                <w:szCs w:val="18"/>
                <w:lang w:val="sq-AL"/>
              </w:rPr>
              <w:t>Masa e reformës</w:t>
            </w:r>
            <w:r w:rsidR="000B0C45" w:rsidRPr="00050FA4">
              <w:rPr>
                <w:b/>
                <w:sz w:val="18"/>
                <w:szCs w:val="18"/>
                <w:lang w:val="sq-AL"/>
              </w:rPr>
              <w:t xml:space="preserve"> </w:t>
            </w:r>
            <w:r w:rsidR="00E06E0F" w:rsidRPr="00050FA4">
              <w:rPr>
                <w:b/>
                <w:sz w:val="18"/>
                <w:szCs w:val="18"/>
                <w:lang w:val="sq-AL"/>
              </w:rPr>
              <w:t>19:</w:t>
            </w:r>
            <w:r w:rsidR="000B0C45" w:rsidRPr="00050FA4">
              <w:rPr>
                <w:b/>
                <w:sz w:val="18"/>
                <w:szCs w:val="18"/>
                <w:lang w:val="sq-AL"/>
              </w:rPr>
              <w:t xml:space="preserve"> </w:t>
            </w:r>
            <w:r w:rsidR="00461CA0" w:rsidRPr="00050FA4">
              <w:rPr>
                <w:b/>
                <w:sz w:val="18"/>
                <w:szCs w:val="18"/>
                <w:lang w:val="sq-AL" w:eastAsia="sq-AL"/>
              </w:rPr>
              <w:t>Zhvillimi dhe fuqizimi i kompetencës digjitale</w:t>
            </w:r>
          </w:p>
        </w:tc>
      </w:tr>
      <w:tr w:rsidR="00FA29AB" w:rsidRPr="00050FA4" w14:paraId="2AABBF49" w14:textId="77777777" w:rsidTr="00D825ED">
        <w:trPr>
          <w:jc w:val="center"/>
        </w:trPr>
        <w:tc>
          <w:tcPr>
            <w:tcW w:w="1059" w:type="dxa"/>
            <w:vAlign w:val="center"/>
          </w:tcPr>
          <w:p w14:paraId="2EBCC521" w14:textId="4558A260" w:rsidR="00E06E0F" w:rsidRPr="00050FA4" w:rsidRDefault="005E44FE" w:rsidP="005407AC">
            <w:pPr>
              <w:pStyle w:val="AAAAAAATEXXXX"/>
              <w:ind w:firstLine="0"/>
              <w:jc w:val="center"/>
              <w:rPr>
                <w:b/>
                <w:sz w:val="18"/>
                <w:szCs w:val="18"/>
                <w:lang w:val="sq-AL"/>
              </w:rPr>
            </w:pPr>
            <w:r w:rsidRPr="00050FA4">
              <w:rPr>
                <w:b/>
                <w:sz w:val="18"/>
                <w:szCs w:val="18"/>
                <w:lang w:val="sq-AL"/>
              </w:rPr>
              <w:t>Viti</w:t>
            </w:r>
          </w:p>
        </w:tc>
        <w:tc>
          <w:tcPr>
            <w:tcW w:w="1096" w:type="dxa"/>
            <w:vAlign w:val="center"/>
          </w:tcPr>
          <w:p w14:paraId="1AE35F3A" w14:textId="7CE62700" w:rsidR="00E06E0F" w:rsidRPr="00050FA4" w:rsidRDefault="005E44FE" w:rsidP="005407AC">
            <w:pPr>
              <w:pStyle w:val="AAAAAAATEXXXX"/>
              <w:ind w:firstLine="0"/>
              <w:jc w:val="center"/>
              <w:rPr>
                <w:b/>
                <w:sz w:val="18"/>
                <w:szCs w:val="18"/>
                <w:lang w:val="sq-AL"/>
              </w:rPr>
            </w:pPr>
            <w:r w:rsidRPr="00050FA4">
              <w:rPr>
                <w:b/>
                <w:sz w:val="18"/>
                <w:szCs w:val="18"/>
                <w:lang w:val="sq-AL"/>
              </w:rPr>
              <w:t>Buxheti qendror</w:t>
            </w:r>
          </w:p>
        </w:tc>
        <w:tc>
          <w:tcPr>
            <w:tcW w:w="1068" w:type="dxa"/>
            <w:vAlign w:val="center"/>
          </w:tcPr>
          <w:p w14:paraId="1FC8FE8D" w14:textId="3AC83B89" w:rsidR="00E06E0F" w:rsidRPr="00050FA4" w:rsidRDefault="004D1F24" w:rsidP="005407AC">
            <w:pPr>
              <w:pStyle w:val="AAAAAAATEXXXX"/>
              <w:ind w:firstLine="0"/>
              <w:jc w:val="center"/>
              <w:rPr>
                <w:b/>
                <w:sz w:val="18"/>
                <w:szCs w:val="18"/>
                <w:lang w:val="sq-AL"/>
              </w:rPr>
            </w:pPr>
            <w:r w:rsidRPr="00050FA4">
              <w:rPr>
                <w:b/>
                <w:sz w:val="18"/>
                <w:szCs w:val="18"/>
                <w:lang w:val="sq-AL"/>
              </w:rPr>
              <w:t>Buxheti vendor</w:t>
            </w:r>
          </w:p>
        </w:tc>
        <w:tc>
          <w:tcPr>
            <w:tcW w:w="1066" w:type="dxa"/>
            <w:vAlign w:val="center"/>
          </w:tcPr>
          <w:p w14:paraId="7CDA2FD3" w14:textId="68FE8CD1" w:rsidR="00E06E0F" w:rsidRPr="00050FA4" w:rsidRDefault="005E44FE" w:rsidP="005407AC">
            <w:pPr>
              <w:pStyle w:val="AAAAAAATEXXXX"/>
              <w:ind w:firstLine="0"/>
              <w:jc w:val="center"/>
              <w:rPr>
                <w:b/>
                <w:sz w:val="18"/>
                <w:szCs w:val="18"/>
                <w:lang w:val="sq-AL"/>
              </w:rPr>
            </w:pPr>
            <w:r w:rsidRPr="00050FA4">
              <w:rPr>
                <w:b/>
                <w:sz w:val="18"/>
                <w:szCs w:val="18"/>
                <w:lang w:val="sq-AL"/>
              </w:rPr>
              <w:t xml:space="preserve">Burime të tjera </w:t>
            </w:r>
            <w:r w:rsidR="004D1F24" w:rsidRPr="00050FA4">
              <w:rPr>
                <w:b/>
                <w:sz w:val="18"/>
                <w:szCs w:val="18"/>
                <w:lang w:val="sq-AL"/>
              </w:rPr>
              <w:t>kombëtare</w:t>
            </w:r>
            <w:r w:rsidRPr="00050FA4">
              <w:rPr>
                <w:b/>
                <w:sz w:val="18"/>
                <w:szCs w:val="18"/>
                <w:lang w:val="sq-AL"/>
              </w:rPr>
              <w:t xml:space="preserve"> të financave publike</w:t>
            </w:r>
          </w:p>
        </w:tc>
        <w:tc>
          <w:tcPr>
            <w:tcW w:w="1062" w:type="dxa"/>
            <w:vAlign w:val="center"/>
          </w:tcPr>
          <w:p w14:paraId="5969B23A" w14:textId="3E959724" w:rsidR="00E06E0F" w:rsidRPr="00050FA4" w:rsidRDefault="005E44FE" w:rsidP="005407AC">
            <w:pPr>
              <w:pStyle w:val="AAAAAAATEXXXX"/>
              <w:ind w:firstLine="0"/>
              <w:jc w:val="center"/>
              <w:rPr>
                <w:b/>
                <w:sz w:val="18"/>
                <w:szCs w:val="18"/>
                <w:lang w:val="sq-AL"/>
              </w:rPr>
            </w:pPr>
            <w:r w:rsidRPr="00050FA4">
              <w:rPr>
                <w:b/>
                <w:sz w:val="18"/>
                <w:szCs w:val="18"/>
                <w:lang w:val="sq-AL"/>
              </w:rPr>
              <w:t>Fondet IPA</w:t>
            </w:r>
          </w:p>
        </w:tc>
        <w:tc>
          <w:tcPr>
            <w:tcW w:w="1062" w:type="dxa"/>
            <w:vAlign w:val="center"/>
          </w:tcPr>
          <w:p w14:paraId="46E74F95" w14:textId="27096180" w:rsidR="00E06E0F" w:rsidRPr="00050FA4" w:rsidRDefault="005E44FE" w:rsidP="005407AC">
            <w:pPr>
              <w:pStyle w:val="AAAAAAATEXXXX"/>
              <w:ind w:firstLine="0"/>
              <w:jc w:val="center"/>
              <w:rPr>
                <w:b/>
                <w:sz w:val="18"/>
                <w:szCs w:val="18"/>
                <w:lang w:val="sq-AL"/>
              </w:rPr>
            </w:pPr>
            <w:r w:rsidRPr="00050FA4">
              <w:rPr>
                <w:b/>
                <w:sz w:val="18"/>
                <w:szCs w:val="18"/>
                <w:lang w:val="sq-AL"/>
              </w:rPr>
              <w:t>Dhurime të tjera</w:t>
            </w:r>
          </w:p>
        </w:tc>
        <w:tc>
          <w:tcPr>
            <w:tcW w:w="1065" w:type="dxa"/>
            <w:vAlign w:val="center"/>
          </w:tcPr>
          <w:p w14:paraId="32E4F247" w14:textId="28BECC1D" w:rsidR="00E06E0F" w:rsidRPr="00050FA4" w:rsidRDefault="005E44FE" w:rsidP="005407AC">
            <w:pPr>
              <w:pStyle w:val="AAAAAAATEXXXX"/>
              <w:ind w:firstLine="0"/>
              <w:jc w:val="center"/>
              <w:rPr>
                <w:b/>
                <w:sz w:val="18"/>
                <w:szCs w:val="18"/>
                <w:lang w:val="sq-AL"/>
              </w:rPr>
            </w:pPr>
            <w:r w:rsidRPr="00050FA4">
              <w:rPr>
                <w:b/>
                <w:sz w:val="18"/>
                <w:szCs w:val="18"/>
                <w:lang w:val="sq-AL"/>
              </w:rPr>
              <w:t>Hua projektesh</w:t>
            </w:r>
          </w:p>
        </w:tc>
        <w:tc>
          <w:tcPr>
            <w:tcW w:w="1060" w:type="dxa"/>
            <w:vAlign w:val="center"/>
          </w:tcPr>
          <w:p w14:paraId="142F5DE5" w14:textId="77777777" w:rsidR="00E06E0F" w:rsidRPr="00050FA4" w:rsidRDefault="00E06E0F" w:rsidP="005407AC">
            <w:pPr>
              <w:pStyle w:val="AAAAAAATEXXXX"/>
              <w:ind w:firstLine="0"/>
              <w:jc w:val="center"/>
              <w:rPr>
                <w:b/>
                <w:sz w:val="18"/>
                <w:szCs w:val="18"/>
                <w:lang w:val="sq-AL"/>
              </w:rPr>
            </w:pPr>
            <w:r w:rsidRPr="00050FA4">
              <w:rPr>
                <w:b/>
                <w:sz w:val="18"/>
                <w:szCs w:val="18"/>
                <w:lang w:val="sq-AL"/>
              </w:rPr>
              <w:t>TBD</w:t>
            </w:r>
          </w:p>
        </w:tc>
        <w:tc>
          <w:tcPr>
            <w:tcW w:w="1663" w:type="dxa"/>
            <w:vAlign w:val="center"/>
          </w:tcPr>
          <w:p w14:paraId="7831D455" w14:textId="41BBF2C3" w:rsidR="00E06E0F" w:rsidRPr="00050FA4" w:rsidRDefault="005E44FE" w:rsidP="005407AC">
            <w:pPr>
              <w:pStyle w:val="AAAAAAATEXXXX"/>
              <w:ind w:firstLine="0"/>
              <w:jc w:val="center"/>
              <w:rPr>
                <w:b/>
                <w:sz w:val="18"/>
                <w:szCs w:val="18"/>
                <w:lang w:val="sq-AL"/>
              </w:rPr>
            </w:pPr>
            <w:r w:rsidRPr="00050FA4">
              <w:rPr>
                <w:b/>
                <w:sz w:val="18"/>
                <w:szCs w:val="18"/>
                <w:lang w:val="sq-AL"/>
              </w:rPr>
              <w:t>Totali</w:t>
            </w:r>
          </w:p>
        </w:tc>
      </w:tr>
      <w:tr w:rsidR="00FA29AB" w:rsidRPr="00050FA4" w14:paraId="03DFDFC8" w14:textId="77777777" w:rsidTr="00D825ED">
        <w:trPr>
          <w:jc w:val="center"/>
        </w:trPr>
        <w:tc>
          <w:tcPr>
            <w:tcW w:w="1059" w:type="dxa"/>
          </w:tcPr>
          <w:p w14:paraId="19D6177B" w14:textId="77777777" w:rsidR="00E06E0F" w:rsidRPr="00050FA4" w:rsidRDefault="00E06E0F" w:rsidP="00A250C1">
            <w:pPr>
              <w:pStyle w:val="AAAAAAATEXXXX"/>
              <w:ind w:firstLine="0"/>
              <w:rPr>
                <w:sz w:val="18"/>
                <w:szCs w:val="18"/>
                <w:lang w:val="sq-AL"/>
              </w:rPr>
            </w:pPr>
            <w:r w:rsidRPr="00050FA4">
              <w:rPr>
                <w:sz w:val="18"/>
                <w:szCs w:val="18"/>
                <w:lang w:val="sq-AL"/>
              </w:rPr>
              <w:t>2022</w:t>
            </w:r>
          </w:p>
        </w:tc>
        <w:tc>
          <w:tcPr>
            <w:tcW w:w="1096" w:type="dxa"/>
            <w:vAlign w:val="center"/>
          </w:tcPr>
          <w:p w14:paraId="454F99DB" w14:textId="77777777" w:rsidR="00E06E0F" w:rsidRPr="00050FA4" w:rsidRDefault="00E06E0F" w:rsidP="00A250C1">
            <w:pPr>
              <w:pStyle w:val="AAAAAAATEXXXX"/>
              <w:ind w:firstLine="0"/>
              <w:rPr>
                <w:sz w:val="18"/>
                <w:szCs w:val="18"/>
                <w:lang w:val="sq-AL"/>
              </w:rPr>
            </w:pPr>
            <w:r w:rsidRPr="00050FA4">
              <w:rPr>
                <w:sz w:val="18"/>
                <w:szCs w:val="18"/>
                <w:lang w:val="sq-AL" w:eastAsia="sq-AL"/>
              </w:rPr>
              <w:t>173,124.2</w:t>
            </w:r>
          </w:p>
        </w:tc>
        <w:tc>
          <w:tcPr>
            <w:tcW w:w="1068" w:type="dxa"/>
            <w:vAlign w:val="center"/>
          </w:tcPr>
          <w:p w14:paraId="19CE4E0A"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6" w:type="dxa"/>
            <w:vAlign w:val="center"/>
          </w:tcPr>
          <w:p w14:paraId="1A948331"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4E79B30F"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2DD7327F"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5" w:type="dxa"/>
            <w:vAlign w:val="center"/>
          </w:tcPr>
          <w:p w14:paraId="33B90921"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0" w:type="dxa"/>
            <w:shd w:val="clear" w:color="auto" w:fill="808080" w:themeFill="background1" w:themeFillShade="80"/>
            <w:vAlign w:val="center"/>
          </w:tcPr>
          <w:p w14:paraId="5CA00C68"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663" w:type="dxa"/>
            <w:vAlign w:val="center"/>
          </w:tcPr>
          <w:p w14:paraId="0308CE52" w14:textId="77777777" w:rsidR="00E06E0F" w:rsidRPr="00050FA4" w:rsidRDefault="00E06E0F" w:rsidP="00A250C1">
            <w:pPr>
              <w:pStyle w:val="AAAAAAATEXXXX"/>
              <w:ind w:firstLine="0"/>
              <w:rPr>
                <w:sz w:val="18"/>
                <w:szCs w:val="18"/>
                <w:lang w:val="sq-AL"/>
              </w:rPr>
            </w:pPr>
            <w:r w:rsidRPr="00050FA4">
              <w:rPr>
                <w:sz w:val="18"/>
                <w:szCs w:val="18"/>
                <w:lang w:val="sq-AL" w:eastAsia="sq-AL"/>
              </w:rPr>
              <w:t>173,124.2</w:t>
            </w:r>
          </w:p>
        </w:tc>
      </w:tr>
      <w:tr w:rsidR="00FA29AB" w:rsidRPr="00050FA4" w14:paraId="02B1EEC4" w14:textId="77777777" w:rsidTr="00D825ED">
        <w:trPr>
          <w:jc w:val="center"/>
        </w:trPr>
        <w:tc>
          <w:tcPr>
            <w:tcW w:w="1059" w:type="dxa"/>
          </w:tcPr>
          <w:p w14:paraId="3E98B3C8" w14:textId="77777777" w:rsidR="00E06E0F" w:rsidRPr="00050FA4" w:rsidRDefault="00E06E0F" w:rsidP="00A250C1">
            <w:pPr>
              <w:pStyle w:val="AAAAAAATEXXXX"/>
              <w:ind w:firstLine="0"/>
              <w:rPr>
                <w:sz w:val="18"/>
                <w:szCs w:val="18"/>
                <w:lang w:val="sq-AL"/>
              </w:rPr>
            </w:pPr>
            <w:r w:rsidRPr="00050FA4">
              <w:rPr>
                <w:sz w:val="18"/>
                <w:szCs w:val="18"/>
                <w:lang w:val="sq-AL"/>
              </w:rPr>
              <w:t>2023</w:t>
            </w:r>
          </w:p>
        </w:tc>
        <w:tc>
          <w:tcPr>
            <w:tcW w:w="1096" w:type="dxa"/>
            <w:vAlign w:val="center"/>
          </w:tcPr>
          <w:p w14:paraId="0335CC01" w14:textId="77777777" w:rsidR="00E06E0F" w:rsidRPr="00050FA4" w:rsidRDefault="00E06E0F" w:rsidP="00A250C1">
            <w:pPr>
              <w:pStyle w:val="AAAAAAATEXXXX"/>
              <w:ind w:firstLine="0"/>
              <w:rPr>
                <w:sz w:val="18"/>
                <w:szCs w:val="18"/>
                <w:lang w:val="sq-AL"/>
              </w:rPr>
            </w:pPr>
            <w:r w:rsidRPr="00050FA4">
              <w:rPr>
                <w:sz w:val="18"/>
                <w:szCs w:val="18"/>
                <w:lang w:val="sq-AL" w:eastAsia="sq-AL"/>
              </w:rPr>
              <w:t>176,814.2</w:t>
            </w:r>
          </w:p>
        </w:tc>
        <w:tc>
          <w:tcPr>
            <w:tcW w:w="1068" w:type="dxa"/>
            <w:vAlign w:val="center"/>
          </w:tcPr>
          <w:p w14:paraId="41DFEA13"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6" w:type="dxa"/>
            <w:vAlign w:val="center"/>
          </w:tcPr>
          <w:p w14:paraId="4623BF15"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646673D9"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49774943"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5" w:type="dxa"/>
            <w:vAlign w:val="center"/>
          </w:tcPr>
          <w:p w14:paraId="00426BBB"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0" w:type="dxa"/>
            <w:vAlign w:val="center"/>
          </w:tcPr>
          <w:p w14:paraId="0F2B96FD"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663" w:type="dxa"/>
            <w:vAlign w:val="center"/>
          </w:tcPr>
          <w:p w14:paraId="164C2847" w14:textId="77777777" w:rsidR="00E06E0F" w:rsidRPr="00050FA4" w:rsidRDefault="00E06E0F" w:rsidP="00A250C1">
            <w:pPr>
              <w:pStyle w:val="AAAAAAATEXXXX"/>
              <w:ind w:firstLine="0"/>
              <w:rPr>
                <w:sz w:val="18"/>
                <w:szCs w:val="18"/>
                <w:lang w:val="sq-AL"/>
              </w:rPr>
            </w:pPr>
            <w:r w:rsidRPr="00050FA4">
              <w:rPr>
                <w:sz w:val="18"/>
                <w:szCs w:val="18"/>
                <w:lang w:val="sq-AL" w:eastAsia="sq-AL"/>
              </w:rPr>
              <w:t>176,814.2</w:t>
            </w:r>
          </w:p>
        </w:tc>
      </w:tr>
      <w:tr w:rsidR="00FA29AB" w:rsidRPr="00050FA4" w14:paraId="000D33AD" w14:textId="77777777" w:rsidTr="00D825ED">
        <w:trPr>
          <w:jc w:val="center"/>
        </w:trPr>
        <w:tc>
          <w:tcPr>
            <w:tcW w:w="1059" w:type="dxa"/>
          </w:tcPr>
          <w:p w14:paraId="7F2178FF" w14:textId="77777777" w:rsidR="00E06E0F" w:rsidRPr="00050FA4" w:rsidRDefault="00E06E0F" w:rsidP="00A250C1">
            <w:pPr>
              <w:pStyle w:val="AAAAAAATEXXXX"/>
              <w:ind w:firstLine="0"/>
              <w:rPr>
                <w:sz w:val="18"/>
                <w:szCs w:val="18"/>
                <w:lang w:val="sq-AL"/>
              </w:rPr>
            </w:pPr>
            <w:r w:rsidRPr="00050FA4">
              <w:rPr>
                <w:sz w:val="18"/>
                <w:szCs w:val="18"/>
                <w:lang w:val="sq-AL"/>
              </w:rPr>
              <w:t>2024</w:t>
            </w:r>
          </w:p>
        </w:tc>
        <w:tc>
          <w:tcPr>
            <w:tcW w:w="1096" w:type="dxa"/>
            <w:vAlign w:val="center"/>
          </w:tcPr>
          <w:p w14:paraId="422BCFF2" w14:textId="77777777" w:rsidR="00E06E0F" w:rsidRPr="00050FA4" w:rsidRDefault="00E06E0F" w:rsidP="00A250C1">
            <w:pPr>
              <w:pStyle w:val="AAAAAAATEXXXX"/>
              <w:ind w:firstLine="0"/>
              <w:rPr>
                <w:sz w:val="18"/>
                <w:szCs w:val="18"/>
                <w:lang w:val="sq-AL"/>
              </w:rPr>
            </w:pPr>
            <w:r w:rsidRPr="00050FA4">
              <w:rPr>
                <w:sz w:val="18"/>
                <w:szCs w:val="18"/>
                <w:lang w:val="sq-AL" w:eastAsia="sq-AL"/>
              </w:rPr>
              <w:t>180,885.5</w:t>
            </w:r>
          </w:p>
        </w:tc>
        <w:tc>
          <w:tcPr>
            <w:tcW w:w="1068" w:type="dxa"/>
            <w:vAlign w:val="center"/>
          </w:tcPr>
          <w:p w14:paraId="25D55CE5"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6" w:type="dxa"/>
            <w:vAlign w:val="center"/>
          </w:tcPr>
          <w:p w14:paraId="055978D7"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547D73B2"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2" w:type="dxa"/>
            <w:vAlign w:val="center"/>
          </w:tcPr>
          <w:p w14:paraId="6BCC5837"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5" w:type="dxa"/>
            <w:vAlign w:val="center"/>
          </w:tcPr>
          <w:p w14:paraId="19612D0B"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060" w:type="dxa"/>
            <w:vAlign w:val="center"/>
          </w:tcPr>
          <w:p w14:paraId="4009CA99" w14:textId="77777777" w:rsidR="00E06E0F" w:rsidRPr="00050FA4" w:rsidRDefault="00E06E0F" w:rsidP="00A250C1">
            <w:pPr>
              <w:pStyle w:val="AAAAAAATEXXXX"/>
              <w:ind w:firstLine="0"/>
              <w:rPr>
                <w:sz w:val="18"/>
                <w:szCs w:val="18"/>
                <w:lang w:val="sq-AL"/>
              </w:rPr>
            </w:pPr>
            <w:r w:rsidRPr="00050FA4">
              <w:rPr>
                <w:sz w:val="18"/>
                <w:szCs w:val="18"/>
                <w:lang w:val="sq-AL" w:eastAsia="sq-AL"/>
              </w:rPr>
              <w:t>0</w:t>
            </w:r>
          </w:p>
        </w:tc>
        <w:tc>
          <w:tcPr>
            <w:tcW w:w="1663" w:type="dxa"/>
            <w:vAlign w:val="center"/>
          </w:tcPr>
          <w:p w14:paraId="52AE33FC" w14:textId="77777777" w:rsidR="00E06E0F" w:rsidRPr="00050FA4" w:rsidRDefault="00E06E0F" w:rsidP="00A250C1">
            <w:pPr>
              <w:pStyle w:val="AAAAAAATEXXXX"/>
              <w:ind w:firstLine="0"/>
              <w:rPr>
                <w:sz w:val="18"/>
                <w:szCs w:val="18"/>
                <w:lang w:val="sq-AL"/>
              </w:rPr>
            </w:pPr>
            <w:r w:rsidRPr="00050FA4">
              <w:rPr>
                <w:sz w:val="18"/>
                <w:szCs w:val="18"/>
                <w:lang w:val="sq-AL" w:eastAsia="sq-AL"/>
              </w:rPr>
              <w:t>180,885.5</w:t>
            </w:r>
          </w:p>
        </w:tc>
      </w:tr>
    </w:tbl>
    <w:p w14:paraId="15842142" w14:textId="77777777" w:rsidR="00E06E0F" w:rsidRPr="00050FA4" w:rsidRDefault="00E06E0F" w:rsidP="003F1DA7">
      <w:pPr>
        <w:pStyle w:val="AAAAAAATEXXXX"/>
        <w:rPr>
          <w:sz w:val="20"/>
          <w:szCs w:val="20"/>
          <w:lang w:val="sq-AL"/>
        </w:rPr>
      </w:pPr>
    </w:p>
    <w:p w14:paraId="1BCC8B2A" w14:textId="3ECBF8FB" w:rsidR="00E06E0F" w:rsidRPr="00050FA4" w:rsidRDefault="004D1F24" w:rsidP="003F1DA7">
      <w:pPr>
        <w:pStyle w:val="AAAAAAATEXXXX"/>
        <w:rPr>
          <w:sz w:val="20"/>
          <w:szCs w:val="20"/>
          <w:lang w:val="sq-AL"/>
        </w:rPr>
      </w:pPr>
      <w:bookmarkStart w:id="145" w:name="_Toc93325804"/>
      <w:r w:rsidRPr="00050FA4">
        <w:rPr>
          <w:rStyle w:val="Heading2Char"/>
          <w:rFonts w:ascii="Garamond" w:eastAsia="Arial Narrow" w:hAnsi="Garamond" w:cstheme="majorBidi"/>
          <w:color w:val="0D0D0D" w:themeColor="text1" w:themeTint="F2"/>
          <w:sz w:val="20"/>
          <w:szCs w:val="20"/>
          <w:lang w:val="sq-AL"/>
        </w:rPr>
        <w:t>Tabela</w:t>
      </w:r>
      <w:r w:rsidR="000B0C45" w:rsidRPr="00050FA4">
        <w:rPr>
          <w:rStyle w:val="Heading2Char"/>
          <w:rFonts w:ascii="Garamond" w:eastAsia="Arial Narrow" w:hAnsi="Garamond" w:cstheme="majorBidi"/>
          <w:color w:val="0D0D0D" w:themeColor="text1" w:themeTint="F2"/>
          <w:sz w:val="20"/>
          <w:szCs w:val="20"/>
          <w:lang w:val="sq-AL"/>
        </w:rPr>
        <w:t xml:space="preserve"> </w:t>
      </w:r>
      <w:r w:rsidR="00E06E0F" w:rsidRPr="00050FA4">
        <w:rPr>
          <w:rStyle w:val="Heading2Char"/>
          <w:rFonts w:ascii="Garamond" w:eastAsia="Arial Narrow" w:hAnsi="Garamond" w:cstheme="majorBidi"/>
          <w:color w:val="0D0D0D" w:themeColor="text1" w:themeTint="F2"/>
          <w:sz w:val="20"/>
          <w:szCs w:val="20"/>
          <w:lang w:val="sq-AL"/>
        </w:rPr>
        <w:t>11:</w:t>
      </w:r>
      <w:r w:rsidR="000B0C45" w:rsidRPr="00050FA4">
        <w:rPr>
          <w:rStyle w:val="Heading2Char"/>
          <w:rFonts w:ascii="Garamond" w:eastAsia="Arial Narrow" w:hAnsi="Garamond" w:cstheme="majorBidi"/>
          <w:color w:val="0D0D0D" w:themeColor="text1" w:themeTint="F2"/>
          <w:sz w:val="20"/>
          <w:szCs w:val="20"/>
          <w:lang w:val="sq-AL"/>
        </w:rPr>
        <w:t xml:space="preserve"> </w:t>
      </w:r>
      <w:r w:rsidR="00E06E0F" w:rsidRPr="00050FA4">
        <w:rPr>
          <w:rStyle w:val="Heading2Char"/>
          <w:rFonts w:ascii="Garamond" w:eastAsia="Arial Narrow" w:hAnsi="Garamond" w:cstheme="majorBidi"/>
          <w:color w:val="0D0D0D" w:themeColor="text1" w:themeTint="F2"/>
          <w:sz w:val="20"/>
          <w:szCs w:val="20"/>
          <w:lang w:val="sq-AL"/>
        </w:rPr>
        <w:t>R</w:t>
      </w:r>
      <w:r w:rsidR="005E44FE" w:rsidRPr="00050FA4">
        <w:rPr>
          <w:rStyle w:val="Heading2Char"/>
          <w:rFonts w:ascii="Garamond" w:eastAsia="Arial Narrow" w:hAnsi="Garamond" w:cstheme="majorBidi"/>
          <w:color w:val="0D0D0D" w:themeColor="text1" w:themeTint="F2"/>
          <w:sz w:val="20"/>
          <w:szCs w:val="20"/>
          <w:lang w:val="sq-AL"/>
        </w:rPr>
        <w:t xml:space="preserve">aportimi mbi zbatimin e masave të reformave strukturore të </w:t>
      </w:r>
      <w:r w:rsidR="00E06E0F" w:rsidRPr="00050FA4">
        <w:rPr>
          <w:rStyle w:val="Heading2Char"/>
          <w:rFonts w:ascii="Garamond" w:eastAsia="Arial Narrow" w:hAnsi="Garamond" w:cstheme="majorBidi"/>
          <w:color w:val="0D0D0D" w:themeColor="text1" w:themeTint="F2"/>
          <w:sz w:val="20"/>
          <w:szCs w:val="20"/>
          <w:lang w:val="sq-AL"/>
        </w:rPr>
        <w:t>ERP</w:t>
      </w:r>
      <w:r w:rsidR="000B0C45" w:rsidRPr="00050FA4">
        <w:rPr>
          <w:rStyle w:val="Heading2Char"/>
          <w:rFonts w:ascii="Garamond" w:eastAsia="Arial Narrow" w:hAnsi="Garamond" w:cstheme="majorBidi"/>
          <w:color w:val="0D0D0D" w:themeColor="text1" w:themeTint="F2"/>
          <w:sz w:val="20"/>
          <w:szCs w:val="20"/>
          <w:lang w:val="sq-AL"/>
        </w:rPr>
        <w:t xml:space="preserve"> </w:t>
      </w:r>
      <w:r w:rsidR="00E06E0F" w:rsidRPr="00050FA4">
        <w:rPr>
          <w:rStyle w:val="Heading2Char"/>
          <w:rFonts w:ascii="Garamond" w:eastAsia="Arial Narrow" w:hAnsi="Garamond" w:cstheme="majorBidi"/>
          <w:color w:val="0D0D0D" w:themeColor="text1" w:themeTint="F2"/>
          <w:sz w:val="20"/>
          <w:szCs w:val="20"/>
          <w:lang w:val="sq-AL"/>
        </w:rPr>
        <w:t>2021</w:t>
      </w:r>
      <w:r w:rsidR="00F93704" w:rsidRPr="00050FA4">
        <w:rPr>
          <w:rStyle w:val="Heading2Char"/>
          <w:rFonts w:ascii="Garamond" w:eastAsia="Arial Narrow" w:hAnsi="Garamond" w:cstheme="majorBidi"/>
          <w:color w:val="0D0D0D" w:themeColor="text1" w:themeTint="F2"/>
          <w:sz w:val="20"/>
          <w:szCs w:val="20"/>
          <w:lang w:val="sq-AL"/>
        </w:rPr>
        <w:t>–</w:t>
      </w:r>
      <w:r w:rsidR="00E06E0F" w:rsidRPr="00050FA4">
        <w:rPr>
          <w:rStyle w:val="Heading2Char"/>
          <w:rFonts w:ascii="Garamond" w:eastAsia="Arial Narrow" w:hAnsi="Garamond" w:cstheme="majorBidi"/>
          <w:color w:val="0D0D0D" w:themeColor="text1" w:themeTint="F2"/>
          <w:sz w:val="20"/>
          <w:szCs w:val="20"/>
          <w:lang w:val="sq-AL"/>
        </w:rPr>
        <w:t>2023</w:t>
      </w:r>
      <w:r w:rsidR="00E06E0F" w:rsidRPr="00050FA4">
        <w:rPr>
          <w:rStyle w:val="FootnoteReference"/>
          <w:rFonts w:cstheme="majorBidi"/>
          <w:color w:val="0D0D0D" w:themeColor="text1" w:themeTint="F2"/>
          <w:sz w:val="20"/>
          <w:szCs w:val="20"/>
          <w:lang w:val="sq-AL"/>
        </w:rPr>
        <w:footnoteReference w:id="47"/>
      </w:r>
      <w:bookmarkEnd w:id="145"/>
    </w:p>
    <w:tbl>
      <w:tblPr>
        <w:tblStyle w:val="TableGrid"/>
        <w:tblW w:w="10485" w:type="dxa"/>
        <w:jc w:val="center"/>
        <w:tblLook w:val="04A0" w:firstRow="1" w:lastRow="0" w:firstColumn="1" w:lastColumn="0" w:noHBand="0" w:noVBand="1"/>
      </w:tblPr>
      <w:tblGrid>
        <w:gridCol w:w="1723"/>
        <w:gridCol w:w="6777"/>
        <w:gridCol w:w="1985"/>
      </w:tblGrid>
      <w:tr w:rsidR="00FA29AB" w:rsidRPr="00050FA4" w14:paraId="3F84B801" w14:textId="77777777" w:rsidTr="0076687E">
        <w:trPr>
          <w:jc w:val="center"/>
        </w:trPr>
        <w:tc>
          <w:tcPr>
            <w:tcW w:w="8500" w:type="dxa"/>
            <w:gridSpan w:val="2"/>
            <w:shd w:val="clear" w:color="auto" w:fill="E5DFEC" w:themeFill="accent4" w:themeFillTint="33"/>
            <w:vAlign w:val="center"/>
          </w:tcPr>
          <w:p w14:paraId="486E14EE" w14:textId="77777777" w:rsidR="008B65A8" w:rsidRPr="00050FA4" w:rsidRDefault="008B65A8" w:rsidP="00F93704">
            <w:pPr>
              <w:pStyle w:val="AAAAAAATEXXXX"/>
              <w:ind w:firstLine="0"/>
              <w:jc w:val="center"/>
              <w:rPr>
                <w:b/>
                <w:sz w:val="18"/>
                <w:szCs w:val="18"/>
                <w:lang w:val="sq-AL"/>
              </w:rPr>
            </w:pPr>
            <w:r w:rsidRPr="00050FA4">
              <w:rPr>
                <w:b/>
                <w:sz w:val="18"/>
                <w:szCs w:val="18"/>
                <w:lang w:val="sq-AL"/>
              </w:rPr>
              <w:t>Masa e reformës: Liberalizimi i mëtejshëm i tregut të energjisë</w:t>
            </w:r>
          </w:p>
        </w:tc>
        <w:tc>
          <w:tcPr>
            <w:tcW w:w="1985" w:type="dxa"/>
            <w:shd w:val="clear" w:color="auto" w:fill="E5DFEC" w:themeFill="accent4" w:themeFillTint="33"/>
            <w:vAlign w:val="center"/>
          </w:tcPr>
          <w:p w14:paraId="4225CF0B" w14:textId="3B16E619" w:rsidR="008B65A8" w:rsidRPr="00050FA4" w:rsidRDefault="008B65A8" w:rsidP="00F93704">
            <w:pPr>
              <w:jc w:val="center"/>
              <w:rPr>
                <w:rFonts w:ascii="Garamond" w:hAnsi="Garamond" w:cstheme="majorBidi"/>
                <w:b/>
                <w:bCs/>
                <w:color w:val="0D0D0D" w:themeColor="text1" w:themeTint="F2"/>
                <w:sz w:val="18"/>
                <w:szCs w:val="18"/>
              </w:rPr>
            </w:pPr>
            <w:r w:rsidRPr="00050FA4">
              <w:rPr>
                <w:rFonts w:ascii="Garamond" w:hAnsi="Garamond" w:cstheme="majorBidi"/>
                <w:b/>
                <w:bCs/>
                <w:color w:val="0D0D0D" w:themeColor="text1" w:themeTint="F2"/>
                <w:sz w:val="18"/>
                <w:szCs w:val="18"/>
              </w:rPr>
              <w:t>Faza e zbatimit të reformës (0</w:t>
            </w:r>
            <w:r w:rsidR="00F93704" w:rsidRPr="00050FA4">
              <w:rPr>
                <w:rFonts w:ascii="Garamond" w:hAnsi="Garamond" w:cstheme="majorBidi"/>
                <w:b/>
                <w:bCs/>
                <w:color w:val="0D0D0D" w:themeColor="text1" w:themeTint="F2"/>
                <w:sz w:val="18"/>
                <w:szCs w:val="18"/>
              </w:rPr>
              <w:t>–</w:t>
            </w:r>
            <w:r w:rsidRPr="00050FA4">
              <w:rPr>
                <w:rFonts w:ascii="Garamond" w:hAnsi="Garamond" w:cstheme="majorBidi"/>
                <w:b/>
                <w:bCs/>
                <w:color w:val="0D0D0D" w:themeColor="text1" w:themeTint="F2"/>
                <w:sz w:val="18"/>
                <w:szCs w:val="18"/>
              </w:rPr>
              <w:t>5)</w:t>
            </w:r>
          </w:p>
        </w:tc>
      </w:tr>
      <w:tr w:rsidR="00FA29AB" w:rsidRPr="00050FA4" w14:paraId="7EB875DE" w14:textId="77777777" w:rsidTr="0076687E">
        <w:trPr>
          <w:jc w:val="center"/>
        </w:trPr>
        <w:tc>
          <w:tcPr>
            <w:tcW w:w="1723" w:type="dxa"/>
            <w:vMerge w:val="restart"/>
          </w:tcPr>
          <w:p w14:paraId="6193E47D" w14:textId="77777777" w:rsidR="008B65A8" w:rsidRPr="00050FA4" w:rsidRDefault="008B65A8" w:rsidP="00A250C1">
            <w:pPr>
              <w:pStyle w:val="AAAAAAATEXXXX"/>
              <w:ind w:firstLine="0"/>
              <w:rPr>
                <w:sz w:val="18"/>
                <w:szCs w:val="18"/>
                <w:lang w:val="sq-AL"/>
              </w:rPr>
            </w:pPr>
            <w:r w:rsidRPr="00050FA4">
              <w:rPr>
                <w:sz w:val="18"/>
                <w:szCs w:val="18"/>
                <w:lang w:val="sq-AL"/>
              </w:rPr>
              <w:t>Aktivitetet e planifikuara për vitin 2021</w:t>
            </w:r>
          </w:p>
        </w:tc>
        <w:tc>
          <w:tcPr>
            <w:tcW w:w="6777" w:type="dxa"/>
          </w:tcPr>
          <w:p w14:paraId="01B17F5B" w14:textId="77777777" w:rsidR="008B65A8" w:rsidRPr="00050FA4" w:rsidRDefault="008B65A8" w:rsidP="00A250C1">
            <w:pPr>
              <w:pStyle w:val="AAAAAAATEXXXX"/>
              <w:ind w:firstLine="0"/>
              <w:rPr>
                <w:sz w:val="18"/>
                <w:szCs w:val="18"/>
                <w:lang w:val="sq-AL"/>
              </w:rPr>
            </w:pPr>
            <w:r w:rsidRPr="00050FA4">
              <w:rPr>
                <w:sz w:val="18"/>
                <w:szCs w:val="18"/>
                <w:lang w:val="sq-AL"/>
              </w:rPr>
              <w:t>Liberalizimi i tregut të energjisë elektrike (konsumatorët në tregun e lirë).</w:t>
            </w:r>
          </w:p>
        </w:tc>
        <w:tc>
          <w:tcPr>
            <w:tcW w:w="1985" w:type="dxa"/>
          </w:tcPr>
          <w:p w14:paraId="116F87C6" w14:textId="77777777" w:rsidR="008B65A8" w:rsidRPr="00050FA4" w:rsidRDefault="008B65A8" w:rsidP="0076687E">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w:t>
            </w:r>
          </w:p>
        </w:tc>
      </w:tr>
      <w:tr w:rsidR="00FA29AB" w:rsidRPr="00050FA4" w14:paraId="4FE4BF17" w14:textId="77777777" w:rsidTr="0076687E">
        <w:trPr>
          <w:jc w:val="center"/>
        </w:trPr>
        <w:tc>
          <w:tcPr>
            <w:tcW w:w="1723" w:type="dxa"/>
            <w:vMerge/>
          </w:tcPr>
          <w:p w14:paraId="058ECCAC" w14:textId="77777777" w:rsidR="008B65A8" w:rsidRPr="00050FA4" w:rsidRDefault="008B65A8" w:rsidP="00A250C1">
            <w:pPr>
              <w:pStyle w:val="AAAAAAATEXXXX"/>
              <w:ind w:firstLine="0"/>
              <w:rPr>
                <w:sz w:val="18"/>
                <w:szCs w:val="18"/>
                <w:lang w:val="sq-AL"/>
              </w:rPr>
            </w:pPr>
          </w:p>
        </w:tc>
        <w:tc>
          <w:tcPr>
            <w:tcW w:w="6777" w:type="dxa"/>
          </w:tcPr>
          <w:p w14:paraId="524EA23F" w14:textId="77777777" w:rsidR="008B65A8" w:rsidRPr="00050FA4" w:rsidRDefault="008B65A8" w:rsidP="00A250C1">
            <w:pPr>
              <w:pStyle w:val="AAAAAAATEXXXX"/>
              <w:ind w:firstLine="0"/>
              <w:rPr>
                <w:sz w:val="18"/>
                <w:szCs w:val="18"/>
                <w:lang w:val="sq-AL"/>
              </w:rPr>
            </w:pPr>
            <w:r w:rsidRPr="00050FA4">
              <w:rPr>
                <w:sz w:val="18"/>
                <w:szCs w:val="18"/>
                <w:lang w:val="sq-AL"/>
              </w:rPr>
              <w:t>Shkëputja e aktivitetit të shpërndarjes nga furnizimi.</w:t>
            </w:r>
          </w:p>
        </w:tc>
        <w:tc>
          <w:tcPr>
            <w:tcW w:w="1985" w:type="dxa"/>
          </w:tcPr>
          <w:p w14:paraId="2DB33AD5" w14:textId="77777777" w:rsidR="008B65A8" w:rsidRPr="00050FA4" w:rsidRDefault="008B65A8" w:rsidP="0076687E">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w:t>
            </w:r>
          </w:p>
        </w:tc>
      </w:tr>
      <w:tr w:rsidR="00FA29AB" w:rsidRPr="00050FA4" w14:paraId="5970A6C0" w14:textId="77777777" w:rsidTr="0076687E">
        <w:trPr>
          <w:jc w:val="center"/>
        </w:trPr>
        <w:tc>
          <w:tcPr>
            <w:tcW w:w="1723" w:type="dxa"/>
            <w:vMerge/>
          </w:tcPr>
          <w:p w14:paraId="1583BAA9" w14:textId="77777777" w:rsidR="008B65A8" w:rsidRPr="00050FA4" w:rsidRDefault="008B65A8" w:rsidP="00A250C1">
            <w:pPr>
              <w:pStyle w:val="AAAAAAATEXXXX"/>
              <w:ind w:firstLine="0"/>
              <w:rPr>
                <w:sz w:val="18"/>
                <w:szCs w:val="18"/>
                <w:lang w:val="sq-AL"/>
              </w:rPr>
            </w:pPr>
          </w:p>
        </w:tc>
        <w:tc>
          <w:tcPr>
            <w:tcW w:w="6777" w:type="dxa"/>
          </w:tcPr>
          <w:p w14:paraId="799CAF0C" w14:textId="77777777" w:rsidR="008B65A8" w:rsidRPr="00050FA4" w:rsidRDefault="008B65A8" w:rsidP="00A250C1">
            <w:pPr>
              <w:pStyle w:val="AAAAAAATEXXXX"/>
              <w:ind w:firstLine="0"/>
              <w:rPr>
                <w:sz w:val="18"/>
                <w:szCs w:val="18"/>
                <w:lang w:val="sq-AL"/>
              </w:rPr>
            </w:pPr>
            <w:r w:rsidRPr="00050FA4">
              <w:rPr>
                <w:sz w:val="18"/>
                <w:szCs w:val="18"/>
                <w:lang w:val="sq-AL"/>
              </w:rPr>
              <w:t>Krijimi i Bursës Shqiptare të Energjisë</w:t>
            </w:r>
          </w:p>
        </w:tc>
        <w:tc>
          <w:tcPr>
            <w:tcW w:w="1985" w:type="dxa"/>
          </w:tcPr>
          <w:p w14:paraId="0AF44E68" w14:textId="77777777" w:rsidR="008B65A8" w:rsidRPr="00050FA4" w:rsidRDefault="008B65A8" w:rsidP="0076687E">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w:t>
            </w:r>
          </w:p>
        </w:tc>
      </w:tr>
      <w:tr w:rsidR="00FA29AB" w:rsidRPr="00050FA4" w14:paraId="456E027B" w14:textId="77777777" w:rsidTr="0076687E">
        <w:trPr>
          <w:jc w:val="center"/>
        </w:trPr>
        <w:tc>
          <w:tcPr>
            <w:tcW w:w="1723" w:type="dxa"/>
            <w:vMerge/>
          </w:tcPr>
          <w:p w14:paraId="51B9EBB7" w14:textId="77777777" w:rsidR="008B65A8" w:rsidRPr="00050FA4" w:rsidRDefault="008B65A8" w:rsidP="00A250C1">
            <w:pPr>
              <w:pStyle w:val="AAAAAAATEXXXX"/>
              <w:ind w:firstLine="0"/>
              <w:rPr>
                <w:sz w:val="18"/>
                <w:szCs w:val="18"/>
                <w:lang w:val="sq-AL"/>
              </w:rPr>
            </w:pPr>
          </w:p>
        </w:tc>
        <w:tc>
          <w:tcPr>
            <w:tcW w:w="6777" w:type="dxa"/>
          </w:tcPr>
          <w:p w14:paraId="6494AEC2" w14:textId="77777777" w:rsidR="008B65A8" w:rsidRPr="00050FA4" w:rsidRDefault="008B65A8" w:rsidP="00A250C1">
            <w:pPr>
              <w:pStyle w:val="AAAAAAATEXXXX"/>
              <w:ind w:firstLine="0"/>
              <w:rPr>
                <w:sz w:val="18"/>
                <w:szCs w:val="18"/>
                <w:lang w:val="sq-AL"/>
              </w:rPr>
            </w:pPr>
            <w:r w:rsidRPr="00050FA4">
              <w:rPr>
                <w:sz w:val="18"/>
                <w:szCs w:val="18"/>
                <w:lang w:val="sq-AL"/>
              </w:rPr>
              <w:t>Siguria e furnizimit</w:t>
            </w:r>
          </w:p>
        </w:tc>
        <w:tc>
          <w:tcPr>
            <w:tcW w:w="1985" w:type="dxa"/>
          </w:tcPr>
          <w:p w14:paraId="37013C2B" w14:textId="77777777" w:rsidR="008B65A8" w:rsidRPr="00050FA4" w:rsidRDefault="008B65A8" w:rsidP="0076687E">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w:t>
            </w:r>
          </w:p>
        </w:tc>
      </w:tr>
      <w:tr w:rsidR="00FA29AB" w:rsidRPr="00050FA4" w14:paraId="01306619" w14:textId="77777777" w:rsidTr="0076687E">
        <w:trPr>
          <w:jc w:val="center"/>
        </w:trPr>
        <w:tc>
          <w:tcPr>
            <w:tcW w:w="1723" w:type="dxa"/>
            <w:vMerge w:val="restart"/>
          </w:tcPr>
          <w:p w14:paraId="2861FFC1" w14:textId="77777777" w:rsidR="008B65A8" w:rsidRPr="00050FA4" w:rsidRDefault="008B65A8" w:rsidP="00A250C1">
            <w:pPr>
              <w:pStyle w:val="AAAAAAATEXXXX"/>
              <w:ind w:firstLine="0"/>
              <w:rPr>
                <w:sz w:val="18"/>
                <w:szCs w:val="18"/>
                <w:lang w:val="sq-AL"/>
              </w:rPr>
            </w:pPr>
            <w:r w:rsidRPr="00050FA4">
              <w:rPr>
                <w:sz w:val="18"/>
                <w:szCs w:val="18"/>
                <w:lang w:val="sq-AL"/>
              </w:rPr>
              <w:t>Përshkrimi i zbatimit dhe shpjegimi nëse është i pjesshëm ose aspak</w:t>
            </w:r>
          </w:p>
        </w:tc>
        <w:tc>
          <w:tcPr>
            <w:tcW w:w="6777" w:type="dxa"/>
          </w:tcPr>
          <w:p w14:paraId="529D4523" w14:textId="77777777" w:rsidR="008B65A8" w:rsidRPr="00050FA4" w:rsidRDefault="008B65A8" w:rsidP="00A250C1">
            <w:pPr>
              <w:pStyle w:val="AAAAAAATEXXXX"/>
              <w:ind w:firstLine="0"/>
              <w:rPr>
                <w:sz w:val="18"/>
                <w:szCs w:val="18"/>
                <w:lang w:val="sq-AL"/>
              </w:rPr>
            </w:pPr>
            <w:r w:rsidRPr="00050FA4">
              <w:rPr>
                <w:sz w:val="18"/>
                <w:szCs w:val="18"/>
                <w:lang w:val="sq-AL"/>
              </w:rPr>
              <w:t>Duke filluar nga data 18 mars 2020, të gjithë klientët e lidhur në rrjetin 35 kV furnizohen në tregun e liberalizuar, me përjashtim të subjekteve si pjesë e shërbimit publik:</w:t>
            </w:r>
          </w:p>
          <w:p w14:paraId="76722821" w14:textId="77777777" w:rsidR="008B65A8" w:rsidRPr="00050FA4" w:rsidRDefault="008B65A8" w:rsidP="00A250C1">
            <w:pPr>
              <w:pStyle w:val="AAAAAAATEXXXX"/>
              <w:ind w:firstLine="0"/>
              <w:rPr>
                <w:sz w:val="18"/>
                <w:szCs w:val="18"/>
                <w:lang w:val="sq-AL"/>
              </w:rPr>
            </w:pPr>
            <w:r w:rsidRPr="00050FA4">
              <w:rPr>
                <w:sz w:val="18"/>
                <w:szCs w:val="18"/>
                <w:lang w:val="sq-AL"/>
              </w:rPr>
              <w:t>- Institucionet shtetërore që ofrojnë shërbime shëndetësore publike (spitale dhe qendra emergjente);</w:t>
            </w:r>
          </w:p>
          <w:p w14:paraId="147A60B8" w14:textId="77777777" w:rsidR="008B65A8" w:rsidRPr="00050FA4" w:rsidRDefault="008B65A8" w:rsidP="00A250C1">
            <w:pPr>
              <w:pStyle w:val="AAAAAAATEXXXX"/>
              <w:ind w:firstLine="0"/>
              <w:rPr>
                <w:sz w:val="18"/>
                <w:szCs w:val="18"/>
                <w:lang w:val="sq-AL"/>
              </w:rPr>
            </w:pPr>
            <w:r w:rsidRPr="00050FA4">
              <w:rPr>
                <w:sz w:val="18"/>
                <w:szCs w:val="18"/>
                <w:lang w:val="sq-AL"/>
              </w:rPr>
              <w:t>- Kompanitë që ofrojnë ujë të pijshëm për konsumatorët;</w:t>
            </w:r>
          </w:p>
          <w:p w14:paraId="35DD2785" w14:textId="77777777" w:rsidR="008B65A8" w:rsidRPr="00050FA4" w:rsidRDefault="008B65A8" w:rsidP="00A250C1">
            <w:pPr>
              <w:pStyle w:val="AAAAAAATEXXXX"/>
              <w:ind w:firstLine="0"/>
              <w:rPr>
                <w:sz w:val="18"/>
                <w:szCs w:val="18"/>
                <w:lang w:val="sq-AL"/>
              </w:rPr>
            </w:pPr>
            <w:r w:rsidRPr="00050FA4">
              <w:rPr>
                <w:sz w:val="18"/>
                <w:szCs w:val="18"/>
                <w:lang w:val="sq-AL"/>
              </w:rPr>
              <w:t>- Institucionet shtetërore që ekzekutojnë dënimet penale dhe institucionet shtetërore.</w:t>
            </w:r>
          </w:p>
          <w:p w14:paraId="7B56CB81" w14:textId="75702FE1" w:rsidR="008B65A8" w:rsidRPr="00050FA4" w:rsidRDefault="008B65A8" w:rsidP="00A250C1">
            <w:pPr>
              <w:pStyle w:val="AAAAAAATEXXXX"/>
              <w:ind w:firstLine="0"/>
              <w:rPr>
                <w:sz w:val="18"/>
                <w:szCs w:val="18"/>
                <w:lang w:val="sq-AL"/>
              </w:rPr>
            </w:pPr>
            <w:r w:rsidRPr="00050FA4">
              <w:rPr>
                <w:sz w:val="18"/>
                <w:szCs w:val="18"/>
                <w:lang w:val="sq-AL"/>
              </w:rPr>
              <w:t>Hyrja në tregun e parregulluar të konsumatorëve të energjisë elektrike të lidhur me 20 kV është e lidhur ngushtë me cilësinë e shërbimit të ofruar nga OSSH S.A, si dhe me treguesit e lejuar të performancës. Një nga element</w:t>
            </w:r>
            <w:r w:rsidR="00097DAF" w:rsidRPr="00050FA4">
              <w:rPr>
                <w:sz w:val="18"/>
                <w:szCs w:val="18"/>
                <w:lang w:val="sq-AL"/>
              </w:rPr>
              <w:t>e</w:t>
            </w:r>
            <w:r w:rsidRPr="00050FA4">
              <w:rPr>
                <w:sz w:val="18"/>
                <w:szCs w:val="18"/>
                <w:lang w:val="sq-AL"/>
              </w:rPr>
              <w:t>t kryesor</w:t>
            </w:r>
            <w:r w:rsidR="00097DAF" w:rsidRPr="00050FA4">
              <w:rPr>
                <w:sz w:val="18"/>
                <w:szCs w:val="18"/>
                <w:lang w:val="sq-AL"/>
              </w:rPr>
              <w:t>e</w:t>
            </w:r>
            <w:r w:rsidRPr="00050FA4">
              <w:rPr>
                <w:sz w:val="18"/>
                <w:szCs w:val="18"/>
                <w:lang w:val="sq-AL"/>
              </w:rPr>
              <w:t xml:space="preserve"> për kontrollin e monitorimit të treguesve të cilësisë dhe performancës së tensionit të rrjetit të shpërndarjes së energjisë elektrike është:</w:t>
            </w:r>
          </w:p>
          <w:p w14:paraId="4BCA0E72" w14:textId="5D7D8AA5" w:rsidR="008B65A8" w:rsidRPr="00050FA4" w:rsidRDefault="003917FF" w:rsidP="00A250C1">
            <w:pPr>
              <w:pStyle w:val="AAAAAAATEXXXX"/>
              <w:ind w:firstLine="0"/>
              <w:rPr>
                <w:sz w:val="18"/>
                <w:szCs w:val="18"/>
                <w:lang w:val="sq-AL"/>
              </w:rPr>
            </w:pPr>
            <w:r w:rsidRPr="00050FA4">
              <w:rPr>
                <w:sz w:val="18"/>
                <w:szCs w:val="18"/>
                <w:lang w:val="sq-AL"/>
              </w:rPr>
              <w:t>a)</w:t>
            </w:r>
            <w:r w:rsidR="008B65A8" w:rsidRPr="00050FA4">
              <w:rPr>
                <w:sz w:val="18"/>
                <w:szCs w:val="18"/>
                <w:lang w:val="sq-AL"/>
              </w:rPr>
              <w:t xml:space="preserve"> instalimi i matësve inteligjentë në klientë i cili është ende në proces nga OSSH</w:t>
            </w:r>
          </w:p>
          <w:p w14:paraId="219919EF" w14:textId="7E88289F" w:rsidR="008B65A8" w:rsidRPr="00050FA4" w:rsidRDefault="008B65A8" w:rsidP="00A250C1">
            <w:pPr>
              <w:pStyle w:val="AAAAAAATEXXXX"/>
              <w:ind w:firstLine="0"/>
              <w:rPr>
                <w:sz w:val="18"/>
                <w:szCs w:val="18"/>
                <w:lang w:val="sq-AL"/>
              </w:rPr>
            </w:pPr>
            <w:r w:rsidRPr="00050FA4">
              <w:rPr>
                <w:sz w:val="18"/>
                <w:szCs w:val="18"/>
                <w:lang w:val="sq-AL"/>
              </w:rPr>
              <w:t>b</w:t>
            </w:r>
            <w:r w:rsidR="003917FF" w:rsidRPr="00050FA4">
              <w:rPr>
                <w:sz w:val="18"/>
                <w:szCs w:val="18"/>
                <w:lang w:val="sq-AL"/>
              </w:rPr>
              <w:t>)</w:t>
            </w:r>
            <w:r w:rsidRPr="00050FA4">
              <w:rPr>
                <w:sz w:val="18"/>
                <w:szCs w:val="18"/>
                <w:lang w:val="sq-AL"/>
              </w:rPr>
              <w:t xml:space="preserve"> përgatitja e rrjetit 20 kV</w:t>
            </w:r>
            <w:r w:rsidR="000109D2" w:rsidRPr="00050FA4">
              <w:rPr>
                <w:sz w:val="18"/>
                <w:szCs w:val="18"/>
                <w:lang w:val="sq-AL"/>
              </w:rPr>
              <w:t>,</w:t>
            </w:r>
            <w:r w:rsidRPr="00050FA4">
              <w:rPr>
                <w:sz w:val="18"/>
                <w:szCs w:val="18"/>
                <w:lang w:val="sq-AL"/>
              </w:rPr>
              <w:t xml:space="preserve"> duke e kthyer atë në një rrjet SMART</w:t>
            </w:r>
          </w:p>
          <w:p w14:paraId="0984BC98" w14:textId="56DCC490" w:rsidR="008B65A8" w:rsidRPr="00050FA4" w:rsidRDefault="008B65A8" w:rsidP="00A250C1">
            <w:pPr>
              <w:pStyle w:val="AAAAAAATEXXXX"/>
              <w:ind w:firstLine="0"/>
              <w:rPr>
                <w:sz w:val="18"/>
                <w:szCs w:val="18"/>
                <w:lang w:val="sq-AL"/>
              </w:rPr>
            </w:pPr>
            <w:r w:rsidRPr="00050FA4">
              <w:rPr>
                <w:sz w:val="18"/>
                <w:szCs w:val="18"/>
                <w:lang w:val="sq-AL"/>
              </w:rPr>
              <w:t>c</w:t>
            </w:r>
            <w:r w:rsidR="003917FF" w:rsidRPr="00050FA4">
              <w:rPr>
                <w:sz w:val="18"/>
                <w:szCs w:val="18"/>
                <w:lang w:val="sq-AL"/>
              </w:rPr>
              <w:t>)</w:t>
            </w:r>
            <w:r w:rsidRPr="00050FA4">
              <w:rPr>
                <w:sz w:val="18"/>
                <w:szCs w:val="18"/>
                <w:lang w:val="sq-AL"/>
              </w:rPr>
              <w:t xml:space="preserve"> Planifikimi i rrjeteve të energjisë elektrike në formë aktive (ku energjia ka dy drejtime) që vjen si rezultat i injektimit të energjisë nga përdoruesit/prodhuesit në rrjetin e shpërndarjes. </w:t>
            </w:r>
            <w:r w:rsidRPr="00050FA4">
              <w:rPr>
                <w:sz w:val="18"/>
                <w:szCs w:val="18"/>
                <w:lang w:val="sq-AL"/>
              </w:rPr>
              <w:lastRenderedPageBreak/>
              <w:t>Planifikimi i këtyre investimeve sjell si pasojë kërkesën për zbatimin e treguesve të cilësisë dhe për rrjedhojë hyrjen në një treg të parregulluar. Afatet për zbatimin e treguesve të cilësisë nuk lidhen me afatet e hyrjes së parregulluar në treg të klientëve jofamiljarë, por mund të përcaktojnë një tendencë daljeje në mënyrë të përshkallëzuar sipas zonave me ngarkesë/konsum më të lartë.</w:t>
            </w:r>
          </w:p>
          <w:p w14:paraId="791E95D4" w14:textId="45FBC6B0" w:rsidR="008B65A8" w:rsidRPr="00050FA4" w:rsidRDefault="008B65A8" w:rsidP="00A250C1">
            <w:pPr>
              <w:pStyle w:val="AAAAAAATEXXXX"/>
              <w:ind w:firstLine="0"/>
              <w:rPr>
                <w:sz w:val="18"/>
                <w:szCs w:val="18"/>
                <w:lang w:val="sq-AL"/>
              </w:rPr>
            </w:pPr>
            <w:r w:rsidRPr="00050FA4">
              <w:rPr>
                <w:sz w:val="18"/>
                <w:szCs w:val="18"/>
                <w:lang w:val="sq-AL"/>
              </w:rPr>
              <w:t>Lidhur me hapjen e tregut, me Urdhrin e Ministrit të Infrastrukturës</w:t>
            </w:r>
            <w:r w:rsidR="003917FF" w:rsidRPr="00050FA4">
              <w:rPr>
                <w:sz w:val="18"/>
                <w:szCs w:val="18"/>
                <w:lang w:val="sq-AL"/>
              </w:rPr>
              <w:t xml:space="preserve"> dhe Energjisë nr. 28, datë 18.</w:t>
            </w:r>
            <w:r w:rsidRPr="00050FA4">
              <w:rPr>
                <w:sz w:val="18"/>
                <w:szCs w:val="18"/>
                <w:lang w:val="sq-AL"/>
              </w:rPr>
              <w:t>1.2021</w:t>
            </w:r>
            <w:r w:rsidR="003917FF"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Për miratimin e udhërrëfyesit për hapjen e tregut dhe çrregullimin e çmimeve të energjisë elektrike</w:t>
            </w:r>
            <w:r w:rsidR="008A0E5B" w:rsidRPr="00050FA4">
              <w:rPr>
                <w:sz w:val="18"/>
                <w:szCs w:val="18"/>
                <w:lang w:val="sq-AL"/>
              </w:rPr>
              <w:t>”</w:t>
            </w:r>
            <w:r w:rsidRPr="00050FA4">
              <w:rPr>
                <w:sz w:val="18"/>
                <w:szCs w:val="18"/>
                <w:lang w:val="sq-AL"/>
              </w:rPr>
              <w:t>, u miratua udhërrëfyesi për hapjen e tregut dhe derregullimin e procesit, i cili parashikon</w:t>
            </w:r>
          </w:p>
          <w:p w14:paraId="2566F19C" w14:textId="4C66C1D2" w:rsidR="008B65A8" w:rsidRPr="00050FA4" w:rsidRDefault="008B65A8" w:rsidP="004E475E">
            <w:pPr>
              <w:pStyle w:val="AAAAAAATEXXXX"/>
              <w:ind w:firstLine="0"/>
              <w:rPr>
                <w:sz w:val="18"/>
                <w:szCs w:val="18"/>
                <w:lang w:val="sq-AL"/>
              </w:rPr>
            </w:pPr>
            <w:r w:rsidRPr="00050FA4">
              <w:rPr>
                <w:sz w:val="18"/>
                <w:szCs w:val="18"/>
                <w:lang w:val="sq-AL"/>
              </w:rPr>
              <w:t xml:space="preserve">se duke filluar nga 1 janari 2021 të gjithë konsumatorët e kyçur në 35 kV dhe një pjesë e konsumatorëve të lidhur në 20 kV do të furnizohen përmes një tregu dhe çmimi të çrregulluar (faza 1) dhe duke filluar nga 1 janari 2022 të gjithë konsumatorët përveç 0.4 kV do të furnizohen me të çrregulluar. çmimet. Hyrja në tregun e parregulluar të konsumatorëve të energjisë elektrike është e lidhur ngushtë me cilësinë e shërbimit të ofruar nga OSSH </w:t>
            </w:r>
            <w:r w:rsidR="00957675" w:rsidRPr="00050FA4">
              <w:rPr>
                <w:sz w:val="18"/>
                <w:szCs w:val="18"/>
                <w:lang w:val="sq-AL"/>
              </w:rPr>
              <w:t xml:space="preserve">s.a. </w:t>
            </w:r>
            <w:r w:rsidRPr="00050FA4">
              <w:rPr>
                <w:sz w:val="18"/>
                <w:szCs w:val="18"/>
                <w:lang w:val="sq-AL"/>
              </w:rPr>
              <w:t>si dhe me treguesit e lejuar të performancës. Një nga element</w:t>
            </w:r>
            <w:r w:rsidR="00097DAF" w:rsidRPr="00050FA4">
              <w:rPr>
                <w:sz w:val="18"/>
                <w:szCs w:val="18"/>
                <w:lang w:val="sq-AL"/>
              </w:rPr>
              <w:t>e</w:t>
            </w:r>
            <w:r w:rsidRPr="00050FA4">
              <w:rPr>
                <w:sz w:val="18"/>
                <w:szCs w:val="18"/>
                <w:lang w:val="sq-AL"/>
              </w:rPr>
              <w:t>t kryesor</w:t>
            </w:r>
            <w:r w:rsidR="00097DAF" w:rsidRPr="00050FA4">
              <w:rPr>
                <w:sz w:val="18"/>
                <w:szCs w:val="18"/>
                <w:lang w:val="sq-AL"/>
              </w:rPr>
              <w:t>e</w:t>
            </w:r>
            <w:r w:rsidRPr="00050FA4">
              <w:rPr>
                <w:sz w:val="18"/>
                <w:szCs w:val="18"/>
                <w:lang w:val="sq-AL"/>
              </w:rPr>
              <w:t xml:space="preserve"> për kontrollin e monitorimit të cilësisë së tensionit dhe treguesve të performancës së rrjetit të shpërndarjes së energjisë elektrike është ven</w:t>
            </w:r>
            <w:r w:rsidR="00A417C0" w:rsidRPr="00050FA4">
              <w:rPr>
                <w:sz w:val="18"/>
                <w:szCs w:val="18"/>
                <w:lang w:val="sq-AL"/>
              </w:rPr>
              <w:t>dosja e matësve inteligjentë te</w:t>
            </w:r>
            <w:r w:rsidRPr="00050FA4">
              <w:rPr>
                <w:sz w:val="18"/>
                <w:szCs w:val="18"/>
                <w:lang w:val="sq-AL"/>
              </w:rPr>
              <w:t xml:space="preserve"> klientët si detyrim i OSSH </w:t>
            </w:r>
            <w:r w:rsidR="00957675" w:rsidRPr="00050FA4">
              <w:rPr>
                <w:sz w:val="18"/>
                <w:szCs w:val="18"/>
                <w:lang w:val="sq-AL"/>
              </w:rPr>
              <w:t>s.a.</w:t>
            </w:r>
            <w:r w:rsidRPr="00050FA4">
              <w:rPr>
                <w:sz w:val="18"/>
                <w:szCs w:val="18"/>
                <w:lang w:val="sq-AL"/>
              </w:rPr>
              <w:t xml:space="preserve"> në përputhje me nenin 78</w:t>
            </w:r>
            <w:r w:rsidR="003917FF"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Sistemet inteligjente të matjes</w:t>
            </w:r>
            <w:r w:rsidR="008A0E5B" w:rsidRPr="00050FA4">
              <w:rPr>
                <w:sz w:val="18"/>
                <w:szCs w:val="18"/>
                <w:lang w:val="sq-AL"/>
              </w:rPr>
              <w:t>”</w:t>
            </w:r>
            <w:r w:rsidR="003917FF" w:rsidRPr="00050FA4">
              <w:rPr>
                <w:sz w:val="18"/>
                <w:szCs w:val="18"/>
                <w:lang w:val="sq-AL"/>
              </w:rPr>
              <w:t>,</w:t>
            </w:r>
            <w:r w:rsidRPr="00050FA4">
              <w:rPr>
                <w:sz w:val="18"/>
                <w:szCs w:val="18"/>
                <w:lang w:val="sq-AL"/>
              </w:rPr>
              <w:t xml:space="preserve"> të ligjit nr</w:t>
            </w:r>
            <w:r w:rsidR="00957675" w:rsidRPr="00050FA4">
              <w:rPr>
                <w:sz w:val="18"/>
                <w:szCs w:val="18"/>
                <w:lang w:val="sq-AL"/>
              </w:rPr>
              <w:t xml:space="preserve">. </w:t>
            </w:r>
            <w:r w:rsidRPr="00050FA4">
              <w:rPr>
                <w:sz w:val="18"/>
                <w:szCs w:val="18"/>
                <w:lang w:val="sq-AL"/>
              </w:rPr>
              <w:t>43</w:t>
            </w:r>
            <w:r w:rsidR="00535FB4" w:rsidRPr="00050FA4">
              <w:rPr>
                <w:sz w:val="18"/>
                <w:szCs w:val="18"/>
                <w:lang w:val="sq-AL"/>
              </w:rPr>
              <w:t>/</w:t>
            </w:r>
            <w:r w:rsidRPr="00050FA4">
              <w:rPr>
                <w:sz w:val="18"/>
                <w:szCs w:val="18"/>
                <w:lang w:val="sq-AL"/>
              </w:rPr>
              <w:t>2015</w:t>
            </w:r>
            <w:r w:rsidR="003917FF"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Për sektorin e energjisë elektrike</w:t>
            </w:r>
            <w:r w:rsidR="008A0E5B" w:rsidRPr="00050FA4">
              <w:rPr>
                <w:sz w:val="18"/>
                <w:szCs w:val="18"/>
                <w:lang w:val="sq-AL"/>
              </w:rPr>
              <w:t>”</w:t>
            </w:r>
            <w:r w:rsidR="004E475E" w:rsidRPr="00050FA4">
              <w:rPr>
                <w:sz w:val="18"/>
                <w:szCs w:val="18"/>
                <w:lang w:val="sq-AL"/>
              </w:rPr>
              <w:t>,</w:t>
            </w:r>
            <w:r w:rsidRPr="00050FA4">
              <w:rPr>
                <w:sz w:val="18"/>
                <w:szCs w:val="18"/>
                <w:lang w:val="sq-AL"/>
              </w:rPr>
              <w:t xml:space="preserve"> </w:t>
            </w:r>
            <w:r w:rsidR="004E475E" w:rsidRPr="00050FA4">
              <w:rPr>
                <w:sz w:val="18"/>
                <w:szCs w:val="18"/>
                <w:lang w:val="sq-AL"/>
              </w:rPr>
              <w:t>të</w:t>
            </w:r>
            <w:r w:rsidRPr="00050FA4">
              <w:rPr>
                <w:sz w:val="18"/>
                <w:szCs w:val="18"/>
                <w:lang w:val="sq-AL"/>
              </w:rPr>
              <w:t xml:space="preserve"> ndryshuar. Sipas këtij neni, kërkohen investime të konsiderueshme si në sistemet e informacionit ashtu edhe në pajisjet termi</w:t>
            </w:r>
            <w:r w:rsidR="003917FF" w:rsidRPr="00050FA4">
              <w:rPr>
                <w:sz w:val="18"/>
                <w:szCs w:val="18"/>
                <w:lang w:val="sq-AL"/>
              </w:rPr>
              <w:t>nale. Ndonëse gjatë viteve 2019–</w:t>
            </w:r>
            <w:r w:rsidRPr="00050FA4">
              <w:rPr>
                <w:sz w:val="18"/>
                <w:szCs w:val="18"/>
                <w:lang w:val="sq-AL"/>
              </w:rPr>
              <w:t xml:space="preserve">2020 janë realizuar dy projekte pilot për matje inteligjente, me rezultate premtuese dhe pozitive, sfidat me të cilat është përballur kompania në vitet e fundit duke filluar nga situata e pafavorshme hidrologjike, pasojat e tërmetit 2019 dhe ndikimi i </w:t>
            </w:r>
            <w:r w:rsidR="00957675" w:rsidRPr="00050FA4">
              <w:rPr>
                <w:sz w:val="18"/>
                <w:szCs w:val="18"/>
                <w:lang w:val="sq-AL"/>
              </w:rPr>
              <w:t>COVID-</w:t>
            </w:r>
            <w:r w:rsidR="00050FA4" w:rsidRPr="00050FA4">
              <w:rPr>
                <w:sz w:val="18"/>
                <w:szCs w:val="18"/>
                <w:lang w:val="sq-AL"/>
              </w:rPr>
              <w:t>2019</w:t>
            </w:r>
            <w:r w:rsidRPr="00050FA4">
              <w:rPr>
                <w:sz w:val="18"/>
                <w:szCs w:val="18"/>
                <w:lang w:val="sq-AL"/>
              </w:rPr>
              <w:t>, kanë detyruar kompaninë të devijojë dhe të reduktojë investimet për të siguruar energji për të gjithë përdoruesit.</w:t>
            </w:r>
          </w:p>
        </w:tc>
        <w:tc>
          <w:tcPr>
            <w:tcW w:w="1985" w:type="dxa"/>
          </w:tcPr>
          <w:p w14:paraId="794FB06E" w14:textId="77777777" w:rsidR="008B65A8" w:rsidRPr="00050FA4" w:rsidRDefault="008B65A8" w:rsidP="00A250C1">
            <w:pPr>
              <w:rPr>
                <w:rFonts w:ascii="Garamond" w:hAnsi="Garamond" w:cstheme="majorBidi"/>
                <w:color w:val="0D0D0D" w:themeColor="text1" w:themeTint="F2"/>
                <w:sz w:val="18"/>
                <w:szCs w:val="18"/>
              </w:rPr>
            </w:pPr>
          </w:p>
        </w:tc>
      </w:tr>
      <w:tr w:rsidR="00FA29AB" w:rsidRPr="00050FA4" w14:paraId="09DF05E8" w14:textId="77777777" w:rsidTr="0076687E">
        <w:trPr>
          <w:jc w:val="center"/>
        </w:trPr>
        <w:tc>
          <w:tcPr>
            <w:tcW w:w="1723" w:type="dxa"/>
            <w:vMerge/>
          </w:tcPr>
          <w:p w14:paraId="38C9838E" w14:textId="77777777" w:rsidR="008B65A8" w:rsidRPr="00050FA4" w:rsidRDefault="008B65A8" w:rsidP="00A250C1">
            <w:pPr>
              <w:pStyle w:val="AAAAAAATEXXXX"/>
              <w:ind w:firstLine="0"/>
              <w:rPr>
                <w:sz w:val="18"/>
                <w:szCs w:val="18"/>
                <w:lang w:val="sq-AL"/>
              </w:rPr>
            </w:pPr>
          </w:p>
        </w:tc>
        <w:tc>
          <w:tcPr>
            <w:tcW w:w="6777" w:type="dxa"/>
          </w:tcPr>
          <w:p w14:paraId="25C8BA73" w14:textId="34B8056C" w:rsidR="008B65A8" w:rsidRPr="00050FA4" w:rsidRDefault="008B65A8" w:rsidP="00A250C1">
            <w:pPr>
              <w:pStyle w:val="AAAAAAATEXXXX"/>
              <w:ind w:firstLine="0"/>
              <w:rPr>
                <w:sz w:val="18"/>
                <w:szCs w:val="18"/>
                <w:lang w:val="sq-AL"/>
              </w:rPr>
            </w:pPr>
            <w:r w:rsidRPr="00050FA4">
              <w:rPr>
                <w:sz w:val="18"/>
                <w:szCs w:val="18"/>
                <w:lang w:val="sq-AL"/>
              </w:rPr>
              <w:t xml:space="preserve">Në datën 1 janar 2020, ka përfunduar ndarja ligjore dhe funksionale e Operatorit të Sistemit të Shpërndarjes (OSHEE </w:t>
            </w:r>
            <w:r w:rsidR="000109D2" w:rsidRPr="00050FA4">
              <w:rPr>
                <w:sz w:val="18"/>
                <w:szCs w:val="18"/>
                <w:lang w:val="sq-AL"/>
              </w:rPr>
              <w:t>s.a</w:t>
            </w:r>
            <w:r w:rsidRPr="00050FA4">
              <w:rPr>
                <w:sz w:val="18"/>
                <w:szCs w:val="18"/>
                <w:lang w:val="sq-AL"/>
              </w:rPr>
              <w:t>.) në përputhje me Vendimin e Bordit të Komisionerëve të ERE-s nr. 211, datë 18.12.2019 dhe tr</w:t>
            </w:r>
            <w:r w:rsidR="007808AC" w:rsidRPr="00050FA4">
              <w:rPr>
                <w:sz w:val="18"/>
                <w:szCs w:val="18"/>
                <w:lang w:val="sq-AL"/>
              </w:rPr>
              <w:t>i</w:t>
            </w:r>
            <w:r w:rsidRPr="00050FA4">
              <w:rPr>
                <w:sz w:val="18"/>
                <w:szCs w:val="18"/>
                <w:lang w:val="sq-AL"/>
              </w:rPr>
              <w:t xml:space="preserve"> shoqëritë bija të inkorporuara po kryejnë aktivitetin e tyre:</w:t>
            </w:r>
          </w:p>
          <w:p w14:paraId="20A5A73E" w14:textId="65966143" w:rsidR="008B65A8" w:rsidRPr="00050FA4" w:rsidRDefault="008B65A8" w:rsidP="00A250C1">
            <w:pPr>
              <w:pStyle w:val="AAAAAAATEXXXX"/>
              <w:ind w:firstLine="0"/>
              <w:rPr>
                <w:sz w:val="18"/>
                <w:szCs w:val="18"/>
                <w:lang w:val="sq-AL"/>
              </w:rPr>
            </w:pPr>
            <w:r w:rsidRPr="00050FA4">
              <w:rPr>
                <w:sz w:val="18"/>
                <w:szCs w:val="18"/>
                <w:lang w:val="sq-AL"/>
              </w:rPr>
              <w:t xml:space="preserve">1. Furnizuesi i Shërbimit Universal </w:t>
            </w:r>
            <w:r w:rsidR="00050FA4" w:rsidRPr="00050FA4">
              <w:rPr>
                <w:sz w:val="18"/>
                <w:szCs w:val="18"/>
                <w:lang w:val="sq-AL"/>
              </w:rPr>
              <w:t xml:space="preserve">s.a. </w:t>
            </w:r>
            <w:r w:rsidRPr="00050FA4">
              <w:rPr>
                <w:sz w:val="18"/>
                <w:szCs w:val="18"/>
                <w:lang w:val="sq-AL"/>
              </w:rPr>
              <w:t xml:space="preserve">(FSHU) me objekt veprimtarinë </w:t>
            </w:r>
            <w:r w:rsidR="008A0E5B" w:rsidRPr="00050FA4">
              <w:rPr>
                <w:sz w:val="18"/>
                <w:szCs w:val="18"/>
                <w:lang w:val="sq-AL"/>
              </w:rPr>
              <w:t>“</w:t>
            </w:r>
            <w:r w:rsidRPr="00050FA4">
              <w:rPr>
                <w:sz w:val="18"/>
                <w:szCs w:val="18"/>
                <w:lang w:val="sq-AL"/>
              </w:rPr>
              <w:t>Furnizimi me energji elektrike i klientëve fundorë që operojnë në tregun e rregulluar të përcaktuar nga legjislacioni në fuqi</w:t>
            </w:r>
            <w:r w:rsidR="008A0E5B" w:rsidRPr="00050FA4">
              <w:rPr>
                <w:sz w:val="18"/>
                <w:szCs w:val="18"/>
                <w:lang w:val="sq-AL"/>
              </w:rPr>
              <w:t>”</w:t>
            </w:r>
            <w:r w:rsidRPr="00050FA4">
              <w:rPr>
                <w:sz w:val="18"/>
                <w:szCs w:val="18"/>
                <w:lang w:val="sq-AL"/>
              </w:rPr>
              <w:t>;</w:t>
            </w:r>
          </w:p>
          <w:p w14:paraId="0E0DCAB8" w14:textId="554FBA1A" w:rsidR="008B65A8" w:rsidRPr="00050FA4" w:rsidRDefault="008B65A8" w:rsidP="00A250C1">
            <w:pPr>
              <w:pStyle w:val="AAAAAAATEXXXX"/>
              <w:ind w:firstLine="0"/>
              <w:rPr>
                <w:sz w:val="18"/>
                <w:szCs w:val="18"/>
                <w:lang w:val="sq-AL"/>
              </w:rPr>
            </w:pPr>
            <w:r w:rsidRPr="00050FA4">
              <w:rPr>
                <w:sz w:val="18"/>
                <w:szCs w:val="18"/>
                <w:lang w:val="sq-AL"/>
              </w:rPr>
              <w:t xml:space="preserve">2. Furnizuesi i Tregut të Lirë </w:t>
            </w:r>
            <w:r w:rsidR="000109D2" w:rsidRPr="00050FA4">
              <w:rPr>
                <w:sz w:val="18"/>
                <w:szCs w:val="18"/>
                <w:lang w:val="sq-AL"/>
              </w:rPr>
              <w:t xml:space="preserve">s.a. </w:t>
            </w:r>
            <w:r w:rsidRPr="00050FA4">
              <w:rPr>
                <w:sz w:val="18"/>
                <w:szCs w:val="18"/>
                <w:lang w:val="sq-AL"/>
              </w:rPr>
              <w:t xml:space="preserve">(FTL) me objekt aktivitetin </w:t>
            </w:r>
            <w:r w:rsidR="008A0E5B" w:rsidRPr="00050FA4">
              <w:rPr>
                <w:sz w:val="18"/>
                <w:szCs w:val="18"/>
                <w:lang w:val="sq-AL"/>
              </w:rPr>
              <w:t>“</w:t>
            </w:r>
            <w:r w:rsidRPr="00050FA4">
              <w:rPr>
                <w:sz w:val="18"/>
                <w:szCs w:val="18"/>
                <w:lang w:val="sq-AL"/>
              </w:rPr>
              <w:t>Blerje dhe administrim të energjisë elektrike dhe operim në tregun e lirë etj</w:t>
            </w:r>
            <w:r w:rsidR="00050FA4">
              <w:rPr>
                <w:sz w:val="18"/>
                <w:szCs w:val="18"/>
                <w:lang w:val="sq-AL"/>
              </w:rPr>
              <w:t>.</w:t>
            </w:r>
            <w:r w:rsidR="008A0E5B" w:rsidRPr="00050FA4">
              <w:rPr>
                <w:sz w:val="18"/>
                <w:szCs w:val="18"/>
                <w:lang w:val="sq-AL"/>
              </w:rPr>
              <w:t>”</w:t>
            </w:r>
            <w:r w:rsidRPr="00050FA4">
              <w:rPr>
                <w:sz w:val="18"/>
                <w:szCs w:val="18"/>
                <w:lang w:val="sq-AL"/>
              </w:rPr>
              <w:t>;</w:t>
            </w:r>
          </w:p>
          <w:p w14:paraId="4226BC7A" w14:textId="06D19AB6" w:rsidR="008B65A8" w:rsidRPr="00050FA4" w:rsidRDefault="008B65A8" w:rsidP="00A250C1">
            <w:pPr>
              <w:pStyle w:val="AAAAAAATEXXXX"/>
              <w:ind w:firstLine="0"/>
              <w:rPr>
                <w:sz w:val="18"/>
                <w:szCs w:val="18"/>
                <w:lang w:val="sq-AL"/>
              </w:rPr>
            </w:pPr>
            <w:r w:rsidRPr="00050FA4">
              <w:rPr>
                <w:sz w:val="18"/>
                <w:szCs w:val="18"/>
                <w:lang w:val="sq-AL"/>
              </w:rPr>
              <w:t xml:space="preserve">3. Operatori i Sistemit të Shpërndarjes </w:t>
            </w:r>
            <w:r w:rsidR="000109D2" w:rsidRPr="00050FA4">
              <w:rPr>
                <w:sz w:val="18"/>
                <w:szCs w:val="18"/>
                <w:lang w:val="sq-AL"/>
              </w:rPr>
              <w:t>s.a.</w:t>
            </w:r>
            <w:r w:rsidRPr="00050FA4">
              <w:rPr>
                <w:sz w:val="18"/>
                <w:szCs w:val="18"/>
                <w:lang w:val="sq-AL"/>
              </w:rPr>
              <w:t xml:space="preserve"> (OSSH) me objekt veprimtarinë </w:t>
            </w:r>
            <w:r w:rsidR="008A0E5B" w:rsidRPr="00050FA4">
              <w:rPr>
                <w:sz w:val="18"/>
                <w:szCs w:val="18"/>
                <w:lang w:val="sq-AL"/>
              </w:rPr>
              <w:t>“</w:t>
            </w:r>
            <w:r w:rsidRPr="00050FA4">
              <w:rPr>
                <w:sz w:val="18"/>
                <w:szCs w:val="18"/>
                <w:lang w:val="sq-AL"/>
              </w:rPr>
              <w:t>Shpërndarja e energjisë elektrike, ndërtimi, funksionimi dhe mirëmbajtja e rrjetit të shpërndarjes së energjisë elektrike për furnizimin me energji elektrike të konsumatorëve, lidhjen e konsumatorëve dhe përdoruesve të rrjetit energji elektrike, shpërndarje, instalim. dhe shërbimet e matjes së energjisë elektrike etj</w:t>
            </w:r>
            <w:r w:rsidR="000109D2" w:rsidRPr="00050FA4">
              <w:rPr>
                <w:sz w:val="18"/>
                <w:szCs w:val="18"/>
                <w:lang w:val="sq-AL"/>
              </w:rPr>
              <w:t>.</w:t>
            </w:r>
            <w:r w:rsidR="008A0E5B" w:rsidRPr="00050FA4">
              <w:rPr>
                <w:sz w:val="18"/>
                <w:szCs w:val="18"/>
                <w:lang w:val="sq-AL"/>
              </w:rPr>
              <w:t>”</w:t>
            </w:r>
            <w:r w:rsidRPr="00050FA4">
              <w:rPr>
                <w:sz w:val="18"/>
                <w:szCs w:val="18"/>
                <w:lang w:val="sq-AL"/>
              </w:rPr>
              <w:t>.</w:t>
            </w:r>
          </w:p>
          <w:p w14:paraId="5F9E83D8" w14:textId="5A5E25CD" w:rsidR="008B65A8" w:rsidRPr="00050FA4" w:rsidRDefault="008B65A8" w:rsidP="00A250C1">
            <w:pPr>
              <w:pStyle w:val="AAAAAAATEXXXX"/>
              <w:ind w:firstLine="0"/>
              <w:rPr>
                <w:sz w:val="18"/>
                <w:szCs w:val="18"/>
                <w:lang w:val="sq-AL"/>
              </w:rPr>
            </w:pPr>
            <w:r w:rsidRPr="00050FA4">
              <w:rPr>
                <w:sz w:val="18"/>
                <w:szCs w:val="18"/>
                <w:lang w:val="sq-AL"/>
              </w:rPr>
              <w:t xml:space="preserve">Enti Rregullator i Energjisë Shqiptare, me </w:t>
            </w:r>
            <w:r w:rsidR="00050FA4" w:rsidRPr="00050FA4">
              <w:rPr>
                <w:sz w:val="18"/>
                <w:szCs w:val="18"/>
                <w:lang w:val="sq-AL"/>
              </w:rPr>
              <w:t xml:space="preserve">vendimin </w:t>
            </w:r>
            <w:r w:rsidRPr="00050FA4">
              <w:rPr>
                <w:sz w:val="18"/>
                <w:szCs w:val="18"/>
                <w:lang w:val="sq-AL"/>
              </w:rPr>
              <w:t>e Bordit të Komisionerëve të ERE-s nr. 257, datë 21.12.2020</w:t>
            </w:r>
            <w:r w:rsidR="00050FA4"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Për miratimin e Programit të Përputhshmërisë së Operatorit të Sistemit të Shpërndarjes</w:t>
            </w:r>
            <w:r w:rsidR="008A0E5B" w:rsidRPr="00050FA4">
              <w:rPr>
                <w:sz w:val="18"/>
                <w:szCs w:val="18"/>
                <w:lang w:val="sq-AL"/>
              </w:rPr>
              <w:t>”</w:t>
            </w:r>
            <w:r w:rsidRPr="00050FA4">
              <w:rPr>
                <w:sz w:val="18"/>
                <w:szCs w:val="18"/>
                <w:lang w:val="sq-AL"/>
              </w:rPr>
              <w:t>, miratoi Programin e Përputhshmërisë së Operatorit të Sistemit të Shpërndarjes.</w:t>
            </w:r>
          </w:p>
        </w:tc>
        <w:tc>
          <w:tcPr>
            <w:tcW w:w="1985" w:type="dxa"/>
          </w:tcPr>
          <w:p w14:paraId="5F34DBBF" w14:textId="77777777" w:rsidR="008B65A8" w:rsidRPr="00050FA4" w:rsidRDefault="008B65A8" w:rsidP="00A250C1">
            <w:pPr>
              <w:rPr>
                <w:rFonts w:ascii="Garamond" w:hAnsi="Garamond" w:cstheme="majorBidi"/>
                <w:color w:val="0D0D0D" w:themeColor="text1" w:themeTint="F2"/>
                <w:sz w:val="18"/>
                <w:szCs w:val="18"/>
              </w:rPr>
            </w:pPr>
          </w:p>
        </w:tc>
      </w:tr>
      <w:tr w:rsidR="00FA29AB" w:rsidRPr="00050FA4" w14:paraId="64AD9525" w14:textId="77777777" w:rsidTr="0076687E">
        <w:trPr>
          <w:jc w:val="center"/>
        </w:trPr>
        <w:tc>
          <w:tcPr>
            <w:tcW w:w="1723" w:type="dxa"/>
            <w:vMerge/>
          </w:tcPr>
          <w:p w14:paraId="4BF24EC0" w14:textId="77777777" w:rsidR="008B65A8" w:rsidRPr="00050FA4" w:rsidRDefault="008B65A8" w:rsidP="00A250C1">
            <w:pPr>
              <w:pStyle w:val="AAAAAAATEXXXX"/>
              <w:ind w:firstLine="0"/>
              <w:rPr>
                <w:sz w:val="18"/>
                <w:szCs w:val="18"/>
                <w:lang w:val="sq-AL"/>
              </w:rPr>
            </w:pPr>
          </w:p>
        </w:tc>
        <w:tc>
          <w:tcPr>
            <w:tcW w:w="6777" w:type="dxa"/>
          </w:tcPr>
          <w:p w14:paraId="29C401CE" w14:textId="20CE2DFE" w:rsidR="008B65A8" w:rsidRPr="00050FA4" w:rsidRDefault="008B65A8" w:rsidP="00A250C1">
            <w:pPr>
              <w:pStyle w:val="AAAAAAATEXXXX"/>
              <w:ind w:firstLine="0"/>
              <w:rPr>
                <w:sz w:val="18"/>
                <w:szCs w:val="18"/>
                <w:lang w:val="sq-AL"/>
              </w:rPr>
            </w:pPr>
            <w:r w:rsidRPr="00050FA4">
              <w:rPr>
                <w:sz w:val="18"/>
                <w:szCs w:val="18"/>
                <w:lang w:val="sq-AL"/>
              </w:rPr>
              <w:t xml:space="preserve">Më 5 tetor 2020, Operatori i Sistemit të Transmisionit – (OST SA) dhe Sistemi i Operatorit të Transmisionit dhe Tregut – (KOSTT </w:t>
            </w:r>
            <w:r w:rsidR="000109D2" w:rsidRPr="00050FA4">
              <w:rPr>
                <w:sz w:val="18"/>
                <w:szCs w:val="18"/>
                <w:lang w:val="sq-AL"/>
              </w:rPr>
              <w:t>s.a.</w:t>
            </w:r>
            <w:r w:rsidRPr="00050FA4">
              <w:rPr>
                <w:sz w:val="18"/>
                <w:szCs w:val="18"/>
                <w:lang w:val="sq-AL"/>
              </w:rPr>
              <w:t>), nënshkruan Marrëveshjen e Aksionarëve dhe Statutin për themelimin e Ndërmarrjes së Shkëmbimit të Energjisë Elektrike që do të operojë kompaninë e shkurtër. tregjet termike të energjisë elektrike në Shqipëri dhe në Kosovë.</w:t>
            </w:r>
          </w:p>
          <w:p w14:paraId="327F479D" w14:textId="1E58739D" w:rsidR="008B65A8" w:rsidRPr="00050FA4" w:rsidRDefault="008B65A8" w:rsidP="00A250C1">
            <w:pPr>
              <w:pStyle w:val="AAAAAAATEXXXX"/>
              <w:ind w:firstLine="0"/>
              <w:rPr>
                <w:sz w:val="18"/>
                <w:szCs w:val="18"/>
                <w:lang w:val="sq-AL"/>
              </w:rPr>
            </w:pPr>
            <w:r w:rsidRPr="00050FA4">
              <w:rPr>
                <w:sz w:val="18"/>
                <w:szCs w:val="18"/>
                <w:lang w:val="sq-AL"/>
              </w:rPr>
              <w:t>Operatori i Shkëmbimit të Energjisë Elektrike (ALPEX) është regjistruar në Qendrën Kombëtare të Biznesit</w:t>
            </w:r>
            <w:r w:rsidR="000109D2" w:rsidRPr="00050FA4">
              <w:rPr>
                <w:sz w:val="18"/>
                <w:szCs w:val="18"/>
                <w:lang w:val="sq-AL"/>
              </w:rPr>
              <w:t>,</w:t>
            </w:r>
            <w:r w:rsidRPr="00050FA4">
              <w:rPr>
                <w:sz w:val="18"/>
                <w:szCs w:val="18"/>
                <w:lang w:val="sq-AL"/>
              </w:rPr>
              <w:t xml:space="preserve"> më 23.10.2020</w:t>
            </w:r>
            <w:r w:rsidR="000109D2" w:rsidRPr="00050FA4">
              <w:rPr>
                <w:sz w:val="18"/>
                <w:szCs w:val="18"/>
                <w:lang w:val="sq-AL"/>
              </w:rPr>
              <w:t>,</w:t>
            </w:r>
            <w:r w:rsidRPr="00050FA4">
              <w:rPr>
                <w:sz w:val="18"/>
                <w:szCs w:val="18"/>
                <w:lang w:val="sq-AL"/>
              </w:rPr>
              <w:t xml:space="preserve"> dhe janë krijuar organet drejtuese të tij.</w:t>
            </w:r>
          </w:p>
          <w:p w14:paraId="6FE8B11E" w14:textId="264D1D14" w:rsidR="008B65A8" w:rsidRPr="00050FA4" w:rsidRDefault="008B65A8" w:rsidP="00A250C1">
            <w:pPr>
              <w:pStyle w:val="AAAAAAATEXXXX"/>
              <w:ind w:firstLine="0"/>
              <w:rPr>
                <w:sz w:val="18"/>
                <w:szCs w:val="18"/>
                <w:lang w:val="sq-AL"/>
              </w:rPr>
            </w:pPr>
            <w:r w:rsidRPr="00050FA4">
              <w:rPr>
                <w:sz w:val="18"/>
                <w:szCs w:val="18"/>
                <w:lang w:val="sq-AL"/>
              </w:rPr>
              <w:t xml:space="preserve">Struktura Organizative e shoqërisë ALPEX është miratuar me </w:t>
            </w:r>
            <w:r w:rsidR="000109D2" w:rsidRPr="00050FA4">
              <w:rPr>
                <w:sz w:val="18"/>
                <w:szCs w:val="18"/>
                <w:lang w:val="sq-AL"/>
              </w:rPr>
              <w:t xml:space="preserve">vendimin </w:t>
            </w:r>
            <w:r w:rsidRPr="00050FA4">
              <w:rPr>
                <w:sz w:val="18"/>
                <w:szCs w:val="18"/>
                <w:lang w:val="sq-AL"/>
              </w:rPr>
              <w:t xml:space="preserve">e Këshillit Mbikëqyrës të shoqërisë </w:t>
            </w:r>
            <w:r w:rsidR="000109D2" w:rsidRPr="00050FA4">
              <w:rPr>
                <w:sz w:val="18"/>
                <w:szCs w:val="18"/>
                <w:lang w:val="sq-AL"/>
              </w:rPr>
              <w:t>nr</w:t>
            </w:r>
            <w:r w:rsidRPr="00050FA4">
              <w:rPr>
                <w:sz w:val="18"/>
                <w:szCs w:val="18"/>
                <w:lang w:val="sq-AL"/>
              </w:rPr>
              <w:t>. 5, datë 19.11.2020</w:t>
            </w:r>
            <w:r w:rsidR="000109D2"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 xml:space="preserve">Për miratimin e </w:t>
            </w:r>
            <w:r w:rsidR="006B7286" w:rsidRPr="00050FA4">
              <w:rPr>
                <w:sz w:val="18"/>
                <w:szCs w:val="18"/>
                <w:lang w:val="sq-AL"/>
              </w:rPr>
              <w:t>strukturës organizative të alpex”.</w:t>
            </w:r>
          </w:p>
          <w:p w14:paraId="412A0D3E" w14:textId="77777777" w:rsidR="008B65A8" w:rsidRPr="00050FA4" w:rsidRDefault="008B65A8" w:rsidP="00A250C1">
            <w:pPr>
              <w:pStyle w:val="AAAAAAATEXXXX"/>
              <w:ind w:firstLine="0"/>
              <w:rPr>
                <w:sz w:val="18"/>
                <w:szCs w:val="18"/>
                <w:lang w:val="sq-AL"/>
              </w:rPr>
            </w:pPr>
            <w:r w:rsidRPr="00050FA4">
              <w:rPr>
                <w:sz w:val="18"/>
                <w:szCs w:val="18"/>
                <w:lang w:val="sq-AL"/>
              </w:rPr>
              <w:t>ALPEX do të operojë lidhjen e tregut një ditë përpara ndërmjet Shqipërisë dhe Kosovës, menjëherë pas funksionalizimit të tij.</w:t>
            </w:r>
          </w:p>
          <w:p w14:paraId="256B5B54" w14:textId="0DFD841D" w:rsidR="008B65A8" w:rsidRPr="00050FA4" w:rsidRDefault="008B65A8" w:rsidP="00A250C1">
            <w:pPr>
              <w:pStyle w:val="AAAAAAATEXXXX"/>
              <w:ind w:firstLine="0"/>
              <w:rPr>
                <w:sz w:val="18"/>
                <w:szCs w:val="18"/>
                <w:lang w:val="sq-AL"/>
              </w:rPr>
            </w:pPr>
            <w:r w:rsidRPr="00050FA4">
              <w:rPr>
                <w:sz w:val="18"/>
                <w:szCs w:val="18"/>
                <w:lang w:val="sq-AL"/>
              </w:rPr>
              <w:t xml:space="preserve">U përgatitën termat e referencës për parashikimin e infrastrukturës dhe shërbimeve të nevojshme për funksionimin e tregut të organizuar dhe në datën 18 mars 2021, ALPEX (Autoriteti Kontraktor) nisi procedurën ndërkombëtare të ofertës së hapur për </w:t>
            </w:r>
            <w:r w:rsidR="008A0E5B" w:rsidRPr="00050FA4">
              <w:rPr>
                <w:sz w:val="18"/>
                <w:szCs w:val="18"/>
                <w:lang w:val="sq-AL"/>
              </w:rPr>
              <w:t>“</w:t>
            </w:r>
            <w:r w:rsidRPr="00050FA4">
              <w:rPr>
                <w:sz w:val="18"/>
                <w:szCs w:val="18"/>
                <w:lang w:val="sq-AL"/>
              </w:rPr>
              <w:t xml:space="preserve">Platformën e Tregtisë Elektronike për </w:t>
            </w:r>
            <w:r w:rsidR="000109D2" w:rsidRPr="00050FA4">
              <w:rPr>
                <w:sz w:val="18"/>
                <w:szCs w:val="18"/>
                <w:lang w:val="sq-AL"/>
              </w:rPr>
              <w:t>ditën e përpara dhe brenda</w:t>
            </w:r>
            <w:r w:rsidRPr="00050FA4">
              <w:rPr>
                <w:sz w:val="18"/>
                <w:szCs w:val="18"/>
                <w:lang w:val="sq-AL"/>
              </w:rPr>
              <w:t xml:space="preserve">. </w:t>
            </w:r>
            <w:r w:rsidR="000109D2" w:rsidRPr="00050FA4">
              <w:rPr>
                <w:sz w:val="18"/>
                <w:szCs w:val="18"/>
                <w:lang w:val="sq-AL"/>
              </w:rPr>
              <w:t>tregu dhe shërbimet ditore</w:t>
            </w:r>
            <w:r w:rsidRPr="00050FA4">
              <w:rPr>
                <w:sz w:val="18"/>
                <w:szCs w:val="18"/>
                <w:lang w:val="sq-AL"/>
              </w:rPr>
              <w:t xml:space="preserve">, të nevojshme për funksionimin e </w:t>
            </w:r>
            <w:r w:rsidR="000109D2" w:rsidRPr="00050FA4">
              <w:rPr>
                <w:sz w:val="18"/>
                <w:szCs w:val="18"/>
                <w:lang w:val="sq-AL"/>
              </w:rPr>
              <w:t>tregut të organizu</w:t>
            </w:r>
            <w:r w:rsidRPr="00050FA4">
              <w:rPr>
                <w:sz w:val="18"/>
                <w:szCs w:val="18"/>
                <w:lang w:val="sq-AL"/>
              </w:rPr>
              <w:t>ar në Shqipëri dhe Kosovë. Kjo procedurë u anulua pasi pjesëmarrësi nuk i plotësonte kriteret e pranueshmërisë.</w:t>
            </w:r>
          </w:p>
          <w:p w14:paraId="3F1BDE24" w14:textId="22BF5CBD" w:rsidR="008B65A8" w:rsidRPr="00050FA4" w:rsidRDefault="008B65A8" w:rsidP="00A250C1">
            <w:pPr>
              <w:pStyle w:val="AAAAAAATEXXXX"/>
              <w:ind w:firstLine="0"/>
              <w:rPr>
                <w:sz w:val="18"/>
                <w:szCs w:val="18"/>
                <w:lang w:val="sq-AL"/>
              </w:rPr>
            </w:pPr>
            <w:r w:rsidRPr="00050FA4">
              <w:rPr>
                <w:sz w:val="18"/>
                <w:szCs w:val="18"/>
                <w:lang w:val="sq-AL"/>
              </w:rPr>
              <w:t xml:space="preserve">ALPEX (Autoriteti Kontraktor) rifilloi procedurën e hapur ndërkombëtare të ofertës për </w:t>
            </w:r>
            <w:r w:rsidR="008A0E5B" w:rsidRPr="00050FA4">
              <w:rPr>
                <w:sz w:val="18"/>
                <w:szCs w:val="18"/>
                <w:lang w:val="sq-AL"/>
              </w:rPr>
              <w:t>“</w:t>
            </w:r>
            <w:r w:rsidRPr="00050FA4">
              <w:rPr>
                <w:sz w:val="18"/>
                <w:szCs w:val="18"/>
                <w:lang w:val="sq-AL"/>
              </w:rPr>
              <w:t xml:space="preserve">Platformën </w:t>
            </w:r>
            <w:r w:rsidR="000109D2" w:rsidRPr="00050FA4">
              <w:rPr>
                <w:sz w:val="18"/>
                <w:szCs w:val="18"/>
                <w:lang w:val="sq-AL"/>
              </w:rPr>
              <w:t>elektronike të tregtisë për tregun dhe shërbimet ditë përpara dhe brenda ditës, të</w:t>
            </w:r>
            <w:r w:rsidRPr="00050FA4">
              <w:rPr>
                <w:sz w:val="18"/>
                <w:szCs w:val="18"/>
                <w:lang w:val="sq-AL"/>
              </w:rPr>
              <w:t xml:space="preserve"> nevojshme për funksionimin e Tregut të Organizuar në Shqipëri dhe Kosovë</w:t>
            </w:r>
            <w:r w:rsidR="008A0E5B" w:rsidRPr="00050FA4">
              <w:rPr>
                <w:sz w:val="18"/>
                <w:szCs w:val="18"/>
                <w:lang w:val="sq-AL"/>
              </w:rPr>
              <w:t>”</w:t>
            </w:r>
            <w:r w:rsidRPr="00050FA4">
              <w:rPr>
                <w:sz w:val="18"/>
                <w:szCs w:val="18"/>
                <w:lang w:val="sq-AL"/>
              </w:rPr>
              <w:t>. Ofertat u hapën më 2.08.202 dhe kishin aplikuar dy operatorë. Procedura u anulua sepse asnjë nga ofertat nuk ishte e vlefshme.</w:t>
            </w:r>
          </w:p>
          <w:p w14:paraId="672DC427" w14:textId="77777777" w:rsidR="008B65A8" w:rsidRPr="00050FA4" w:rsidRDefault="008B65A8" w:rsidP="00A250C1">
            <w:pPr>
              <w:pStyle w:val="AAAAAAATEXXXX"/>
              <w:ind w:firstLine="0"/>
              <w:rPr>
                <w:sz w:val="18"/>
                <w:szCs w:val="18"/>
                <w:lang w:val="sq-AL"/>
              </w:rPr>
            </w:pPr>
            <w:r w:rsidRPr="00050FA4">
              <w:rPr>
                <w:sz w:val="18"/>
                <w:szCs w:val="18"/>
                <w:lang w:val="sq-AL"/>
              </w:rPr>
              <w:t>ALPEX ka rishpallur procedurën e tenderit, por procedura është pezulluar për shkak të ankesës së paraqitur në Komisionin e Prokurimit Publik lidhur me kriteret.</w:t>
            </w:r>
          </w:p>
          <w:p w14:paraId="450E110A" w14:textId="6DF28394" w:rsidR="008B65A8" w:rsidRPr="00050FA4" w:rsidRDefault="008B65A8" w:rsidP="00A250C1">
            <w:pPr>
              <w:pStyle w:val="AAAAAAATEXXXX"/>
              <w:ind w:firstLine="0"/>
              <w:rPr>
                <w:sz w:val="18"/>
                <w:szCs w:val="18"/>
                <w:lang w:val="sq-AL"/>
              </w:rPr>
            </w:pPr>
            <w:r w:rsidRPr="00050FA4">
              <w:rPr>
                <w:sz w:val="18"/>
                <w:szCs w:val="18"/>
                <w:lang w:val="sq-AL"/>
              </w:rPr>
              <w:t xml:space="preserve">ERE miratoi </w:t>
            </w:r>
            <w:r w:rsidR="000109D2" w:rsidRPr="00050FA4">
              <w:rPr>
                <w:sz w:val="18"/>
                <w:szCs w:val="18"/>
                <w:lang w:val="sq-AL"/>
              </w:rPr>
              <w:t xml:space="preserve">vendimin </w:t>
            </w:r>
            <w:r w:rsidRPr="00050FA4">
              <w:rPr>
                <w:sz w:val="18"/>
                <w:szCs w:val="18"/>
                <w:lang w:val="sq-AL"/>
              </w:rPr>
              <w:t>e Bordit të Komisione</w:t>
            </w:r>
            <w:r w:rsidR="000109D2" w:rsidRPr="00050FA4">
              <w:rPr>
                <w:sz w:val="18"/>
                <w:szCs w:val="18"/>
                <w:lang w:val="sq-AL"/>
              </w:rPr>
              <w:t>rëve të ERE-s nr. 126, datë 17.</w:t>
            </w:r>
            <w:r w:rsidRPr="00050FA4">
              <w:rPr>
                <w:sz w:val="18"/>
                <w:szCs w:val="18"/>
                <w:lang w:val="sq-AL"/>
              </w:rPr>
              <w:t>5.2021</w:t>
            </w:r>
            <w:r w:rsidR="000109D2"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Për miratimin e Rregullores për Integritetin dhe Transparencën e Tregjeve të Energjisë Elektrike me Shumicë</w:t>
            </w:r>
            <w:r w:rsidR="008A0E5B" w:rsidRPr="00050FA4">
              <w:rPr>
                <w:sz w:val="18"/>
                <w:szCs w:val="18"/>
                <w:lang w:val="sq-AL"/>
              </w:rPr>
              <w:t>”</w:t>
            </w:r>
            <w:r w:rsidRPr="00050FA4">
              <w:rPr>
                <w:sz w:val="18"/>
                <w:szCs w:val="18"/>
                <w:lang w:val="sq-AL"/>
              </w:rPr>
              <w:t xml:space="preserve"> – REMIT.</w:t>
            </w:r>
          </w:p>
          <w:p w14:paraId="6D270AB2" w14:textId="6234371F" w:rsidR="008B65A8" w:rsidRPr="00050FA4" w:rsidRDefault="008B65A8" w:rsidP="00A250C1">
            <w:pPr>
              <w:pStyle w:val="AAAAAAATEXXXX"/>
              <w:ind w:firstLine="0"/>
              <w:rPr>
                <w:sz w:val="18"/>
                <w:szCs w:val="18"/>
                <w:lang w:val="sq-AL"/>
              </w:rPr>
            </w:pPr>
            <w:r w:rsidRPr="00050FA4">
              <w:rPr>
                <w:sz w:val="18"/>
                <w:szCs w:val="18"/>
                <w:lang w:val="sq-AL"/>
              </w:rPr>
              <w:t>Miratimi i REMIT synon të garantojë kushte konkurruese transparente si dhe të luftojë dhe parandalojë sjelljet abuzive duke identifikuar menjëherë çdo nevojë për t'u përshtatur brenda rregullores (edhe për qëllime të sigurisë së sistemit), si dhe çdo rap</w:t>
            </w:r>
            <w:r w:rsidR="00FA4DC6" w:rsidRPr="00050FA4">
              <w:rPr>
                <w:sz w:val="18"/>
                <w:szCs w:val="18"/>
                <w:lang w:val="sq-AL"/>
              </w:rPr>
              <w:t xml:space="preserve">ortim mbi konkurrencën në </w:t>
            </w:r>
            <w:r w:rsidR="00FA4DC6" w:rsidRPr="00050FA4">
              <w:rPr>
                <w:sz w:val="18"/>
                <w:szCs w:val="18"/>
                <w:lang w:val="sq-AL"/>
              </w:rPr>
              <w:lastRenderedPageBreak/>
              <w:t>treg.</w:t>
            </w:r>
          </w:p>
          <w:p w14:paraId="0DD252EA" w14:textId="466584E1" w:rsidR="008B65A8" w:rsidRPr="00050FA4" w:rsidRDefault="008B65A8" w:rsidP="00A250C1">
            <w:pPr>
              <w:pStyle w:val="AAAAAAATEXXXX"/>
              <w:ind w:firstLine="0"/>
              <w:rPr>
                <w:sz w:val="18"/>
                <w:szCs w:val="18"/>
                <w:lang w:val="sq-AL"/>
              </w:rPr>
            </w:pPr>
            <w:r w:rsidRPr="00050FA4">
              <w:rPr>
                <w:sz w:val="18"/>
                <w:szCs w:val="18"/>
                <w:lang w:val="sq-AL"/>
              </w:rPr>
              <w:t xml:space="preserve">ERE, me </w:t>
            </w:r>
            <w:r w:rsidR="000109D2" w:rsidRPr="00050FA4">
              <w:rPr>
                <w:sz w:val="18"/>
                <w:szCs w:val="18"/>
                <w:lang w:val="sq-AL"/>
              </w:rPr>
              <w:t xml:space="preserve">vendimin </w:t>
            </w:r>
            <w:r w:rsidRPr="00050FA4">
              <w:rPr>
                <w:sz w:val="18"/>
                <w:szCs w:val="18"/>
                <w:lang w:val="sq-AL"/>
              </w:rPr>
              <w:t xml:space="preserve">nr. 203, datë 12.12.2019, miratoi </w:t>
            </w:r>
            <w:r w:rsidR="000109D2" w:rsidRPr="00050FA4">
              <w:rPr>
                <w:sz w:val="18"/>
                <w:szCs w:val="18"/>
                <w:lang w:val="sq-AL"/>
              </w:rPr>
              <w:t xml:space="preserve">Rregulloren </w:t>
            </w:r>
            <w:r w:rsidRPr="00050FA4">
              <w:rPr>
                <w:sz w:val="18"/>
                <w:szCs w:val="18"/>
                <w:lang w:val="sq-AL"/>
              </w:rPr>
              <w:t xml:space="preserve">për </w:t>
            </w:r>
            <w:r w:rsidR="000109D2" w:rsidRPr="00050FA4">
              <w:rPr>
                <w:sz w:val="18"/>
                <w:szCs w:val="18"/>
                <w:lang w:val="sq-AL"/>
              </w:rPr>
              <w:t xml:space="preserve">Monitorimin </w:t>
            </w:r>
            <w:r w:rsidRPr="00050FA4">
              <w:rPr>
                <w:sz w:val="18"/>
                <w:szCs w:val="18"/>
                <w:lang w:val="sq-AL"/>
              </w:rPr>
              <w:t>e Tregut të Energjisë Elektrike, si hap i parë për të përcaktuar në detaje mënyrën dhe procedurat që duhen ndjekur nga ERE për të monitoruar funksionimin e tregut të energjisë elektrike në vendin tonë. Zbatimi i plotë i rregullores së monitorimit të tregut dhe REMIT do të jetë një sfidë jo vetëm për Rregullatorin, por për të gjithë pjesëmarrësit në tregun e energjisë elektrike në vendin tonë, gjatë krijimit të Bursës së Energjisë. Në të njëjtën kohë, Rregullorja do të krijojë kushte për transparencë në zgjerimin e liberalizimit të tregut të energjisë elektrike në Shqipëri.</w:t>
            </w:r>
          </w:p>
        </w:tc>
        <w:tc>
          <w:tcPr>
            <w:tcW w:w="1985" w:type="dxa"/>
          </w:tcPr>
          <w:p w14:paraId="58C3A569" w14:textId="77777777" w:rsidR="008B65A8" w:rsidRPr="00050FA4" w:rsidRDefault="008B65A8" w:rsidP="00A250C1">
            <w:pPr>
              <w:rPr>
                <w:rFonts w:ascii="Garamond" w:hAnsi="Garamond" w:cstheme="majorBidi"/>
                <w:color w:val="0D0D0D" w:themeColor="text1" w:themeTint="F2"/>
                <w:sz w:val="18"/>
                <w:szCs w:val="18"/>
              </w:rPr>
            </w:pPr>
          </w:p>
        </w:tc>
      </w:tr>
      <w:tr w:rsidR="00FA29AB" w:rsidRPr="00050FA4" w14:paraId="6D8B91FF" w14:textId="77777777" w:rsidTr="0076687E">
        <w:trPr>
          <w:jc w:val="center"/>
        </w:trPr>
        <w:tc>
          <w:tcPr>
            <w:tcW w:w="1723" w:type="dxa"/>
            <w:vMerge/>
          </w:tcPr>
          <w:p w14:paraId="723F8AC6" w14:textId="77777777" w:rsidR="008B65A8" w:rsidRPr="00050FA4" w:rsidRDefault="008B65A8" w:rsidP="00A250C1">
            <w:pPr>
              <w:pStyle w:val="AAAAAAATEXXXX"/>
              <w:ind w:firstLine="0"/>
              <w:rPr>
                <w:sz w:val="18"/>
                <w:szCs w:val="18"/>
                <w:lang w:val="sq-AL"/>
              </w:rPr>
            </w:pPr>
          </w:p>
        </w:tc>
        <w:tc>
          <w:tcPr>
            <w:tcW w:w="6777" w:type="dxa"/>
          </w:tcPr>
          <w:p w14:paraId="0ABBC212" w14:textId="77777777" w:rsidR="008B65A8" w:rsidRPr="00050FA4" w:rsidRDefault="008B65A8" w:rsidP="00A250C1">
            <w:pPr>
              <w:pStyle w:val="AAAAAAATEXXXX"/>
              <w:ind w:firstLine="0"/>
              <w:rPr>
                <w:sz w:val="18"/>
                <w:szCs w:val="18"/>
                <w:lang w:val="sq-AL"/>
              </w:rPr>
            </w:pPr>
            <w:r w:rsidRPr="00050FA4">
              <w:rPr>
                <w:rFonts w:eastAsia="Calibri"/>
                <w:sz w:val="18"/>
                <w:szCs w:val="18"/>
                <w:lang w:val="sq-AL"/>
              </w:rPr>
              <w:t>Investimet në rrjetin e shpërndarjes/transmetimit dhe sistemin e gjenerimit</w:t>
            </w:r>
          </w:p>
          <w:p w14:paraId="54487474" w14:textId="4C882EFE" w:rsidR="008B65A8" w:rsidRPr="00050FA4" w:rsidRDefault="000109D2" w:rsidP="00A250C1">
            <w:pPr>
              <w:pStyle w:val="AAAAAAATEXXXX"/>
              <w:ind w:firstLine="0"/>
              <w:rPr>
                <w:sz w:val="18"/>
                <w:szCs w:val="18"/>
                <w:lang w:val="sq-AL"/>
              </w:rPr>
            </w:pPr>
            <w:r w:rsidRPr="00050FA4">
              <w:rPr>
                <w:sz w:val="18"/>
                <w:szCs w:val="18"/>
                <w:lang w:val="sq-AL"/>
              </w:rPr>
              <w:t>Linja e interkon</w:t>
            </w:r>
            <w:r w:rsidR="008B65A8" w:rsidRPr="00050FA4">
              <w:rPr>
                <w:sz w:val="18"/>
                <w:szCs w:val="18"/>
                <w:lang w:val="sq-AL"/>
              </w:rPr>
              <w:t>eksionit</w:t>
            </w:r>
            <w:r w:rsidR="00285688" w:rsidRPr="00050FA4">
              <w:rPr>
                <w:sz w:val="18"/>
                <w:szCs w:val="18"/>
                <w:lang w:val="sq-AL"/>
              </w:rPr>
              <w:t xml:space="preserve"> 400 kV ndërmjet Shqipërisë dhe </w:t>
            </w:r>
            <w:r w:rsidR="008B65A8" w:rsidRPr="00050FA4">
              <w:rPr>
                <w:sz w:val="18"/>
                <w:szCs w:val="18"/>
                <w:lang w:val="sq-AL"/>
              </w:rPr>
              <w:t>Kosova</w:t>
            </w:r>
          </w:p>
          <w:p w14:paraId="7AA85D47" w14:textId="6B1E270B" w:rsidR="008B65A8" w:rsidRPr="00050FA4" w:rsidRDefault="000109D2" w:rsidP="00A250C1">
            <w:pPr>
              <w:pStyle w:val="AAAAAAATEXXXX"/>
              <w:ind w:firstLine="0"/>
              <w:rPr>
                <w:sz w:val="18"/>
                <w:szCs w:val="18"/>
                <w:lang w:val="sq-AL"/>
              </w:rPr>
            </w:pPr>
            <w:r w:rsidRPr="00050FA4">
              <w:rPr>
                <w:sz w:val="18"/>
                <w:szCs w:val="18"/>
                <w:lang w:val="sq-AL"/>
              </w:rPr>
              <w:t>Linja e interkon</w:t>
            </w:r>
            <w:r w:rsidR="008B65A8" w:rsidRPr="00050FA4">
              <w:rPr>
                <w:sz w:val="18"/>
                <w:szCs w:val="18"/>
                <w:lang w:val="sq-AL"/>
              </w:rPr>
              <w:t xml:space="preserve">eksionit 400 kV ndërmjet Shqipërisë dhe Kosovës përfundoi më 28.06.2016 dhe më 20.04.2020, u përmbyll me sukses marrëveshja e re për kyçje ndërmjet operatorit të sistemit të transmisionit të Kosovës (OST) KOSTT dhe ENTSO-E nga </w:t>
            </w:r>
            <w:r w:rsidR="006B7286" w:rsidRPr="00050FA4">
              <w:rPr>
                <w:sz w:val="18"/>
                <w:szCs w:val="18"/>
                <w:lang w:val="sq-AL"/>
              </w:rPr>
              <w:t>grupi rajonal</w:t>
            </w:r>
            <w:r w:rsidR="006B7286">
              <w:rPr>
                <w:sz w:val="18"/>
                <w:szCs w:val="18"/>
                <w:lang w:val="sq-AL"/>
              </w:rPr>
              <w:t xml:space="preserve"> i Evropës Kontinentale (RGCE)</w:t>
            </w:r>
            <w:r w:rsidR="008B65A8" w:rsidRPr="00050FA4">
              <w:rPr>
                <w:sz w:val="18"/>
                <w:szCs w:val="18"/>
                <w:lang w:val="sq-AL"/>
              </w:rPr>
              <w:t>. Pas votimit, e më pas nënshkrimit, KOSTT dhe Republika e Kosovës fitojnë pavarësinë energjetike nga Serbia dhe Operacionin e Pavarur si Zonë Rregullatore, në kuadër të Bllokut Rregullator Kosovë – Shqipëri. Më 14.12.2020, Marrëveshja e Kyçjes ndërmjet KOSTT-it dhe operatorëve të sistemit të transmisionit (OST) nga Evropa Kontinentale ka hyrë në fuqi duke shënuar ditën e parë të funksionimit të KOSTT-it si zonë kontrolli brenda bllokut të përbashkët të kontrollit me OST-në Shqiptare, OST. Përveç kësaj, linja e re 400 kV ndërmjet Kosovës dhe Shqipërisë tani është në funksionim duke kontribuar në shkëmbimet e mëtejshme ndërkufitare.</w:t>
            </w:r>
          </w:p>
          <w:p w14:paraId="280F7683" w14:textId="25083753" w:rsidR="008B65A8" w:rsidRPr="00050FA4" w:rsidRDefault="00FA4DC6" w:rsidP="00A250C1">
            <w:pPr>
              <w:pStyle w:val="AAAAAAATEXXXX"/>
              <w:ind w:firstLine="0"/>
              <w:rPr>
                <w:sz w:val="18"/>
                <w:szCs w:val="18"/>
                <w:lang w:val="sq-AL"/>
              </w:rPr>
            </w:pPr>
            <w:r w:rsidRPr="00050FA4">
              <w:rPr>
                <w:sz w:val="18"/>
                <w:szCs w:val="18"/>
                <w:lang w:val="sq-AL"/>
              </w:rPr>
              <w:t xml:space="preserve">- </w:t>
            </w:r>
            <w:r w:rsidR="008B65A8" w:rsidRPr="00050FA4">
              <w:rPr>
                <w:sz w:val="18"/>
                <w:szCs w:val="18"/>
                <w:lang w:val="sq-AL"/>
              </w:rPr>
              <w:t xml:space="preserve">Linja e </w:t>
            </w:r>
            <w:r w:rsidR="000109D2" w:rsidRPr="00050FA4">
              <w:rPr>
                <w:sz w:val="18"/>
                <w:szCs w:val="18"/>
                <w:lang w:val="sq-AL"/>
              </w:rPr>
              <w:t>interkon</w:t>
            </w:r>
            <w:r w:rsidR="008B65A8" w:rsidRPr="00050FA4">
              <w:rPr>
                <w:sz w:val="18"/>
                <w:szCs w:val="18"/>
                <w:lang w:val="sq-AL"/>
              </w:rPr>
              <w:t>eksionit 400 kV Shqipëri – Maqedoni e Veriut</w:t>
            </w:r>
          </w:p>
          <w:p w14:paraId="74425408" w14:textId="5C3BF003" w:rsidR="008B65A8" w:rsidRPr="00050FA4" w:rsidRDefault="000109D2" w:rsidP="00A250C1">
            <w:pPr>
              <w:pStyle w:val="AAAAAAATEXXXX"/>
              <w:ind w:firstLine="0"/>
              <w:rPr>
                <w:sz w:val="18"/>
                <w:szCs w:val="18"/>
                <w:lang w:val="sq-AL"/>
              </w:rPr>
            </w:pPr>
            <w:r w:rsidRPr="00050FA4">
              <w:rPr>
                <w:sz w:val="18"/>
                <w:szCs w:val="18"/>
                <w:lang w:val="sq-AL"/>
              </w:rPr>
              <w:t>Linja e interkon</w:t>
            </w:r>
            <w:r w:rsidR="008B65A8" w:rsidRPr="00050FA4">
              <w:rPr>
                <w:sz w:val="18"/>
                <w:szCs w:val="18"/>
                <w:lang w:val="sq-AL"/>
              </w:rPr>
              <w:t>eksionit 400 kV Shqipëri - Maqedoni e Veriut, është një nga projektet më të rëndësishme të sektorit elektroenergjetik shqiptar dhe në përputhje të plotë me politikat e Qeverisë Shqiptare për mbështetjen e sektorit elektroenergjetik, i cili synon rritjen e kapaciteteve të transmetimit të energjisë elektrike, për përmirësimin. Siguria e furnizimit me kosto efikase dhe reduktimi i humbjeve në transmetimin dhe furnizimin me energji elektrike në Shqipëri, krijojnë kushtet për një treg të integruar të energjisë elektrike në rajon dhe krijimin e kapaciteteve të importit dhe eksportit të energjisë elektrike.</w:t>
            </w:r>
          </w:p>
          <w:p w14:paraId="75373243" w14:textId="24D15985" w:rsidR="008B65A8" w:rsidRPr="00050FA4" w:rsidRDefault="008B65A8" w:rsidP="00A250C1">
            <w:pPr>
              <w:pStyle w:val="AAAAAAATEXXXX"/>
              <w:ind w:firstLine="0"/>
              <w:rPr>
                <w:sz w:val="18"/>
                <w:szCs w:val="18"/>
                <w:lang w:val="sq-AL"/>
              </w:rPr>
            </w:pPr>
            <w:r w:rsidRPr="00050FA4">
              <w:rPr>
                <w:sz w:val="18"/>
                <w:szCs w:val="18"/>
                <w:lang w:val="sq-AL"/>
              </w:rPr>
              <w:t>Siç u raportua më parë, Operatori i Sistemit të Transmetimit nënshkroi kontratën me konsulentin gjerman Fich</w:t>
            </w:r>
            <w:r w:rsidR="00957675" w:rsidRPr="00050FA4">
              <w:rPr>
                <w:sz w:val="18"/>
                <w:szCs w:val="18"/>
                <w:lang w:val="sq-AL"/>
              </w:rPr>
              <w:t>tner GmbH dhe Co.KG në datën 9.</w:t>
            </w:r>
            <w:r w:rsidRPr="00050FA4">
              <w:rPr>
                <w:sz w:val="18"/>
                <w:szCs w:val="18"/>
                <w:lang w:val="sq-AL"/>
              </w:rPr>
              <w:t>1.2018, e cila ka hyrë në fuqi më 16.04.2018, për shërbimin e k</w:t>
            </w:r>
            <w:r w:rsidR="000109D2" w:rsidRPr="00050FA4">
              <w:rPr>
                <w:sz w:val="18"/>
                <w:szCs w:val="18"/>
                <w:lang w:val="sq-AL"/>
              </w:rPr>
              <w:t>onsulencës në linjën e interkon</w:t>
            </w:r>
            <w:r w:rsidRPr="00050FA4">
              <w:rPr>
                <w:sz w:val="18"/>
                <w:szCs w:val="18"/>
                <w:lang w:val="sq-AL"/>
              </w:rPr>
              <w:t>eksionit 400 kV Shqipëri – Maqedoni e Veriut. Linja Elbasani – Fieri dhe zgjerimi i nënstacionit Elbasani 2 dhe nënstacionit Fieri. Konsulenca do të mbulojë fazën 12</w:t>
            </w:r>
            <w:r w:rsidR="00F62C99" w:rsidRPr="00050FA4">
              <w:rPr>
                <w:sz w:val="18"/>
                <w:szCs w:val="18"/>
                <w:lang w:val="sq-AL"/>
              </w:rPr>
              <w:t>-</w:t>
            </w:r>
            <w:r w:rsidRPr="00050FA4">
              <w:rPr>
                <w:sz w:val="18"/>
                <w:szCs w:val="18"/>
                <w:lang w:val="sq-AL"/>
              </w:rPr>
              <w:t>mujore të përgatitjes dhe tenderimit të projektit, si dhe fazën 24</w:t>
            </w:r>
            <w:r w:rsidR="00F62C99" w:rsidRPr="00050FA4">
              <w:rPr>
                <w:sz w:val="18"/>
                <w:szCs w:val="18"/>
                <w:lang w:val="sq-AL"/>
              </w:rPr>
              <w:t>-</w:t>
            </w:r>
            <w:r w:rsidRPr="00050FA4">
              <w:rPr>
                <w:sz w:val="18"/>
                <w:szCs w:val="18"/>
                <w:lang w:val="sq-AL"/>
              </w:rPr>
              <w:t>mujore të zbatimit dhe përfundimit të tij.</w:t>
            </w:r>
          </w:p>
          <w:p w14:paraId="708AD4DD" w14:textId="05EE3EE8" w:rsidR="008B65A8" w:rsidRPr="00050FA4" w:rsidRDefault="008B65A8" w:rsidP="00A250C1">
            <w:pPr>
              <w:pStyle w:val="AAAAAAATEXXXX"/>
              <w:ind w:firstLine="0"/>
              <w:rPr>
                <w:sz w:val="18"/>
                <w:szCs w:val="18"/>
                <w:lang w:val="sq-AL"/>
              </w:rPr>
            </w:pPr>
            <w:r w:rsidRPr="00050FA4">
              <w:rPr>
                <w:sz w:val="18"/>
                <w:szCs w:val="18"/>
                <w:lang w:val="sq-AL"/>
              </w:rPr>
              <w:t>Procedura e tenderit për përzgjedhjen e Kontraktorëve që do të zbatojnë projektin për çdo lot, është zhvilluar në bazë të dokumentacionit të tenderit të përgatitur nga kompania kon</w:t>
            </w:r>
            <w:r w:rsidR="00BB3641">
              <w:rPr>
                <w:sz w:val="18"/>
                <w:szCs w:val="18"/>
                <w:lang w:val="sq-AL"/>
              </w:rPr>
              <w:t>sulente gjermane Fichtner Gmbh dhe</w:t>
            </w:r>
            <w:r w:rsidRPr="00050FA4">
              <w:rPr>
                <w:sz w:val="18"/>
                <w:szCs w:val="18"/>
                <w:lang w:val="sq-AL"/>
              </w:rPr>
              <w:t xml:space="preserve"> Co.KG-Germany si një procedurë e hapur ndërkombëtare, bazuar në dispozitat e Udhëzues i KfW-së </w:t>
            </w:r>
            <w:r w:rsidR="008A0E5B" w:rsidRPr="00050FA4">
              <w:rPr>
                <w:sz w:val="18"/>
                <w:szCs w:val="18"/>
                <w:lang w:val="sq-AL"/>
              </w:rPr>
              <w:t>“</w:t>
            </w:r>
            <w:r w:rsidRPr="00050FA4">
              <w:rPr>
                <w:sz w:val="18"/>
                <w:szCs w:val="18"/>
                <w:lang w:val="sq-AL"/>
              </w:rPr>
              <w:t xml:space="preserve">Udhëzues për </w:t>
            </w:r>
            <w:r w:rsidR="00957675" w:rsidRPr="00050FA4">
              <w:rPr>
                <w:sz w:val="18"/>
                <w:szCs w:val="18"/>
                <w:lang w:val="sq-AL"/>
              </w:rPr>
              <w:t xml:space="preserve">shërbimet </w:t>
            </w:r>
            <w:r w:rsidRPr="00050FA4">
              <w:rPr>
                <w:sz w:val="18"/>
                <w:szCs w:val="18"/>
                <w:lang w:val="sq-AL"/>
              </w:rPr>
              <w:t xml:space="preserve">e </w:t>
            </w:r>
            <w:r w:rsidR="00957675" w:rsidRPr="00050FA4">
              <w:rPr>
                <w:sz w:val="18"/>
                <w:szCs w:val="18"/>
                <w:lang w:val="sq-AL"/>
              </w:rPr>
              <w:t xml:space="preserve">konsulencës së prokurimit, punët, impiantet, mallrat dhe shërbimet jokonsulente </w:t>
            </w:r>
            <w:r w:rsidRPr="00050FA4">
              <w:rPr>
                <w:sz w:val="18"/>
                <w:szCs w:val="18"/>
                <w:lang w:val="sq-AL"/>
              </w:rPr>
              <w:t xml:space="preserve">në </w:t>
            </w:r>
            <w:r w:rsidR="00957675" w:rsidRPr="00050FA4">
              <w:rPr>
                <w:sz w:val="18"/>
                <w:szCs w:val="18"/>
                <w:lang w:val="sq-AL"/>
              </w:rPr>
              <w:t xml:space="preserve">bashkëpunimin financiar </w:t>
            </w:r>
            <w:r w:rsidRPr="00050FA4">
              <w:rPr>
                <w:sz w:val="18"/>
                <w:szCs w:val="18"/>
                <w:lang w:val="sq-AL"/>
              </w:rPr>
              <w:t xml:space="preserve">me </w:t>
            </w:r>
            <w:r w:rsidR="00957675" w:rsidRPr="00050FA4">
              <w:rPr>
                <w:sz w:val="18"/>
                <w:szCs w:val="18"/>
                <w:lang w:val="sq-AL"/>
              </w:rPr>
              <w:t>vendet partnere</w:t>
            </w:r>
            <w:r w:rsidRPr="00050FA4">
              <w:rPr>
                <w:sz w:val="18"/>
                <w:szCs w:val="18"/>
                <w:lang w:val="sq-AL"/>
              </w:rPr>
              <w:t xml:space="preserve">, </w:t>
            </w:r>
            <w:r w:rsidR="00957675" w:rsidRPr="00050FA4">
              <w:rPr>
                <w:sz w:val="18"/>
                <w:szCs w:val="18"/>
                <w:lang w:val="sq-AL"/>
              </w:rPr>
              <w:t xml:space="preserve">janar </w:t>
            </w:r>
            <w:r w:rsidRPr="00050FA4">
              <w:rPr>
                <w:sz w:val="18"/>
                <w:szCs w:val="18"/>
                <w:lang w:val="sq-AL"/>
              </w:rPr>
              <w:t>2019</w:t>
            </w:r>
            <w:r w:rsidR="008A0E5B" w:rsidRPr="00050FA4">
              <w:rPr>
                <w:sz w:val="18"/>
                <w:szCs w:val="18"/>
                <w:lang w:val="sq-AL"/>
              </w:rPr>
              <w:t>”</w:t>
            </w:r>
            <w:r w:rsidRPr="00050FA4">
              <w:rPr>
                <w:sz w:val="18"/>
                <w:szCs w:val="18"/>
                <w:lang w:val="sq-AL"/>
              </w:rPr>
              <w:t>.</w:t>
            </w:r>
          </w:p>
          <w:p w14:paraId="191516BA" w14:textId="1F38DF2D" w:rsidR="008B65A8" w:rsidRPr="00050FA4" w:rsidRDefault="008B65A8" w:rsidP="00A250C1">
            <w:pPr>
              <w:pStyle w:val="AAAAAAATEXXXX"/>
              <w:ind w:firstLine="0"/>
              <w:rPr>
                <w:sz w:val="18"/>
                <w:szCs w:val="18"/>
                <w:lang w:val="sq-AL"/>
              </w:rPr>
            </w:pPr>
            <w:r w:rsidRPr="00050FA4">
              <w:rPr>
                <w:sz w:val="18"/>
                <w:szCs w:val="18"/>
                <w:lang w:val="sq-AL"/>
              </w:rPr>
              <w:t xml:space="preserve">Projekti është i ndarë në dy </w:t>
            </w:r>
            <w:r w:rsidR="00957675" w:rsidRPr="00050FA4">
              <w:rPr>
                <w:sz w:val="18"/>
                <w:szCs w:val="18"/>
                <w:lang w:val="sq-AL"/>
              </w:rPr>
              <w:t>lote</w:t>
            </w:r>
            <w:r w:rsidRPr="00050FA4">
              <w:rPr>
                <w:sz w:val="18"/>
                <w:szCs w:val="18"/>
                <w:lang w:val="sq-AL"/>
              </w:rPr>
              <w:t xml:space="preserve">: </w:t>
            </w:r>
            <w:r w:rsidR="00BB3641" w:rsidRPr="00050FA4">
              <w:rPr>
                <w:sz w:val="18"/>
                <w:szCs w:val="18"/>
                <w:lang w:val="sq-AL"/>
              </w:rPr>
              <w:t xml:space="preserve">loti </w:t>
            </w:r>
            <w:r w:rsidRPr="00050FA4">
              <w:rPr>
                <w:sz w:val="18"/>
                <w:szCs w:val="18"/>
                <w:lang w:val="sq-AL"/>
              </w:rPr>
              <w:t>1 (</w:t>
            </w:r>
            <w:r w:rsidR="00957675" w:rsidRPr="00050FA4">
              <w:rPr>
                <w:sz w:val="18"/>
                <w:szCs w:val="18"/>
                <w:lang w:val="sq-AL"/>
              </w:rPr>
              <w:t>linjat</w:t>
            </w:r>
            <w:r w:rsidRPr="00050FA4">
              <w:rPr>
                <w:sz w:val="18"/>
                <w:szCs w:val="18"/>
                <w:lang w:val="sq-AL"/>
              </w:rPr>
              <w:t xml:space="preserve">) dhe </w:t>
            </w:r>
            <w:r w:rsidR="00957675" w:rsidRPr="00050FA4">
              <w:rPr>
                <w:sz w:val="18"/>
                <w:szCs w:val="18"/>
                <w:lang w:val="sq-AL"/>
              </w:rPr>
              <w:t xml:space="preserve">loti </w:t>
            </w:r>
            <w:r w:rsidRPr="00050FA4">
              <w:rPr>
                <w:sz w:val="18"/>
                <w:szCs w:val="18"/>
                <w:lang w:val="sq-AL"/>
              </w:rPr>
              <w:t>2 (</w:t>
            </w:r>
            <w:r w:rsidR="00957675" w:rsidRPr="00050FA4">
              <w:rPr>
                <w:sz w:val="18"/>
                <w:szCs w:val="18"/>
                <w:lang w:val="sq-AL"/>
              </w:rPr>
              <w:t>nënstacionet</w:t>
            </w:r>
            <w:r w:rsidRPr="00050FA4">
              <w:rPr>
                <w:sz w:val="18"/>
                <w:szCs w:val="18"/>
                <w:lang w:val="sq-AL"/>
              </w:rPr>
              <w:t>).</w:t>
            </w:r>
          </w:p>
          <w:p w14:paraId="2CFCB8ED" w14:textId="4686DE79" w:rsidR="008B65A8" w:rsidRPr="00050FA4" w:rsidRDefault="008B65A8" w:rsidP="00A250C1">
            <w:pPr>
              <w:pStyle w:val="AAAAAAATEXXXX"/>
              <w:ind w:firstLine="0"/>
              <w:rPr>
                <w:sz w:val="18"/>
                <w:szCs w:val="18"/>
                <w:lang w:val="sq-AL"/>
              </w:rPr>
            </w:pPr>
            <w:r w:rsidRPr="00050FA4">
              <w:rPr>
                <w:sz w:val="18"/>
                <w:szCs w:val="18"/>
                <w:lang w:val="sq-AL"/>
              </w:rPr>
              <w:t xml:space="preserve">Faza aktuale e </w:t>
            </w:r>
            <w:r w:rsidR="00957675" w:rsidRPr="00050FA4">
              <w:rPr>
                <w:sz w:val="18"/>
                <w:szCs w:val="18"/>
                <w:lang w:val="sq-AL"/>
              </w:rPr>
              <w:t xml:space="preserve">lotit </w:t>
            </w:r>
            <w:r w:rsidRPr="00050FA4">
              <w:rPr>
                <w:sz w:val="18"/>
                <w:szCs w:val="18"/>
                <w:lang w:val="sq-AL"/>
              </w:rPr>
              <w:t>1</w:t>
            </w:r>
          </w:p>
          <w:p w14:paraId="764F33FC" w14:textId="2659A8A6" w:rsidR="008B65A8" w:rsidRPr="00050FA4" w:rsidRDefault="008B65A8" w:rsidP="00A250C1">
            <w:pPr>
              <w:pStyle w:val="AAAAAAATEXXXX"/>
              <w:ind w:firstLine="0"/>
              <w:rPr>
                <w:sz w:val="18"/>
                <w:szCs w:val="18"/>
                <w:lang w:val="sq-AL"/>
              </w:rPr>
            </w:pPr>
            <w:r w:rsidRPr="00050FA4">
              <w:rPr>
                <w:sz w:val="18"/>
                <w:szCs w:val="18"/>
                <w:lang w:val="sq-AL"/>
              </w:rPr>
              <w:t xml:space="preserve">Pas marrjes së </w:t>
            </w:r>
            <w:r w:rsidR="008A0E5B" w:rsidRPr="00050FA4">
              <w:rPr>
                <w:sz w:val="18"/>
                <w:szCs w:val="18"/>
                <w:lang w:val="sq-AL"/>
              </w:rPr>
              <w:t>“</w:t>
            </w:r>
            <w:r w:rsidRPr="00050FA4">
              <w:rPr>
                <w:sz w:val="18"/>
                <w:szCs w:val="18"/>
                <w:lang w:val="sq-AL"/>
              </w:rPr>
              <w:t xml:space="preserve">Pa </w:t>
            </w:r>
            <w:r w:rsidR="00957675" w:rsidRPr="00050FA4">
              <w:rPr>
                <w:sz w:val="18"/>
                <w:szCs w:val="18"/>
                <w:lang w:val="sq-AL"/>
              </w:rPr>
              <w:t>kundërshtim</w:t>
            </w:r>
            <w:r w:rsidR="008A0E5B" w:rsidRPr="00050FA4">
              <w:rPr>
                <w:sz w:val="18"/>
                <w:szCs w:val="18"/>
                <w:lang w:val="sq-AL"/>
              </w:rPr>
              <w:t>”</w:t>
            </w:r>
            <w:r w:rsidRPr="00050FA4">
              <w:rPr>
                <w:sz w:val="18"/>
                <w:szCs w:val="18"/>
                <w:lang w:val="sq-AL"/>
              </w:rPr>
              <w:t xml:space="preserve"> nga </w:t>
            </w:r>
            <w:r w:rsidR="00957675" w:rsidRPr="00050FA4">
              <w:rPr>
                <w:sz w:val="18"/>
                <w:szCs w:val="18"/>
                <w:lang w:val="sq-AL"/>
              </w:rPr>
              <w:t>kfw</w:t>
            </w:r>
            <w:r w:rsidRPr="00050FA4">
              <w:rPr>
                <w:sz w:val="18"/>
                <w:szCs w:val="18"/>
                <w:lang w:val="sq-AL"/>
              </w:rPr>
              <w:t>, kontrata e zbatimit të projektit me ofertuesin fitues për këtë lot JV Mitas Energy and Metal Construction Inc - DOKO sh.p</w:t>
            </w:r>
            <w:r w:rsidR="00957675" w:rsidRPr="00050FA4">
              <w:rPr>
                <w:sz w:val="18"/>
                <w:szCs w:val="18"/>
                <w:lang w:val="sq-AL"/>
              </w:rPr>
              <w:t>.</w:t>
            </w:r>
            <w:r w:rsidRPr="00050FA4">
              <w:rPr>
                <w:sz w:val="18"/>
                <w:szCs w:val="18"/>
                <w:lang w:val="sq-AL"/>
              </w:rPr>
              <w:t>k</w:t>
            </w:r>
            <w:r w:rsidR="00957675" w:rsidRPr="00050FA4">
              <w:rPr>
                <w:sz w:val="18"/>
                <w:szCs w:val="18"/>
                <w:lang w:val="sq-AL"/>
              </w:rPr>
              <w:t>.</w:t>
            </w:r>
            <w:r w:rsidRPr="00050FA4">
              <w:rPr>
                <w:sz w:val="18"/>
                <w:szCs w:val="18"/>
                <w:lang w:val="sq-AL"/>
              </w:rPr>
              <w:t xml:space="preserve"> (Turqi </w:t>
            </w:r>
            <w:r w:rsidR="00957675" w:rsidRPr="00050FA4">
              <w:rPr>
                <w:sz w:val="18"/>
                <w:szCs w:val="18"/>
                <w:lang w:val="sq-AL"/>
              </w:rPr>
              <w:t>dhe</w:t>
            </w:r>
            <w:r w:rsidRPr="00050FA4">
              <w:rPr>
                <w:sz w:val="18"/>
                <w:szCs w:val="18"/>
                <w:lang w:val="sq-AL"/>
              </w:rPr>
              <w:t xml:space="preserve"> Shqipëri)</w:t>
            </w:r>
            <w:r w:rsidR="00957675" w:rsidRPr="00050FA4">
              <w:rPr>
                <w:sz w:val="18"/>
                <w:szCs w:val="18"/>
                <w:lang w:val="sq-AL"/>
              </w:rPr>
              <w:t>, është nënshkruar në datën 14.</w:t>
            </w:r>
            <w:r w:rsidRPr="00050FA4">
              <w:rPr>
                <w:sz w:val="18"/>
                <w:szCs w:val="18"/>
                <w:lang w:val="sq-AL"/>
              </w:rPr>
              <w:t xml:space="preserve">1.2021, me vlerë prej 24,642,478,02 </w:t>
            </w:r>
            <w:r w:rsidR="00957675" w:rsidRPr="00050FA4">
              <w:rPr>
                <w:sz w:val="18"/>
                <w:szCs w:val="18"/>
                <w:lang w:val="sq-AL"/>
              </w:rPr>
              <w:t>euro</w:t>
            </w:r>
            <w:r w:rsidR="006A27AC" w:rsidRPr="00050FA4">
              <w:rPr>
                <w:sz w:val="18"/>
                <w:szCs w:val="18"/>
                <w:lang w:val="sq-AL"/>
              </w:rPr>
              <w:t>sh</w:t>
            </w:r>
            <w:r w:rsidRPr="00050FA4">
              <w:rPr>
                <w:sz w:val="18"/>
                <w:szCs w:val="18"/>
                <w:lang w:val="sq-AL"/>
              </w:rPr>
              <w:t>. Data e hyrjes në fuqi e kontratës pas plotësimit të kushteve të parashikuara në</w:t>
            </w:r>
            <w:r w:rsidR="00BB3641">
              <w:rPr>
                <w:sz w:val="18"/>
                <w:szCs w:val="18"/>
                <w:lang w:val="sq-AL"/>
              </w:rPr>
              <w:t xml:space="preserve"> këtë kontratë ka qenë data 10.</w:t>
            </w:r>
            <w:r w:rsidRPr="00050FA4">
              <w:rPr>
                <w:sz w:val="18"/>
                <w:szCs w:val="18"/>
                <w:lang w:val="sq-AL"/>
              </w:rPr>
              <w:t>3.2021. Afati/orari i përfundimit të projektit për këtë lot është parashikuar 24 muaj nga data e hyrjes në fuqi të kontratës.</w:t>
            </w:r>
          </w:p>
          <w:p w14:paraId="6FC15527" w14:textId="77777777" w:rsidR="008B65A8" w:rsidRPr="00050FA4" w:rsidRDefault="008B65A8" w:rsidP="00A250C1">
            <w:pPr>
              <w:pStyle w:val="AAAAAAATEXXXX"/>
              <w:ind w:firstLine="0"/>
              <w:rPr>
                <w:sz w:val="18"/>
                <w:szCs w:val="18"/>
                <w:lang w:val="sq-AL"/>
              </w:rPr>
            </w:pPr>
            <w:r w:rsidRPr="00050FA4">
              <w:rPr>
                <w:sz w:val="18"/>
                <w:szCs w:val="18"/>
                <w:lang w:val="sq-AL"/>
              </w:rPr>
              <w:t>Faza aktuale e Lotit 2</w:t>
            </w:r>
          </w:p>
          <w:p w14:paraId="66ECA404" w14:textId="1D00F59B" w:rsidR="008B65A8" w:rsidRPr="00050FA4" w:rsidRDefault="008B65A8" w:rsidP="00A250C1">
            <w:pPr>
              <w:pStyle w:val="AAAAAAATEXXXX"/>
              <w:ind w:firstLine="0"/>
              <w:rPr>
                <w:sz w:val="18"/>
                <w:szCs w:val="18"/>
                <w:lang w:val="sq-AL"/>
              </w:rPr>
            </w:pPr>
            <w:r w:rsidRPr="00050FA4">
              <w:rPr>
                <w:sz w:val="18"/>
                <w:szCs w:val="18"/>
                <w:lang w:val="sq-AL"/>
              </w:rPr>
              <w:t xml:space="preserve">Pas marrjes së </w:t>
            </w:r>
            <w:r w:rsidR="008A0E5B" w:rsidRPr="00050FA4">
              <w:rPr>
                <w:sz w:val="18"/>
                <w:szCs w:val="18"/>
                <w:lang w:val="sq-AL"/>
              </w:rPr>
              <w:t>“</w:t>
            </w:r>
            <w:r w:rsidRPr="00050FA4">
              <w:rPr>
                <w:sz w:val="18"/>
                <w:szCs w:val="18"/>
                <w:lang w:val="sq-AL"/>
              </w:rPr>
              <w:t xml:space="preserve">Pa </w:t>
            </w:r>
            <w:r w:rsidR="00957675" w:rsidRPr="00050FA4">
              <w:rPr>
                <w:sz w:val="18"/>
                <w:szCs w:val="18"/>
                <w:lang w:val="sq-AL"/>
              </w:rPr>
              <w:t>kundërshtim</w:t>
            </w:r>
            <w:r w:rsidR="008A0E5B" w:rsidRPr="00050FA4">
              <w:rPr>
                <w:sz w:val="18"/>
                <w:szCs w:val="18"/>
                <w:lang w:val="sq-AL"/>
              </w:rPr>
              <w:t>”</w:t>
            </w:r>
            <w:r w:rsidRPr="00050FA4">
              <w:rPr>
                <w:sz w:val="18"/>
                <w:szCs w:val="18"/>
                <w:lang w:val="sq-AL"/>
              </w:rPr>
              <w:t xml:space="preserve"> nga KfW, kontrata e zbatimit të projektit me ofertuesin fitues për këtë lot Mytilineos </w:t>
            </w:r>
            <w:r w:rsidR="00B87496" w:rsidRPr="00050FA4">
              <w:rPr>
                <w:sz w:val="18"/>
                <w:szCs w:val="18"/>
                <w:lang w:val="sq-AL"/>
              </w:rPr>
              <w:t xml:space="preserve">s.a. </w:t>
            </w:r>
            <w:r w:rsidRPr="00050FA4">
              <w:rPr>
                <w:sz w:val="18"/>
                <w:szCs w:val="18"/>
                <w:lang w:val="sq-AL"/>
              </w:rPr>
              <w:t xml:space="preserve">(Greqi) është nënshkruar më 14.4.2021, me vlerë 21,173,500.00 </w:t>
            </w:r>
            <w:r w:rsidR="00BB3641" w:rsidRPr="00050FA4">
              <w:rPr>
                <w:sz w:val="18"/>
                <w:szCs w:val="18"/>
                <w:lang w:val="sq-AL"/>
              </w:rPr>
              <w:t>euro</w:t>
            </w:r>
            <w:r w:rsidRPr="00050FA4">
              <w:rPr>
                <w:sz w:val="18"/>
                <w:szCs w:val="18"/>
                <w:lang w:val="sq-AL"/>
              </w:rPr>
              <w:t>. Kontrata pritet të hyjë në fuqi së shpejti, pas plotësimit të kushteve të përcaktuara në të. Afati/data e përfundimit të projektit për këtë lot është parashikuar 24 muaj nga data e hyrjes në fuqi të kontratës.</w:t>
            </w:r>
          </w:p>
          <w:p w14:paraId="4F10185E" w14:textId="53BDEF43" w:rsidR="008B65A8" w:rsidRPr="00050FA4" w:rsidRDefault="00BB3641" w:rsidP="00A250C1">
            <w:pPr>
              <w:pStyle w:val="AAAAAAATEXXXX"/>
              <w:ind w:firstLine="0"/>
              <w:rPr>
                <w:sz w:val="18"/>
                <w:szCs w:val="18"/>
                <w:lang w:val="sq-AL"/>
              </w:rPr>
            </w:pPr>
            <w:r>
              <w:rPr>
                <w:sz w:val="18"/>
                <w:szCs w:val="18"/>
                <w:lang w:val="sq-AL"/>
              </w:rPr>
              <w:t>Më datë 30.</w:t>
            </w:r>
            <w:r w:rsidR="008B65A8" w:rsidRPr="00050FA4">
              <w:rPr>
                <w:sz w:val="18"/>
                <w:szCs w:val="18"/>
                <w:lang w:val="sq-AL"/>
              </w:rPr>
              <w:t>8.2021 është shpallur fillimi i ndërtimit të Nënstacionit 400 kV/110 kV të Ohrit i cili do të lidhet me hyrje dhe dalje në interkoneksionin e ri 400 kV Manastir – Elbasan. Realizimi i këtij projekti kapital infrastrukturor përfundon ndërlidhjen elektrike mes dy vendeve Maqedonia e Veriut dhe Shqipëria dhe rajoni.</w:t>
            </w:r>
          </w:p>
          <w:p w14:paraId="4F15BA7F" w14:textId="77777777" w:rsidR="008B65A8" w:rsidRPr="00050FA4" w:rsidRDefault="008B65A8" w:rsidP="00A250C1">
            <w:pPr>
              <w:pStyle w:val="AAAAAAATEXXXX"/>
              <w:ind w:firstLine="0"/>
              <w:rPr>
                <w:sz w:val="18"/>
                <w:szCs w:val="18"/>
                <w:lang w:val="sq-AL"/>
              </w:rPr>
            </w:pPr>
            <w:r w:rsidRPr="00050FA4">
              <w:rPr>
                <w:sz w:val="18"/>
                <w:szCs w:val="18"/>
                <w:lang w:val="sq-AL"/>
              </w:rPr>
              <w:t>Zvogëlimi i mëtejshëm i humbjeve të shpërndarjes - Niveli i humbjeve të energjisë elektrike në rrjetin e shpërndarjes</w:t>
            </w:r>
          </w:p>
          <w:p w14:paraId="0FA0885C" w14:textId="77777777" w:rsidR="008B65A8" w:rsidRPr="00050FA4" w:rsidRDefault="008B65A8" w:rsidP="00A250C1">
            <w:pPr>
              <w:pStyle w:val="AAAAAAATEXXXX"/>
              <w:ind w:firstLine="0"/>
              <w:rPr>
                <w:sz w:val="18"/>
                <w:szCs w:val="18"/>
                <w:lang w:val="sq-AL"/>
              </w:rPr>
            </w:pPr>
            <w:r w:rsidRPr="00050FA4">
              <w:rPr>
                <w:sz w:val="18"/>
                <w:szCs w:val="18"/>
                <w:lang w:val="sq-AL"/>
              </w:rPr>
              <w:t>Viti 2020 – 21,48 %;</w:t>
            </w:r>
          </w:p>
          <w:p w14:paraId="1C9BEC51" w14:textId="77777777" w:rsidR="008B65A8" w:rsidRPr="00050FA4" w:rsidRDefault="008B65A8" w:rsidP="00A250C1">
            <w:pPr>
              <w:pStyle w:val="AAAAAAATEXXXX"/>
              <w:ind w:firstLine="0"/>
              <w:rPr>
                <w:sz w:val="18"/>
                <w:szCs w:val="18"/>
                <w:lang w:val="sq-AL"/>
              </w:rPr>
            </w:pPr>
            <w:r w:rsidRPr="00050FA4">
              <w:rPr>
                <w:sz w:val="18"/>
                <w:szCs w:val="18"/>
                <w:lang w:val="sq-AL"/>
              </w:rPr>
              <w:t>Viti 2021 (Janar – Korrik) – 24%</w:t>
            </w:r>
          </w:p>
          <w:p w14:paraId="4F0E06A3" w14:textId="77777777" w:rsidR="008B65A8" w:rsidRPr="00050FA4" w:rsidRDefault="008B65A8" w:rsidP="00A250C1">
            <w:pPr>
              <w:pStyle w:val="AAAAAAATEXXXX"/>
              <w:ind w:firstLine="0"/>
              <w:rPr>
                <w:sz w:val="18"/>
                <w:szCs w:val="18"/>
                <w:lang w:val="sq-AL"/>
              </w:rPr>
            </w:pPr>
            <w:r w:rsidRPr="00050FA4">
              <w:rPr>
                <w:sz w:val="18"/>
                <w:szCs w:val="18"/>
                <w:lang w:val="sq-AL"/>
              </w:rPr>
              <w:t>Rritje e mëtejshme e normave të arkëtimit të faturave - Norma e arkëtimit të faturave</w:t>
            </w:r>
          </w:p>
          <w:p w14:paraId="6821682A" w14:textId="6A8CBC77" w:rsidR="008B65A8" w:rsidRPr="00050FA4" w:rsidRDefault="008B65A8" w:rsidP="00A250C1">
            <w:pPr>
              <w:pStyle w:val="AAAAAAATEXXXX"/>
              <w:ind w:firstLine="0"/>
              <w:rPr>
                <w:sz w:val="18"/>
                <w:szCs w:val="18"/>
                <w:lang w:val="sq-AL"/>
              </w:rPr>
            </w:pPr>
            <w:r w:rsidRPr="00050FA4">
              <w:rPr>
                <w:sz w:val="18"/>
                <w:szCs w:val="18"/>
                <w:lang w:val="sq-AL"/>
              </w:rPr>
              <w:t>Viti 2020 – 95,8 %</w:t>
            </w:r>
            <w:r w:rsidR="003C51D0" w:rsidRPr="00050FA4">
              <w:rPr>
                <w:sz w:val="18"/>
                <w:szCs w:val="18"/>
                <w:lang w:val="sq-AL"/>
              </w:rPr>
              <w:t xml:space="preserve"> </w:t>
            </w:r>
          </w:p>
          <w:p w14:paraId="64A60200" w14:textId="77777777" w:rsidR="008B65A8" w:rsidRPr="00050FA4" w:rsidRDefault="008B65A8" w:rsidP="00A250C1">
            <w:pPr>
              <w:pStyle w:val="AAAAAAATEXXXX"/>
              <w:ind w:firstLine="0"/>
              <w:rPr>
                <w:sz w:val="18"/>
                <w:szCs w:val="18"/>
                <w:lang w:val="sq-AL"/>
              </w:rPr>
            </w:pPr>
            <w:r w:rsidRPr="00050FA4">
              <w:rPr>
                <w:sz w:val="18"/>
                <w:szCs w:val="18"/>
                <w:lang w:val="sq-AL"/>
              </w:rPr>
              <w:t>Viti 2021 (Janar – Korrik) – 112 %</w:t>
            </w:r>
          </w:p>
        </w:tc>
        <w:tc>
          <w:tcPr>
            <w:tcW w:w="1985" w:type="dxa"/>
          </w:tcPr>
          <w:p w14:paraId="4FA7A5AC" w14:textId="77777777" w:rsidR="008B65A8" w:rsidRPr="00050FA4" w:rsidRDefault="008B65A8" w:rsidP="00A250C1">
            <w:pPr>
              <w:rPr>
                <w:rFonts w:ascii="Garamond" w:hAnsi="Garamond" w:cstheme="majorBidi"/>
                <w:color w:val="0D0D0D" w:themeColor="text1" w:themeTint="F2"/>
                <w:sz w:val="18"/>
                <w:szCs w:val="18"/>
              </w:rPr>
            </w:pPr>
          </w:p>
        </w:tc>
      </w:tr>
    </w:tbl>
    <w:p w14:paraId="17E1B1C8" w14:textId="77777777" w:rsidR="008B65A8" w:rsidRPr="00050FA4" w:rsidRDefault="008B65A8" w:rsidP="003F1DA7">
      <w:pPr>
        <w:snapToGrid w:val="0"/>
        <w:ind w:firstLine="284"/>
        <w:rPr>
          <w:rFonts w:ascii="Garamond" w:hAnsi="Garamond" w:cstheme="majorBidi"/>
          <w:color w:val="0D0D0D" w:themeColor="text1" w:themeTint="F2"/>
          <w:sz w:val="20"/>
          <w:szCs w:val="20"/>
        </w:rPr>
      </w:pPr>
    </w:p>
    <w:tbl>
      <w:tblPr>
        <w:tblStyle w:val="TableGrid"/>
        <w:tblW w:w="10485" w:type="dxa"/>
        <w:jc w:val="center"/>
        <w:tblLook w:val="04A0" w:firstRow="1" w:lastRow="0" w:firstColumn="1" w:lastColumn="0" w:noHBand="0" w:noVBand="1"/>
      </w:tblPr>
      <w:tblGrid>
        <w:gridCol w:w="1723"/>
        <w:gridCol w:w="6777"/>
        <w:gridCol w:w="1985"/>
      </w:tblGrid>
      <w:tr w:rsidR="00FA29AB" w:rsidRPr="00050FA4" w14:paraId="29E6D487" w14:textId="77777777" w:rsidTr="00CD12A9">
        <w:trPr>
          <w:jc w:val="center"/>
        </w:trPr>
        <w:tc>
          <w:tcPr>
            <w:tcW w:w="8500" w:type="dxa"/>
            <w:gridSpan w:val="2"/>
            <w:shd w:val="clear" w:color="auto" w:fill="E5DFEC" w:themeFill="accent4" w:themeFillTint="33"/>
          </w:tcPr>
          <w:p w14:paraId="1D7CBC0F" w14:textId="6D1297FE" w:rsidR="008B65A8" w:rsidRPr="00050FA4" w:rsidRDefault="008B65A8" w:rsidP="00A250C1">
            <w:pPr>
              <w:jc w:val="both"/>
              <w:rPr>
                <w:rFonts w:ascii="Garamond" w:hAnsi="Garamond" w:cstheme="majorBidi"/>
                <w:b/>
                <w:color w:val="0D0D0D" w:themeColor="text1" w:themeTint="F2"/>
                <w:sz w:val="18"/>
                <w:szCs w:val="18"/>
              </w:rPr>
            </w:pPr>
            <w:r w:rsidRPr="00050FA4">
              <w:rPr>
                <w:rFonts w:ascii="Garamond" w:hAnsi="Garamond" w:cstheme="majorBidi"/>
                <w:b/>
                <w:color w:val="0D0D0D" w:themeColor="text1" w:themeTint="F2"/>
                <w:sz w:val="18"/>
                <w:szCs w:val="18"/>
              </w:rPr>
              <w:t>Masa e reformës: Diversifikimi i burimeve të energjisë përmes promovimit të burimeve të rinovueshme të energjisë dhe përmirës</w:t>
            </w:r>
            <w:r w:rsidR="000109D2" w:rsidRPr="00050FA4">
              <w:rPr>
                <w:rFonts w:ascii="Garamond" w:hAnsi="Garamond" w:cstheme="majorBidi"/>
                <w:b/>
                <w:color w:val="0D0D0D" w:themeColor="text1" w:themeTint="F2"/>
                <w:sz w:val="18"/>
                <w:szCs w:val="18"/>
              </w:rPr>
              <w:t>imeve të efic</w:t>
            </w:r>
            <w:r w:rsidR="00630CC2" w:rsidRPr="00050FA4">
              <w:rPr>
                <w:rFonts w:ascii="Garamond" w:hAnsi="Garamond" w:cstheme="majorBidi"/>
                <w:b/>
                <w:color w:val="0D0D0D" w:themeColor="text1" w:themeTint="F2"/>
                <w:sz w:val="18"/>
                <w:szCs w:val="18"/>
              </w:rPr>
              <w:t>encës së energjisë</w:t>
            </w:r>
          </w:p>
        </w:tc>
        <w:tc>
          <w:tcPr>
            <w:tcW w:w="1985" w:type="dxa"/>
            <w:shd w:val="clear" w:color="auto" w:fill="E5DFEC" w:themeFill="accent4" w:themeFillTint="33"/>
          </w:tcPr>
          <w:p w14:paraId="5547431F" w14:textId="0C690394" w:rsidR="008B65A8" w:rsidRPr="00050FA4" w:rsidRDefault="008B65A8" w:rsidP="00A250C1">
            <w:pPr>
              <w:rPr>
                <w:rFonts w:ascii="Garamond" w:hAnsi="Garamond" w:cstheme="majorBidi"/>
                <w:b/>
                <w:bCs/>
                <w:color w:val="0D0D0D" w:themeColor="text1" w:themeTint="F2"/>
                <w:sz w:val="18"/>
                <w:szCs w:val="18"/>
              </w:rPr>
            </w:pPr>
            <w:r w:rsidRPr="00050FA4">
              <w:rPr>
                <w:rFonts w:ascii="Garamond" w:hAnsi="Garamond" w:cstheme="majorBidi"/>
                <w:b/>
                <w:bCs/>
                <w:color w:val="0D0D0D" w:themeColor="text1" w:themeTint="F2"/>
                <w:sz w:val="18"/>
                <w:szCs w:val="18"/>
              </w:rPr>
              <w:t>Faza e zbatimit të reformës (0</w:t>
            </w:r>
            <w:r w:rsidR="00CD12A9" w:rsidRPr="00050FA4">
              <w:rPr>
                <w:rFonts w:ascii="Garamond" w:hAnsi="Garamond" w:cstheme="majorBidi"/>
                <w:b/>
                <w:bCs/>
                <w:color w:val="0D0D0D" w:themeColor="text1" w:themeTint="F2"/>
                <w:sz w:val="18"/>
                <w:szCs w:val="18"/>
              </w:rPr>
              <w:t>–</w:t>
            </w:r>
            <w:r w:rsidRPr="00050FA4">
              <w:rPr>
                <w:rFonts w:ascii="Garamond" w:hAnsi="Garamond" w:cstheme="majorBidi"/>
                <w:b/>
                <w:bCs/>
                <w:color w:val="0D0D0D" w:themeColor="text1" w:themeTint="F2"/>
                <w:sz w:val="18"/>
                <w:szCs w:val="18"/>
              </w:rPr>
              <w:t>5)</w:t>
            </w:r>
          </w:p>
        </w:tc>
      </w:tr>
      <w:tr w:rsidR="00FA29AB" w:rsidRPr="00050FA4" w14:paraId="2C214D9E" w14:textId="77777777" w:rsidTr="00CD12A9">
        <w:trPr>
          <w:trHeight w:val="414"/>
          <w:jc w:val="center"/>
        </w:trPr>
        <w:tc>
          <w:tcPr>
            <w:tcW w:w="1723" w:type="dxa"/>
            <w:vMerge w:val="restart"/>
            <w:shd w:val="clear" w:color="auto" w:fill="auto"/>
            <w:vAlign w:val="center"/>
          </w:tcPr>
          <w:p w14:paraId="177417D6" w14:textId="77777777" w:rsidR="008B65A8" w:rsidRPr="00050FA4" w:rsidRDefault="008B65A8" w:rsidP="00A250C1">
            <w:pPr>
              <w:pStyle w:val="AAAAAAATEXXXX"/>
              <w:ind w:firstLine="0"/>
              <w:rPr>
                <w:sz w:val="18"/>
                <w:szCs w:val="18"/>
                <w:lang w:val="sq-AL"/>
              </w:rPr>
            </w:pPr>
            <w:r w:rsidRPr="00050FA4">
              <w:rPr>
                <w:sz w:val="18"/>
                <w:szCs w:val="18"/>
                <w:lang w:val="sq-AL"/>
              </w:rPr>
              <w:t xml:space="preserve">Aktivitetet e planifikuara për vitin </w:t>
            </w:r>
            <w:r w:rsidRPr="00050FA4">
              <w:rPr>
                <w:sz w:val="18"/>
                <w:szCs w:val="18"/>
                <w:lang w:val="sq-AL"/>
              </w:rPr>
              <w:lastRenderedPageBreak/>
              <w:t>2021</w:t>
            </w:r>
          </w:p>
        </w:tc>
        <w:tc>
          <w:tcPr>
            <w:tcW w:w="6777" w:type="dxa"/>
            <w:shd w:val="clear" w:color="auto" w:fill="auto"/>
          </w:tcPr>
          <w:p w14:paraId="5BC32995" w14:textId="09B07523" w:rsidR="008B65A8" w:rsidRPr="00050FA4" w:rsidRDefault="00FA4DC6" w:rsidP="00A250C1">
            <w:pPr>
              <w:pStyle w:val="AAAAAAATEXXXX"/>
              <w:ind w:firstLine="0"/>
              <w:rPr>
                <w:sz w:val="18"/>
                <w:szCs w:val="18"/>
                <w:lang w:val="sq-AL"/>
              </w:rPr>
            </w:pPr>
            <w:r w:rsidRPr="00050FA4">
              <w:rPr>
                <w:sz w:val="18"/>
                <w:szCs w:val="18"/>
                <w:lang w:val="sq-AL"/>
              </w:rPr>
              <w:lastRenderedPageBreak/>
              <w:t xml:space="preserve">- </w:t>
            </w:r>
            <w:r w:rsidR="008B65A8" w:rsidRPr="00050FA4">
              <w:rPr>
                <w:sz w:val="18"/>
                <w:szCs w:val="18"/>
                <w:lang w:val="sq-AL"/>
              </w:rPr>
              <w:t>Përgatitja dhe miratimi i akteve nënligjore bazuar në ligjin nr. 7/2017 për nxitjen e përdorimit të energjisë nga burimet e rinovueshme (MIE/AKBN/OSHEE/OST/ERE);</w:t>
            </w:r>
          </w:p>
          <w:p w14:paraId="691F25D9" w14:textId="295EB6D7" w:rsidR="008B65A8" w:rsidRPr="00050FA4" w:rsidRDefault="008B65A8" w:rsidP="00A250C1">
            <w:pPr>
              <w:pStyle w:val="AAAAAAATEXXXX"/>
              <w:ind w:firstLine="0"/>
              <w:rPr>
                <w:sz w:val="18"/>
                <w:szCs w:val="18"/>
                <w:lang w:val="sq-AL"/>
              </w:rPr>
            </w:pPr>
            <w:r w:rsidRPr="00050FA4">
              <w:rPr>
                <w:sz w:val="18"/>
                <w:szCs w:val="18"/>
                <w:lang w:val="sq-AL"/>
              </w:rPr>
              <w:lastRenderedPageBreak/>
              <w:t>a</w:t>
            </w:r>
            <w:r w:rsidR="00CD12A9" w:rsidRPr="00050FA4">
              <w:rPr>
                <w:sz w:val="18"/>
                <w:szCs w:val="18"/>
                <w:lang w:val="sq-AL"/>
              </w:rPr>
              <w:t>)</w:t>
            </w:r>
            <w:r w:rsidRPr="00050FA4">
              <w:rPr>
                <w:sz w:val="18"/>
                <w:szCs w:val="18"/>
                <w:lang w:val="sq-AL"/>
              </w:rPr>
              <w:t xml:space="preserve"> VKM </w:t>
            </w:r>
            <w:r w:rsidR="008A0E5B" w:rsidRPr="00050FA4">
              <w:rPr>
                <w:sz w:val="18"/>
                <w:szCs w:val="18"/>
                <w:lang w:val="sq-AL"/>
              </w:rPr>
              <w:t>“</w:t>
            </w:r>
            <w:r w:rsidRPr="00050FA4">
              <w:rPr>
                <w:sz w:val="18"/>
                <w:szCs w:val="18"/>
                <w:lang w:val="sq-AL"/>
              </w:rPr>
              <w:t>Për detyrimin për blerjen e energjisë elektrike të prodhuar nga prodhuesit me përparësi të energjisë elektrike që nuk përfitojnë nga skema e mbështetjes sipas kontratës së diferencës;</w:t>
            </w:r>
          </w:p>
          <w:p w14:paraId="6AFBE52C" w14:textId="5A89A2D6" w:rsidR="008B65A8" w:rsidRPr="00050FA4" w:rsidRDefault="008B65A8" w:rsidP="00CD12A9">
            <w:pPr>
              <w:pStyle w:val="AAAAAAATEXXXX"/>
              <w:ind w:firstLine="0"/>
              <w:rPr>
                <w:sz w:val="18"/>
                <w:szCs w:val="18"/>
                <w:lang w:val="sq-AL"/>
              </w:rPr>
            </w:pPr>
            <w:r w:rsidRPr="00050FA4">
              <w:rPr>
                <w:sz w:val="18"/>
                <w:szCs w:val="18"/>
                <w:lang w:val="sq-AL"/>
              </w:rPr>
              <w:t>b</w:t>
            </w:r>
            <w:r w:rsidR="00CD12A9" w:rsidRPr="00050FA4">
              <w:rPr>
                <w:sz w:val="18"/>
                <w:szCs w:val="18"/>
                <w:lang w:val="sq-AL"/>
              </w:rPr>
              <w:t>)</w:t>
            </w:r>
            <w:r w:rsidRPr="00050FA4">
              <w:rPr>
                <w:sz w:val="18"/>
                <w:szCs w:val="18"/>
                <w:lang w:val="sq-AL"/>
              </w:rPr>
              <w:t xml:space="preserve"> VKM </w:t>
            </w:r>
            <w:r w:rsidR="008A0E5B" w:rsidRPr="00050FA4">
              <w:rPr>
                <w:sz w:val="18"/>
                <w:szCs w:val="18"/>
                <w:lang w:val="sq-AL"/>
              </w:rPr>
              <w:t>“</w:t>
            </w:r>
            <w:r w:rsidRPr="00050FA4">
              <w:rPr>
                <w:sz w:val="18"/>
                <w:szCs w:val="18"/>
                <w:lang w:val="sq-AL"/>
              </w:rPr>
              <w:t>Për Metodologjinë e llogaritjes së çmimit të energjisë elektrike për vetëprodhuesit që përfitojnë nga skema e matjes neto</w:t>
            </w:r>
            <w:r w:rsidR="008A0E5B" w:rsidRPr="00050FA4">
              <w:rPr>
                <w:sz w:val="18"/>
                <w:szCs w:val="18"/>
                <w:lang w:val="sq-AL"/>
              </w:rPr>
              <w:t>”</w:t>
            </w:r>
            <w:r w:rsidRPr="00050FA4">
              <w:rPr>
                <w:sz w:val="18"/>
                <w:szCs w:val="18"/>
                <w:lang w:val="sq-AL"/>
              </w:rPr>
              <w:t>.</w:t>
            </w:r>
          </w:p>
        </w:tc>
        <w:tc>
          <w:tcPr>
            <w:tcW w:w="1985" w:type="dxa"/>
            <w:shd w:val="clear" w:color="auto" w:fill="auto"/>
          </w:tcPr>
          <w:p w14:paraId="5C93C60A" w14:textId="77777777" w:rsidR="008B65A8" w:rsidRPr="00050FA4" w:rsidRDefault="008B65A8" w:rsidP="00CD12A9">
            <w:pPr>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lastRenderedPageBreak/>
              <w:t>0</w:t>
            </w:r>
          </w:p>
        </w:tc>
      </w:tr>
      <w:tr w:rsidR="00FA29AB" w:rsidRPr="00050FA4" w14:paraId="172E517C" w14:textId="77777777" w:rsidTr="00CD12A9">
        <w:trPr>
          <w:trHeight w:val="415"/>
          <w:jc w:val="center"/>
        </w:trPr>
        <w:tc>
          <w:tcPr>
            <w:tcW w:w="1723" w:type="dxa"/>
            <w:vMerge/>
            <w:shd w:val="clear" w:color="auto" w:fill="auto"/>
            <w:vAlign w:val="center"/>
          </w:tcPr>
          <w:p w14:paraId="14AB7407" w14:textId="77777777" w:rsidR="008B65A8" w:rsidRPr="00050FA4" w:rsidRDefault="008B65A8" w:rsidP="00A250C1">
            <w:pPr>
              <w:rPr>
                <w:rFonts w:ascii="Garamond" w:hAnsi="Garamond" w:cstheme="majorBidi"/>
                <w:color w:val="0D0D0D" w:themeColor="text1" w:themeTint="F2"/>
                <w:sz w:val="18"/>
                <w:szCs w:val="18"/>
              </w:rPr>
            </w:pPr>
          </w:p>
        </w:tc>
        <w:tc>
          <w:tcPr>
            <w:tcW w:w="6777" w:type="dxa"/>
            <w:shd w:val="clear" w:color="auto" w:fill="auto"/>
          </w:tcPr>
          <w:p w14:paraId="108EEAEA" w14:textId="518A7A62" w:rsidR="008B65A8" w:rsidRPr="00050FA4" w:rsidRDefault="00FA4DC6" w:rsidP="00A250C1">
            <w:pPr>
              <w:pStyle w:val="AAAAAAATEXXXX"/>
              <w:ind w:firstLine="0"/>
              <w:rPr>
                <w:sz w:val="18"/>
                <w:szCs w:val="18"/>
                <w:lang w:val="sq-AL"/>
              </w:rPr>
            </w:pPr>
            <w:r w:rsidRPr="00050FA4">
              <w:rPr>
                <w:sz w:val="18"/>
                <w:szCs w:val="18"/>
                <w:lang w:val="sq-AL"/>
              </w:rPr>
              <w:t xml:space="preserve">- </w:t>
            </w:r>
            <w:r w:rsidR="008B65A8" w:rsidRPr="00050FA4">
              <w:rPr>
                <w:sz w:val="18"/>
                <w:szCs w:val="18"/>
                <w:lang w:val="sq-AL"/>
              </w:rPr>
              <w:t>Përgatitja dhe miratimi i akteve nënligjore bazuar në ligjin për efiçencën e energjisë dhe ligjin për performancën energjetike në ndërtesa (MIE/BERZH/AEE);</w:t>
            </w:r>
          </w:p>
          <w:p w14:paraId="55D6D997" w14:textId="47AA3FB5" w:rsidR="008B65A8" w:rsidRPr="00050FA4" w:rsidRDefault="008B65A8" w:rsidP="00A250C1">
            <w:pPr>
              <w:pStyle w:val="AAAAAAATEXXXX"/>
              <w:ind w:firstLine="0"/>
              <w:rPr>
                <w:sz w:val="18"/>
                <w:szCs w:val="18"/>
                <w:lang w:val="sq-AL"/>
              </w:rPr>
            </w:pPr>
            <w:r w:rsidRPr="00050FA4">
              <w:rPr>
                <w:sz w:val="18"/>
                <w:szCs w:val="18"/>
                <w:lang w:val="sq-AL"/>
              </w:rPr>
              <w:t>a</w:t>
            </w:r>
            <w:r w:rsidR="00CD12A9" w:rsidRPr="00050FA4">
              <w:rPr>
                <w:sz w:val="18"/>
                <w:szCs w:val="18"/>
                <w:lang w:val="sq-AL"/>
              </w:rPr>
              <w:t>)</w:t>
            </w:r>
            <w:r w:rsidRPr="00050FA4">
              <w:rPr>
                <w:sz w:val="18"/>
                <w:szCs w:val="18"/>
                <w:lang w:val="sq-AL"/>
              </w:rPr>
              <w:t xml:space="preserve"> VKM </w:t>
            </w:r>
            <w:r w:rsidR="008A0E5B" w:rsidRPr="00050FA4">
              <w:rPr>
                <w:sz w:val="18"/>
                <w:szCs w:val="18"/>
                <w:lang w:val="sq-AL"/>
              </w:rPr>
              <w:t>“</w:t>
            </w:r>
            <w:r w:rsidRPr="00050FA4">
              <w:rPr>
                <w:sz w:val="18"/>
                <w:szCs w:val="18"/>
                <w:lang w:val="sq-AL"/>
              </w:rPr>
              <w:t xml:space="preserve">Për </w:t>
            </w:r>
            <w:r w:rsidR="000109D2" w:rsidRPr="00050FA4">
              <w:rPr>
                <w:sz w:val="18"/>
                <w:szCs w:val="18"/>
                <w:lang w:val="sq-AL"/>
              </w:rPr>
              <w:t xml:space="preserve">miratimin </w:t>
            </w:r>
            <w:r w:rsidRPr="00050FA4">
              <w:rPr>
                <w:sz w:val="18"/>
                <w:szCs w:val="18"/>
                <w:lang w:val="sq-AL"/>
              </w:rPr>
              <w:t>e Metodologjisë Kombëtare të Llogaritjes së PEN</w:t>
            </w:r>
            <w:r w:rsidR="008A0E5B" w:rsidRPr="00050FA4">
              <w:rPr>
                <w:sz w:val="18"/>
                <w:szCs w:val="18"/>
                <w:lang w:val="sq-AL"/>
              </w:rPr>
              <w:t>”</w:t>
            </w:r>
            <w:r w:rsidRPr="00050FA4">
              <w:rPr>
                <w:sz w:val="18"/>
                <w:szCs w:val="18"/>
                <w:lang w:val="sq-AL"/>
              </w:rPr>
              <w:t>;</w:t>
            </w:r>
          </w:p>
          <w:p w14:paraId="2E6653BE" w14:textId="66CAE1E8" w:rsidR="008B65A8" w:rsidRPr="00050FA4" w:rsidRDefault="008B65A8" w:rsidP="00A250C1">
            <w:pPr>
              <w:pStyle w:val="AAAAAAATEXXXX"/>
              <w:ind w:firstLine="0"/>
              <w:rPr>
                <w:sz w:val="18"/>
                <w:szCs w:val="18"/>
                <w:lang w:val="sq-AL"/>
              </w:rPr>
            </w:pPr>
            <w:r w:rsidRPr="00050FA4">
              <w:rPr>
                <w:sz w:val="18"/>
                <w:szCs w:val="18"/>
                <w:lang w:val="sq-AL"/>
              </w:rPr>
              <w:t>b</w:t>
            </w:r>
            <w:r w:rsidR="00CD12A9" w:rsidRPr="00050FA4">
              <w:rPr>
                <w:sz w:val="18"/>
                <w:szCs w:val="18"/>
                <w:lang w:val="sq-AL"/>
              </w:rPr>
              <w:t>)</w:t>
            </w:r>
            <w:r w:rsidRPr="00050FA4">
              <w:rPr>
                <w:sz w:val="18"/>
                <w:szCs w:val="18"/>
                <w:lang w:val="sq-AL"/>
              </w:rPr>
              <w:t xml:space="preserve"> VKM </w:t>
            </w:r>
            <w:r w:rsidR="008A0E5B" w:rsidRPr="00050FA4">
              <w:rPr>
                <w:sz w:val="18"/>
                <w:szCs w:val="18"/>
                <w:lang w:val="sq-AL"/>
              </w:rPr>
              <w:t>“</w:t>
            </w:r>
            <w:r w:rsidRPr="00050FA4">
              <w:rPr>
                <w:sz w:val="18"/>
                <w:szCs w:val="18"/>
                <w:lang w:val="sq-AL"/>
              </w:rPr>
              <w:t>Për kërkesat minimale të PEN-it dhe elementeve ndërtuese</w:t>
            </w:r>
            <w:r w:rsidR="008A0E5B" w:rsidRPr="00050FA4">
              <w:rPr>
                <w:sz w:val="18"/>
                <w:szCs w:val="18"/>
                <w:lang w:val="sq-AL"/>
              </w:rPr>
              <w:t>”</w:t>
            </w:r>
            <w:r w:rsidRPr="00050FA4">
              <w:rPr>
                <w:sz w:val="18"/>
                <w:szCs w:val="18"/>
                <w:lang w:val="sq-AL"/>
              </w:rPr>
              <w:t>;</w:t>
            </w:r>
          </w:p>
          <w:p w14:paraId="26A76A5B" w14:textId="0DEEBA08" w:rsidR="008B65A8" w:rsidRPr="00050FA4" w:rsidRDefault="008B65A8" w:rsidP="00A250C1">
            <w:pPr>
              <w:pStyle w:val="AAAAAAATEXXXX"/>
              <w:ind w:firstLine="0"/>
              <w:rPr>
                <w:sz w:val="18"/>
                <w:szCs w:val="18"/>
                <w:lang w:val="sq-AL"/>
              </w:rPr>
            </w:pPr>
            <w:r w:rsidRPr="00050FA4">
              <w:rPr>
                <w:sz w:val="18"/>
                <w:szCs w:val="18"/>
                <w:lang w:val="sq-AL"/>
              </w:rPr>
              <w:t>c</w:t>
            </w:r>
            <w:r w:rsidR="00CD12A9" w:rsidRPr="00050FA4">
              <w:rPr>
                <w:sz w:val="18"/>
                <w:szCs w:val="18"/>
                <w:lang w:val="sq-AL"/>
              </w:rPr>
              <w:t xml:space="preserve">) </w:t>
            </w:r>
            <w:r w:rsidRPr="00050FA4">
              <w:rPr>
                <w:sz w:val="18"/>
                <w:szCs w:val="18"/>
                <w:lang w:val="sq-AL"/>
              </w:rPr>
              <w:t xml:space="preserve">VKM </w:t>
            </w:r>
            <w:r w:rsidR="008A0E5B" w:rsidRPr="00050FA4">
              <w:rPr>
                <w:sz w:val="18"/>
                <w:szCs w:val="18"/>
                <w:lang w:val="sq-AL"/>
              </w:rPr>
              <w:t>“</w:t>
            </w:r>
            <w:r w:rsidRPr="00050FA4">
              <w:rPr>
                <w:sz w:val="18"/>
                <w:szCs w:val="18"/>
                <w:lang w:val="sq-AL"/>
              </w:rPr>
              <w:t>Për procedurat dhe kushtet e certifikimit të performancës energjetike në ndërtesa</w:t>
            </w:r>
            <w:r w:rsidR="008A0E5B" w:rsidRPr="00050FA4">
              <w:rPr>
                <w:sz w:val="18"/>
                <w:szCs w:val="18"/>
                <w:lang w:val="sq-AL"/>
              </w:rPr>
              <w:t>”</w:t>
            </w:r>
            <w:r w:rsidRPr="00050FA4">
              <w:rPr>
                <w:sz w:val="18"/>
                <w:szCs w:val="18"/>
                <w:lang w:val="sq-AL"/>
              </w:rPr>
              <w:t>.</w:t>
            </w:r>
          </w:p>
          <w:p w14:paraId="7FA7DFB9" w14:textId="02E87BE1" w:rsidR="008B65A8" w:rsidRPr="00050FA4" w:rsidRDefault="008B65A8" w:rsidP="00A250C1">
            <w:pPr>
              <w:pStyle w:val="AAAAAAATEXXXX"/>
              <w:ind w:firstLine="0"/>
              <w:rPr>
                <w:sz w:val="18"/>
                <w:szCs w:val="18"/>
                <w:lang w:val="sq-AL"/>
              </w:rPr>
            </w:pPr>
            <w:r w:rsidRPr="00050FA4">
              <w:rPr>
                <w:sz w:val="18"/>
                <w:szCs w:val="18"/>
                <w:lang w:val="sq-AL"/>
              </w:rPr>
              <w:t>d</w:t>
            </w:r>
            <w:r w:rsidR="00CD12A9" w:rsidRPr="00050FA4">
              <w:rPr>
                <w:sz w:val="18"/>
                <w:szCs w:val="18"/>
                <w:lang w:val="sq-AL"/>
              </w:rPr>
              <w:t>)</w:t>
            </w:r>
            <w:r w:rsidRPr="00050FA4">
              <w:rPr>
                <w:sz w:val="18"/>
                <w:szCs w:val="18"/>
                <w:lang w:val="sq-AL"/>
              </w:rPr>
              <w:t xml:space="preserve"> VKM </w:t>
            </w:r>
            <w:r w:rsidR="000109D2" w:rsidRPr="00050FA4">
              <w:rPr>
                <w:sz w:val="18"/>
                <w:szCs w:val="18"/>
                <w:lang w:val="sq-AL"/>
              </w:rPr>
              <w:t>nr</w:t>
            </w:r>
            <w:r w:rsidRPr="00050FA4">
              <w:rPr>
                <w:sz w:val="18"/>
                <w:szCs w:val="18"/>
                <w:lang w:val="sq-AL"/>
              </w:rPr>
              <w:t>.</w:t>
            </w:r>
            <w:r w:rsidR="000109D2" w:rsidRPr="00050FA4">
              <w:rPr>
                <w:sz w:val="18"/>
                <w:szCs w:val="18"/>
                <w:lang w:val="sq-AL"/>
              </w:rPr>
              <w:t xml:space="preserve"> </w:t>
            </w:r>
            <w:r w:rsidRPr="00050FA4">
              <w:rPr>
                <w:sz w:val="18"/>
                <w:szCs w:val="18"/>
                <w:lang w:val="sq-AL"/>
              </w:rPr>
              <w:t>934, datë 25.11.2020</w:t>
            </w:r>
            <w:r w:rsidR="000109D2" w:rsidRPr="00050FA4">
              <w:rPr>
                <w:sz w:val="18"/>
                <w:szCs w:val="18"/>
                <w:lang w:val="sq-AL"/>
              </w:rPr>
              <w:t>,</w:t>
            </w:r>
            <w:r w:rsidRPr="00050FA4">
              <w:rPr>
                <w:sz w:val="18"/>
                <w:szCs w:val="18"/>
                <w:lang w:val="sq-AL"/>
              </w:rPr>
              <w:t xml:space="preserve"> </w:t>
            </w:r>
            <w:r w:rsidR="008A0E5B" w:rsidRPr="00050FA4">
              <w:rPr>
                <w:sz w:val="18"/>
                <w:szCs w:val="18"/>
                <w:lang w:val="sq-AL"/>
              </w:rPr>
              <w:t>“</w:t>
            </w:r>
            <w:r w:rsidRPr="00050FA4">
              <w:rPr>
                <w:sz w:val="18"/>
                <w:szCs w:val="18"/>
                <w:lang w:val="sq-AL"/>
              </w:rPr>
              <w:t>Për kriteret dhe procedurat e përzgjedhjes dhe sasinë e certifikatave që do të verifikohen, si dhe procesin e mbikëqyrjes së certifikatave të performancës energjetike</w:t>
            </w:r>
            <w:r w:rsidR="008A0E5B" w:rsidRPr="00050FA4">
              <w:rPr>
                <w:sz w:val="18"/>
                <w:szCs w:val="18"/>
                <w:lang w:val="sq-AL"/>
              </w:rPr>
              <w:t>”</w:t>
            </w:r>
            <w:r w:rsidRPr="00050FA4">
              <w:rPr>
                <w:sz w:val="18"/>
                <w:szCs w:val="18"/>
                <w:lang w:val="sq-AL"/>
              </w:rPr>
              <w:t xml:space="preserve"> të ndërtesave</w:t>
            </w:r>
            <w:r w:rsidR="008A0E5B" w:rsidRPr="00050FA4">
              <w:rPr>
                <w:sz w:val="18"/>
                <w:szCs w:val="18"/>
                <w:lang w:val="sq-AL"/>
              </w:rPr>
              <w:t>”</w:t>
            </w:r>
            <w:r w:rsidRPr="00050FA4">
              <w:rPr>
                <w:sz w:val="18"/>
                <w:szCs w:val="18"/>
                <w:lang w:val="sq-AL"/>
              </w:rPr>
              <w:t>.</w:t>
            </w:r>
          </w:p>
          <w:p w14:paraId="663EC506" w14:textId="49E2A549" w:rsidR="008B65A8" w:rsidRPr="00050FA4" w:rsidRDefault="00FA4DC6" w:rsidP="00A250C1">
            <w:pPr>
              <w:pStyle w:val="AAAAAAATEXXXX"/>
              <w:ind w:firstLine="0"/>
              <w:rPr>
                <w:rFonts w:cstheme="majorBidi"/>
                <w:color w:val="0D0D0D" w:themeColor="text1" w:themeTint="F2"/>
                <w:sz w:val="18"/>
                <w:szCs w:val="18"/>
                <w:lang w:val="sq-AL"/>
              </w:rPr>
            </w:pPr>
            <w:r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 xml:space="preserve">VKM </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Për Metodologjinë Kombëtare të llogaritjes së performancës energjetike në ndërtesa, miratuar deri më 24 dhjetor 2020.</w:t>
            </w:r>
          </w:p>
        </w:tc>
        <w:tc>
          <w:tcPr>
            <w:tcW w:w="1985" w:type="dxa"/>
            <w:shd w:val="clear" w:color="auto" w:fill="auto"/>
          </w:tcPr>
          <w:p w14:paraId="11196B19" w14:textId="77777777" w:rsidR="008B65A8" w:rsidRPr="00050FA4" w:rsidRDefault="008B65A8" w:rsidP="00CD12A9">
            <w:pPr>
              <w:jc w:val="right"/>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w:t>
            </w:r>
          </w:p>
        </w:tc>
      </w:tr>
      <w:tr w:rsidR="00FA29AB" w:rsidRPr="00050FA4" w14:paraId="0AB49627" w14:textId="77777777" w:rsidTr="00CD12A9">
        <w:trPr>
          <w:trHeight w:val="414"/>
          <w:jc w:val="center"/>
        </w:trPr>
        <w:tc>
          <w:tcPr>
            <w:tcW w:w="1723" w:type="dxa"/>
            <w:vMerge/>
            <w:shd w:val="clear" w:color="auto" w:fill="auto"/>
            <w:vAlign w:val="center"/>
          </w:tcPr>
          <w:p w14:paraId="66F8CCC0" w14:textId="77777777" w:rsidR="008B65A8" w:rsidRPr="00050FA4" w:rsidRDefault="008B65A8" w:rsidP="00A250C1">
            <w:pPr>
              <w:rPr>
                <w:rFonts w:ascii="Garamond" w:hAnsi="Garamond" w:cstheme="majorBidi"/>
                <w:color w:val="0D0D0D" w:themeColor="text1" w:themeTint="F2"/>
                <w:sz w:val="18"/>
                <w:szCs w:val="18"/>
              </w:rPr>
            </w:pPr>
          </w:p>
        </w:tc>
        <w:tc>
          <w:tcPr>
            <w:tcW w:w="6777" w:type="dxa"/>
            <w:shd w:val="clear" w:color="auto" w:fill="auto"/>
          </w:tcPr>
          <w:p w14:paraId="71D3BF42" w14:textId="77EA70F2" w:rsidR="008B65A8" w:rsidRPr="00050FA4" w:rsidRDefault="00FA4DC6"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 xml:space="preserve"> Zbatimi i projektit </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Focentrali PV Akernia 100 MW</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 xml:space="preserve"> (faza e lejeve);</w:t>
            </w:r>
          </w:p>
        </w:tc>
        <w:tc>
          <w:tcPr>
            <w:tcW w:w="1985" w:type="dxa"/>
            <w:shd w:val="clear" w:color="auto" w:fill="auto"/>
          </w:tcPr>
          <w:p w14:paraId="635D3B30" w14:textId="77777777" w:rsidR="008B65A8" w:rsidRPr="00050FA4" w:rsidRDefault="008B65A8"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0</w:t>
            </w:r>
          </w:p>
        </w:tc>
      </w:tr>
      <w:tr w:rsidR="00FA29AB" w:rsidRPr="00050FA4" w14:paraId="30F7A8EE" w14:textId="77777777" w:rsidTr="00CD12A9">
        <w:trPr>
          <w:trHeight w:val="414"/>
          <w:jc w:val="center"/>
        </w:trPr>
        <w:tc>
          <w:tcPr>
            <w:tcW w:w="1723" w:type="dxa"/>
            <w:vMerge/>
            <w:shd w:val="clear" w:color="auto" w:fill="auto"/>
            <w:vAlign w:val="center"/>
          </w:tcPr>
          <w:p w14:paraId="4CF1175B" w14:textId="77777777" w:rsidR="008B65A8" w:rsidRPr="00050FA4" w:rsidRDefault="008B65A8" w:rsidP="00A250C1">
            <w:pPr>
              <w:rPr>
                <w:rFonts w:ascii="Garamond" w:hAnsi="Garamond" w:cstheme="majorBidi"/>
                <w:color w:val="0D0D0D" w:themeColor="text1" w:themeTint="F2"/>
                <w:sz w:val="18"/>
                <w:szCs w:val="18"/>
              </w:rPr>
            </w:pPr>
          </w:p>
        </w:tc>
        <w:tc>
          <w:tcPr>
            <w:tcW w:w="6777" w:type="dxa"/>
            <w:shd w:val="clear" w:color="auto" w:fill="auto"/>
          </w:tcPr>
          <w:p w14:paraId="5819D8F2" w14:textId="1A95594F" w:rsidR="008B65A8" w:rsidRPr="00050FA4" w:rsidRDefault="00FA4DC6" w:rsidP="005129E5">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 xml:space="preserve">Shpallja e procedurës së tenderit për përzgjedhjen e zhvilluesit të projektit për ndërtimin e një impianti fotovoltaik 70 </w:t>
            </w:r>
            <w:r w:rsidR="000109D2" w:rsidRPr="00050FA4">
              <w:rPr>
                <w:rFonts w:eastAsia="Times New Roman" w:cstheme="majorBidi"/>
                <w:color w:val="0D0D0D" w:themeColor="text1" w:themeTint="F2"/>
                <w:spacing w:val="-1"/>
                <w:sz w:val="18"/>
                <w:szCs w:val="18"/>
                <w:lang w:val="sq-AL"/>
              </w:rPr>
              <w:t>mw</w:t>
            </w:r>
            <w:r w:rsidR="008B65A8" w:rsidRPr="00050FA4">
              <w:rPr>
                <w:rFonts w:eastAsia="Times New Roman" w:cstheme="majorBidi"/>
                <w:color w:val="0D0D0D" w:themeColor="text1" w:themeTint="F2"/>
                <w:spacing w:val="-1"/>
                <w:sz w:val="18"/>
                <w:szCs w:val="18"/>
                <w:lang w:val="sq-AL"/>
              </w:rPr>
              <w:t>, si pjesë e masave mbështetëse, në zonën e Karavastasë (Lushnj</w:t>
            </w:r>
            <w:r w:rsidR="005129E5" w:rsidRPr="00050FA4">
              <w:rPr>
                <w:rFonts w:eastAsia="Times New Roman" w:cstheme="majorBidi"/>
                <w:color w:val="0D0D0D" w:themeColor="text1" w:themeTint="F2"/>
                <w:spacing w:val="-1"/>
                <w:sz w:val="18"/>
                <w:szCs w:val="18"/>
                <w:lang w:val="sq-AL"/>
              </w:rPr>
              <w:t>ë–</w:t>
            </w:r>
            <w:r w:rsidR="008B65A8" w:rsidRPr="00050FA4">
              <w:rPr>
                <w:rFonts w:eastAsia="Times New Roman" w:cstheme="majorBidi"/>
                <w:color w:val="0D0D0D" w:themeColor="text1" w:themeTint="F2"/>
                <w:spacing w:val="-1"/>
                <w:sz w:val="18"/>
                <w:szCs w:val="18"/>
                <w:lang w:val="sq-AL"/>
              </w:rPr>
              <w:t xml:space="preserve">Fier) dhe ndërtimin e një kapaciteti shtesë 70 </w:t>
            </w:r>
            <w:r w:rsidR="000109D2" w:rsidRPr="00050FA4">
              <w:rPr>
                <w:rFonts w:eastAsia="Times New Roman" w:cstheme="majorBidi"/>
                <w:color w:val="0D0D0D" w:themeColor="text1" w:themeTint="F2"/>
                <w:spacing w:val="-1"/>
                <w:sz w:val="18"/>
                <w:szCs w:val="18"/>
                <w:lang w:val="sq-AL"/>
              </w:rPr>
              <w:t>mw</w:t>
            </w:r>
            <w:r w:rsidR="008B65A8" w:rsidRPr="00050FA4">
              <w:rPr>
                <w:rFonts w:eastAsia="Times New Roman" w:cstheme="majorBidi"/>
                <w:color w:val="0D0D0D" w:themeColor="text1" w:themeTint="F2"/>
                <w:spacing w:val="-1"/>
                <w:sz w:val="18"/>
                <w:szCs w:val="18"/>
                <w:lang w:val="sq-AL"/>
              </w:rPr>
              <w:t>, i cili nuk do të jetë pjesë. masat mbështetëse dhe nënshkrimi i kontratës së APP-së</w:t>
            </w:r>
          </w:p>
        </w:tc>
        <w:tc>
          <w:tcPr>
            <w:tcW w:w="1985" w:type="dxa"/>
            <w:shd w:val="clear" w:color="auto" w:fill="auto"/>
          </w:tcPr>
          <w:p w14:paraId="72A4A26A" w14:textId="77777777" w:rsidR="008B65A8" w:rsidRPr="00050FA4" w:rsidRDefault="008B65A8"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w:t>
            </w:r>
          </w:p>
        </w:tc>
      </w:tr>
      <w:tr w:rsidR="00FA29AB" w:rsidRPr="00050FA4" w14:paraId="76B0D012" w14:textId="77777777" w:rsidTr="00CD12A9">
        <w:trPr>
          <w:trHeight w:val="414"/>
          <w:jc w:val="center"/>
        </w:trPr>
        <w:tc>
          <w:tcPr>
            <w:tcW w:w="1723" w:type="dxa"/>
            <w:vMerge/>
            <w:shd w:val="clear" w:color="auto" w:fill="auto"/>
            <w:vAlign w:val="center"/>
          </w:tcPr>
          <w:p w14:paraId="28188602" w14:textId="77777777" w:rsidR="008B65A8" w:rsidRPr="00050FA4" w:rsidRDefault="008B65A8" w:rsidP="00A250C1">
            <w:pPr>
              <w:rPr>
                <w:rFonts w:ascii="Garamond" w:hAnsi="Garamond" w:cstheme="majorBidi"/>
                <w:color w:val="0D0D0D" w:themeColor="text1" w:themeTint="F2"/>
                <w:sz w:val="18"/>
                <w:szCs w:val="18"/>
              </w:rPr>
            </w:pPr>
          </w:p>
        </w:tc>
        <w:tc>
          <w:tcPr>
            <w:tcW w:w="6777" w:type="dxa"/>
            <w:shd w:val="clear" w:color="auto" w:fill="auto"/>
          </w:tcPr>
          <w:p w14:paraId="4FD9C282" w14:textId="79A5D41F" w:rsidR="008B65A8" w:rsidRPr="00050FA4" w:rsidRDefault="00FA4DC6"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Monitorimi i zbatimit të projekteve të reja të energjisë së erës dhe diellit që janë pajisur me miratimin përfundimtar për ndërtimin e kapaciteteve të reja të prodhimit të energjisë elektrike (MIE/AKBN);</w:t>
            </w:r>
          </w:p>
        </w:tc>
        <w:tc>
          <w:tcPr>
            <w:tcW w:w="1985" w:type="dxa"/>
            <w:shd w:val="clear" w:color="auto" w:fill="auto"/>
          </w:tcPr>
          <w:p w14:paraId="7007CF83" w14:textId="77777777" w:rsidR="008B65A8" w:rsidRPr="00050FA4" w:rsidRDefault="008B65A8"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w:t>
            </w:r>
          </w:p>
        </w:tc>
      </w:tr>
      <w:tr w:rsidR="00FA29AB" w:rsidRPr="00050FA4" w14:paraId="7FE3FEF0" w14:textId="77777777" w:rsidTr="00CD12A9">
        <w:trPr>
          <w:trHeight w:val="414"/>
          <w:jc w:val="center"/>
        </w:trPr>
        <w:tc>
          <w:tcPr>
            <w:tcW w:w="1723" w:type="dxa"/>
            <w:vMerge/>
            <w:shd w:val="clear" w:color="auto" w:fill="auto"/>
            <w:vAlign w:val="center"/>
          </w:tcPr>
          <w:p w14:paraId="782B2990" w14:textId="77777777" w:rsidR="008B65A8" w:rsidRPr="00050FA4" w:rsidRDefault="008B65A8" w:rsidP="00A250C1">
            <w:pPr>
              <w:rPr>
                <w:rFonts w:ascii="Garamond" w:hAnsi="Garamond" w:cstheme="majorBidi"/>
                <w:color w:val="0D0D0D" w:themeColor="text1" w:themeTint="F2"/>
                <w:sz w:val="18"/>
                <w:szCs w:val="18"/>
              </w:rPr>
            </w:pPr>
          </w:p>
        </w:tc>
        <w:tc>
          <w:tcPr>
            <w:tcW w:w="6777" w:type="dxa"/>
            <w:shd w:val="clear" w:color="auto" w:fill="auto"/>
          </w:tcPr>
          <w:p w14:paraId="2AE6703A" w14:textId="33749A0D" w:rsidR="008B65A8" w:rsidRPr="00050FA4" w:rsidRDefault="00FA4DC6" w:rsidP="000109D2">
            <w:pPr>
              <w:pStyle w:val="AAAAAAATEXXXX"/>
              <w:ind w:firstLine="0"/>
              <w:rPr>
                <w:sz w:val="18"/>
                <w:szCs w:val="18"/>
                <w:lang w:val="sq-AL"/>
              </w:rPr>
            </w:pPr>
            <w:r w:rsidRPr="00050FA4">
              <w:rPr>
                <w:sz w:val="18"/>
                <w:szCs w:val="18"/>
                <w:lang w:val="sq-AL"/>
              </w:rPr>
              <w:t xml:space="preserve">- </w:t>
            </w:r>
            <w:r w:rsidR="00F41347" w:rsidRPr="00050FA4">
              <w:rPr>
                <w:sz w:val="18"/>
                <w:szCs w:val="18"/>
                <w:lang w:val="sq-AL"/>
              </w:rPr>
              <w:t xml:space="preserve">Projekt pilot </w:t>
            </w:r>
            <w:r w:rsidR="000109D2" w:rsidRPr="00050FA4">
              <w:rPr>
                <w:sz w:val="18"/>
                <w:szCs w:val="18"/>
                <w:lang w:val="sq-AL"/>
              </w:rPr>
              <w:t>për</w:t>
            </w:r>
            <w:r w:rsidR="00F41347" w:rsidRPr="00050FA4">
              <w:rPr>
                <w:sz w:val="18"/>
                <w:szCs w:val="18"/>
                <w:lang w:val="sq-AL"/>
              </w:rPr>
              <w:t xml:space="preserve"> promovimin e efi</w:t>
            </w:r>
            <w:r w:rsidR="000109D2" w:rsidRPr="00050FA4">
              <w:rPr>
                <w:sz w:val="18"/>
                <w:szCs w:val="18"/>
                <w:lang w:val="sq-AL"/>
              </w:rPr>
              <w:t>ci</w:t>
            </w:r>
            <w:r w:rsidR="00F41347" w:rsidRPr="00050FA4">
              <w:rPr>
                <w:sz w:val="18"/>
                <w:szCs w:val="18"/>
                <w:lang w:val="sq-AL"/>
              </w:rPr>
              <w:t>ences se energjisë</w:t>
            </w:r>
            <w:r w:rsidR="008B65A8" w:rsidRPr="00050FA4">
              <w:rPr>
                <w:sz w:val="18"/>
                <w:szCs w:val="18"/>
                <w:lang w:val="sq-AL"/>
              </w:rPr>
              <w:t>;</w:t>
            </w:r>
          </w:p>
        </w:tc>
        <w:tc>
          <w:tcPr>
            <w:tcW w:w="1985" w:type="dxa"/>
            <w:shd w:val="clear" w:color="auto" w:fill="auto"/>
          </w:tcPr>
          <w:p w14:paraId="656C1EBC" w14:textId="77777777" w:rsidR="008B65A8" w:rsidRPr="00050FA4" w:rsidRDefault="008B65A8"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w:t>
            </w:r>
          </w:p>
        </w:tc>
      </w:tr>
      <w:tr w:rsidR="00FA29AB" w:rsidRPr="00050FA4" w14:paraId="6B33528D" w14:textId="77777777" w:rsidTr="00CD12A9">
        <w:trPr>
          <w:trHeight w:val="1331"/>
          <w:jc w:val="center"/>
        </w:trPr>
        <w:tc>
          <w:tcPr>
            <w:tcW w:w="1723" w:type="dxa"/>
            <w:shd w:val="clear" w:color="auto" w:fill="auto"/>
            <w:vAlign w:val="center"/>
          </w:tcPr>
          <w:p w14:paraId="68B84BEC" w14:textId="77777777" w:rsidR="008B65A8" w:rsidRPr="00050FA4" w:rsidRDefault="008B65A8" w:rsidP="00A250C1">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Përshkrimi i zbatimit dhe shpjegimi nëse është i pjesshëm ose aspak</w:t>
            </w:r>
          </w:p>
        </w:tc>
        <w:tc>
          <w:tcPr>
            <w:tcW w:w="6777" w:type="dxa"/>
            <w:shd w:val="clear" w:color="auto" w:fill="auto"/>
          </w:tcPr>
          <w:p w14:paraId="66CAB30C" w14:textId="4AF02B66" w:rsidR="008B65A8" w:rsidRPr="00050FA4" w:rsidRDefault="008B65A8"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1</w:t>
            </w:r>
            <w:r w:rsidR="00CD12A9" w:rsidRPr="00050FA4">
              <w:rPr>
                <w:rFonts w:eastAsia="Times New Roman" w:cstheme="majorBidi"/>
                <w:color w:val="0D0D0D" w:themeColor="text1" w:themeTint="F2"/>
                <w:spacing w:val="-1"/>
                <w:sz w:val="18"/>
                <w:szCs w:val="18"/>
                <w:lang w:val="sq-AL"/>
              </w:rPr>
              <w:t>.</w:t>
            </w:r>
            <w:r w:rsidRPr="00050FA4">
              <w:rPr>
                <w:rFonts w:eastAsia="Times New Roman" w:cstheme="majorBidi"/>
                <w:color w:val="0D0D0D" w:themeColor="text1" w:themeTint="F2"/>
                <w:spacing w:val="-1"/>
                <w:sz w:val="18"/>
                <w:szCs w:val="18"/>
                <w:lang w:val="sq-AL"/>
              </w:rPr>
              <w:t xml:space="preserve"> Legjislacioni dytësor bazuar në ligjin nr. 7/2017 për promovimin e përdorimit të energjisë nga burimet e rinovueshme nuk është përgatitur ende. Nuk ka zhvi</w:t>
            </w:r>
            <w:r w:rsidR="00630CC2" w:rsidRPr="00050FA4">
              <w:rPr>
                <w:rFonts w:eastAsia="Times New Roman" w:cstheme="majorBidi"/>
                <w:color w:val="0D0D0D" w:themeColor="text1" w:themeTint="F2"/>
                <w:spacing w:val="-1"/>
                <w:sz w:val="18"/>
                <w:szCs w:val="18"/>
                <w:lang w:val="sq-AL"/>
              </w:rPr>
              <w:t>llime të reja për këto çështje</w:t>
            </w:r>
          </w:p>
          <w:p w14:paraId="07213A98" w14:textId="5ADE75B8" w:rsidR="008B65A8" w:rsidRPr="00050FA4" w:rsidRDefault="008B65A8"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2</w:t>
            </w:r>
            <w:r w:rsidR="00CD12A9" w:rsidRPr="00050FA4">
              <w:rPr>
                <w:rFonts w:eastAsia="Times New Roman" w:cstheme="majorBidi"/>
                <w:color w:val="0D0D0D" w:themeColor="text1" w:themeTint="F2"/>
                <w:spacing w:val="-1"/>
                <w:sz w:val="18"/>
                <w:szCs w:val="18"/>
                <w:lang w:val="sq-AL"/>
              </w:rPr>
              <w:t>.</w:t>
            </w:r>
            <w:r w:rsidRPr="00050FA4">
              <w:rPr>
                <w:rFonts w:eastAsia="Times New Roman" w:cstheme="majorBidi"/>
                <w:color w:val="0D0D0D" w:themeColor="text1" w:themeTint="F2"/>
                <w:spacing w:val="-1"/>
                <w:sz w:val="18"/>
                <w:szCs w:val="18"/>
                <w:lang w:val="sq-AL"/>
              </w:rPr>
              <w:t xml:space="preserve"> Legjislacioni nënligjor i bazuar në ligjin për performancën energjetike në nd</w:t>
            </w:r>
            <w:r w:rsidR="00630CC2" w:rsidRPr="00050FA4">
              <w:rPr>
                <w:rFonts w:eastAsia="Times New Roman" w:cstheme="majorBidi"/>
                <w:color w:val="0D0D0D" w:themeColor="text1" w:themeTint="F2"/>
                <w:spacing w:val="-1"/>
                <w:sz w:val="18"/>
                <w:szCs w:val="18"/>
                <w:lang w:val="sq-AL"/>
              </w:rPr>
              <w:t>ërtesa realizohet si më poshtë:</w:t>
            </w:r>
          </w:p>
          <w:p w14:paraId="20D19204" w14:textId="58A7A18C" w:rsidR="008B65A8" w:rsidRPr="00050FA4" w:rsidRDefault="008B65A8"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 Vendimi i Këshillit të Ministrave nr.</w:t>
            </w:r>
            <w:r w:rsidR="000109D2" w:rsidRPr="00050FA4">
              <w:rPr>
                <w:rFonts w:eastAsia="Times New Roman" w:cstheme="majorBidi"/>
                <w:color w:val="0D0D0D" w:themeColor="text1" w:themeTint="F2"/>
                <w:spacing w:val="-1"/>
                <w:sz w:val="18"/>
                <w:szCs w:val="18"/>
                <w:lang w:val="sq-AL"/>
              </w:rPr>
              <w:t xml:space="preserve"> </w:t>
            </w:r>
            <w:r w:rsidRPr="00050FA4">
              <w:rPr>
                <w:rFonts w:eastAsia="Times New Roman" w:cstheme="majorBidi"/>
                <w:color w:val="0D0D0D" w:themeColor="text1" w:themeTint="F2"/>
                <w:spacing w:val="-1"/>
                <w:sz w:val="18"/>
                <w:szCs w:val="18"/>
                <w:lang w:val="sq-AL"/>
              </w:rPr>
              <w:t xml:space="preserve">256, datë 27.3.2020 </w:t>
            </w:r>
            <w:r w:rsidR="008A0E5B" w:rsidRPr="00050FA4">
              <w:rPr>
                <w:rFonts w:eastAsia="Times New Roman" w:cstheme="majorBidi"/>
                <w:color w:val="0D0D0D" w:themeColor="text1" w:themeTint="F2"/>
                <w:spacing w:val="-1"/>
                <w:sz w:val="18"/>
                <w:szCs w:val="18"/>
                <w:lang w:val="sq-AL"/>
              </w:rPr>
              <w:t>“</w:t>
            </w:r>
            <w:r w:rsidRPr="00050FA4">
              <w:rPr>
                <w:rFonts w:eastAsia="Times New Roman" w:cstheme="majorBidi"/>
                <w:color w:val="0D0D0D" w:themeColor="text1" w:themeTint="F2"/>
                <w:spacing w:val="-1"/>
                <w:sz w:val="18"/>
                <w:szCs w:val="18"/>
                <w:lang w:val="sq-AL"/>
              </w:rPr>
              <w:t>Për miratimin e metodologjisë për llogaritjen e niveleve kosto-optimale të performancës minimale energjetike për ndërtesat dhe element</w:t>
            </w:r>
            <w:r w:rsidR="00097DAF" w:rsidRPr="00050FA4">
              <w:rPr>
                <w:rFonts w:eastAsia="Times New Roman" w:cstheme="majorBidi"/>
                <w:color w:val="0D0D0D" w:themeColor="text1" w:themeTint="F2"/>
                <w:spacing w:val="-1"/>
                <w:sz w:val="18"/>
                <w:szCs w:val="18"/>
                <w:lang w:val="sq-AL"/>
              </w:rPr>
              <w:t>e</w:t>
            </w:r>
            <w:r w:rsidRPr="00050FA4">
              <w:rPr>
                <w:rFonts w:eastAsia="Times New Roman" w:cstheme="majorBidi"/>
                <w:color w:val="0D0D0D" w:themeColor="text1" w:themeTint="F2"/>
                <w:spacing w:val="-1"/>
                <w:sz w:val="18"/>
                <w:szCs w:val="18"/>
                <w:lang w:val="sq-AL"/>
              </w:rPr>
              <w:t>t e ndërtesës</w:t>
            </w:r>
            <w:r w:rsidR="008A0E5B" w:rsidRPr="00050FA4">
              <w:rPr>
                <w:rFonts w:eastAsia="Times New Roman" w:cstheme="majorBidi"/>
                <w:color w:val="0D0D0D" w:themeColor="text1" w:themeTint="F2"/>
                <w:spacing w:val="-1"/>
                <w:sz w:val="18"/>
                <w:szCs w:val="18"/>
                <w:lang w:val="sq-AL"/>
              </w:rPr>
              <w:t>”</w:t>
            </w:r>
            <w:r w:rsidRPr="00050FA4">
              <w:rPr>
                <w:rFonts w:eastAsia="Times New Roman" w:cstheme="majorBidi"/>
                <w:color w:val="0D0D0D" w:themeColor="text1" w:themeTint="F2"/>
                <w:spacing w:val="-1"/>
                <w:sz w:val="18"/>
                <w:szCs w:val="18"/>
                <w:lang w:val="sq-AL"/>
              </w:rPr>
              <w:t xml:space="preserve">, përafruar pjesërisht me Rregulloren e Deleguar të Komisionit (BE) </w:t>
            </w:r>
            <w:r w:rsidR="000109D2" w:rsidRPr="00050FA4">
              <w:rPr>
                <w:rFonts w:eastAsia="Times New Roman" w:cstheme="majorBidi"/>
                <w:color w:val="0D0D0D" w:themeColor="text1" w:themeTint="F2"/>
                <w:spacing w:val="-1"/>
                <w:sz w:val="18"/>
                <w:szCs w:val="18"/>
                <w:lang w:val="sq-AL"/>
              </w:rPr>
              <w:t>nr.</w:t>
            </w:r>
            <w:r w:rsidRPr="00050FA4">
              <w:rPr>
                <w:rFonts w:eastAsia="Times New Roman" w:cstheme="majorBidi"/>
                <w:color w:val="0D0D0D" w:themeColor="text1" w:themeTint="F2"/>
                <w:spacing w:val="-1"/>
                <w:sz w:val="18"/>
                <w:szCs w:val="18"/>
                <w:lang w:val="sq-AL"/>
              </w:rPr>
              <w:t xml:space="preserve"> 244/2012</w:t>
            </w:r>
            <w:r w:rsidR="00097DAF" w:rsidRPr="00050FA4">
              <w:rPr>
                <w:rFonts w:eastAsia="Times New Roman" w:cstheme="majorBidi"/>
                <w:color w:val="0D0D0D" w:themeColor="text1" w:themeTint="F2"/>
                <w:spacing w:val="-1"/>
                <w:sz w:val="18"/>
                <w:szCs w:val="18"/>
                <w:lang w:val="sq-AL"/>
              </w:rPr>
              <w:t>,</w:t>
            </w:r>
            <w:r w:rsidRPr="00050FA4">
              <w:rPr>
                <w:rFonts w:eastAsia="Times New Roman" w:cstheme="majorBidi"/>
                <w:color w:val="0D0D0D" w:themeColor="text1" w:themeTint="F2"/>
                <w:spacing w:val="-1"/>
                <w:sz w:val="18"/>
                <w:szCs w:val="18"/>
                <w:lang w:val="sq-AL"/>
              </w:rPr>
              <w:t xml:space="preserve"> e datës 16 janar 2012</w:t>
            </w:r>
            <w:r w:rsidR="000109D2" w:rsidRPr="00050FA4">
              <w:rPr>
                <w:rFonts w:eastAsia="Times New Roman" w:cstheme="majorBidi"/>
                <w:color w:val="0D0D0D" w:themeColor="text1" w:themeTint="F2"/>
                <w:spacing w:val="-1"/>
                <w:sz w:val="18"/>
                <w:szCs w:val="18"/>
                <w:lang w:val="sq-AL"/>
              </w:rPr>
              <w:t>,</w:t>
            </w:r>
            <w:r w:rsidRPr="00050FA4">
              <w:rPr>
                <w:rFonts w:eastAsia="Times New Roman" w:cstheme="majorBidi"/>
                <w:color w:val="0D0D0D" w:themeColor="text1" w:themeTint="F2"/>
                <w:spacing w:val="-1"/>
                <w:sz w:val="18"/>
                <w:szCs w:val="18"/>
                <w:lang w:val="sq-AL"/>
              </w:rPr>
              <w:t xml:space="preserve"> duke plotësuar </w:t>
            </w:r>
            <w:r w:rsidR="000109D2" w:rsidRPr="00050FA4">
              <w:rPr>
                <w:rFonts w:eastAsia="Times New Roman" w:cstheme="majorBidi"/>
                <w:color w:val="0D0D0D" w:themeColor="text1" w:themeTint="F2"/>
                <w:spacing w:val="-1"/>
                <w:sz w:val="18"/>
                <w:szCs w:val="18"/>
                <w:lang w:val="sq-AL"/>
              </w:rPr>
              <w:t xml:space="preserve">direktivën </w:t>
            </w:r>
            <w:r w:rsidRPr="00050FA4">
              <w:rPr>
                <w:rFonts w:eastAsia="Times New Roman" w:cstheme="majorBidi"/>
                <w:color w:val="0D0D0D" w:themeColor="text1" w:themeTint="F2"/>
                <w:spacing w:val="-1"/>
                <w:sz w:val="18"/>
                <w:szCs w:val="18"/>
                <w:lang w:val="sq-AL"/>
              </w:rPr>
              <w:t>2010/31/BE;</w:t>
            </w:r>
          </w:p>
          <w:p w14:paraId="22DB7128" w14:textId="1546CE85" w:rsidR="008B65A8" w:rsidRPr="00050FA4" w:rsidRDefault="00FA4DC6"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 xml:space="preserve">VKM </w:t>
            </w:r>
            <w:r w:rsidR="00CD12A9" w:rsidRPr="00050FA4">
              <w:rPr>
                <w:rFonts w:eastAsia="Times New Roman" w:cstheme="majorBidi"/>
                <w:color w:val="0D0D0D" w:themeColor="text1" w:themeTint="F2"/>
                <w:spacing w:val="-1"/>
                <w:sz w:val="18"/>
                <w:szCs w:val="18"/>
                <w:lang w:val="sq-AL"/>
              </w:rPr>
              <w:t>n</w:t>
            </w:r>
            <w:r w:rsidR="000109D2" w:rsidRPr="00050FA4">
              <w:rPr>
                <w:rFonts w:eastAsia="Times New Roman" w:cstheme="majorBidi"/>
                <w:color w:val="0D0D0D" w:themeColor="text1" w:themeTint="F2"/>
                <w:spacing w:val="-1"/>
                <w:sz w:val="18"/>
                <w:szCs w:val="18"/>
                <w:lang w:val="sq-AL"/>
              </w:rPr>
              <w:t>r. 537, datë 8.</w:t>
            </w:r>
            <w:r w:rsidR="008B65A8" w:rsidRPr="00050FA4">
              <w:rPr>
                <w:rFonts w:eastAsia="Times New Roman" w:cstheme="majorBidi"/>
                <w:color w:val="0D0D0D" w:themeColor="text1" w:themeTint="F2"/>
                <w:spacing w:val="-1"/>
                <w:sz w:val="18"/>
                <w:szCs w:val="18"/>
                <w:lang w:val="sq-AL"/>
              </w:rPr>
              <w:t xml:space="preserve">7.2020 </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Për kriteret minimale të performancës energjetike në ndërtesa</w:t>
            </w:r>
            <w:r w:rsidR="008A0E5B" w:rsidRPr="00050FA4">
              <w:rPr>
                <w:rFonts w:eastAsia="Times New Roman" w:cstheme="majorBidi"/>
                <w:color w:val="0D0D0D" w:themeColor="text1" w:themeTint="F2"/>
                <w:spacing w:val="-1"/>
                <w:sz w:val="18"/>
                <w:szCs w:val="18"/>
                <w:lang w:val="sq-AL"/>
              </w:rPr>
              <w:t>”</w:t>
            </w:r>
          </w:p>
          <w:p w14:paraId="5790CCDE" w14:textId="0294B4EC" w:rsidR="008B65A8" w:rsidRPr="00050FA4" w:rsidRDefault="00FA4DC6" w:rsidP="00A250C1">
            <w:pPr>
              <w:pStyle w:val="AAAAAAATEXXXX"/>
              <w:ind w:firstLine="0"/>
              <w:rPr>
                <w:rFonts w:eastAsia="Times New Roman" w:cstheme="majorBidi"/>
                <w:color w:val="0D0D0D" w:themeColor="text1" w:themeTint="F2"/>
                <w:spacing w:val="-1"/>
                <w:sz w:val="18"/>
                <w:szCs w:val="18"/>
                <w:lang w:val="sq-AL"/>
              </w:rPr>
            </w:pPr>
            <w:r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 xml:space="preserve">VKM </w:t>
            </w:r>
            <w:r w:rsidR="00CD12A9" w:rsidRPr="00050FA4">
              <w:rPr>
                <w:rFonts w:eastAsia="Times New Roman" w:cstheme="majorBidi"/>
                <w:color w:val="0D0D0D" w:themeColor="text1" w:themeTint="F2"/>
                <w:spacing w:val="-1"/>
                <w:sz w:val="18"/>
                <w:szCs w:val="18"/>
                <w:lang w:val="sq-AL"/>
              </w:rPr>
              <w:t>n</w:t>
            </w:r>
            <w:r w:rsidR="008B65A8" w:rsidRPr="00050FA4">
              <w:rPr>
                <w:rFonts w:eastAsia="Times New Roman" w:cstheme="majorBidi"/>
                <w:color w:val="0D0D0D" w:themeColor="text1" w:themeTint="F2"/>
                <w:spacing w:val="-1"/>
                <w:sz w:val="18"/>
                <w:szCs w:val="18"/>
                <w:lang w:val="sq-AL"/>
              </w:rPr>
              <w:t>r.</w:t>
            </w:r>
            <w:r w:rsidR="00CD12A9"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934, datë 25.11.2020</w:t>
            </w:r>
            <w:r w:rsidR="000109D2"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 xml:space="preserve"> </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Për kriteret dhe procedurat e përzgjedhjes dhe sasinë e certifikatave që do të verifikohen, si dhe procesin e mbikëqyrjes së certifikatave të performancës energjetike</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 xml:space="preserve"> të ndërtesave</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w:t>
            </w:r>
          </w:p>
          <w:p w14:paraId="30DF8538" w14:textId="3A7C5221" w:rsidR="008B65A8" w:rsidRPr="00050FA4" w:rsidRDefault="00FA4DC6" w:rsidP="00A250C1">
            <w:pPr>
              <w:pStyle w:val="AAAAAAATEXXXX"/>
              <w:ind w:firstLine="0"/>
              <w:rPr>
                <w:rFonts w:cstheme="majorBidi"/>
                <w:color w:val="0D0D0D" w:themeColor="text1" w:themeTint="F2"/>
                <w:sz w:val="18"/>
                <w:szCs w:val="18"/>
                <w:lang w:val="sq-AL"/>
              </w:rPr>
            </w:pPr>
            <w:r w:rsidRPr="00050FA4">
              <w:rPr>
                <w:rFonts w:eastAsia="Times New Roman" w:cstheme="majorBidi"/>
                <w:color w:val="0D0D0D" w:themeColor="text1" w:themeTint="F2"/>
                <w:spacing w:val="-1"/>
                <w:sz w:val="18"/>
                <w:szCs w:val="18"/>
                <w:lang w:val="sq-AL"/>
              </w:rPr>
              <w:t xml:space="preserve">- </w:t>
            </w:r>
            <w:r w:rsidR="008B65A8" w:rsidRPr="00050FA4">
              <w:rPr>
                <w:rFonts w:eastAsia="Times New Roman" w:cstheme="majorBidi"/>
                <w:color w:val="0D0D0D" w:themeColor="text1" w:themeTint="F2"/>
                <w:spacing w:val="-1"/>
                <w:sz w:val="18"/>
                <w:szCs w:val="18"/>
                <w:lang w:val="sq-AL"/>
              </w:rPr>
              <w:t xml:space="preserve">VKM </w:t>
            </w:r>
            <w:r w:rsidR="00CD12A9" w:rsidRPr="00050FA4">
              <w:rPr>
                <w:rFonts w:eastAsia="Times New Roman" w:cstheme="majorBidi"/>
                <w:color w:val="0D0D0D" w:themeColor="text1" w:themeTint="F2"/>
                <w:spacing w:val="-1"/>
                <w:sz w:val="18"/>
                <w:szCs w:val="18"/>
                <w:lang w:val="sq-AL"/>
              </w:rPr>
              <w:t>n</w:t>
            </w:r>
            <w:r w:rsidR="000109D2" w:rsidRPr="00050FA4">
              <w:rPr>
                <w:rFonts w:eastAsia="Times New Roman" w:cstheme="majorBidi"/>
                <w:color w:val="0D0D0D" w:themeColor="text1" w:themeTint="F2"/>
                <w:spacing w:val="-1"/>
                <w:sz w:val="18"/>
                <w:szCs w:val="18"/>
                <w:lang w:val="sq-AL"/>
              </w:rPr>
              <w:t xml:space="preserve">r. 958, datë </w:t>
            </w:r>
            <w:r w:rsidR="008B65A8" w:rsidRPr="00050FA4">
              <w:rPr>
                <w:rFonts w:eastAsia="Times New Roman" w:cstheme="majorBidi"/>
                <w:color w:val="0D0D0D" w:themeColor="text1" w:themeTint="F2"/>
                <w:spacing w:val="-1"/>
                <w:sz w:val="18"/>
                <w:szCs w:val="18"/>
                <w:lang w:val="sq-AL"/>
              </w:rPr>
              <w:t xml:space="preserve">2.12.2020 </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 xml:space="preserve">Për procedurat dhe kushtet e certifikimit të performancës energjetike të ndërtesave dhe modelin, përmbajtjen, kushtet e regjistrimit të </w:t>
            </w:r>
            <w:r w:rsidR="008A0E5B" w:rsidRPr="00050FA4">
              <w:rPr>
                <w:rFonts w:eastAsia="Times New Roman" w:cstheme="majorBidi"/>
                <w:color w:val="0D0D0D" w:themeColor="text1" w:themeTint="F2"/>
                <w:spacing w:val="-1"/>
                <w:sz w:val="18"/>
                <w:szCs w:val="18"/>
                <w:lang w:val="sq-AL"/>
              </w:rPr>
              <w:t>“</w:t>
            </w:r>
            <w:r w:rsidR="000109D2" w:rsidRPr="00050FA4">
              <w:rPr>
                <w:rFonts w:eastAsia="Times New Roman" w:cstheme="majorBidi"/>
                <w:color w:val="0D0D0D" w:themeColor="text1" w:themeTint="F2"/>
                <w:spacing w:val="-1"/>
                <w:sz w:val="18"/>
                <w:szCs w:val="18"/>
                <w:lang w:val="sq-AL"/>
              </w:rPr>
              <w:t>Certifikatës</w:t>
            </w:r>
            <w:r w:rsidR="008B65A8" w:rsidRPr="00050FA4">
              <w:rPr>
                <w:rFonts w:eastAsia="Times New Roman" w:cstheme="majorBidi"/>
                <w:color w:val="0D0D0D" w:themeColor="text1" w:themeTint="F2"/>
                <w:spacing w:val="-1"/>
                <w:sz w:val="18"/>
                <w:szCs w:val="18"/>
                <w:lang w:val="sq-AL"/>
              </w:rPr>
              <w:t xml:space="preserve"> së performancës energjetike</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 xml:space="preserve"> të ndërtesave përkatëse</w:t>
            </w:r>
            <w:r w:rsidR="008A0E5B" w:rsidRPr="00050FA4">
              <w:rPr>
                <w:rFonts w:eastAsia="Times New Roman" w:cstheme="majorBidi"/>
                <w:color w:val="0D0D0D" w:themeColor="text1" w:themeTint="F2"/>
                <w:spacing w:val="-1"/>
                <w:sz w:val="18"/>
                <w:szCs w:val="18"/>
                <w:lang w:val="sq-AL"/>
              </w:rPr>
              <w:t>”</w:t>
            </w:r>
            <w:r w:rsidR="008B65A8" w:rsidRPr="00050FA4">
              <w:rPr>
                <w:rFonts w:eastAsia="Times New Roman" w:cstheme="majorBidi"/>
                <w:color w:val="0D0D0D" w:themeColor="text1" w:themeTint="F2"/>
                <w:spacing w:val="-1"/>
                <w:sz w:val="18"/>
                <w:szCs w:val="18"/>
                <w:lang w:val="sq-AL"/>
              </w:rPr>
              <w:t>.</w:t>
            </w:r>
          </w:p>
          <w:p w14:paraId="35D5B099" w14:textId="3CE54164" w:rsidR="008B65A8" w:rsidRPr="00050FA4" w:rsidRDefault="00FA4DC6" w:rsidP="00A250C1">
            <w:pPr>
              <w:pStyle w:val="AAAAAAATEXXXX"/>
              <w:ind w:firstLine="0"/>
              <w:rPr>
                <w:rFonts w:cstheme="majorBidi"/>
                <w:color w:val="0D0D0D" w:themeColor="text1" w:themeTint="F2"/>
                <w:sz w:val="18"/>
                <w:szCs w:val="18"/>
                <w:lang w:val="sq-AL"/>
              </w:rPr>
            </w:pPr>
            <w:r w:rsidRPr="00050FA4">
              <w:rPr>
                <w:rFonts w:cstheme="majorBidi"/>
                <w:color w:val="0D0D0D" w:themeColor="text1" w:themeTint="F2"/>
                <w:sz w:val="18"/>
                <w:szCs w:val="18"/>
                <w:lang w:val="sq-AL"/>
              </w:rPr>
              <w:t xml:space="preserve">- </w:t>
            </w:r>
            <w:r w:rsidR="008B65A8" w:rsidRPr="00050FA4">
              <w:rPr>
                <w:rFonts w:cstheme="majorBidi"/>
                <w:color w:val="0D0D0D" w:themeColor="text1" w:themeTint="F2"/>
                <w:sz w:val="18"/>
                <w:szCs w:val="18"/>
                <w:lang w:val="sq-AL"/>
              </w:rPr>
              <w:t xml:space="preserve">VKM </w:t>
            </w:r>
            <w:r w:rsidR="008A0E5B" w:rsidRPr="00050FA4">
              <w:rPr>
                <w:rFonts w:cstheme="majorBidi"/>
                <w:color w:val="0D0D0D" w:themeColor="text1" w:themeTint="F2"/>
                <w:sz w:val="18"/>
                <w:szCs w:val="18"/>
                <w:lang w:val="sq-AL"/>
              </w:rPr>
              <w:t>“</w:t>
            </w:r>
            <w:r w:rsidR="008B65A8" w:rsidRPr="00050FA4">
              <w:rPr>
                <w:rFonts w:cstheme="majorBidi"/>
                <w:color w:val="0D0D0D" w:themeColor="text1" w:themeTint="F2"/>
                <w:sz w:val="18"/>
                <w:szCs w:val="18"/>
                <w:lang w:val="sq-AL"/>
              </w:rPr>
              <w:t>Për Metodologjinë Kombëtare të llogaritjes së performancës energjetike në ndërtesa, miratuar deri më 24 dhjetor 2020.</w:t>
            </w:r>
          </w:p>
          <w:p w14:paraId="1A302C05" w14:textId="0D2CD654" w:rsidR="008B65A8" w:rsidRPr="00050FA4" w:rsidRDefault="00FA4DC6" w:rsidP="00A250C1">
            <w:pPr>
              <w:pStyle w:val="AAAAAAATEXXXX"/>
              <w:ind w:firstLine="0"/>
              <w:rPr>
                <w:rFonts w:cstheme="majorBidi"/>
                <w:color w:val="0D0D0D" w:themeColor="text1" w:themeTint="F2"/>
                <w:sz w:val="18"/>
                <w:szCs w:val="18"/>
                <w:lang w:val="sq-AL"/>
              </w:rPr>
            </w:pPr>
            <w:r w:rsidRPr="00050FA4">
              <w:rPr>
                <w:rFonts w:cstheme="majorBidi"/>
                <w:color w:val="0D0D0D" w:themeColor="text1" w:themeTint="F2"/>
                <w:sz w:val="18"/>
                <w:szCs w:val="18"/>
                <w:lang w:val="sq-AL"/>
              </w:rPr>
              <w:t xml:space="preserve">- </w:t>
            </w:r>
            <w:r w:rsidR="008B65A8" w:rsidRPr="00050FA4">
              <w:rPr>
                <w:rFonts w:cstheme="majorBidi"/>
                <w:color w:val="0D0D0D" w:themeColor="text1" w:themeTint="F2"/>
                <w:sz w:val="18"/>
                <w:szCs w:val="18"/>
                <w:lang w:val="sq-AL"/>
              </w:rPr>
              <w:t xml:space="preserve">Aktiviteti: Është hequr zbatimi i projektit </w:t>
            </w:r>
            <w:r w:rsidR="008A0E5B" w:rsidRPr="00050FA4">
              <w:rPr>
                <w:rFonts w:cstheme="majorBidi"/>
                <w:color w:val="0D0D0D" w:themeColor="text1" w:themeTint="F2"/>
                <w:sz w:val="18"/>
                <w:szCs w:val="18"/>
                <w:lang w:val="sq-AL"/>
              </w:rPr>
              <w:t>“</w:t>
            </w:r>
            <w:r w:rsidR="008B65A8" w:rsidRPr="00050FA4">
              <w:rPr>
                <w:rFonts w:cstheme="majorBidi"/>
                <w:color w:val="0D0D0D" w:themeColor="text1" w:themeTint="F2"/>
                <w:sz w:val="18"/>
                <w:szCs w:val="18"/>
                <w:lang w:val="sq-AL"/>
              </w:rPr>
              <w:t>Focentrali PV Akernia 100 MW</w:t>
            </w:r>
            <w:r w:rsidR="008A0E5B" w:rsidRPr="00050FA4">
              <w:rPr>
                <w:rFonts w:cstheme="majorBidi"/>
                <w:color w:val="0D0D0D" w:themeColor="text1" w:themeTint="F2"/>
                <w:sz w:val="18"/>
                <w:szCs w:val="18"/>
                <w:lang w:val="sq-AL"/>
              </w:rPr>
              <w:t>”</w:t>
            </w:r>
            <w:r w:rsidR="008B65A8" w:rsidRPr="00050FA4">
              <w:rPr>
                <w:rFonts w:cstheme="majorBidi"/>
                <w:color w:val="0D0D0D" w:themeColor="text1" w:themeTint="F2"/>
                <w:sz w:val="18"/>
                <w:szCs w:val="18"/>
                <w:lang w:val="sq-AL"/>
              </w:rPr>
              <w:t xml:space="preserve"> (faza e lejeve). Ka dështuar procedura e tenderit për projektin e ndërtimit të një impianti fotovoltaik me fuqi të instaluar 100 </w:t>
            </w:r>
            <w:r w:rsidR="000109D2" w:rsidRPr="00050FA4">
              <w:rPr>
                <w:rFonts w:cstheme="majorBidi"/>
                <w:color w:val="0D0D0D" w:themeColor="text1" w:themeTint="F2"/>
                <w:sz w:val="18"/>
                <w:szCs w:val="18"/>
                <w:lang w:val="sq-AL"/>
              </w:rPr>
              <w:t>mw</w:t>
            </w:r>
            <w:r w:rsidR="008B65A8" w:rsidRPr="00050FA4">
              <w:rPr>
                <w:rFonts w:cstheme="majorBidi"/>
                <w:color w:val="0D0D0D" w:themeColor="text1" w:themeTint="F2"/>
                <w:sz w:val="18"/>
                <w:szCs w:val="18"/>
                <w:lang w:val="sq-AL"/>
              </w:rPr>
              <w:t>, në zonën e Akërnit (afër Vlorës). Së fundmi MIE ka refuzuar kërkesën e kompanisë për zgjatje, duke marrë parasysh mosrespektimin e pikave të ndryshme të kontratës nga kompania fituese për zhvillimin e projektit;</w:t>
            </w:r>
          </w:p>
          <w:p w14:paraId="6210A547" w14:textId="54F40548" w:rsidR="008B65A8" w:rsidRPr="00050FA4" w:rsidRDefault="00FA4DC6" w:rsidP="00A250C1">
            <w:pPr>
              <w:pStyle w:val="AAAAAAATEXXXX"/>
              <w:ind w:firstLine="0"/>
              <w:rPr>
                <w:rFonts w:cstheme="majorBidi"/>
                <w:color w:val="0D0D0D" w:themeColor="text1" w:themeTint="F2"/>
                <w:sz w:val="18"/>
                <w:szCs w:val="18"/>
                <w:lang w:val="sq-AL"/>
              </w:rPr>
            </w:pPr>
            <w:r w:rsidRPr="00050FA4">
              <w:rPr>
                <w:rFonts w:cstheme="majorBidi"/>
                <w:color w:val="0D0D0D" w:themeColor="text1" w:themeTint="F2"/>
                <w:sz w:val="18"/>
                <w:szCs w:val="18"/>
                <w:lang w:val="sq-AL"/>
              </w:rPr>
              <w:t xml:space="preserve">- </w:t>
            </w:r>
            <w:r w:rsidR="008B65A8" w:rsidRPr="00050FA4">
              <w:rPr>
                <w:rFonts w:cstheme="majorBidi"/>
                <w:color w:val="0D0D0D" w:themeColor="text1" w:themeTint="F2"/>
                <w:sz w:val="18"/>
                <w:szCs w:val="18"/>
                <w:lang w:val="sq-AL"/>
              </w:rPr>
              <w:t xml:space="preserve">Nënshkruhet kontrata ndërmjet MIE dhe Voltalia, zhvilluesi i përzgjedhur i projektit për ndërtimin e një impianti fotovoltaik në Remas – Karavasta (afër zonës së Lushnjës) me fuqi të instaluar 140 </w:t>
            </w:r>
            <w:r w:rsidR="000109D2" w:rsidRPr="00050FA4">
              <w:rPr>
                <w:rFonts w:cstheme="majorBidi"/>
                <w:color w:val="0D0D0D" w:themeColor="text1" w:themeTint="F2"/>
                <w:sz w:val="18"/>
                <w:szCs w:val="18"/>
                <w:lang w:val="sq-AL"/>
              </w:rPr>
              <w:t>mw</w:t>
            </w:r>
            <w:r w:rsidR="008B65A8" w:rsidRPr="00050FA4">
              <w:rPr>
                <w:rFonts w:cstheme="majorBidi"/>
                <w:color w:val="0D0D0D" w:themeColor="text1" w:themeTint="F2"/>
                <w:sz w:val="18"/>
                <w:szCs w:val="18"/>
                <w:lang w:val="sq-AL"/>
              </w:rPr>
              <w:t xml:space="preserve">, ku 70 </w:t>
            </w:r>
            <w:r w:rsidR="000109D2" w:rsidRPr="00050FA4">
              <w:rPr>
                <w:rFonts w:cstheme="majorBidi"/>
                <w:color w:val="0D0D0D" w:themeColor="text1" w:themeTint="F2"/>
                <w:sz w:val="18"/>
                <w:szCs w:val="18"/>
                <w:lang w:val="sq-AL"/>
              </w:rPr>
              <w:t>mw</w:t>
            </w:r>
            <w:r w:rsidR="008B65A8" w:rsidRPr="00050FA4">
              <w:rPr>
                <w:rFonts w:cstheme="majorBidi"/>
                <w:color w:val="0D0D0D" w:themeColor="text1" w:themeTint="F2"/>
                <w:sz w:val="18"/>
                <w:szCs w:val="18"/>
                <w:lang w:val="sq-AL"/>
              </w:rPr>
              <w:t xml:space="preserve">, si pjesë e mbështetje dhe 70 </w:t>
            </w:r>
            <w:r w:rsidR="000109D2" w:rsidRPr="00050FA4">
              <w:rPr>
                <w:rFonts w:cstheme="majorBidi"/>
                <w:color w:val="0D0D0D" w:themeColor="text1" w:themeTint="F2"/>
                <w:sz w:val="18"/>
                <w:szCs w:val="18"/>
                <w:lang w:val="sq-AL"/>
              </w:rPr>
              <w:t xml:space="preserve">mw </w:t>
            </w:r>
            <w:r w:rsidR="008B65A8" w:rsidRPr="00050FA4">
              <w:rPr>
                <w:rFonts w:cstheme="majorBidi"/>
                <w:color w:val="0D0D0D" w:themeColor="text1" w:themeTint="F2"/>
                <w:sz w:val="18"/>
                <w:szCs w:val="18"/>
                <w:lang w:val="sq-AL"/>
              </w:rPr>
              <w:t>të cilat nuk do të jenë pjesë e Masave Mbështetëse. Projekti është në përputhje me kontratën për marrjen e lejeve.</w:t>
            </w:r>
          </w:p>
          <w:p w14:paraId="579BDACB" w14:textId="4ED7FF0D" w:rsidR="008B65A8" w:rsidRPr="00050FA4" w:rsidRDefault="00FA4DC6" w:rsidP="00A250C1">
            <w:pPr>
              <w:pStyle w:val="AAAAAAATEXXXX"/>
              <w:ind w:firstLine="0"/>
              <w:rPr>
                <w:rFonts w:cstheme="majorBidi"/>
                <w:color w:val="0D0D0D" w:themeColor="text1" w:themeTint="F2"/>
                <w:sz w:val="18"/>
                <w:szCs w:val="18"/>
                <w:lang w:val="sq-AL"/>
              </w:rPr>
            </w:pPr>
            <w:r w:rsidRPr="00050FA4">
              <w:rPr>
                <w:rFonts w:cstheme="majorBidi"/>
                <w:color w:val="0D0D0D" w:themeColor="text1" w:themeTint="F2"/>
                <w:sz w:val="18"/>
                <w:szCs w:val="18"/>
                <w:lang w:val="sq-AL"/>
              </w:rPr>
              <w:t xml:space="preserve">- </w:t>
            </w:r>
            <w:r w:rsidR="008B65A8" w:rsidRPr="00050FA4">
              <w:rPr>
                <w:rFonts w:cstheme="majorBidi"/>
                <w:color w:val="0D0D0D" w:themeColor="text1" w:themeTint="F2"/>
                <w:sz w:val="18"/>
                <w:szCs w:val="18"/>
                <w:lang w:val="sq-AL"/>
              </w:rPr>
              <w:t xml:space="preserve">Monitorimi i zbatimit të projekteve të reja të energjisë së erës dhe diellit që janë pajisur me miratimin përfundimtar për ndërtimin e kapaciteteve të reja të prodhimit të energjisë elektrike është ngadalësuar për shkak të masave të kufizuara të situatës </w:t>
            </w:r>
            <w:r w:rsidR="000109D2" w:rsidRPr="00050FA4">
              <w:rPr>
                <w:rFonts w:cstheme="majorBidi"/>
                <w:color w:val="0D0D0D" w:themeColor="text1" w:themeTint="F2"/>
                <w:sz w:val="18"/>
                <w:szCs w:val="18"/>
                <w:lang w:val="sq-AL"/>
              </w:rPr>
              <w:t>COVID</w:t>
            </w:r>
            <w:r w:rsidR="008B65A8" w:rsidRPr="00050FA4">
              <w:rPr>
                <w:rFonts w:cstheme="majorBidi"/>
                <w:color w:val="0D0D0D" w:themeColor="text1" w:themeTint="F2"/>
                <w:sz w:val="18"/>
                <w:szCs w:val="18"/>
                <w:lang w:val="sq-AL"/>
              </w:rPr>
              <w:t>-9.</w:t>
            </w:r>
          </w:p>
          <w:p w14:paraId="11257856" w14:textId="5338ADE5" w:rsidR="008B65A8" w:rsidRPr="00050FA4" w:rsidRDefault="00FA4DC6" w:rsidP="000109D2">
            <w:pPr>
              <w:pStyle w:val="AAAAAAATEXXXX"/>
              <w:ind w:firstLine="0"/>
              <w:rPr>
                <w:rFonts w:cstheme="majorBidi"/>
                <w:color w:val="0D0D0D" w:themeColor="text1" w:themeTint="F2"/>
                <w:spacing w:val="-1"/>
                <w:sz w:val="18"/>
                <w:szCs w:val="18"/>
                <w:lang w:val="sq-AL"/>
              </w:rPr>
            </w:pPr>
            <w:r w:rsidRPr="00050FA4">
              <w:rPr>
                <w:rFonts w:cstheme="majorBidi"/>
                <w:color w:val="0D0D0D" w:themeColor="text1" w:themeTint="F2"/>
                <w:sz w:val="18"/>
                <w:szCs w:val="18"/>
                <w:lang w:val="sq-AL"/>
              </w:rPr>
              <w:t xml:space="preserve">- </w:t>
            </w:r>
            <w:r w:rsidR="008B65A8" w:rsidRPr="00050FA4">
              <w:rPr>
                <w:rFonts w:cstheme="majorBidi"/>
                <w:color w:val="0D0D0D" w:themeColor="text1" w:themeTint="F2"/>
                <w:sz w:val="18"/>
                <w:szCs w:val="18"/>
                <w:lang w:val="sq-AL"/>
              </w:rPr>
              <w:t>Projekti pilot për promovimin e efi</w:t>
            </w:r>
            <w:r w:rsidR="000109D2" w:rsidRPr="00050FA4">
              <w:rPr>
                <w:rFonts w:cstheme="majorBidi"/>
                <w:color w:val="0D0D0D" w:themeColor="text1" w:themeTint="F2"/>
                <w:sz w:val="18"/>
                <w:szCs w:val="18"/>
                <w:lang w:val="sq-AL"/>
              </w:rPr>
              <w:t>ci</w:t>
            </w:r>
            <w:r w:rsidR="008B65A8" w:rsidRPr="00050FA4">
              <w:rPr>
                <w:rFonts w:cstheme="majorBidi"/>
                <w:color w:val="0D0D0D" w:themeColor="text1" w:themeTint="F2"/>
                <w:sz w:val="18"/>
                <w:szCs w:val="18"/>
                <w:lang w:val="sq-AL"/>
              </w:rPr>
              <w:t>encës së energjisë është realizuar plotësisht. Rikonstruksioni i njërës prej godinave të Ministrisë së Infrastrukturës dhe Energjisë me masa për efi</w:t>
            </w:r>
            <w:r w:rsidR="000109D2" w:rsidRPr="00050FA4">
              <w:rPr>
                <w:rFonts w:cstheme="majorBidi"/>
                <w:color w:val="0D0D0D" w:themeColor="text1" w:themeTint="F2"/>
                <w:sz w:val="18"/>
                <w:szCs w:val="18"/>
                <w:lang w:val="sq-AL"/>
              </w:rPr>
              <w:t>ci</w:t>
            </w:r>
            <w:r w:rsidR="008B65A8" w:rsidRPr="00050FA4">
              <w:rPr>
                <w:rFonts w:cstheme="majorBidi"/>
                <w:color w:val="0D0D0D" w:themeColor="text1" w:themeTint="F2"/>
                <w:sz w:val="18"/>
                <w:szCs w:val="18"/>
                <w:lang w:val="sq-AL"/>
              </w:rPr>
              <w:t>encën e energjisë ka përfunduar dhe është kryer sistemi alternativ si një nga masat e Planit Kombëtar të Veprimit për Efi</w:t>
            </w:r>
            <w:r w:rsidR="000109D2" w:rsidRPr="00050FA4">
              <w:rPr>
                <w:rFonts w:cstheme="majorBidi"/>
                <w:color w:val="0D0D0D" w:themeColor="text1" w:themeTint="F2"/>
                <w:sz w:val="18"/>
                <w:szCs w:val="18"/>
                <w:lang w:val="sq-AL"/>
              </w:rPr>
              <w:t>ci</w:t>
            </w:r>
            <w:r w:rsidR="008B65A8" w:rsidRPr="00050FA4">
              <w:rPr>
                <w:rFonts w:cstheme="majorBidi"/>
                <w:color w:val="0D0D0D" w:themeColor="text1" w:themeTint="F2"/>
                <w:sz w:val="18"/>
                <w:szCs w:val="18"/>
                <w:lang w:val="sq-AL"/>
              </w:rPr>
              <w:t>iencën e Energjisë për rinovimin e ndërtesave publike.</w:t>
            </w:r>
          </w:p>
        </w:tc>
        <w:tc>
          <w:tcPr>
            <w:tcW w:w="1985" w:type="dxa"/>
            <w:shd w:val="clear" w:color="auto" w:fill="auto"/>
          </w:tcPr>
          <w:p w14:paraId="658645DE" w14:textId="77777777" w:rsidR="008B65A8" w:rsidRPr="00050FA4" w:rsidRDefault="008B65A8" w:rsidP="00A250C1">
            <w:pPr>
              <w:rPr>
                <w:rFonts w:ascii="Garamond" w:hAnsi="Garamond" w:cstheme="majorBidi"/>
                <w:color w:val="0D0D0D" w:themeColor="text1" w:themeTint="F2"/>
                <w:sz w:val="18"/>
                <w:szCs w:val="18"/>
              </w:rPr>
            </w:pPr>
          </w:p>
        </w:tc>
      </w:tr>
    </w:tbl>
    <w:p w14:paraId="766861CC" w14:textId="77777777" w:rsidR="008B65A8" w:rsidRPr="00050FA4" w:rsidRDefault="008B65A8" w:rsidP="003F1DA7">
      <w:pPr>
        <w:snapToGrid w:val="0"/>
        <w:ind w:firstLine="284"/>
        <w:rPr>
          <w:rFonts w:ascii="Garamond" w:hAnsi="Garamond" w:cstheme="majorBidi"/>
          <w:color w:val="0D0D0D" w:themeColor="text1" w:themeTint="F2"/>
          <w:sz w:val="20"/>
          <w:szCs w:val="20"/>
        </w:rPr>
      </w:pPr>
    </w:p>
    <w:tbl>
      <w:tblPr>
        <w:tblStyle w:val="TableGrid"/>
        <w:tblW w:w="10485" w:type="dxa"/>
        <w:jc w:val="center"/>
        <w:tblLook w:val="04A0" w:firstRow="1" w:lastRow="0" w:firstColumn="1" w:lastColumn="0" w:noHBand="0" w:noVBand="1"/>
      </w:tblPr>
      <w:tblGrid>
        <w:gridCol w:w="1723"/>
        <w:gridCol w:w="6777"/>
        <w:gridCol w:w="1985"/>
      </w:tblGrid>
      <w:tr w:rsidR="00FA29AB" w:rsidRPr="00050FA4" w14:paraId="31E876D6" w14:textId="77777777" w:rsidTr="00CD12A9">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2BA3375C" w14:textId="6622BF31" w:rsidR="008B65A8" w:rsidRPr="00050FA4" w:rsidRDefault="008B65A8" w:rsidP="00A250C1">
            <w:pPr>
              <w:pStyle w:val="AAAAAAATEXXXX"/>
              <w:ind w:firstLine="0"/>
              <w:rPr>
                <w:b/>
                <w:sz w:val="18"/>
                <w:szCs w:val="18"/>
                <w:lang w:val="sq-AL"/>
              </w:rPr>
            </w:pPr>
            <w:r w:rsidRPr="00050FA4">
              <w:rPr>
                <w:b/>
                <w:sz w:val="18"/>
                <w:szCs w:val="18"/>
                <w:lang w:val="sq-AL"/>
              </w:rPr>
              <w:t xml:space="preserve">Masa e reformës: Zhvillimi i infrastrukturës </w:t>
            </w:r>
            <w:r w:rsidRPr="00050FA4">
              <w:rPr>
                <w:b/>
                <w:i/>
                <w:sz w:val="18"/>
                <w:szCs w:val="18"/>
                <w:lang w:val="sq-AL"/>
              </w:rPr>
              <w:t>broadband</w:t>
            </w:r>
            <w:r w:rsidRPr="00050FA4">
              <w:rPr>
                <w:b/>
                <w:sz w:val="18"/>
                <w:szCs w:val="18"/>
                <w:lang w:val="sq-AL"/>
              </w:rPr>
              <w:t xml:space="preserve"> për ekonominë digjitale</w:t>
            </w:r>
          </w:p>
        </w:tc>
        <w:tc>
          <w:tcPr>
            <w:tcW w:w="1985"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14:paraId="2F8F9233" w14:textId="1D30989A" w:rsidR="008B65A8" w:rsidRPr="00050FA4" w:rsidRDefault="008B65A8" w:rsidP="00A250C1">
            <w:pPr>
              <w:pStyle w:val="AAAAAAATEXXXX"/>
              <w:ind w:firstLine="0"/>
              <w:rPr>
                <w:b/>
                <w:sz w:val="18"/>
                <w:szCs w:val="18"/>
                <w:lang w:val="sq-AL"/>
              </w:rPr>
            </w:pPr>
            <w:r w:rsidRPr="00050FA4">
              <w:rPr>
                <w:b/>
                <w:sz w:val="18"/>
                <w:szCs w:val="18"/>
                <w:lang w:val="sq-AL"/>
              </w:rPr>
              <w:t>Statusi i zbatimit të reformës (0</w:t>
            </w:r>
            <w:r w:rsidR="00CD12A9" w:rsidRPr="00050FA4">
              <w:rPr>
                <w:b/>
                <w:sz w:val="18"/>
                <w:szCs w:val="18"/>
                <w:lang w:val="sq-AL"/>
              </w:rPr>
              <w:t>–</w:t>
            </w:r>
            <w:r w:rsidRPr="00050FA4">
              <w:rPr>
                <w:b/>
                <w:sz w:val="18"/>
                <w:szCs w:val="18"/>
                <w:lang w:val="sq-AL"/>
              </w:rPr>
              <w:t>5)</w:t>
            </w:r>
          </w:p>
        </w:tc>
      </w:tr>
      <w:tr w:rsidR="00FA29AB" w:rsidRPr="00050FA4" w14:paraId="69C4993E" w14:textId="77777777" w:rsidTr="00CD12A9">
        <w:trPr>
          <w:trHeight w:val="414"/>
          <w:jc w:val="center"/>
        </w:trPr>
        <w:tc>
          <w:tcPr>
            <w:tcW w:w="1723" w:type="dxa"/>
            <w:vMerge w:val="restart"/>
            <w:tcBorders>
              <w:top w:val="single" w:sz="4" w:space="0" w:color="auto"/>
              <w:left w:val="single" w:sz="4" w:space="0" w:color="auto"/>
              <w:bottom w:val="single" w:sz="4" w:space="0" w:color="auto"/>
              <w:right w:val="single" w:sz="4" w:space="0" w:color="auto"/>
            </w:tcBorders>
            <w:vAlign w:val="center"/>
            <w:hideMark/>
          </w:tcPr>
          <w:p w14:paraId="3E23AE15" w14:textId="77777777" w:rsidR="00A86175" w:rsidRPr="00050FA4" w:rsidRDefault="00A86175" w:rsidP="00A250C1">
            <w:pPr>
              <w:widowControl/>
              <w:snapToGrid w:val="0"/>
              <w:rPr>
                <w:rFonts w:ascii="Garamond" w:hAnsi="Garamond"/>
                <w:color w:val="0D0D0D" w:themeColor="text1" w:themeTint="F2"/>
                <w:sz w:val="18"/>
                <w:szCs w:val="18"/>
              </w:rPr>
            </w:pPr>
            <w:r w:rsidRPr="00050FA4">
              <w:rPr>
                <w:rFonts w:ascii="Garamond" w:hAnsi="Garamond"/>
                <w:color w:val="0D0D0D" w:themeColor="text1" w:themeTint="F2"/>
                <w:sz w:val="18"/>
                <w:szCs w:val="18"/>
              </w:rPr>
              <w:t>Aktivitetet e planifikuara për 2021</w:t>
            </w:r>
          </w:p>
        </w:tc>
        <w:tc>
          <w:tcPr>
            <w:tcW w:w="6777" w:type="dxa"/>
            <w:tcBorders>
              <w:top w:val="single" w:sz="4" w:space="0" w:color="auto"/>
              <w:left w:val="single" w:sz="4" w:space="0" w:color="auto"/>
              <w:bottom w:val="single" w:sz="4" w:space="0" w:color="auto"/>
              <w:right w:val="single" w:sz="4" w:space="0" w:color="auto"/>
            </w:tcBorders>
            <w:shd w:val="clear" w:color="auto" w:fill="auto"/>
          </w:tcPr>
          <w:p w14:paraId="79DA3A43" w14:textId="7FCE77B7" w:rsidR="00A86175" w:rsidRPr="00050FA4" w:rsidRDefault="00A86175" w:rsidP="00A250C1">
            <w:pPr>
              <w:pStyle w:val="AAAAAAATEXXXX"/>
              <w:ind w:firstLine="0"/>
              <w:rPr>
                <w:sz w:val="18"/>
                <w:szCs w:val="18"/>
                <w:lang w:val="sq-AL"/>
              </w:rPr>
            </w:pPr>
            <w:r w:rsidRPr="00050FA4">
              <w:rPr>
                <w:sz w:val="18"/>
                <w:szCs w:val="18"/>
                <w:lang w:val="sq-AL"/>
              </w:rPr>
              <w:t>Miratim i ligjit të ri për komunikimet elektronike, në përputhje me Kodin e Ri Evropian për Komunikimet Elektronike miratuar nga BE në 2018;</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3FA05FD" w14:textId="77777777" w:rsidR="00A86175" w:rsidRPr="00050FA4" w:rsidRDefault="00A86175" w:rsidP="00CD12A9">
            <w:pPr>
              <w:widowControl/>
              <w:snapToGrid w:val="0"/>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1</w:t>
            </w:r>
          </w:p>
        </w:tc>
      </w:tr>
      <w:tr w:rsidR="00FA29AB" w:rsidRPr="00050FA4" w14:paraId="175D7997" w14:textId="77777777" w:rsidTr="00CD12A9">
        <w:trPr>
          <w:trHeight w:val="4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7D3AA" w14:textId="77777777" w:rsidR="00A86175" w:rsidRPr="00050FA4" w:rsidRDefault="00A86175" w:rsidP="00A250C1">
            <w:pPr>
              <w:widowControl/>
              <w:snapToGrid w:val="0"/>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shd w:val="clear" w:color="auto" w:fill="auto"/>
          </w:tcPr>
          <w:p w14:paraId="16BFE911" w14:textId="77777777" w:rsidR="00A86175" w:rsidRPr="00050FA4" w:rsidRDefault="00A86175" w:rsidP="00A250C1">
            <w:pPr>
              <w:pStyle w:val="AAAAAAATEXXXX"/>
              <w:ind w:firstLine="0"/>
              <w:rPr>
                <w:sz w:val="18"/>
                <w:szCs w:val="18"/>
                <w:lang w:val="sq-AL"/>
              </w:rPr>
            </w:pPr>
            <w:r w:rsidRPr="00050FA4">
              <w:rPr>
                <w:sz w:val="18"/>
                <w:szCs w:val="18"/>
                <w:lang w:val="sq-AL"/>
              </w:rPr>
              <w:t xml:space="preserve">Projekti pilot për zhvillimin e infrastrukturës </w:t>
            </w:r>
            <w:r w:rsidRPr="00050FA4">
              <w:rPr>
                <w:i/>
                <w:sz w:val="18"/>
                <w:szCs w:val="18"/>
                <w:lang w:val="sq-AL"/>
              </w:rPr>
              <w:t>broadband</w:t>
            </w:r>
            <w:r w:rsidRPr="00050FA4">
              <w:rPr>
                <w:sz w:val="18"/>
                <w:szCs w:val="18"/>
                <w:lang w:val="sq-AL"/>
              </w:rPr>
              <w:t xml:space="preserve"> në Zonën 1 (rurale dhe të largëta/zonat turistike në Veri të Shqipërisë (Shkodër, Kukës, Tropojë, Dibër)</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B5CEF84" w14:textId="77777777" w:rsidR="00A86175" w:rsidRPr="00050FA4" w:rsidRDefault="00A86175" w:rsidP="00CD12A9">
            <w:pPr>
              <w:widowControl/>
              <w:snapToGrid w:val="0"/>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1</w:t>
            </w:r>
          </w:p>
        </w:tc>
      </w:tr>
      <w:tr w:rsidR="00FA29AB" w:rsidRPr="00050FA4" w14:paraId="7CB70CE9" w14:textId="77777777" w:rsidTr="00CD12A9">
        <w:trPr>
          <w:trHeight w:val="4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E5923" w14:textId="77777777" w:rsidR="00A86175" w:rsidRPr="00050FA4" w:rsidRDefault="00A86175" w:rsidP="00A250C1">
            <w:pPr>
              <w:widowControl/>
              <w:snapToGrid w:val="0"/>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shd w:val="clear" w:color="auto" w:fill="auto"/>
          </w:tcPr>
          <w:p w14:paraId="597E9843" w14:textId="77777777" w:rsidR="00A86175" w:rsidRPr="00050FA4" w:rsidRDefault="00A86175" w:rsidP="00A250C1">
            <w:pPr>
              <w:pStyle w:val="AAAAAAATEXXXX"/>
              <w:ind w:firstLine="0"/>
              <w:rPr>
                <w:sz w:val="18"/>
                <w:szCs w:val="18"/>
                <w:lang w:val="sq-AL"/>
              </w:rPr>
            </w:pPr>
            <w:r w:rsidRPr="00050FA4">
              <w:rPr>
                <w:sz w:val="18"/>
                <w:szCs w:val="18"/>
                <w:lang w:val="sq-AL"/>
              </w:rPr>
              <w:t xml:space="preserve">Zhvillimi i infrastrukturës </w:t>
            </w:r>
            <w:r w:rsidRPr="00050FA4">
              <w:rPr>
                <w:i/>
                <w:sz w:val="18"/>
                <w:szCs w:val="18"/>
                <w:lang w:val="sq-AL"/>
              </w:rPr>
              <w:t>broadband</w:t>
            </w:r>
            <w:r w:rsidRPr="00050FA4">
              <w:rPr>
                <w:sz w:val="18"/>
                <w:szCs w:val="18"/>
                <w:lang w:val="sq-AL"/>
              </w:rPr>
              <w:t xml:space="preserve"> në jug të vendit (zhvillimi </w:t>
            </w:r>
            <w:r w:rsidRPr="00050FA4">
              <w:rPr>
                <w:i/>
                <w:sz w:val="18"/>
                <w:szCs w:val="18"/>
                <w:lang w:val="sq-AL"/>
              </w:rPr>
              <w:t>broadband</w:t>
            </w:r>
            <w:r w:rsidRPr="00050FA4">
              <w:rPr>
                <w:sz w:val="18"/>
                <w:szCs w:val="18"/>
                <w:lang w:val="sq-AL"/>
              </w:rPr>
              <w:t xml:space="preserve"> në zonat e bardha në Vlorë, Gjirokastër, Fier, Berat, Korçë)</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8A4289D" w14:textId="77777777" w:rsidR="00A86175" w:rsidRPr="00050FA4" w:rsidRDefault="00A86175" w:rsidP="00CD12A9">
            <w:pPr>
              <w:widowControl/>
              <w:snapToGrid w:val="0"/>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1</w:t>
            </w:r>
          </w:p>
        </w:tc>
      </w:tr>
      <w:tr w:rsidR="00FA29AB" w:rsidRPr="00050FA4" w14:paraId="77D59FF3" w14:textId="77777777" w:rsidTr="00CD12A9">
        <w:trPr>
          <w:trHeight w:val="415"/>
          <w:jc w:val="center"/>
        </w:trPr>
        <w:tc>
          <w:tcPr>
            <w:tcW w:w="1723" w:type="dxa"/>
            <w:vMerge w:val="restart"/>
            <w:tcBorders>
              <w:top w:val="single" w:sz="4" w:space="0" w:color="auto"/>
              <w:left w:val="single" w:sz="4" w:space="0" w:color="auto"/>
              <w:bottom w:val="single" w:sz="4" w:space="0" w:color="auto"/>
              <w:right w:val="single" w:sz="4" w:space="0" w:color="auto"/>
            </w:tcBorders>
            <w:hideMark/>
          </w:tcPr>
          <w:p w14:paraId="15774CD8" w14:textId="56854DF5" w:rsidR="00A86175" w:rsidRPr="00050FA4" w:rsidRDefault="00A86175" w:rsidP="00A250C1">
            <w:pPr>
              <w:widowControl/>
              <w:snapToGrid w:val="0"/>
              <w:rPr>
                <w:rFonts w:ascii="Garamond" w:hAnsi="Garamond"/>
                <w:color w:val="0D0D0D" w:themeColor="text1" w:themeTint="F2"/>
                <w:sz w:val="18"/>
                <w:szCs w:val="18"/>
              </w:rPr>
            </w:pPr>
            <w:r w:rsidRPr="00050FA4">
              <w:rPr>
                <w:rFonts w:ascii="Garamond" w:hAnsi="Garamond" w:cstheme="majorBidi"/>
                <w:color w:val="0D0D0D" w:themeColor="text1" w:themeTint="F2"/>
                <w:sz w:val="18"/>
                <w:szCs w:val="18"/>
              </w:rPr>
              <w:t xml:space="preserve">Përshkrim i zbatimit dhe sqarim nëse </w:t>
            </w:r>
            <w:r w:rsidRPr="00050FA4">
              <w:rPr>
                <w:rFonts w:ascii="Garamond" w:hAnsi="Garamond" w:cstheme="majorBidi"/>
                <w:color w:val="0D0D0D" w:themeColor="text1" w:themeTint="F2"/>
                <w:sz w:val="18"/>
                <w:szCs w:val="18"/>
              </w:rPr>
              <w:lastRenderedPageBreak/>
              <w:t>zbatim i pjesshëm apo pa zbatim</w:t>
            </w:r>
          </w:p>
        </w:tc>
        <w:tc>
          <w:tcPr>
            <w:tcW w:w="6777" w:type="dxa"/>
            <w:tcBorders>
              <w:top w:val="single" w:sz="4" w:space="0" w:color="auto"/>
              <w:left w:val="single" w:sz="4" w:space="0" w:color="auto"/>
              <w:bottom w:val="single" w:sz="4" w:space="0" w:color="auto"/>
              <w:right w:val="single" w:sz="4" w:space="0" w:color="auto"/>
            </w:tcBorders>
            <w:shd w:val="clear" w:color="auto" w:fill="auto"/>
          </w:tcPr>
          <w:p w14:paraId="1CCBBA3C" w14:textId="77777777" w:rsidR="00A86175" w:rsidRPr="00050FA4" w:rsidRDefault="00A86175" w:rsidP="00A250C1">
            <w:pPr>
              <w:pStyle w:val="AAAAAAATEXXXX"/>
              <w:ind w:firstLine="0"/>
              <w:rPr>
                <w:sz w:val="18"/>
                <w:szCs w:val="18"/>
                <w:lang w:val="sq-AL"/>
              </w:rPr>
            </w:pPr>
            <w:r w:rsidRPr="00050FA4">
              <w:rPr>
                <w:sz w:val="18"/>
                <w:szCs w:val="18"/>
                <w:lang w:val="sq-AL"/>
              </w:rPr>
              <w:lastRenderedPageBreak/>
              <w:t>Ka filluar përgatitja për miratimin e ligjit të ri për komunikimet elektronike, në përputhje me Kodin e ri Evropian të Komunikimit Elektronik të miratuar nga BE në vitin 2018;</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EB45960" w14:textId="77777777" w:rsidR="00A86175" w:rsidRPr="00050FA4" w:rsidRDefault="00A86175" w:rsidP="00CD12A9">
            <w:pPr>
              <w:widowControl/>
              <w:snapToGrid w:val="0"/>
              <w:jc w:val="center"/>
              <w:rPr>
                <w:rFonts w:ascii="Garamond" w:hAnsi="Garamond"/>
                <w:color w:val="0D0D0D" w:themeColor="text1" w:themeTint="F2"/>
                <w:sz w:val="18"/>
                <w:szCs w:val="18"/>
              </w:rPr>
            </w:pPr>
          </w:p>
        </w:tc>
      </w:tr>
      <w:tr w:rsidR="00FA29AB" w:rsidRPr="00050FA4" w14:paraId="0910BE37" w14:textId="77777777" w:rsidTr="00CD12A9">
        <w:trPr>
          <w:trHeight w:val="83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9661294" w14:textId="77777777" w:rsidR="00A86175" w:rsidRPr="00050FA4" w:rsidRDefault="00A86175" w:rsidP="00A250C1">
            <w:pPr>
              <w:snapToGrid w:val="0"/>
              <w:rPr>
                <w:rFonts w:ascii="Garamond" w:hAnsi="Garamond"/>
                <w:color w:val="0D0D0D" w:themeColor="text1" w:themeTint="F2"/>
                <w:sz w:val="18"/>
                <w:szCs w:val="18"/>
              </w:rPr>
            </w:pPr>
          </w:p>
        </w:tc>
        <w:tc>
          <w:tcPr>
            <w:tcW w:w="6777" w:type="dxa"/>
            <w:tcBorders>
              <w:top w:val="single" w:sz="4" w:space="0" w:color="auto"/>
              <w:left w:val="single" w:sz="4" w:space="0" w:color="auto"/>
              <w:right w:val="single" w:sz="4" w:space="0" w:color="auto"/>
            </w:tcBorders>
            <w:shd w:val="clear" w:color="auto" w:fill="auto"/>
          </w:tcPr>
          <w:p w14:paraId="3BE3A7C9" w14:textId="2679267B" w:rsidR="00A86175" w:rsidRPr="00050FA4" w:rsidRDefault="00A86175" w:rsidP="00A250C1">
            <w:pPr>
              <w:pStyle w:val="AAAAAAATEXXXX"/>
              <w:ind w:firstLine="0"/>
              <w:rPr>
                <w:sz w:val="18"/>
                <w:szCs w:val="18"/>
                <w:lang w:val="sq-AL"/>
              </w:rPr>
            </w:pPr>
            <w:r w:rsidRPr="00050FA4">
              <w:rPr>
                <w:sz w:val="18"/>
                <w:szCs w:val="18"/>
                <w:lang w:val="sq-AL"/>
              </w:rPr>
              <w:t xml:space="preserve">Projekti pilot për zhvillimin e infrastrukturës </w:t>
            </w:r>
            <w:r w:rsidRPr="00050FA4">
              <w:rPr>
                <w:i/>
                <w:sz w:val="18"/>
                <w:szCs w:val="18"/>
                <w:lang w:val="sq-AL"/>
              </w:rPr>
              <w:t>broadband</w:t>
            </w:r>
            <w:r w:rsidRPr="00050FA4">
              <w:rPr>
                <w:sz w:val="18"/>
                <w:szCs w:val="18"/>
                <w:lang w:val="sq-AL"/>
              </w:rPr>
              <w:t xml:space="preserve"> në </w:t>
            </w:r>
            <w:r w:rsidR="000109D2" w:rsidRPr="00050FA4">
              <w:rPr>
                <w:sz w:val="18"/>
                <w:szCs w:val="18"/>
                <w:lang w:val="sq-AL"/>
              </w:rPr>
              <w:t xml:space="preserve">zonën </w:t>
            </w:r>
            <w:r w:rsidRPr="00050FA4">
              <w:rPr>
                <w:sz w:val="18"/>
                <w:szCs w:val="18"/>
                <w:lang w:val="sq-AL"/>
              </w:rPr>
              <w:t>1 (zona rurale dhe të largëta/turistike në pjesën veriore të Shqipërisë (Shkodër, Kukës, Tropojë, Dibër) –</w:t>
            </w:r>
            <w:r w:rsidR="000109D2" w:rsidRPr="00050FA4">
              <w:rPr>
                <w:sz w:val="18"/>
                <w:szCs w:val="18"/>
                <w:lang w:val="sq-AL"/>
              </w:rPr>
              <w:t xml:space="preserve"> </w:t>
            </w:r>
            <w:r w:rsidRPr="00050FA4">
              <w:rPr>
                <w:sz w:val="18"/>
                <w:szCs w:val="18"/>
                <w:lang w:val="sq-AL"/>
              </w:rPr>
              <w:t>Miratuara ToRs, ESIA dhe TD; TA ka filluar në tetor 2021;</w:t>
            </w:r>
          </w:p>
        </w:tc>
        <w:tc>
          <w:tcPr>
            <w:tcW w:w="1985" w:type="dxa"/>
            <w:tcBorders>
              <w:top w:val="single" w:sz="4" w:space="0" w:color="auto"/>
              <w:left w:val="single" w:sz="4" w:space="0" w:color="auto"/>
              <w:right w:val="single" w:sz="4" w:space="0" w:color="auto"/>
            </w:tcBorders>
            <w:shd w:val="clear" w:color="auto" w:fill="auto"/>
          </w:tcPr>
          <w:p w14:paraId="27A892B4" w14:textId="77777777" w:rsidR="00A86175" w:rsidRPr="00050FA4" w:rsidRDefault="00A86175" w:rsidP="00A250C1">
            <w:pPr>
              <w:snapToGrid w:val="0"/>
              <w:rPr>
                <w:rFonts w:ascii="Garamond" w:hAnsi="Garamond"/>
                <w:color w:val="0D0D0D" w:themeColor="text1" w:themeTint="F2"/>
                <w:sz w:val="18"/>
                <w:szCs w:val="18"/>
              </w:rPr>
            </w:pPr>
          </w:p>
        </w:tc>
      </w:tr>
      <w:tr w:rsidR="00FA29AB" w:rsidRPr="00050FA4" w14:paraId="64DF5E1A" w14:textId="77777777" w:rsidTr="00CD12A9">
        <w:trPr>
          <w:trHeight w:val="8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DE7A5" w14:textId="77777777" w:rsidR="00A86175" w:rsidRPr="00050FA4" w:rsidRDefault="00A86175" w:rsidP="00A250C1">
            <w:pPr>
              <w:widowControl/>
              <w:snapToGrid w:val="0"/>
              <w:rPr>
                <w:rFonts w:ascii="Garamond" w:hAnsi="Garamond"/>
                <w:color w:val="0D0D0D" w:themeColor="text1" w:themeTint="F2"/>
                <w:sz w:val="18"/>
                <w:szCs w:val="18"/>
              </w:rPr>
            </w:pPr>
          </w:p>
        </w:tc>
        <w:tc>
          <w:tcPr>
            <w:tcW w:w="6777" w:type="dxa"/>
            <w:tcBorders>
              <w:top w:val="single" w:sz="4" w:space="0" w:color="auto"/>
              <w:left w:val="single" w:sz="4" w:space="0" w:color="auto"/>
              <w:right w:val="single" w:sz="4" w:space="0" w:color="auto"/>
            </w:tcBorders>
            <w:shd w:val="clear" w:color="auto" w:fill="auto"/>
          </w:tcPr>
          <w:p w14:paraId="478C9077" w14:textId="530C9562" w:rsidR="00A86175" w:rsidRPr="00050FA4" w:rsidRDefault="00A86175" w:rsidP="00A250C1">
            <w:pPr>
              <w:pStyle w:val="AAAAAAATEXXXX"/>
              <w:ind w:firstLine="0"/>
              <w:rPr>
                <w:sz w:val="18"/>
                <w:szCs w:val="18"/>
                <w:lang w:val="sq-AL"/>
              </w:rPr>
            </w:pPr>
            <w:r w:rsidRPr="00050FA4">
              <w:rPr>
                <w:sz w:val="18"/>
                <w:szCs w:val="18"/>
                <w:lang w:val="sq-AL"/>
              </w:rPr>
              <w:t xml:space="preserve">Zhvillimi i </w:t>
            </w:r>
            <w:r w:rsidRPr="00050FA4">
              <w:rPr>
                <w:i/>
                <w:sz w:val="18"/>
                <w:szCs w:val="18"/>
                <w:lang w:val="sq-AL"/>
              </w:rPr>
              <w:t>broadband</w:t>
            </w:r>
            <w:r w:rsidRPr="00050FA4">
              <w:rPr>
                <w:sz w:val="18"/>
                <w:szCs w:val="18"/>
                <w:lang w:val="sq-AL"/>
              </w:rPr>
              <w:t xml:space="preserve"> në jug të vendit (për zhvillimin e </w:t>
            </w:r>
            <w:r w:rsidRPr="00050FA4">
              <w:rPr>
                <w:i/>
                <w:sz w:val="18"/>
                <w:szCs w:val="18"/>
                <w:lang w:val="sq-AL"/>
              </w:rPr>
              <w:t>broadband</w:t>
            </w:r>
            <w:r w:rsidRPr="00050FA4">
              <w:rPr>
                <w:sz w:val="18"/>
                <w:szCs w:val="18"/>
                <w:lang w:val="sq-AL"/>
              </w:rPr>
              <w:t xml:space="preserve"> në zonat e bardha Vlorë, Gjirokastër, Fier, Berat, Korçë) - ToRs, ESIA dhe TD të miratuara; TA ka filluar në tetor 2021;</w:t>
            </w:r>
          </w:p>
        </w:tc>
        <w:tc>
          <w:tcPr>
            <w:tcW w:w="1985" w:type="dxa"/>
            <w:tcBorders>
              <w:top w:val="single" w:sz="4" w:space="0" w:color="auto"/>
              <w:left w:val="single" w:sz="4" w:space="0" w:color="auto"/>
              <w:right w:val="single" w:sz="4" w:space="0" w:color="auto"/>
            </w:tcBorders>
            <w:shd w:val="clear" w:color="auto" w:fill="auto"/>
          </w:tcPr>
          <w:p w14:paraId="768EF1CE" w14:textId="77777777" w:rsidR="00A86175" w:rsidRPr="00050FA4" w:rsidRDefault="00A86175" w:rsidP="00A250C1">
            <w:pPr>
              <w:widowControl/>
              <w:snapToGrid w:val="0"/>
              <w:rPr>
                <w:rFonts w:ascii="Garamond" w:hAnsi="Garamond"/>
                <w:color w:val="0D0D0D" w:themeColor="text1" w:themeTint="F2"/>
                <w:sz w:val="18"/>
                <w:szCs w:val="18"/>
              </w:rPr>
            </w:pPr>
          </w:p>
        </w:tc>
      </w:tr>
    </w:tbl>
    <w:p w14:paraId="14BCA9D6" w14:textId="77777777" w:rsidR="00A86175" w:rsidRPr="00050FA4" w:rsidRDefault="00A86175" w:rsidP="003F1DA7">
      <w:pPr>
        <w:snapToGrid w:val="0"/>
        <w:ind w:firstLine="284"/>
        <w:rPr>
          <w:rFonts w:ascii="Garamond" w:hAnsi="Garamond" w:cstheme="majorBidi"/>
          <w:color w:val="0D0D0D" w:themeColor="text1" w:themeTint="F2"/>
          <w:sz w:val="20"/>
          <w:szCs w:val="20"/>
        </w:rPr>
      </w:pPr>
    </w:p>
    <w:tbl>
      <w:tblPr>
        <w:tblStyle w:val="TableGrid"/>
        <w:tblW w:w="10485" w:type="dxa"/>
        <w:jc w:val="center"/>
        <w:tblLook w:val="04A0" w:firstRow="1" w:lastRow="0" w:firstColumn="1" w:lastColumn="0" w:noHBand="0" w:noVBand="1"/>
      </w:tblPr>
      <w:tblGrid>
        <w:gridCol w:w="1723"/>
        <w:gridCol w:w="6777"/>
        <w:gridCol w:w="1985"/>
      </w:tblGrid>
      <w:tr w:rsidR="00FA29AB" w:rsidRPr="00050FA4" w14:paraId="2489AA64" w14:textId="77777777" w:rsidTr="00CD12A9">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E5DFEC"/>
            <w:hideMark/>
          </w:tcPr>
          <w:p w14:paraId="3971BF36" w14:textId="52D3CDCE" w:rsidR="0089011F" w:rsidRPr="00050FA4" w:rsidRDefault="0089011F" w:rsidP="00A250C1">
            <w:pPr>
              <w:rPr>
                <w:rFonts w:ascii="Garamond" w:hAnsi="Garamond"/>
                <w:b/>
                <w:color w:val="0D0D0D" w:themeColor="text1" w:themeTint="F2"/>
                <w:sz w:val="18"/>
                <w:szCs w:val="18"/>
              </w:rPr>
            </w:pPr>
            <w:r w:rsidRPr="00050FA4">
              <w:rPr>
                <w:rFonts w:ascii="Garamond" w:hAnsi="Garamond"/>
                <w:b/>
                <w:color w:val="0D0D0D" w:themeColor="text1" w:themeTint="F2"/>
                <w:sz w:val="18"/>
                <w:szCs w:val="18"/>
              </w:rPr>
              <w:t>Masa e reformës: Forcimi dhe zgjerimi i mbulimit të mbrojtjes sociale duke reduktuar pabarazinë dhe duke mbështetur rritjen gjithëpërfshirëse dhe të qëndrueshme:</w:t>
            </w:r>
          </w:p>
        </w:tc>
        <w:tc>
          <w:tcPr>
            <w:tcW w:w="1985" w:type="dxa"/>
            <w:tcBorders>
              <w:top w:val="single" w:sz="4" w:space="0" w:color="auto"/>
              <w:left w:val="single" w:sz="4" w:space="0" w:color="auto"/>
              <w:bottom w:val="single" w:sz="4" w:space="0" w:color="auto"/>
              <w:right w:val="single" w:sz="4" w:space="0" w:color="auto"/>
            </w:tcBorders>
            <w:shd w:val="clear" w:color="auto" w:fill="E5DFEC"/>
            <w:hideMark/>
          </w:tcPr>
          <w:p w14:paraId="5BC15FEB" w14:textId="2E959683" w:rsidR="0089011F" w:rsidRPr="00050FA4" w:rsidRDefault="0089011F" w:rsidP="00A250C1">
            <w:pPr>
              <w:rPr>
                <w:rFonts w:ascii="Garamond" w:hAnsi="Garamond"/>
                <w:b/>
                <w:bCs/>
                <w:color w:val="0D0D0D" w:themeColor="text1" w:themeTint="F2"/>
                <w:sz w:val="18"/>
                <w:szCs w:val="18"/>
              </w:rPr>
            </w:pPr>
            <w:r w:rsidRPr="00050FA4">
              <w:rPr>
                <w:rFonts w:ascii="Garamond" w:hAnsi="Garamond"/>
                <w:b/>
                <w:bCs/>
                <w:color w:val="0D0D0D" w:themeColor="text1" w:themeTint="F2"/>
                <w:sz w:val="18"/>
                <w:szCs w:val="18"/>
              </w:rPr>
              <w:t>Faza e zbatimit të reformës (0</w:t>
            </w:r>
            <w:r w:rsidR="00CD12A9" w:rsidRPr="00050FA4">
              <w:rPr>
                <w:rFonts w:ascii="Garamond" w:hAnsi="Garamond"/>
                <w:b/>
                <w:bCs/>
                <w:color w:val="0D0D0D" w:themeColor="text1" w:themeTint="F2"/>
                <w:sz w:val="18"/>
                <w:szCs w:val="18"/>
              </w:rPr>
              <w:t>–</w:t>
            </w:r>
            <w:r w:rsidRPr="00050FA4">
              <w:rPr>
                <w:rFonts w:ascii="Garamond" w:hAnsi="Garamond"/>
                <w:b/>
                <w:bCs/>
                <w:color w:val="0D0D0D" w:themeColor="text1" w:themeTint="F2"/>
                <w:sz w:val="18"/>
                <w:szCs w:val="18"/>
              </w:rPr>
              <w:t>5)</w:t>
            </w:r>
          </w:p>
        </w:tc>
      </w:tr>
      <w:tr w:rsidR="00FA29AB" w:rsidRPr="00050FA4" w14:paraId="62832F4D" w14:textId="77777777" w:rsidTr="00CD12A9">
        <w:trPr>
          <w:trHeight w:val="647"/>
          <w:jc w:val="center"/>
        </w:trPr>
        <w:tc>
          <w:tcPr>
            <w:tcW w:w="1723" w:type="dxa"/>
            <w:vMerge w:val="restart"/>
            <w:tcBorders>
              <w:top w:val="single" w:sz="4" w:space="0" w:color="auto"/>
              <w:left w:val="single" w:sz="4" w:space="0" w:color="auto"/>
              <w:bottom w:val="single" w:sz="4" w:space="0" w:color="auto"/>
              <w:right w:val="single" w:sz="4" w:space="0" w:color="auto"/>
            </w:tcBorders>
            <w:vAlign w:val="center"/>
            <w:hideMark/>
          </w:tcPr>
          <w:p w14:paraId="505A8702" w14:textId="77777777" w:rsidR="0089011F" w:rsidRPr="00050FA4" w:rsidRDefault="0089011F" w:rsidP="00A250C1">
            <w:pPr>
              <w:rPr>
                <w:rFonts w:ascii="Garamond" w:hAnsi="Garamond"/>
                <w:color w:val="0D0D0D" w:themeColor="text1" w:themeTint="F2"/>
                <w:sz w:val="18"/>
                <w:szCs w:val="18"/>
              </w:rPr>
            </w:pPr>
            <w:r w:rsidRPr="00050FA4">
              <w:rPr>
                <w:rFonts w:ascii="Garamond" w:hAnsi="Garamond"/>
                <w:color w:val="0D0D0D" w:themeColor="text1" w:themeTint="F2"/>
                <w:sz w:val="18"/>
                <w:szCs w:val="18"/>
              </w:rPr>
              <w:t>Aktivitete të planifikuara për vitin 2021</w:t>
            </w:r>
          </w:p>
        </w:tc>
        <w:tc>
          <w:tcPr>
            <w:tcW w:w="6777" w:type="dxa"/>
            <w:tcBorders>
              <w:top w:val="single" w:sz="4" w:space="0" w:color="auto"/>
              <w:left w:val="single" w:sz="4" w:space="0" w:color="auto"/>
              <w:bottom w:val="single" w:sz="4" w:space="0" w:color="auto"/>
              <w:right w:val="single" w:sz="4" w:space="0" w:color="auto"/>
            </w:tcBorders>
            <w:hideMark/>
          </w:tcPr>
          <w:p w14:paraId="09660CAD" w14:textId="2518D3F5" w:rsidR="0089011F" w:rsidRPr="00050FA4" w:rsidRDefault="00A86175" w:rsidP="00A250C1">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Vlerësimi</w:t>
            </w:r>
            <w:r w:rsidR="0089011F" w:rsidRPr="00050FA4">
              <w:rPr>
                <w:rFonts w:ascii="Garamond" w:hAnsi="Garamond"/>
                <w:color w:val="0D0D0D" w:themeColor="text1" w:themeTint="F2"/>
                <w:sz w:val="18"/>
                <w:szCs w:val="18"/>
              </w:rPr>
              <w:t xml:space="preserve"> i përshtatshmërisë së përfitimeve të ndihmës ekonomike duke marrë në konsideratë të</w:t>
            </w:r>
            <w:r w:rsidR="009B1D6B" w:rsidRPr="00050FA4">
              <w:rPr>
                <w:rFonts w:ascii="Garamond" w:hAnsi="Garamond"/>
                <w:color w:val="0D0D0D" w:themeColor="text1" w:themeTint="F2"/>
                <w:sz w:val="18"/>
                <w:szCs w:val="18"/>
              </w:rPr>
              <w:t xml:space="preserve"> </w:t>
            </w:r>
            <w:r w:rsidR="0089011F" w:rsidRPr="00050FA4">
              <w:rPr>
                <w:rFonts w:ascii="Garamond" w:hAnsi="Garamond"/>
                <w:color w:val="0D0D0D" w:themeColor="text1" w:themeTint="F2"/>
                <w:sz w:val="18"/>
                <w:szCs w:val="18"/>
              </w:rPr>
              <w:t>dhënat nga Anketa mbi të Ardhurat dhe Kushtet e Jetesës dhe vendosja e një mekanizmi transparent për rishikimin e tyre të rregullt vjetor.</w:t>
            </w:r>
          </w:p>
        </w:tc>
        <w:tc>
          <w:tcPr>
            <w:tcW w:w="1985" w:type="dxa"/>
            <w:tcBorders>
              <w:top w:val="single" w:sz="4" w:space="0" w:color="auto"/>
              <w:left w:val="single" w:sz="4" w:space="0" w:color="auto"/>
              <w:bottom w:val="single" w:sz="4" w:space="0" w:color="auto"/>
              <w:right w:val="single" w:sz="4" w:space="0" w:color="auto"/>
            </w:tcBorders>
          </w:tcPr>
          <w:p w14:paraId="2B010E02" w14:textId="77777777" w:rsidR="0089011F" w:rsidRPr="00050FA4" w:rsidRDefault="0089011F" w:rsidP="00A250C1">
            <w:pPr>
              <w:rPr>
                <w:rFonts w:ascii="Garamond" w:hAnsi="Garamond"/>
                <w:color w:val="0D0D0D" w:themeColor="text1" w:themeTint="F2"/>
                <w:sz w:val="18"/>
                <w:szCs w:val="18"/>
              </w:rPr>
            </w:pPr>
          </w:p>
        </w:tc>
      </w:tr>
      <w:tr w:rsidR="00FA29AB" w:rsidRPr="00050FA4" w14:paraId="5E2F40CD"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A8F3D"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39CE3E8B" w14:textId="399133B4" w:rsidR="0089011F" w:rsidRPr="00050FA4" w:rsidRDefault="0089011F" w:rsidP="007808AC">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Zbati</w:t>
            </w:r>
            <w:r w:rsidR="000109D2" w:rsidRPr="00050FA4">
              <w:rPr>
                <w:rFonts w:ascii="Garamond" w:hAnsi="Garamond"/>
                <w:color w:val="0D0D0D" w:themeColor="text1" w:themeTint="F2"/>
                <w:sz w:val="18"/>
                <w:szCs w:val="18"/>
              </w:rPr>
              <w:t>mi i sistemit të vlerësimit biopsiko</w:t>
            </w:r>
            <w:r w:rsidRPr="00050FA4">
              <w:rPr>
                <w:rFonts w:ascii="Garamond" w:hAnsi="Garamond"/>
                <w:color w:val="0D0D0D" w:themeColor="text1" w:themeTint="F2"/>
                <w:sz w:val="18"/>
                <w:szCs w:val="18"/>
              </w:rPr>
              <w:t>social për të mbështetur personat me aftësi të kufizuara me para dhe kujdes social në tr</w:t>
            </w:r>
            <w:r w:rsidR="007808AC" w:rsidRPr="00050FA4">
              <w:rPr>
                <w:rFonts w:ascii="Garamond" w:hAnsi="Garamond"/>
                <w:color w:val="0D0D0D" w:themeColor="text1" w:themeTint="F2"/>
                <w:sz w:val="18"/>
                <w:szCs w:val="18"/>
              </w:rPr>
              <w:t>i</w:t>
            </w:r>
            <w:r w:rsidRPr="00050FA4">
              <w:rPr>
                <w:rFonts w:ascii="Garamond" w:hAnsi="Garamond"/>
                <w:color w:val="0D0D0D" w:themeColor="text1" w:themeTint="F2"/>
                <w:sz w:val="18"/>
                <w:szCs w:val="18"/>
              </w:rPr>
              <w:t xml:space="preserve"> qarqe (Tiranë, Durrës dhe Elbasan).</w:t>
            </w:r>
          </w:p>
        </w:tc>
        <w:tc>
          <w:tcPr>
            <w:tcW w:w="1985" w:type="dxa"/>
            <w:tcBorders>
              <w:top w:val="single" w:sz="4" w:space="0" w:color="auto"/>
              <w:left w:val="single" w:sz="4" w:space="0" w:color="auto"/>
              <w:bottom w:val="single" w:sz="4" w:space="0" w:color="auto"/>
              <w:right w:val="single" w:sz="4" w:space="0" w:color="auto"/>
            </w:tcBorders>
          </w:tcPr>
          <w:p w14:paraId="38422FC4" w14:textId="77777777" w:rsidR="0089011F" w:rsidRPr="00050FA4" w:rsidRDefault="0089011F" w:rsidP="00A250C1">
            <w:pPr>
              <w:rPr>
                <w:rFonts w:ascii="Garamond" w:hAnsi="Garamond"/>
                <w:color w:val="0D0D0D" w:themeColor="text1" w:themeTint="F2"/>
                <w:sz w:val="18"/>
                <w:szCs w:val="18"/>
              </w:rPr>
            </w:pPr>
          </w:p>
        </w:tc>
      </w:tr>
      <w:tr w:rsidR="00FA29AB" w:rsidRPr="00050FA4" w14:paraId="598C3B39"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5E711"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62DC5166" w14:textId="228B2876" w:rsidR="0089011F" w:rsidRPr="00050FA4" w:rsidRDefault="0089011F" w:rsidP="00A250C1">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Mbështetje për personat nga shtresat e pafavorizuara, veçanërisht përfituesit e ndihmës ekonomike dhe personat me aftësi të kufizuara drejt punësimit në ndërmarrjet sociale. Financimi i ndërmarrjeve sociale</w:t>
            </w:r>
          </w:p>
        </w:tc>
        <w:tc>
          <w:tcPr>
            <w:tcW w:w="1985" w:type="dxa"/>
            <w:tcBorders>
              <w:top w:val="single" w:sz="4" w:space="0" w:color="auto"/>
              <w:left w:val="single" w:sz="4" w:space="0" w:color="auto"/>
              <w:bottom w:val="single" w:sz="4" w:space="0" w:color="auto"/>
              <w:right w:val="single" w:sz="4" w:space="0" w:color="auto"/>
            </w:tcBorders>
          </w:tcPr>
          <w:p w14:paraId="392B9F54" w14:textId="77777777" w:rsidR="0089011F" w:rsidRPr="00050FA4" w:rsidRDefault="0089011F" w:rsidP="00A250C1">
            <w:pPr>
              <w:rPr>
                <w:rFonts w:ascii="Garamond" w:hAnsi="Garamond"/>
                <w:color w:val="0D0D0D" w:themeColor="text1" w:themeTint="F2"/>
                <w:sz w:val="18"/>
                <w:szCs w:val="18"/>
              </w:rPr>
            </w:pPr>
          </w:p>
        </w:tc>
      </w:tr>
      <w:tr w:rsidR="00FA29AB" w:rsidRPr="00050FA4" w14:paraId="4B397914"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8CE26"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105739D2" w14:textId="439101A1" w:rsidR="0089011F" w:rsidRPr="00050FA4" w:rsidRDefault="0089011F" w:rsidP="00A250C1">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Përmirësimi i ofrimit të shërbimeve sociale me bazë komunitare nga njësitë e qeverisjes vendore për të gjitha kategoritë në nevojë në kuadër </w:t>
            </w:r>
            <w:r w:rsidR="000109D2" w:rsidRPr="00050FA4">
              <w:rPr>
                <w:rFonts w:ascii="Garamond" w:hAnsi="Garamond"/>
                <w:color w:val="0D0D0D" w:themeColor="text1" w:themeTint="F2"/>
                <w:sz w:val="18"/>
                <w:szCs w:val="18"/>
              </w:rPr>
              <w:t>të fondit social</w:t>
            </w:r>
          </w:p>
        </w:tc>
        <w:tc>
          <w:tcPr>
            <w:tcW w:w="1985" w:type="dxa"/>
            <w:tcBorders>
              <w:top w:val="single" w:sz="4" w:space="0" w:color="auto"/>
              <w:left w:val="single" w:sz="4" w:space="0" w:color="auto"/>
              <w:bottom w:val="single" w:sz="4" w:space="0" w:color="auto"/>
              <w:right w:val="single" w:sz="4" w:space="0" w:color="auto"/>
            </w:tcBorders>
          </w:tcPr>
          <w:p w14:paraId="7D51EE8C" w14:textId="77777777" w:rsidR="0089011F" w:rsidRPr="00050FA4" w:rsidRDefault="0089011F" w:rsidP="00A250C1">
            <w:pPr>
              <w:rPr>
                <w:rFonts w:ascii="Garamond" w:hAnsi="Garamond"/>
                <w:color w:val="0D0D0D" w:themeColor="text1" w:themeTint="F2"/>
                <w:sz w:val="18"/>
                <w:szCs w:val="18"/>
              </w:rPr>
            </w:pPr>
          </w:p>
        </w:tc>
      </w:tr>
      <w:tr w:rsidR="00FA29AB" w:rsidRPr="00050FA4" w14:paraId="45FDDA53"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6D6CB"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tcPr>
          <w:p w14:paraId="5C434A8A" w14:textId="2E096628" w:rsidR="0089011F" w:rsidRPr="00050FA4" w:rsidRDefault="0089011F" w:rsidP="00A250C1">
            <w:pPr>
              <w:rPr>
                <w:rFonts w:ascii="Garamond" w:hAnsi="Garamond"/>
                <w:color w:val="0D0D0D" w:themeColor="text1" w:themeTint="F2"/>
                <w:sz w:val="18"/>
                <w:szCs w:val="18"/>
              </w:rPr>
            </w:pPr>
            <w:r w:rsidRPr="00050FA4">
              <w:rPr>
                <w:rFonts w:ascii="Garamond" w:hAnsi="Garamond"/>
                <w:color w:val="0D0D0D" w:themeColor="text1" w:themeTint="F2"/>
                <w:sz w:val="18"/>
                <w:szCs w:val="18"/>
              </w:rPr>
              <w:t>Vlerësimi i të gjitha institucioneve publike të kujdesit rezidencial dhe zhvillimi i planit të transformimit të tyre.</w:t>
            </w:r>
          </w:p>
        </w:tc>
        <w:tc>
          <w:tcPr>
            <w:tcW w:w="1985" w:type="dxa"/>
            <w:tcBorders>
              <w:top w:val="single" w:sz="4" w:space="0" w:color="auto"/>
              <w:left w:val="single" w:sz="4" w:space="0" w:color="auto"/>
              <w:bottom w:val="single" w:sz="4" w:space="0" w:color="auto"/>
              <w:right w:val="single" w:sz="4" w:space="0" w:color="auto"/>
            </w:tcBorders>
          </w:tcPr>
          <w:p w14:paraId="1C8F7164" w14:textId="77777777" w:rsidR="0089011F" w:rsidRPr="00050FA4" w:rsidRDefault="0089011F" w:rsidP="00A250C1">
            <w:pPr>
              <w:rPr>
                <w:rFonts w:ascii="Garamond" w:hAnsi="Garamond"/>
                <w:color w:val="0D0D0D" w:themeColor="text1" w:themeTint="F2"/>
                <w:sz w:val="18"/>
                <w:szCs w:val="18"/>
              </w:rPr>
            </w:pPr>
          </w:p>
        </w:tc>
      </w:tr>
      <w:tr w:rsidR="00FA29AB" w:rsidRPr="00050FA4" w14:paraId="0F5200DB"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D898E"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48E04B83" w14:textId="39A0D30A" w:rsidR="0089011F" w:rsidRPr="00050FA4" w:rsidRDefault="0089011F" w:rsidP="00A250C1">
            <w:pPr>
              <w:rPr>
                <w:rFonts w:ascii="Garamond" w:hAnsi="Garamond"/>
                <w:color w:val="0D0D0D" w:themeColor="text1" w:themeTint="F2"/>
                <w:sz w:val="18"/>
                <w:szCs w:val="18"/>
              </w:rPr>
            </w:pPr>
            <w:r w:rsidRPr="00050FA4">
              <w:rPr>
                <w:rFonts w:ascii="Garamond" w:hAnsi="Garamond"/>
                <w:color w:val="0D0D0D" w:themeColor="text1" w:themeTint="F2"/>
                <w:sz w:val="18"/>
                <w:szCs w:val="18"/>
              </w:rPr>
              <w:t>Hartimi i planeve kombëtare të veprimit për përfshirjen sociale dhe reduktimin e varfërisë përmes politikëbërjes dhe treguesve të përmirësuar.</w:t>
            </w:r>
          </w:p>
        </w:tc>
        <w:tc>
          <w:tcPr>
            <w:tcW w:w="1985" w:type="dxa"/>
            <w:tcBorders>
              <w:top w:val="single" w:sz="4" w:space="0" w:color="auto"/>
              <w:left w:val="single" w:sz="4" w:space="0" w:color="auto"/>
              <w:bottom w:val="single" w:sz="4" w:space="0" w:color="auto"/>
              <w:right w:val="single" w:sz="4" w:space="0" w:color="auto"/>
            </w:tcBorders>
          </w:tcPr>
          <w:p w14:paraId="5FBDCC43" w14:textId="77777777" w:rsidR="0089011F" w:rsidRPr="00050FA4" w:rsidRDefault="0089011F" w:rsidP="00A250C1">
            <w:pPr>
              <w:rPr>
                <w:rFonts w:ascii="Garamond" w:hAnsi="Garamond"/>
                <w:color w:val="0D0D0D" w:themeColor="text1" w:themeTint="F2"/>
                <w:sz w:val="18"/>
                <w:szCs w:val="18"/>
              </w:rPr>
            </w:pPr>
          </w:p>
        </w:tc>
      </w:tr>
      <w:tr w:rsidR="00FA29AB" w:rsidRPr="00050FA4" w14:paraId="1D4441C0" w14:textId="77777777" w:rsidTr="00CD12A9">
        <w:trPr>
          <w:jc w:val="center"/>
        </w:trPr>
        <w:tc>
          <w:tcPr>
            <w:tcW w:w="1723" w:type="dxa"/>
            <w:vMerge w:val="restart"/>
            <w:tcBorders>
              <w:top w:val="single" w:sz="4" w:space="0" w:color="auto"/>
              <w:left w:val="single" w:sz="4" w:space="0" w:color="auto"/>
              <w:bottom w:val="single" w:sz="4" w:space="0" w:color="auto"/>
              <w:right w:val="single" w:sz="4" w:space="0" w:color="auto"/>
            </w:tcBorders>
            <w:vAlign w:val="center"/>
            <w:hideMark/>
          </w:tcPr>
          <w:p w14:paraId="57F79538" w14:textId="77777777" w:rsidR="0089011F" w:rsidRPr="00050FA4" w:rsidRDefault="0089011F" w:rsidP="00A250C1">
            <w:pPr>
              <w:rPr>
                <w:rFonts w:ascii="Garamond" w:hAnsi="Garamond"/>
                <w:color w:val="0D0D0D" w:themeColor="text1" w:themeTint="F2"/>
                <w:sz w:val="18"/>
                <w:szCs w:val="18"/>
              </w:rPr>
            </w:pPr>
            <w:r w:rsidRPr="00050FA4">
              <w:rPr>
                <w:rFonts w:ascii="Garamond" w:hAnsi="Garamond"/>
                <w:color w:val="0D0D0D" w:themeColor="text1" w:themeTint="F2"/>
                <w:sz w:val="18"/>
                <w:szCs w:val="18"/>
              </w:rPr>
              <w:t>Përshkrimi i zbatimit dhe shpjegimi nëse është i pjesshëm ose aspak.</w:t>
            </w:r>
          </w:p>
        </w:tc>
        <w:tc>
          <w:tcPr>
            <w:tcW w:w="6777" w:type="dxa"/>
            <w:tcBorders>
              <w:top w:val="single" w:sz="4" w:space="0" w:color="auto"/>
              <w:left w:val="single" w:sz="4" w:space="0" w:color="auto"/>
              <w:bottom w:val="single" w:sz="4" w:space="0" w:color="auto"/>
              <w:right w:val="single" w:sz="4" w:space="0" w:color="auto"/>
            </w:tcBorders>
            <w:hideMark/>
          </w:tcPr>
          <w:p w14:paraId="1E83FE53" w14:textId="7CD65E7C" w:rsidR="0089011F" w:rsidRPr="00050FA4" w:rsidRDefault="0089011F" w:rsidP="00A250C1">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MSHMS</w:t>
            </w:r>
            <w:r w:rsidR="000109D2" w:rsidRPr="00050FA4">
              <w:rPr>
                <w:rFonts w:ascii="Garamond" w:hAnsi="Garamond"/>
                <w:color w:val="0D0D0D" w:themeColor="text1" w:themeTint="F2"/>
                <w:sz w:val="18"/>
                <w:szCs w:val="18"/>
              </w:rPr>
              <w:t>-ja</w:t>
            </w:r>
            <w:r w:rsidRPr="00050FA4">
              <w:rPr>
                <w:rFonts w:ascii="Garamond" w:hAnsi="Garamond"/>
                <w:color w:val="0D0D0D" w:themeColor="text1" w:themeTint="F2"/>
                <w:sz w:val="18"/>
                <w:szCs w:val="18"/>
              </w:rPr>
              <w:t xml:space="preserve"> ka ngritur një grup pune ndërinstitucional me përfaqësues nga Ministria e Shëndetësisë dhe Mbrojtjes Sociale, Shërbimi Social Shtetëror, Ministria e Financave dhe Ekonomisë dhe Instituti i Statistikave. Ky grup pune u krijua në bazë të </w:t>
            </w:r>
            <w:r w:rsidR="00071A3F" w:rsidRPr="00050FA4">
              <w:rPr>
                <w:rFonts w:ascii="Garamond" w:hAnsi="Garamond"/>
                <w:color w:val="0D0D0D" w:themeColor="text1" w:themeTint="F2"/>
                <w:sz w:val="18"/>
                <w:szCs w:val="18"/>
              </w:rPr>
              <w:t xml:space="preserve">urdhrit </w:t>
            </w:r>
            <w:r w:rsidR="00BB3641">
              <w:rPr>
                <w:rFonts w:ascii="Garamond" w:hAnsi="Garamond"/>
                <w:color w:val="0D0D0D" w:themeColor="text1" w:themeTint="F2"/>
                <w:sz w:val="18"/>
                <w:szCs w:val="18"/>
              </w:rPr>
              <w:t>nr. 269, datë 28.</w:t>
            </w:r>
            <w:r w:rsidRPr="00050FA4">
              <w:rPr>
                <w:rFonts w:ascii="Garamond" w:hAnsi="Garamond"/>
                <w:color w:val="0D0D0D" w:themeColor="text1" w:themeTint="F2"/>
                <w:sz w:val="18"/>
                <w:szCs w:val="18"/>
              </w:rPr>
              <w:t>5.2021 të Ministrisë së Shëndetësisë dhe Mbrojtjes Sociale dhe ka përgatitur draft dokumentin për rishikimin e masës së përfitimit dhe një udhërrëfyes për shqyrtimin e rregullt të tyre.</w:t>
            </w:r>
          </w:p>
        </w:tc>
        <w:tc>
          <w:tcPr>
            <w:tcW w:w="1985" w:type="dxa"/>
            <w:tcBorders>
              <w:top w:val="single" w:sz="4" w:space="0" w:color="auto"/>
              <w:left w:val="single" w:sz="4" w:space="0" w:color="auto"/>
              <w:bottom w:val="single" w:sz="4" w:space="0" w:color="auto"/>
              <w:right w:val="single" w:sz="4" w:space="0" w:color="auto"/>
            </w:tcBorders>
            <w:hideMark/>
          </w:tcPr>
          <w:p w14:paraId="48C08893" w14:textId="77777777" w:rsidR="0089011F" w:rsidRPr="00050FA4" w:rsidRDefault="0089011F" w:rsidP="007808AC">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3</w:t>
            </w:r>
          </w:p>
        </w:tc>
      </w:tr>
      <w:tr w:rsidR="00FA29AB" w:rsidRPr="00050FA4" w14:paraId="598F3FC3"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9B2E20"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3E05C589" w14:textId="2E81AE68" w:rsidR="0089011F" w:rsidRPr="00050FA4" w:rsidRDefault="0089011F" w:rsidP="000109D2">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Sistemi i vlerësimit biopsikosocial për mbështetjen e personave me aftësi të kufizuar</w:t>
            </w:r>
            <w:r w:rsidR="00097DAF" w:rsidRPr="00050FA4">
              <w:rPr>
                <w:rFonts w:ascii="Garamond" w:hAnsi="Garamond"/>
                <w:color w:val="0D0D0D" w:themeColor="text1" w:themeTint="F2"/>
                <w:sz w:val="18"/>
                <w:szCs w:val="18"/>
              </w:rPr>
              <w:t>a</w:t>
            </w:r>
            <w:r w:rsidRPr="00050FA4">
              <w:rPr>
                <w:rFonts w:ascii="Garamond" w:hAnsi="Garamond"/>
                <w:color w:val="0D0D0D" w:themeColor="text1" w:themeTint="F2"/>
                <w:sz w:val="18"/>
                <w:szCs w:val="18"/>
              </w:rPr>
              <w:t xml:space="preserve"> me mbështetje të kombinuar në para dhe kujdes social po zbatohet në tr</w:t>
            </w:r>
            <w:r w:rsidR="007808AC" w:rsidRPr="00050FA4">
              <w:rPr>
                <w:rFonts w:ascii="Garamond" w:hAnsi="Garamond"/>
                <w:color w:val="0D0D0D" w:themeColor="text1" w:themeTint="F2"/>
                <w:sz w:val="18"/>
                <w:szCs w:val="18"/>
              </w:rPr>
              <w:t>i</w:t>
            </w:r>
            <w:r w:rsidRPr="00050FA4">
              <w:rPr>
                <w:rFonts w:ascii="Garamond" w:hAnsi="Garamond"/>
                <w:color w:val="0D0D0D" w:themeColor="text1" w:themeTint="F2"/>
                <w:sz w:val="18"/>
                <w:szCs w:val="18"/>
              </w:rPr>
              <w:t xml:space="preserve"> qarqe Tiranë, Durrës dhe Elbasan.</w:t>
            </w:r>
          </w:p>
        </w:tc>
        <w:tc>
          <w:tcPr>
            <w:tcW w:w="1985" w:type="dxa"/>
            <w:tcBorders>
              <w:top w:val="single" w:sz="4" w:space="0" w:color="auto"/>
              <w:left w:val="single" w:sz="4" w:space="0" w:color="auto"/>
              <w:bottom w:val="single" w:sz="4" w:space="0" w:color="auto"/>
              <w:right w:val="single" w:sz="4" w:space="0" w:color="auto"/>
            </w:tcBorders>
            <w:hideMark/>
          </w:tcPr>
          <w:p w14:paraId="7E77EB6A" w14:textId="77777777" w:rsidR="0089011F" w:rsidRPr="00050FA4" w:rsidRDefault="0089011F" w:rsidP="00CD12A9">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5</w:t>
            </w:r>
          </w:p>
        </w:tc>
      </w:tr>
      <w:tr w:rsidR="00FA29AB" w:rsidRPr="00050FA4" w14:paraId="072F7E4D" w14:textId="77777777" w:rsidTr="00CD12A9">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DF839"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4AD7F8C6" w14:textId="35BCEFDA" w:rsidR="0089011F" w:rsidRPr="00050FA4" w:rsidRDefault="0089011F" w:rsidP="00A250C1">
            <w:pPr>
              <w:jc w:val="both"/>
              <w:rPr>
                <w:rFonts w:ascii="Garamond" w:eastAsia="Times New Roman" w:hAnsi="Garamond"/>
                <w:bCs/>
                <w:iCs/>
                <w:color w:val="0D0D0D" w:themeColor="text1" w:themeTint="F2"/>
                <w:sz w:val="18"/>
                <w:szCs w:val="18"/>
              </w:rPr>
            </w:pPr>
            <w:r w:rsidRPr="00050FA4">
              <w:rPr>
                <w:rFonts w:ascii="Garamond" w:eastAsia="Times New Roman" w:hAnsi="Garamond"/>
                <w:bCs/>
                <w:iCs/>
                <w:color w:val="0D0D0D" w:themeColor="text1" w:themeTint="F2"/>
                <w:sz w:val="18"/>
                <w:szCs w:val="18"/>
              </w:rPr>
              <w:t xml:space="preserve">Aktualisht, 8 OJF kanë marrë statusin e </w:t>
            </w:r>
            <w:r w:rsidR="000109D2" w:rsidRPr="00050FA4">
              <w:rPr>
                <w:rFonts w:ascii="Garamond" w:eastAsia="Times New Roman" w:hAnsi="Garamond"/>
                <w:bCs/>
                <w:iCs/>
                <w:color w:val="0D0D0D" w:themeColor="text1" w:themeTint="F2"/>
                <w:sz w:val="18"/>
                <w:szCs w:val="18"/>
              </w:rPr>
              <w:t>ndërmarrjeve sociale</w:t>
            </w:r>
            <w:r w:rsidRPr="00050FA4">
              <w:rPr>
                <w:rFonts w:ascii="Garamond" w:eastAsia="Times New Roman" w:hAnsi="Garamond"/>
                <w:bCs/>
                <w:iCs/>
                <w:color w:val="0D0D0D" w:themeColor="text1" w:themeTint="F2"/>
                <w:sz w:val="18"/>
                <w:szCs w:val="18"/>
              </w:rPr>
              <w:t>.</w:t>
            </w:r>
          </w:p>
        </w:tc>
        <w:tc>
          <w:tcPr>
            <w:tcW w:w="1985" w:type="dxa"/>
            <w:tcBorders>
              <w:top w:val="single" w:sz="4" w:space="0" w:color="auto"/>
              <w:left w:val="single" w:sz="4" w:space="0" w:color="auto"/>
              <w:bottom w:val="single" w:sz="4" w:space="0" w:color="auto"/>
              <w:right w:val="single" w:sz="4" w:space="0" w:color="auto"/>
            </w:tcBorders>
            <w:hideMark/>
          </w:tcPr>
          <w:p w14:paraId="5A6F9EE4" w14:textId="77777777" w:rsidR="0089011F" w:rsidRPr="00050FA4" w:rsidRDefault="0089011F" w:rsidP="00CD12A9">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3</w:t>
            </w:r>
          </w:p>
        </w:tc>
      </w:tr>
      <w:tr w:rsidR="00FA29AB" w:rsidRPr="00050FA4" w14:paraId="5A79C2CD"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0D11E9"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547AFE10" w14:textId="1EA78E35" w:rsidR="0089011F" w:rsidRPr="00050FA4" w:rsidRDefault="0089011F" w:rsidP="00A250C1">
            <w:pPr>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Financimi i 12 shërbimeve të specializuara ka vijuar në nivel qarku dhe për herë të parë në vitin 2021 financohet shërbimi i ndihmës për familjen në qarkun e Tiranës.</w:t>
            </w:r>
          </w:p>
        </w:tc>
        <w:tc>
          <w:tcPr>
            <w:tcW w:w="1985" w:type="dxa"/>
            <w:tcBorders>
              <w:top w:val="single" w:sz="4" w:space="0" w:color="auto"/>
              <w:left w:val="single" w:sz="4" w:space="0" w:color="auto"/>
              <w:bottom w:val="single" w:sz="4" w:space="0" w:color="auto"/>
              <w:right w:val="single" w:sz="4" w:space="0" w:color="auto"/>
            </w:tcBorders>
            <w:hideMark/>
          </w:tcPr>
          <w:p w14:paraId="0D719BFC" w14:textId="77777777" w:rsidR="0089011F" w:rsidRPr="00050FA4" w:rsidRDefault="0089011F" w:rsidP="00CD12A9">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4</w:t>
            </w:r>
          </w:p>
        </w:tc>
      </w:tr>
      <w:tr w:rsidR="00FA29AB" w:rsidRPr="00050FA4" w14:paraId="332736BB"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30B6B"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1D49AC4A" w14:textId="416CFDCA" w:rsidR="0089011F" w:rsidRPr="00050FA4" w:rsidRDefault="0089011F" w:rsidP="00A250C1">
            <w:pPr>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Grupi teknik i ngritur, me </w:t>
            </w:r>
            <w:r w:rsidR="006D5D50" w:rsidRPr="00050FA4">
              <w:rPr>
                <w:rFonts w:ascii="Garamond" w:hAnsi="Garamond"/>
                <w:color w:val="0D0D0D" w:themeColor="text1" w:themeTint="F2"/>
                <w:sz w:val="18"/>
                <w:szCs w:val="18"/>
              </w:rPr>
              <w:t xml:space="preserve">urdhrin e ministrit </w:t>
            </w:r>
            <w:r w:rsidRPr="00050FA4">
              <w:rPr>
                <w:rFonts w:ascii="Garamond" w:hAnsi="Garamond"/>
                <w:color w:val="0D0D0D" w:themeColor="text1" w:themeTint="F2"/>
                <w:sz w:val="18"/>
                <w:szCs w:val="18"/>
              </w:rPr>
              <w:t>nr. 548/2020</w:t>
            </w:r>
            <w:r w:rsidR="006D5D50" w:rsidRPr="00050FA4">
              <w:rPr>
                <w:rFonts w:ascii="Garamond" w:hAnsi="Garamond"/>
                <w:color w:val="0D0D0D" w:themeColor="text1" w:themeTint="F2"/>
                <w:sz w:val="18"/>
                <w:szCs w:val="18"/>
              </w:rPr>
              <w:t>,</w:t>
            </w:r>
            <w:r w:rsidRPr="00050FA4">
              <w:rPr>
                <w:rFonts w:ascii="Garamond" w:hAnsi="Garamond"/>
                <w:color w:val="0D0D0D" w:themeColor="text1" w:themeTint="F2"/>
                <w:sz w:val="18"/>
                <w:szCs w:val="18"/>
              </w:rPr>
              <w:t xml:space="preserve"> </w:t>
            </w:r>
            <w:r w:rsidR="008A0E5B" w:rsidRPr="00050FA4">
              <w:rPr>
                <w:rFonts w:ascii="Garamond" w:hAnsi="Garamond"/>
                <w:color w:val="0D0D0D" w:themeColor="text1" w:themeTint="F2"/>
                <w:sz w:val="18"/>
                <w:szCs w:val="18"/>
              </w:rPr>
              <w:t>“</w:t>
            </w:r>
            <w:r w:rsidRPr="00050FA4">
              <w:rPr>
                <w:rFonts w:ascii="Garamond" w:hAnsi="Garamond"/>
                <w:color w:val="0D0D0D" w:themeColor="text1" w:themeTint="F2"/>
                <w:sz w:val="18"/>
                <w:szCs w:val="18"/>
              </w:rPr>
              <w:t>Për ngritjen e Komitetit Drejtues për zbatimin e Planit Kombëtar të Deinstitucionalizimit</w:t>
            </w:r>
            <w:r w:rsidR="008A0E5B" w:rsidRPr="00050FA4">
              <w:rPr>
                <w:rFonts w:ascii="Garamond" w:hAnsi="Garamond"/>
                <w:color w:val="0D0D0D" w:themeColor="text1" w:themeTint="F2"/>
                <w:sz w:val="18"/>
                <w:szCs w:val="18"/>
              </w:rPr>
              <w:t>”</w:t>
            </w:r>
            <w:r w:rsidRPr="00050FA4">
              <w:rPr>
                <w:rFonts w:ascii="Garamond" w:hAnsi="Garamond"/>
                <w:color w:val="0D0D0D" w:themeColor="text1" w:themeTint="F2"/>
                <w:sz w:val="18"/>
                <w:szCs w:val="18"/>
              </w:rPr>
              <w:t xml:space="preserve">, ka hartuar dhe miratuar tashmë metodologjinë e vlerësimit të burimeve njerëzore dhe financiare aktuale për funksionimin e 9 Institucioneve Publike të Kujdesit Social ekzistues. Procesi fillestar i vlerësimit, ende nuk ka filluar si pasojë e pandemisë </w:t>
            </w:r>
            <w:r w:rsidR="000109D2" w:rsidRPr="00050FA4">
              <w:rPr>
                <w:rFonts w:ascii="Garamond" w:hAnsi="Garamond"/>
                <w:color w:val="0D0D0D" w:themeColor="text1" w:themeTint="F2"/>
                <w:sz w:val="18"/>
                <w:szCs w:val="18"/>
              </w:rPr>
              <w:t>COVID</w:t>
            </w:r>
            <w:r w:rsidRPr="00050FA4">
              <w:rPr>
                <w:rFonts w:ascii="Garamond" w:hAnsi="Garamond"/>
                <w:color w:val="0D0D0D" w:themeColor="text1" w:themeTint="F2"/>
                <w:sz w:val="18"/>
                <w:szCs w:val="18"/>
              </w:rPr>
              <w:t>-19.</w:t>
            </w:r>
          </w:p>
        </w:tc>
        <w:tc>
          <w:tcPr>
            <w:tcW w:w="1985" w:type="dxa"/>
            <w:tcBorders>
              <w:top w:val="single" w:sz="4" w:space="0" w:color="auto"/>
              <w:left w:val="single" w:sz="4" w:space="0" w:color="auto"/>
              <w:bottom w:val="single" w:sz="4" w:space="0" w:color="auto"/>
              <w:right w:val="single" w:sz="4" w:space="0" w:color="auto"/>
            </w:tcBorders>
            <w:hideMark/>
          </w:tcPr>
          <w:p w14:paraId="2E635100" w14:textId="77777777" w:rsidR="0089011F" w:rsidRPr="00050FA4" w:rsidRDefault="0089011F" w:rsidP="00CD12A9">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3</w:t>
            </w:r>
          </w:p>
        </w:tc>
      </w:tr>
      <w:tr w:rsidR="00FA29AB" w:rsidRPr="00050FA4" w14:paraId="3AE215CC" w14:textId="77777777" w:rsidTr="00CD12A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B7396" w14:textId="77777777" w:rsidR="0089011F" w:rsidRPr="00050FA4" w:rsidRDefault="0089011F" w:rsidP="00A250C1">
            <w:pPr>
              <w:rPr>
                <w:rFonts w:ascii="Garamond" w:hAnsi="Garamond"/>
                <w:color w:val="0D0D0D" w:themeColor="text1" w:themeTint="F2"/>
                <w:sz w:val="18"/>
                <w:szCs w:val="18"/>
              </w:rPr>
            </w:pPr>
          </w:p>
        </w:tc>
        <w:tc>
          <w:tcPr>
            <w:tcW w:w="6777" w:type="dxa"/>
            <w:tcBorders>
              <w:top w:val="single" w:sz="4" w:space="0" w:color="auto"/>
              <w:left w:val="single" w:sz="4" w:space="0" w:color="auto"/>
              <w:bottom w:val="single" w:sz="4" w:space="0" w:color="auto"/>
              <w:right w:val="single" w:sz="4" w:space="0" w:color="auto"/>
            </w:tcBorders>
            <w:hideMark/>
          </w:tcPr>
          <w:p w14:paraId="6F3DF830" w14:textId="77777777" w:rsidR="0089011F" w:rsidRPr="00050FA4" w:rsidRDefault="0089011F" w:rsidP="00A250C1">
            <w:pPr>
              <w:pStyle w:val="NormalWeb"/>
              <w:spacing w:before="0" w:beforeAutospacing="0" w:after="0" w:afterAutospacing="0"/>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Gjatë këtij viti janë miratuar:</w:t>
            </w:r>
          </w:p>
          <w:p w14:paraId="37673A35" w14:textId="7B35EC9F" w:rsidR="0089011F" w:rsidRPr="00050FA4" w:rsidRDefault="00FA4DC6" w:rsidP="00A250C1">
            <w:pPr>
              <w:pStyle w:val="NormalWeb"/>
              <w:numPr>
                <w:ilvl w:val="0"/>
                <w:numId w:val="107"/>
              </w:numPr>
              <w:spacing w:before="0" w:beforeAutospacing="0" w:after="0" w:afterAutospacing="0"/>
              <w:ind w:left="0" w:firstLine="0"/>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w:t>
            </w:r>
            <w:r w:rsidR="0089011F" w:rsidRPr="00050FA4">
              <w:rPr>
                <w:rFonts w:ascii="Garamond" w:hAnsi="Garamond"/>
                <w:color w:val="0D0D0D" w:themeColor="text1" w:themeTint="F2"/>
                <w:sz w:val="18"/>
                <w:szCs w:val="18"/>
              </w:rPr>
              <w:t>Agjenda Kombëtare për të Drejtat e Fëmijëve, 2021</w:t>
            </w:r>
            <w:r w:rsidR="000109D2" w:rsidRPr="00050FA4">
              <w:rPr>
                <w:rFonts w:ascii="Garamond" w:hAnsi="Garamond"/>
                <w:color w:val="0D0D0D" w:themeColor="text1" w:themeTint="F2"/>
                <w:sz w:val="18"/>
                <w:szCs w:val="18"/>
              </w:rPr>
              <w:t>–</w:t>
            </w:r>
            <w:r w:rsidR="0089011F" w:rsidRPr="00050FA4">
              <w:rPr>
                <w:rFonts w:ascii="Garamond" w:hAnsi="Garamond"/>
                <w:color w:val="0D0D0D" w:themeColor="text1" w:themeTint="F2"/>
                <w:sz w:val="18"/>
                <w:szCs w:val="18"/>
              </w:rPr>
              <w:t>2026.</w:t>
            </w:r>
          </w:p>
          <w:p w14:paraId="0E30DBE6" w14:textId="59B0F29C" w:rsidR="0089011F" w:rsidRPr="00050FA4" w:rsidRDefault="00FA4DC6" w:rsidP="00A250C1">
            <w:pPr>
              <w:pStyle w:val="NormalWeb"/>
              <w:numPr>
                <w:ilvl w:val="0"/>
                <w:numId w:val="107"/>
              </w:numPr>
              <w:spacing w:before="0" w:beforeAutospacing="0" w:after="0" w:afterAutospacing="0"/>
              <w:ind w:left="0" w:firstLine="0"/>
              <w:jc w:val="both"/>
              <w:rPr>
                <w:rFonts w:ascii="Garamond" w:hAnsi="Garamond"/>
                <w:color w:val="0D0D0D" w:themeColor="text1" w:themeTint="F2"/>
                <w:sz w:val="18"/>
                <w:szCs w:val="18"/>
              </w:rPr>
            </w:pPr>
            <w:r w:rsidRPr="00050FA4">
              <w:rPr>
                <w:rFonts w:ascii="Garamond" w:hAnsi="Garamond"/>
                <w:color w:val="0D0D0D" w:themeColor="text1" w:themeTint="F2"/>
                <w:sz w:val="18"/>
                <w:szCs w:val="18"/>
              </w:rPr>
              <w:t xml:space="preserve">- </w:t>
            </w:r>
            <w:r w:rsidR="0089011F" w:rsidRPr="00050FA4">
              <w:rPr>
                <w:rFonts w:ascii="Garamond" w:hAnsi="Garamond"/>
                <w:color w:val="0D0D0D" w:themeColor="text1" w:themeTint="F2"/>
                <w:sz w:val="18"/>
                <w:szCs w:val="18"/>
              </w:rPr>
              <w:t>Plani i Veprimit për Personat LGBTI+, 2021</w:t>
            </w:r>
            <w:r w:rsidR="000109D2" w:rsidRPr="00050FA4">
              <w:rPr>
                <w:rFonts w:ascii="Garamond" w:hAnsi="Garamond"/>
                <w:color w:val="0D0D0D" w:themeColor="text1" w:themeTint="F2"/>
                <w:sz w:val="18"/>
                <w:szCs w:val="18"/>
              </w:rPr>
              <w:t>–</w:t>
            </w:r>
            <w:r w:rsidR="0089011F" w:rsidRPr="00050FA4">
              <w:rPr>
                <w:rFonts w:ascii="Garamond" w:hAnsi="Garamond"/>
                <w:color w:val="0D0D0D" w:themeColor="text1" w:themeTint="F2"/>
                <w:sz w:val="18"/>
                <w:szCs w:val="18"/>
              </w:rPr>
              <w:t>2027.</w:t>
            </w:r>
          </w:p>
          <w:p w14:paraId="0370B577" w14:textId="490E2109" w:rsidR="0089011F" w:rsidRPr="00050FA4" w:rsidRDefault="00FA4DC6" w:rsidP="00A250C1">
            <w:pPr>
              <w:pStyle w:val="ListParagraph"/>
              <w:numPr>
                <w:ilvl w:val="0"/>
                <w:numId w:val="107"/>
              </w:numPr>
              <w:ind w:left="0" w:firstLine="0"/>
              <w:rPr>
                <w:rFonts w:ascii="Garamond" w:hAnsi="Garamond"/>
                <w:color w:val="0D0D0D" w:themeColor="text1" w:themeTint="F2"/>
                <w:sz w:val="18"/>
                <w:szCs w:val="18"/>
                <w:lang w:val="sq-AL"/>
              </w:rPr>
            </w:pPr>
            <w:r w:rsidRPr="00050FA4">
              <w:rPr>
                <w:rFonts w:ascii="Garamond" w:hAnsi="Garamond"/>
                <w:color w:val="0D0D0D" w:themeColor="text1" w:themeTint="F2"/>
                <w:sz w:val="18"/>
                <w:szCs w:val="18"/>
                <w:lang w:val="sq-AL"/>
              </w:rPr>
              <w:t xml:space="preserve">- </w:t>
            </w:r>
            <w:r w:rsidR="0089011F" w:rsidRPr="00050FA4">
              <w:rPr>
                <w:rFonts w:ascii="Garamond" w:hAnsi="Garamond"/>
                <w:color w:val="0D0D0D" w:themeColor="text1" w:themeTint="F2"/>
                <w:sz w:val="18"/>
                <w:szCs w:val="18"/>
                <w:lang w:val="sq-AL"/>
              </w:rPr>
              <w:t>Plani Kombëtar i Veprimit për Barazi, Përfshirje dhe Pjesëmarrjen e Romëve dhe Egjiptianëve 2021-2025</w:t>
            </w:r>
            <w:r w:rsidR="008A0E5B" w:rsidRPr="00050FA4">
              <w:rPr>
                <w:rFonts w:ascii="Garamond" w:hAnsi="Garamond"/>
                <w:color w:val="0D0D0D" w:themeColor="text1" w:themeTint="F2"/>
                <w:sz w:val="18"/>
                <w:szCs w:val="18"/>
                <w:lang w:val="sq-AL"/>
              </w:rPr>
              <w:t>”</w:t>
            </w:r>
            <w:r w:rsidR="0089011F" w:rsidRPr="00050FA4">
              <w:rPr>
                <w:rFonts w:ascii="Garamond" w:hAnsi="Garamond"/>
                <w:color w:val="0D0D0D" w:themeColor="text1" w:themeTint="F2"/>
                <w:sz w:val="18"/>
                <w:szCs w:val="18"/>
                <w:lang w:val="sq-AL"/>
              </w:rPr>
              <w:t>.</w:t>
            </w:r>
          </w:p>
          <w:p w14:paraId="6FDF49D2" w14:textId="7A7F3B10" w:rsidR="0089011F" w:rsidRPr="00050FA4" w:rsidRDefault="00FA4DC6" w:rsidP="00A250C1">
            <w:pPr>
              <w:pStyle w:val="ListParagraph"/>
              <w:numPr>
                <w:ilvl w:val="0"/>
                <w:numId w:val="107"/>
              </w:numPr>
              <w:ind w:left="0" w:firstLine="0"/>
              <w:rPr>
                <w:rFonts w:ascii="Garamond" w:hAnsi="Garamond"/>
                <w:color w:val="0D0D0D" w:themeColor="text1" w:themeTint="F2"/>
                <w:sz w:val="18"/>
                <w:szCs w:val="18"/>
                <w:lang w:val="sq-AL"/>
              </w:rPr>
            </w:pPr>
            <w:r w:rsidRPr="00050FA4">
              <w:rPr>
                <w:rFonts w:ascii="Garamond" w:hAnsi="Garamond"/>
                <w:color w:val="0D0D0D" w:themeColor="text1" w:themeTint="F2"/>
                <w:sz w:val="18"/>
                <w:szCs w:val="18"/>
                <w:lang w:val="sq-AL"/>
              </w:rPr>
              <w:t xml:space="preserve">- </w:t>
            </w:r>
            <w:r w:rsidR="0089011F" w:rsidRPr="00050FA4">
              <w:rPr>
                <w:rFonts w:ascii="Garamond" w:hAnsi="Garamond"/>
                <w:color w:val="0D0D0D" w:themeColor="text1" w:themeTint="F2"/>
                <w:sz w:val="18"/>
                <w:szCs w:val="18"/>
                <w:lang w:val="sq-AL"/>
              </w:rPr>
              <w:t>Strategjia Kombëtare për Barazinë Gjinore, 2021</w:t>
            </w:r>
            <w:r w:rsidR="000109D2" w:rsidRPr="00050FA4">
              <w:rPr>
                <w:rFonts w:ascii="Garamond" w:hAnsi="Garamond"/>
                <w:color w:val="0D0D0D" w:themeColor="text1" w:themeTint="F2"/>
                <w:sz w:val="18"/>
                <w:szCs w:val="18"/>
                <w:lang w:val="sq-AL"/>
              </w:rPr>
              <w:t>–</w:t>
            </w:r>
            <w:r w:rsidR="0089011F" w:rsidRPr="00050FA4">
              <w:rPr>
                <w:rFonts w:ascii="Garamond" w:hAnsi="Garamond"/>
                <w:color w:val="0D0D0D" w:themeColor="text1" w:themeTint="F2"/>
                <w:sz w:val="18"/>
                <w:szCs w:val="18"/>
                <w:lang w:val="sq-AL"/>
              </w:rPr>
              <w:t>2030</w:t>
            </w:r>
          </w:p>
        </w:tc>
        <w:tc>
          <w:tcPr>
            <w:tcW w:w="1985" w:type="dxa"/>
            <w:tcBorders>
              <w:top w:val="single" w:sz="4" w:space="0" w:color="auto"/>
              <w:left w:val="single" w:sz="4" w:space="0" w:color="auto"/>
              <w:bottom w:val="single" w:sz="4" w:space="0" w:color="auto"/>
              <w:right w:val="single" w:sz="4" w:space="0" w:color="auto"/>
            </w:tcBorders>
            <w:hideMark/>
          </w:tcPr>
          <w:p w14:paraId="64200163" w14:textId="77777777" w:rsidR="0089011F" w:rsidRPr="00050FA4" w:rsidRDefault="0089011F" w:rsidP="00CD12A9">
            <w:pPr>
              <w:jc w:val="center"/>
              <w:rPr>
                <w:rFonts w:ascii="Garamond" w:hAnsi="Garamond"/>
                <w:color w:val="0D0D0D" w:themeColor="text1" w:themeTint="F2"/>
                <w:sz w:val="18"/>
                <w:szCs w:val="18"/>
              </w:rPr>
            </w:pPr>
            <w:r w:rsidRPr="00050FA4">
              <w:rPr>
                <w:rFonts w:ascii="Garamond" w:hAnsi="Garamond"/>
                <w:color w:val="0D0D0D" w:themeColor="text1" w:themeTint="F2"/>
                <w:sz w:val="18"/>
                <w:szCs w:val="18"/>
              </w:rPr>
              <w:t>5</w:t>
            </w:r>
          </w:p>
        </w:tc>
      </w:tr>
    </w:tbl>
    <w:p w14:paraId="4E3644E6" w14:textId="77777777" w:rsidR="0089011F" w:rsidRPr="00050FA4" w:rsidRDefault="0089011F" w:rsidP="003F1DA7">
      <w:pPr>
        <w:snapToGrid w:val="0"/>
        <w:ind w:firstLine="284"/>
        <w:rPr>
          <w:rFonts w:ascii="Garamond" w:hAnsi="Garamond" w:cstheme="majorBidi"/>
          <w:color w:val="0D0D0D" w:themeColor="text1" w:themeTint="F2"/>
          <w:sz w:val="20"/>
          <w:szCs w:val="20"/>
        </w:rPr>
      </w:pPr>
    </w:p>
    <w:tbl>
      <w:tblPr>
        <w:tblStyle w:val="TableGrid"/>
        <w:tblW w:w="10485" w:type="dxa"/>
        <w:jc w:val="center"/>
        <w:tblLook w:val="04A0" w:firstRow="1" w:lastRow="0" w:firstColumn="1" w:lastColumn="0" w:noHBand="0" w:noVBand="1"/>
      </w:tblPr>
      <w:tblGrid>
        <w:gridCol w:w="1723"/>
        <w:gridCol w:w="6777"/>
        <w:gridCol w:w="1985"/>
      </w:tblGrid>
      <w:tr w:rsidR="00FA29AB" w:rsidRPr="00050FA4" w14:paraId="4D972C88" w14:textId="77777777" w:rsidTr="00CD12A9">
        <w:trPr>
          <w:jc w:val="center"/>
        </w:trPr>
        <w:tc>
          <w:tcPr>
            <w:tcW w:w="8500" w:type="dxa"/>
            <w:gridSpan w:val="2"/>
            <w:shd w:val="clear" w:color="auto" w:fill="E5DFEC" w:themeFill="accent4" w:themeFillTint="33"/>
          </w:tcPr>
          <w:p w14:paraId="090231BE" w14:textId="6B3D5A4A" w:rsidR="00630CC2" w:rsidRPr="00050FA4" w:rsidRDefault="00630CC2" w:rsidP="00A250C1">
            <w:pPr>
              <w:pStyle w:val="Heading5"/>
              <w:snapToGrid w:val="0"/>
              <w:ind w:left="0"/>
              <w:jc w:val="both"/>
              <w:outlineLvl w:val="4"/>
              <w:rPr>
                <w:rFonts w:ascii="Garamond" w:hAnsi="Garamond" w:cstheme="majorBidi"/>
                <w:i w:val="0"/>
                <w:iCs/>
                <w:color w:val="0D0D0D" w:themeColor="text1" w:themeTint="F2"/>
                <w:sz w:val="18"/>
                <w:szCs w:val="18"/>
              </w:rPr>
            </w:pPr>
            <w:r w:rsidRPr="00050FA4">
              <w:rPr>
                <w:rFonts w:ascii="Garamond" w:hAnsi="Garamond" w:cstheme="majorBidi"/>
                <w:i w:val="0"/>
                <w:iCs/>
                <w:color w:val="0D0D0D" w:themeColor="text1" w:themeTint="F2"/>
                <w:sz w:val="18"/>
                <w:szCs w:val="18"/>
              </w:rPr>
              <w:t>Masa e reformës: Përmirësimi i punësueshmërisë së punëkërkuesve të papunë më vulnerabël, veçanërisht atyre të prekur nga COVID-19, përmes PNP-ve dhe shërbimeve të punësimit të reja dhe të rishikuara</w:t>
            </w:r>
          </w:p>
        </w:tc>
        <w:tc>
          <w:tcPr>
            <w:tcW w:w="1985" w:type="dxa"/>
            <w:shd w:val="clear" w:color="auto" w:fill="E5DFEC" w:themeFill="accent4" w:themeFillTint="33"/>
          </w:tcPr>
          <w:p w14:paraId="56852988" w14:textId="346EFD81" w:rsidR="00630CC2" w:rsidRPr="00050FA4" w:rsidRDefault="00630CC2" w:rsidP="00CD12A9">
            <w:pPr>
              <w:rPr>
                <w:rFonts w:ascii="Garamond" w:hAnsi="Garamond" w:cstheme="majorBidi"/>
                <w:b/>
                <w:bCs/>
                <w:color w:val="0D0D0D" w:themeColor="text1" w:themeTint="F2"/>
                <w:sz w:val="18"/>
                <w:szCs w:val="18"/>
              </w:rPr>
            </w:pPr>
            <w:r w:rsidRPr="00050FA4">
              <w:rPr>
                <w:rFonts w:ascii="Garamond" w:hAnsi="Garamond" w:cstheme="majorBidi"/>
                <w:b/>
                <w:bCs/>
                <w:color w:val="0D0D0D" w:themeColor="text1" w:themeTint="F2"/>
                <w:sz w:val="18"/>
                <w:szCs w:val="18"/>
              </w:rPr>
              <w:t xml:space="preserve">Faza e zbatimit të reformës </w:t>
            </w:r>
            <w:r w:rsidR="00CD12A9" w:rsidRPr="00050FA4">
              <w:rPr>
                <w:rFonts w:ascii="Garamond" w:hAnsi="Garamond"/>
                <w:b/>
                <w:bCs/>
                <w:color w:val="0D0D0D" w:themeColor="text1" w:themeTint="F2"/>
                <w:sz w:val="18"/>
                <w:szCs w:val="18"/>
              </w:rPr>
              <w:t>(0–5)</w:t>
            </w:r>
          </w:p>
        </w:tc>
      </w:tr>
      <w:tr w:rsidR="00FA29AB" w:rsidRPr="00050FA4" w14:paraId="1518F3A6" w14:textId="77777777" w:rsidTr="00CD12A9">
        <w:trPr>
          <w:trHeight w:val="414"/>
          <w:jc w:val="center"/>
        </w:trPr>
        <w:tc>
          <w:tcPr>
            <w:tcW w:w="1723" w:type="dxa"/>
            <w:vMerge w:val="restart"/>
            <w:vAlign w:val="center"/>
          </w:tcPr>
          <w:p w14:paraId="3B944D5A" w14:textId="77777777" w:rsidR="00630CC2" w:rsidRPr="00050FA4" w:rsidRDefault="00630CC2" w:rsidP="00A250C1">
            <w:pP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Aktivitetet e planifikuara për vitin 2021</w:t>
            </w:r>
          </w:p>
        </w:tc>
        <w:tc>
          <w:tcPr>
            <w:tcW w:w="6777" w:type="dxa"/>
            <w:shd w:val="clear" w:color="auto" w:fill="auto"/>
          </w:tcPr>
          <w:p w14:paraId="43683768" w14:textId="77777777" w:rsidR="00630CC2" w:rsidRPr="00050FA4" w:rsidRDefault="00630CC2" w:rsidP="00A250C1">
            <w:pPr>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Vazhdimi i operacionalizimit të funksioneve të AKPA-s dhe mbështetjes së kapaciteteve për stafin e AKPA-s në të gjitha nivelet.</w:t>
            </w:r>
          </w:p>
        </w:tc>
        <w:tc>
          <w:tcPr>
            <w:tcW w:w="1985" w:type="dxa"/>
            <w:shd w:val="clear" w:color="auto" w:fill="auto"/>
          </w:tcPr>
          <w:p w14:paraId="10227616"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w:t>
            </w:r>
          </w:p>
        </w:tc>
      </w:tr>
      <w:tr w:rsidR="00FA29AB" w:rsidRPr="00050FA4" w14:paraId="2FB84AC3" w14:textId="77777777" w:rsidTr="00CD12A9">
        <w:trPr>
          <w:trHeight w:val="278"/>
          <w:jc w:val="center"/>
        </w:trPr>
        <w:tc>
          <w:tcPr>
            <w:tcW w:w="1723" w:type="dxa"/>
            <w:vMerge/>
            <w:vAlign w:val="center"/>
          </w:tcPr>
          <w:p w14:paraId="7947EFFB"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57CE77BA" w14:textId="77777777" w:rsidR="00630CC2" w:rsidRPr="00050FA4" w:rsidRDefault="00630CC2" w:rsidP="00A250C1">
            <w:pPr>
              <w:jc w:val="both"/>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Finalizimi i sistemit të informacionit të NAES</w:t>
            </w:r>
          </w:p>
        </w:tc>
        <w:tc>
          <w:tcPr>
            <w:tcW w:w="1985" w:type="dxa"/>
            <w:shd w:val="clear" w:color="auto" w:fill="auto"/>
          </w:tcPr>
          <w:p w14:paraId="26D40B0A"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w:t>
            </w:r>
          </w:p>
        </w:tc>
      </w:tr>
      <w:tr w:rsidR="00FA29AB" w:rsidRPr="00050FA4" w14:paraId="28134409" w14:textId="77777777" w:rsidTr="00CD12A9">
        <w:trPr>
          <w:trHeight w:val="251"/>
          <w:jc w:val="center"/>
        </w:trPr>
        <w:tc>
          <w:tcPr>
            <w:tcW w:w="1723" w:type="dxa"/>
            <w:vMerge/>
            <w:vAlign w:val="center"/>
          </w:tcPr>
          <w:p w14:paraId="4C18E34C"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71D4A6E2" w14:textId="77777777"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Profilizimi i punëkërkuesve dhe zhvillimi i planeve individuale të punësimit.</w:t>
            </w:r>
          </w:p>
        </w:tc>
        <w:tc>
          <w:tcPr>
            <w:tcW w:w="1985" w:type="dxa"/>
            <w:shd w:val="clear" w:color="auto" w:fill="auto"/>
          </w:tcPr>
          <w:p w14:paraId="061328DC"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w:t>
            </w:r>
          </w:p>
        </w:tc>
      </w:tr>
      <w:tr w:rsidR="00FA29AB" w:rsidRPr="00050FA4" w14:paraId="00EA130B" w14:textId="77777777" w:rsidTr="00CD12A9">
        <w:trPr>
          <w:trHeight w:val="414"/>
          <w:jc w:val="center"/>
        </w:trPr>
        <w:tc>
          <w:tcPr>
            <w:tcW w:w="1723" w:type="dxa"/>
            <w:vMerge/>
            <w:vAlign w:val="center"/>
          </w:tcPr>
          <w:p w14:paraId="0625C505"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720409AF" w14:textId="74583C2F"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Zbatimi i programeve të nxitjes së punësimit të fokusuar në programet e dedikuara për COVID-19</w:t>
            </w:r>
            <w:r w:rsidR="000109D2" w:rsidRPr="00050FA4">
              <w:rPr>
                <w:rFonts w:ascii="Garamond" w:eastAsia="Arial Narrow" w:hAnsi="Garamond" w:cstheme="majorBidi"/>
                <w:color w:val="0D0D0D" w:themeColor="text1" w:themeTint="F2"/>
                <w:sz w:val="18"/>
                <w:szCs w:val="18"/>
              </w:rPr>
              <w:t>,</w:t>
            </w:r>
            <w:r w:rsidRPr="00050FA4">
              <w:rPr>
                <w:rFonts w:ascii="Garamond" w:eastAsia="Arial Narrow" w:hAnsi="Garamond" w:cstheme="majorBidi"/>
                <w:color w:val="0D0D0D" w:themeColor="text1" w:themeTint="F2"/>
                <w:sz w:val="18"/>
                <w:szCs w:val="18"/>
              </w:rPr>
              <w:t xml:space="preserve"> që synojnë mbështetjen dhe aktivizimin e grupeve më vulnerabël dhe numri i punëkërkuesve të regjistruar të papunë që përfitojnë nga programet e nxitjes së punësimit synohet të arrijë në 6.7%.</w:t>
            </w:r>
          </w:p>
        </w:tc>
        <w:tc>
          <w:tcPr>
            <w:tcW w:w="1985" w:type="dxa"/>
            <w:shd w:val="clear" w:color="auto" w:fill="auto"/>
          </w:tcPr>
          <w:p w14:paraId="1FF4799C"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4</w:t>
            </w:r>
          </w:p>
        </w:tc>
      </w:tr>
      <w:tr w:rsidR="00FA29AB" w:rsidRPr="00050FA4" w14:paraId="3D7C598A" w14:textId="77777777" w:rsidTr="00CD12A9">
        <w:trPr>
          <w:trHeight w:val="415"/>
          <w:jc w:val="center"/>
        </w:trPr>
        <w:tc>
          <w:tcPr>
            <w:tcW w:w="1723" w:type="dxa"/>
            <w:vMerge/>
            <w:vAlign w:val="center"/>
          </w:tcPr>
          <w:p w14:paraId="2EE93768"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43FF6347" w14:textId="7809DE64"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Hartimi i programit të garancisë për të rinjtë (VKM)</w:t>
            </w:r>
            <w:r w:rsidR="000109D2" w:rsidRPr="00050FA4">
              <w:rPr>
                <w:rFonts w:ascii="Garamond" w:eastAsia="Arial Narrow" w:hAnsi="Garamond" w:cstheme="majorBidi"/>
                <w:color w:val="0D0D0D" w:themeColor="text1" w:themeTint="F2"/>
                <w:sz w:val="18"/>
                <w:szCs w:val="18"/>
              </w:rPr>
              <w:t>,</w:t>
            </w:r>
            <w:r w:rsidRPr="00050FA4">
              <w:rPr>
                <w:rFonts w:ascii="Garamond" w:eastAsia="Arial Narrow" w:hAnsi="Garamond" w:cstheme="majorBidi"/>
                <w:color w:val="0D0D0D" w:themeColor="text1" w:themeTint="F2"/>
                <w:sz w:val="18"/>
                <w:szCs w:val="18"/>
              </w:rPr>
              <w:t xml:space="preserve"> që synon papunësinë e të rinjve veçanërisht NEET.</w:t>
            </w:r>
          </w:p>
        </w:tc>
        <w:tc>
          <w:tcPr>
            <w:tcW w:w="1985" w:type="dxa"/>
            <w:shd w:val="clear" w:color="auto" w:fill="auto"/>
          </w:tcPr>
          <w:p w14:paraId="37907F9C"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w:t>
            </w:r>
          </w:p>
        </w:tc>
      </w:tr>
      <w:tr w:rsidR="00FA29AB" w:rsidRPr="00050FA4" w14:paraId="370FC52B" w14:textId="77777777" w:rsidTr="000109D2">
        <w:trPr>
          <w:trHeight w:val="332"/>
          <w:jc w:val="center"/>
        </w:trPr>
        <w:tc>
          <w:tcPr>
            <w:tcW w:w="1723" w:type="dxa"/>
            <w:vMerge/>
          </w:tcPr>
          <w:p w14:paraId="6683E31D"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6CACC386" w14:textId="77777777"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Zbatimi i marrëveshjeve të nënshkruara me komunat në zonat e pambuluara.</w:t>
            </w:r>
          </w:p>
        </w:tc>
        <w:tc>
          <w:tcPr>
            <w:tcW w:w="1985" w:type="dxa"/>
            <w:shd w:val="clear" w:color="auto" w:fill="auto"/>
          </w:tcPr>
          <w:p w14:paraId="3AD5CC6A"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5</w:t>
            </w:r>
          </w:p>
        </w:tc>
      </w:tr>
      <w:tr w:rsidR="00FA29AB" w:rsidRPr="00050FA4" w14:paraId="631B3FC4" w14:textId="77777777" w:rsidTr="00CD12A9">
        <w:trPr>
          <w:trHeight w:val="415"/>
          <w:jc w:val="center"/>
        </w:trPr>
        <w:tc>
          <w:tcPr>
            <w:tcW w:w="1723" w:type="dxa"/>
            <w:vMerge/>
          </w:tcPr>
          <w:p w14:paraId="730BC11C"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24FC3BBF" w14:textId="77777777"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Ndërmarrja e një analize të nevojave për aftësi.</w:t>
            </w:r>
          </w:p>
        </w:tc>
        <w:tc>
          <w:tcPr>
            <w:tcW w:w="1985" w:type="dxa"/>
            <w:shd w:val="clear" w:color="auto" w:fill="auto"/>
          </w:tcPr>
          <w:p w14:paraId="7B8CC980"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2</w:t>
            </w:r>
          </w:p>
        </w:tc>
      </w:tr>
      <w:tr w:rsidR="00FA29AB" w:rsidRPr="00050FA4" w14:paraId="56FE630F" w14:textId="77777777" w:rsidTr="00CD12A9">
        <w:trPr>
          <w:trHeight w:val="611"/>
          <w:jc w:val="center"/>
        </w:trPr>
        <w:tc>
          <w:tcPr>
            <w:tcW w:w="1723" w:type="dxa"/>
            <w:vMerge/>
          </w:tcPr>
          <w:p w14:paraId="276A1D3E"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2CF0A19A" w14:textId="0606C696"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 xml:space="preserve">Maksimizimi i ndërveprimit dhe përmirësimi i synimit të politikave aktive të tregut të punës dhe zbatimi i paketës së përgatitur të reformës së Arsimit dhe Formimit Profesional, duke përfshirë aftësimin dhe rikualifikimin, përmes një sistemi referimi për ndjekjen e </w:t>
            </w:r>
            <w:r w:rsidRPr="00050FA4">
              <w:rPr>
                <w:rFonts w:ascii="Garamond" w:eastAsia="Arial Narrow" w:hAnsi="Garamond" w:cstheme="majorBidi"/>
                <w:color w:val="0D0D0D" w:themeColor="text1" w:themeTint="F2"/>
                <w:sz w:val="18"/>
                <w:szCs w:val="18"/>
              </w:rPr>
              <w:lastRenderedPageBreak/>
              <w:t xml:space="preserve">punëkërkuesve që marrin shërbime të formimit profesional, ndërmjetësim në punë ose programe të nxitjes së punësimit, brenda Kurse </w:t>
            </w:r>
            <w:r w:rsidR="008A0E5B" w:rsidRPr="00050FA4">
              <w:rPr>
                <w:rFonts w:ascii="Garamond" w:eastAsia="Arial Narrow" w:hAnsi="Garamond" w:cstheme="majorBidi"/>
                <w:color w:val="0D0D0D" w:themeColor="text1" w:themeTint="F2"/>
                <w:sz w:val="18"/>
                <w:szCs w:val="18"/>
              </w:rPr>
              <w:t>“</w:t>
            </w:r>
            <w:r w:rsidRPr="00050FA4">
              <w:rPr>
                <w:rFonts w:ascii="Garamond" w:eastAsia="Arial Narrow" w:hAnsi="Garamond" w:cstheme="majorBidi"/>
                <w:color w:val="0D0D0D" w:themeColor="text1" w:themeTint="F2"/>
                <w:sz w:val="18"/>
                <w:szCs w:val="18"/>
              </w:rPr>
              <w:t>Start Smart</w:t>
            </w:r>
            <w:r w:rsidR="008A0E5B" w:rsidRPr="00050FA4">
              <w:rPr>
                <w:rFonts w:ascii="Garamond" w:eastAsia="Arial Narrow" w:hAnsi="Garamond" w:cstheme="majorBidi"/>
                <w:color w:val="0D0D0D" w:themeColor="text1" w:themeTint="F2"/>
                <w:sz w:val="18"/>
                <w:szCs w:val="18"/>
              </w:rPr>
              <w:t>”</w:t>
            </w:r>
            <w:r w:rsidRPr="00050FA4">
              <w:rPr>
                <w:rFonts w:ascii="Garamond" w:eastAsia="Arial Narrow" w:hAnsi="Garamond" w:cstheme="majorBidi"/>
                <w:color w:val="0D0D0D" w:themeColor="text1" w:themeTint="F2"/>
                <w:sz w:val="18"/>
                <w:szCs w:val="18"/>
              </w:rPr>
              <w:t xml:space="preserve"> dhe/ose kurse formimi profesional.</w:t>
            </w:r>
          </w:p>
        </w:tc>
        <w:tc>
          <w:tcPr>
            <w:tcW w:w="1985" w:type="dxa"/>
            <w:shd w:val="clear" w:color="auto" w:fill="auto"/>
          </w:tcPr>
          <w:p w14:paraId="26744EC3"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lastRenderedPageBreak/>
              <w:t>4</w:t>
            </w:r>
          </w:p>
        </w:tc>
      </w:tr>
      <w:tr w:rsidR="00FA29AB" w:rsidRPr="00050FA4" w14:paraId="4DCC6DD2" w14:textId="77777777" w:rsidTr="00CD12A9">
        <w:trPr>
          <w:trHeight w:val="415"/>
          <w:jc w:val="center"/>
        </w:trPr>
        <w:tc>
          <w:tcPr>
            <w:tcW w:w="1723" w:type="dxa"/>
            <w:vMerge/>
          </w:tcPr>
          <w:p w14:paraId="782B1694" w14:textId="77777777" w:rsidR="00630CC2" w:rsidRPr="00050FA4" w:rsidRDefault="00630CC2" w:rsidP="00A250C1">
            <w:pPr>
              <w:rPr>
                <w:rFonts w:ascii="Garamond" w:hAnsi="Garamond" w:cstheme="majorBidi"/>
                <w:color w:val="0D0D0D" w:themeColor="text1" w:themeTint="F2"/>
                <w:sz w:val="18"/>
                <w:szCs w:val="18"/>
              </w:rPr>
            </w:pPr>
          </w:p>
        </w:tc>
        <w:tc>
          <w:tcPr>
            <w:tcW w:w="6777" w:type="dxa"/>
            <w:shd w:val="clear" w:color="auto" w:fill="auto"/>
          </w:tcPr>
          <w:p w14:paraId="280E2DB1" w14:textId="77777777" w:rsidR="00630CC2" w:rsidRPr="00050FA4" w:rsidRDefault="00630CC2" w:rsidP="00A250C1">
            <w:pPr>
              <w:snapToGrid w:val="0"/>
              <w:jc w:val="both"/>
              <w:rPr>
                <w:rFonts w:ascii="Garamond" w:eastAsia="Arial Narrow" w:hAnsi="Garamond" w:cstheme="majorBidi"/>
                <w:color w:val="0D0D0D" w:themeColor="text1" w:themeTint="F2"/>
                <w:sz w:val="18"/>
                <w:szCs w:val="18"/>
              </w:rPr>
            </w:pPr>
            <w:r w:rsidRPr="00050FA4">
              <w:rPr>
                <w:rFonts w:ascii="Garamond" w:eastAsia="Arial Narrow" w:hAnsi="Garamond" w:cstheme="majorBidi"/>
                <w:color w:val="0D0D0D" w:themeColor="text1" w:themeTint="F2"/>
                <w:sz w:val="18"/>
                <w:szCs w:val="18"/>
              </w:rPr>
              <w:t>Kryeni një vlerësim të procesit mbi zbatimin e Paketave të Reformuara të Nxitjes së Punësimit (PNP) dhe programeve që trajtojnë kontekstin pas COVID-19.</w:t>
            </w:r>
          </w:p>
        </w:tc>
        <w:tc>
          <w:tcPr>
            <w:tcW w:w="1985" w:type="dxa"/>
            <w:shd w:val="clear" w:color="auto" w:fill="auto"/>
          </w:tcPr>
          <w:p w14:paraId="42FBB7F1" w14:textId="77777777" w:rsidR="00630CC2" w:rsidRPr="00050FA4" w:rsidRDefault="00630CC2" w:rsidP="00CD12A9">
            <w:pPr>
              <w:jc w:val="center"/>
              <w:rPr>
                <w:rFonts w:ascii="Garamond" w:hAnsi="Garamond" w:cstheme="majorBidi"/>
                <w:color w:val="0D0D0D" w:themeColor="text1" w:themeTint="F2"/>
                <w:sz w:val="18"/>
                <w:szCs w:val="18"/>
              </w:rPr>
            </w:pPr>
            <w:r w:rsidRPr="00050FA4">
              <w:rPr>
                <w:rFonts w:ascii="Garamond" w:hAnsi="Garamond" w:cstheme="majorBidi"/>
                <w:color w:val="0D0D0D" w:themeColor="text1" w:themeTint="F2"/>
                <w:sz w:val="18"/>
                <w:szCs w:val="18"/>
              </w:rPr>
              <w:t>3</w:t>
            </w:r>
          </w:p>
        </w:tc>
      </w:tr>
    </w:tbl>
    <w:p w14:paraId="6879AFB1" w14:textId="77777777" w:rsidR="00E06E0F" w:rsidRPr="00050FA4" w:rsidRDefault="00E06E0F" w:rsidP="003F1DA7">
      <w:pPr>
        <w:snapToGrid w:val="0"/>
        <w:ind w:firstLine="284"/>
        <w:rPr>
          <w:rFonts w:ascii="Garamond" w:hAnsi="Garamond" w:cstheme="majorBidi"/>
          <w:color w:val="0D0D0D" w:themeColor="text1" w:themeTint="F2"/>
          <w:sz w:val="22"/>
          <w:szCs w:val="22"/>
        </w:rPr>
        <w:sectPr w:rsidR="00E06E0F" w:rsidRPr="00050FA4" w:rsidSect="00074AFA">
          <w:footerReference w:type="even" r:id="rId75"/>
          <w:footerReference w:type="default" r:id="rId76"/>
          <w:footerReference w:type="first" r:id="rId77"/>
          <w:pgSz w:w="11900" w:h="16840"/>
          <w:pgMar w:top="1080" w:right="1010" w:bottom="900" w:left="990" w:header="567" w:footer="567" w:gutter="0"/>
          <w:cols w:space="708"/>
          <w:docGrid w:linePitch="360"/>
        </w:sectPr>
      </w:pPr>
    </w:p>
    <w:p w14:paraId="0160698B" w14:textId="42F8E093" w:rsidR="00E81A6A" w:rsidRPr="00050FA4" w:rsidRDefault="00C07622" w:rsidP="00CD12A9">
      <w:pPr>
        <w:pStyle w:val="Heading1"/>
        <w:snapToGrid w:val="0"/>
        <w:ind w:left="0" w:firstLine="284"/>
        <w:jc w:val="center"/>
        <w:rPr>
          <w:rFonts w:ascii="Garamond" w:hAnsi="Garamond" w:cstheme="majorBidi"/>
          <w:b w:val="0"/>
          <w:color w:val="0D0D0D" w:themeColor="text1" w:themeTint="F2"/>
        </w:rPr>
      </w:pPr>
      <w:bookmarkStart w:id="146" w:name="_Toc62805607"/>
      <w:bookmarkStart w:id="147" w:name="_Toc93325805"/>
      <w:bookmarkStart w:id="148" w:name="_Toc484076197"/>
      <w:r w:rsidRPr="00050FA4">
        <w:rPr>
          <w:rFonts w:ascii="Garamond" w:hAnsi="Garamond" w:cstheme="majorBidi"/>
          <w:b w:val="0"/>
          <w:color w:val="0D0D0D" w:themeColor="text1" w:themeTint="F2"/>
        </w:rPr>
        <w:lastRenderedPageBreak/>
        <w:t>SHTOJCA</w:t>
      </w:r>
      <w:r w:rsidR="00626FE1" w:rsidRPr="00050FA4">
        <w:rPr>
          <w:rFonts w:ascii="Garamond" w:hAnsi="Garamond" w:cstheme="majorBidi"/>
          <w:b w:val="0"/>
          <w:color w:val="0D0D0D" w:themeColor="text1" w:themeTint="F2"/>
        </w:rPr>
        <w:t xml:space="preserve"> </w:t>
      </w:r>
      <w:r w:rsidR="00DF1828" w:rsidRPr="00050FA4">
        <w:rPr>
          <w:rFonts w:ascii="Garamond" w:hAnsi="Garamond" w:cstheme="majorBidi"/>
          <w:b w:val="0"/>
          <w:color w:val="0D0D0D" w:themeColor="text1" w:themeTint="F2"/>
        </w:rPr>
        <w:t>II</w:t>
      </w:r>
      <w:bookmarkEnd w:id="146"/>
      <w:bookmarkEnd w:id="147"/>
    </w:p>
    <w:p w14:paraId="7C964EE6" w14:textId="77777777" w:rsidR="00F64363" w:rsidRPr="00050FA4" w:rsidRDefault="00F64363" w:rsidP="00CD12A9">
      <w:pPr>
        <w:pStyle w:val="Heading1"/>
        <w:snapToGrid w:val="0"/>
        <w:ind w:left="0" w:firstLine="284"/>
        <w:jc w:val="center"/>
        <w:rPr>
          <w:rFonts w:ascii="Garamond" w:hAnsi="Garamond" w:cstheme="majorBidi"/>
          <w:b w:val="0"/>
          <w:color w:val="0D0D0D" w:themeColor="text1" w:themeTint="F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8"/>
        <w:gridCol w:w="1890"/>
        <w:gridCol w:w="1170"/>
        <w:gridCol w:w="1710"/>
        <w:gridCol w:w="1530"/>
        <w:gridCol w:w="2430"/>
        <w:gridCol w:w="1620"/>
        <w:gridCol w:w="1647"/>
      </w:tblGrid>
      <w:tr w:rsidR="001A2679" w:rsidRPr="00050FA4" w14:paraId="47799934" w14:textId="77777777" w:rsidTr="001A2679">
        <w:trPr>
          <w:cantSplit/>
          <w:trHeight w:val="1134"/>
          <w:jc w:val="center"/>
        </w:trPr>
        <w:tc>
          <w:tcPr>
            <w:tcW w:w="3618" w:type="dxa"/>
            <w:shd w:val="clear" w:color="auto" w:fill="auto"/>
            <w:vAlign w:val="center"/>
            <w:hideMark/>
          </w:tcPr>
          <w:p w14:paraId="1CBCF384" w14:textId="080B28C8" w:rsidR="00F41347" w:rsidRPr="00050FA4" w:rsidRDefault="00F41347" w:rsidP="001A2679">
            <w:pPr>
              <w:jc w:val="center"/>
              <w:rPr>
                <w:rFonts w:ascii="Garamond" w:hAnsi="Garamond"/>
                <w:b/>
                <w:sz w:val="18"/>
                <w:szCs w:val="18"/>
              </w:rPr>
            </w:pPr>
            <w:r w:rsidRPr="00050FA4">
              <w:rPr>
                <w:rFonts w:ascii="Garamond" w:hAnsi="Garamond"/>
                <w:b/>
                <w:sz w:val="18"/>
                <w:szCs w:val="18"/>
              </w:rPr>
              <w:t>Masat e reformës in ERP 2021</w:t>
            </w:r>
            <w:r w:rsidR="005A330C" w:rsidRPr="00050FA4">
              <w:rPr>
                <w:rFonts w:ascii="Garamond" w:hAnsi="Garamond"/>
                <w:b/>
                <w:sz w:val="18"/>
                <w:szCs w:val="18"/>
              </w:rPr>
              <w:t>–</w:t>
            </w:r>
            <w:r w:rsidRPr="00050FA4">
              <w:rPr>
                <w:rFonts w:ascii="Garamond" w:hAnsi="Garamond"/>
                <w:b/>
                <w:sz w:val="18"/>
                <w:szCs w:val="18"/>
              </w:rPr>
              <w:t>2023</w:t>
            </w:r>
          </w:p>
        </w:tc>
        <w:tc>
          <w:tcPr>
            <w:tcW w:w="1890" w:type="dxa"/>
            <w:shd w:val="clear" w:color="auto" w:fill="auto"/>
            <w:vAlign w:val="center"/>
            <w:hideMark/>
          </w:tcPr>
          <w:p w14:paraId="17D6D23E" w14:textId="5F0A2941" w:rsidR="00F41347" w:rsidRPr="00050FA4" w:rsidRDefault="00F41347" w:rsidP="001A2679">
            <w:pPr>
              <w:jc w:val="center"/>
              <w:rPr>
                <w:rFonts w:ascii="Garamond" w:hAnsi="Garamond"/>
                <w:b/>
                <w:sz w:val="18"/>
                <w:szCs w:val="18"/>
              </w:rPr>
            </w:pPr>
            <w:r w:rsidRPr="00050FA4">
              <w:rPr>
                <w:rFonts w:ascii="Garamond" w:hAnsi="Garamond"/>
                <w:b/>
                <w:sz w:val="18"/>
                <w:szCs w:val="18"/>
              </w:rPr>
              <w:t>Sfidat kyçe strukturore (</w:t>
            </w:r>
            <w:r w:rsidR="005A330C" w:rsidRPr="00050FA4">
              <w:rPr>
                <w:rFonts w:ascii="Garamond" w:hAnsi="Garamond"/>
                <w:b/>
                <w:sz w:val="18"/>
                <w:szCs w:val="18"/>
              </w:rPr>
              <w:t xml:space="preserve">vlerësimi </w:t>
            </w:r>
            <w:r w:rsidRPr="00050FA4">
              <w:rPr>
                <w:rFonts w:ascii="Garamond" w:hAnsi="Garamond"/>
                <w:b/>
                <w:sz w:val="18"/>
                <w:szCs w:val="18"/>
              </w:rPr>
              <w:t>i KE</w:t>
            </w:r>
            <w:r w:rsidR="005A330C" w:rsidRPr="00050FA4">
              <w:rPr>
                <w:rFonts w:ascii="Garamond" w:hAnsi="Garamond"/>
                <w:b/>
                <w:sz w:val="18"/>
                <w:szCs w:val="18"/>
              </w:rPr>
              <w:t>-së</w:t>
            </w:r>
            <w:r w:rsidRPr="00050FA4">
              <w:rPr>
                <w:rFonts w:ascii="Garamond" w:hAnsi="Garamond"/>
                <w:b/>
                <w:sz w:val="18"/>
                <w:szCs w:val="18"/>
              </w:rPr>
              <w:t xml:space="preserve"> </w:t>
            </w:r>
            <w:r w:rsidR="005A330C" w:rsidRPr="00050FA4">
              <w:rPr>
                <w:rFonts w:ascii="Garamond" w:hAnsi="Garamond"/>
                <w:b/>
                <w:sz w:val="18"/>
                <w:szCs w:val="18"/>
              </w:rPr>
              <w:t>për</w:t>
            </w:r>
            <w:r w:rsidRPr="00050FA4">
              <w:rPr>
                <w:rFonts w:ascii="Garamond" w:hAnsi="Garamond"/>
                <w:b/>
                <w:sz w:val="18"/>
                <w:szCs w:val="18"/>
              </w:rPr>
              <w:t xml:space="preserve"> ERP 2020</w:t>
            </w:r>
            <w:r w:rsidR="005A330C" w:rsidRPr="00050FA4">
              <w:rPr>
                <w:rFonts w:ascii="Garamond" w:hAnsi="Garamond"/>
                <w:b/>
                <w:sz w:val="18"/>
                <w:szCs w:val="18"/>
              </w:rPr>
              <w:t>–</w:t>
            </w:r>
            <w:r w:rsidRPr="00050FA4">
              <w:rPr>
                <w:rFonts w:ascii="Garamond" w:hAnsi="Garamond"/>
                <w:b/>
                <w:sz w:val="18"/>
                <w:szCs w:val="18"/>
              </w:rPr>
              <w:t>2022)</w:t>
            </w:r>
          </w:p>
        </w:tc>
        <w:tc>
          <w:tcPr>
            <w:tcW w:w="1170" w:type="dxa"/>
            <w:shd w:val="clear" w:color="auto" w:fill="auto"/>
            <w:vAlign w:val="center"/>
            <w:hideMark/>
          </w:tcPr>
          <w:p w14:paraId="274C4C59" w14:textId="7749CF13" w:rsidR="00F41347" w:rsidRPr="00050FA4" w:rsidRDefault="00F41347" w:rsidP="005A330C">
            <w:pPr>
              <w:jc w:val="center"/>
              <w:rPr>
                <w:rFonts w:ascii="Garamond" w:hAnsi="Garamond"/>
                <w:b/>
                <w:sz w:val="18"/>
                <w:szCs w:val="18"/>
              </w:rPr>
            </w:pPr>
            <w:r w:rsidRPr="00050FA4">
              <w:rPr>
                <w:rFonts w:ascii="Garamond" w:hAnsi="Garamond"/>
                <w:b/>
                <w:sz w:val="18"/>
                <w:szCs w:val="18"/>
              </w:rPr>
              <w:t>Rekomandimet 2021 t</w:t>
            </w:r>
            <w:r w:rsidR="005A330C" w:rsidRPr="00050FA4">
              <w:rPr>
                <w:rFonts w:ascii="Garamond" w:hAnsi="Garamond"/>
                <w:b/>
                <w:sz w:val="18"/>
                <w:szCs w:val="18"/>
              </w:rPr>
              <w:t>ë</w:t>
            </w:r>
            <w:r w:rsidRPr="00050FA4">
              <w:rPr>
                <w:rFonts w:ascii="Garamond" w:hAnsi="Garamond"/>
                <w:b/>
                <w:sz w:val="18"/>
                <w:szCs w:val="18"/>
              </w:rPr>
              <w:t xml:space="preserve"> ERP</w:t>
            </w:r>
          </w:p>
        </w:tc>
        <w:tc>
          <w:tcPr>
            <w:tcW w:w="1710" w:type="dxa"/>
            <w:shd w:val="clear" w:color="auto" w:fill="auto"/>
            <w:vAlign w:val="center"/>
            <w:hideMark/>
          </w:tcPr>
          <w:p w14:paraId="3519B22C" w14:textId="04C99C4A" w:rsidR="00F41347" w:rsidRPr="00050FA4" w:rsidRDefault="00F41347" w:rsidP="001A2679">
            <w:pPr>
              <w:jc w:val="center"/>
              <w:rPr>
                <w:rFonts w:ascii="Garamond" w:hAnsi="Garamond"/>
                <w:b/>
                <w:sz w:val="18"/>
                <w:szCs w:val="18"/>
              </w:rPr>
            </w:pPr>
            <w:r w:rsidRPr="00050FA4">
              <w:rPr>
                <w:rFonts w:ascii="Garamond" w:hAnsi="Garamond"/>
                <w:b/>
                <w:sz w:val="18"/>
                <w:szCs w:val="18"/>
              </w:rPr>
              <w:t xml:space="preserve">Paketa e </w:t>
            </w:r>
            <w:r w:rsidR="005A330C" w:rsidRPr="00050FA4">
              <w:rPr>
                <w:rFonts w:ascii="Garamond" w:hAnsi="Garamond"/>
                <w:b/>
                <w:sz w:val="18"/>
                <w:szCs w:val="18"/>
              </w:rPr>
              <w:t xml:space="preserve">zgjerimit </w:t>
            </w:r>
            <w:r w:rsidRPr="00050FA4">
              <w:rPr>
                <w:rFonts w:ascii="Garamond" w:hAnsi="Garamond"/>
                <w:b/>
                <w:sz w:val="18"/>
                <w:szCs w:val="18"/>
              </w:rPr>
              <w:t>2021</w:t>
            </w:r>
          </w:p>
        </w:tc>
        <w:tc>
          <w:tcPr>
            <w:tcW w:w="1530" w:type="dxa"/>
            <w:shd w:val="clear" w:color="auto" w:fill="auto"/>
            <w:vAlign w:val="center"/>
            <w:hideMark/>
          </w:tcPr>
          <w:p w14:paraId="35B1CE18" w14:textId="77777777" w:rsidR="00655F22" w:rsidRPr="00050FA4" w:rsidRDefault="00F41347" w:rsidP="005A330C">
            <w:pPr>
              <w:jc w:val="center"/>
              <w:rPr>
                <w:rFonts w:ascii="Garamond" w:hAnsi="Garamond"/>
                <w:b/>
                <w:sz w:val="18"/>
                <w:szCs w:val="18"/>
              </w:rPr>
            </w:pPr>
            <w:r w:rsidRPr="00050FA4">
              <w:rPr>
                <w:rFonts w:ascii="Garamond" w:hAnsi="Garamond"/>
                <w:b/>
                <w:sz w:val="18"/>
                <w:szCs w:val="18"/>
              </w:rPr>
              <w:t xml:space="preserve">Objektivat e </w:t>
            </w:r>
            <w:r w:rsidR="005A330C" w:rsidRPr="00050FA4">
              <w:rPr>
                <w:rFonts w:ascii="Garamond" w:hAnsi="Garamond"/>
                <w:b/>
                <w:sz w:val="18"/>
                <w:szCs w:val="18"/>
              </w:rPr>
              <w:t>Qëndrueshëm</w:t>
            </w:r>
            <w:r w:rsidRPr="00050FA4">
              <w:rPr>
                <w:rFonts w:ascii="Garamond" w:hAnsi="Garamond"/>
                <w:b/>
                <w:sz w:val="18"/>
                <w:szCs w:val="18"/>
              </w:rPr>
              <w:t xml:space="preserve"> t</w:t>
            </w:r>
            <w:r w:rsidR="005A330C" w:rsidRPr="00050FA4">
              <w:rPr>
                <w:rFonts w:ascii="Garamond" w:hAnsi="Garamond"/>
                <w:b/>
                <w:sz w:val="18"/>
                <w:szCs w:val="18"/>
              </w:rPr>
              <w:t>ë</w:t>
            </w:r>
            <w:r w:rsidRPr="00050FA4">
              <w:rPr>
                <w:rFonts w:ascii="Garamond" w:hAnsi="Garamond"/>
                <w:b/>
                <w:sz w:val="18"/>
                <w:szCs w:val="18"/>
              </w:rPr>
              <w:t xml:space="preserve"> Zhvillimit </w:t>
            </w:r>
          </w:p>
          <w:p w14:paraId="35D51289" w14:textId="525E9082" w:rsidR="00F41347" w:rsidRPr="00050FA4" w:rsidRDefault="00F41347" w:rsidP="005A330C">
            <w:pPr>
              <w:jc w:val="center"/>
              <w:rPr>
                <w:rFonts w:ascii="Garamond" w:hAnsi="Garamond"/>
                <w:b/>
                <w:sz w:val="18"/>
                <w:szCs w:val="18"/>
              </w:rPr>
            </w:pPr>
            <w:r w:rsidRPr="00050FA4">
              <w:rPr>
                <w:rFonts w:ascii="Garamond" w:hAnsi="Garamond"/>
                <w:b/>
                <w:sz w:val="18"/>
                <w:szCs w:val="18"/>
              </w:rPr>
              <w:t>2020</w:t>
            </w:r>
            <w:r w:rsidR="00655F22" w:rsidRPr="00050FA4">
              <w:rPr>
                <w:rFonts w:ascii="Garamond" w:hAnsi="Garamond"/>
                <w:b/>
                <w:sz w:val="18"/>
                <w:szCs w:val="18"/>
              </w:rPr>
              <w:t>–</w:t>
            </w:r>
            <w:r w:rsidRPr="00050FA4">
              <w:rPr>
                <w:rFonts w:ascii="Garamond" w:hAnsi="Garamond"/>
                <w:b/>
                <w:sz w:val="18"/>
                <w:szCs w:val="18"/>
              </w:rPr>
              <w:t>2030</w:t>
            </w:r>
          </w:p>
        </w:tc>
        <w:tc>
          <w:tcPr>
            <w:tcW w:w="2430" w:type="dxa"/>
            <w:shd w:val="clear" w:color="auto" w:fill="auto"/>
            <w:vAlign w:val="center"/>
            <w:hideMark/>
          </w:tcPr>
          <w:p w14:paraId="4A34CF5C" w14:textId="25AC7CC5" w:rsidR="00F41347" w:rsidRPr="00050FA4" w:rsidRDefault="00F41347" w:rsidP="000109D2">
            <w:pPr>
              <w:jc w:val="center"/>
              <w:rPr>
                <w:rFonts w:ascii="Garamond" w:hAnsi="Garamond"/>
                <w:b/>
                <w:sz w:val="18"/>
                <w:szCs w:val="18"/>
              </w:rPr>
            </w:pPr>
            <w:r w:rsidRPr="00050FA4">
              <w:rPr>
                <w:rFonts w:ascii="Garamond" w:hAnsi="Garamond"/>
                <w:b/>
                <w:sz w:val="18"/>
                <w:szCs w:val="18"/>
              </w:rPr>
              <w:t>A</w:t>
            </w:r>
            <w:r w:rsidR="005A330C" w:rsidRPr="00050FA4">
              <w:rPr>
                <w:rFonts w:ascii="Garamond" w:hAnsi="Garamond"/>
                <w:b/>
                <w:sz w:val="18"/>
                <w:szCs w:val="18"/>
              </w:rPr>
              <w:t>gj</w:t>
            </w:r>
            <w:r w:rsidRPr="00050FA4">
              <w:rPr>
                <w:rFonts w:ascii="Garamond" w:hAnsi="Garamond"/>
                <w:b/>
                <w:sz w:val="18"/>
                <w:szCs w:val="18"/>
              </w:rPr>
              <w:t>enda e Gjelb</w:t>
            </w:r>
            <w:r w:rsidR="005A330C" w:rsidRPr="00050FA4">
              <w:rPr>
                <w:rFonts w:ascii="Garamond" w:hAnsi="Garamond"/>
                <w:b/>
                <w:sz w:val="18"/>
                <w:szCs w:val="18"/>
              </w:rPr>
              <w:t>ë</w:t>
            </w:r>
            <w:r w:rsidRPr="00050FA4">
              <w:rPr>
                <w:rFonts w:ascii="Garamond" w:hAnsi="Garamond"/>
                <w:b/>
                <w:sz w:val="18"/>
                <w:szCs w:val="18"/>
              </w:rPr>
              <w:t>r p</w:t>
            </w:r>
            <w:r w:rsidR="005A330C" w:rsidRPr="00050FA4">
              <w:rPr>
                <w:rFonts w:ascii="Garamond" w:hAnsi="Garamond"/>
                <w:b/>
                <w:sz w:val="18"/>
                <w:szCs w:val="18"/>
              </w:rPr>
              <w:t>ë</w:t>
            </w:r>
            <w:r w:rsidRPr="00050FA4">
              <w:rPr>
                <w:rFonts w:ascii="Garamond" w:hAnsi="Garamond"/>
                <w:b/>
                <w:sz w:val="18"/>
                <w:szCs w:val="18"/>
              </w:rPr>
              <w:t xml:space="preserve">r Ballkanin </w:t>
            </w:r>
            <w:r w:rsidR="005A330C" w:rsidRPr="00050FA4">
              <w:rPr>
                <w:rFonts w:ascii="Garamond" w:hAnsi="Garamond"/>
                <w:b/>
                <w:sz w:val="18"/>
                <w:szCs w:val="18"/>
              </w:rPr>
              <w:t>Perëndimor</w:t>
            </w:r>
          </w:p>
        </w:tc>
        <w:tc>
          <w:tcPr>
            <w:tcW w:w="1620" w:type="dxa"/>
            <w:shd w:val="clear" w:color="auto" w:fill="auto"/>
            <w:vAlign w:val="center"/>
            <w:hideMark/>
          </w:tcPr>
          <w:p w14:paraId="6703E219" w14:textId="661C0794" w:rsidR="00F41347" w:rsidRPr="00050FA4" w:rsidRDefault="00F41347" w:rsidP="005A330C">
            <w:pPr>
              <w:jc w:val="center"/>
              <w:rPr>
                <w:rFonts w:ascii="Garamond" w:hAnsi="Garamond"/>
                <w:b/>
                <w:sz w:val="18"/>
                <w:szCs w:val="18"/>
              </w:rPr>
            </w:pPr>
            <w:r w:rsidRPr="00050FA4">
              <w:rPr>
                <w:rFonts w:ascii="Garamond" w:hAnsi="Garamond"/>
                <w:b/>
                <w:sz w:val="18"/>
                <w:szCs w:val="18"/>
              </w:rPr>
              <w:t>A</w:t>
            </w:r>
            <w:r w:rsidR="005A330C" w:rsidRPr="00050FA4">
              <w:rPr>
                <w:rFonts w:ascii="Garamond" w:hAnsi="Garamond"/>
                <w:b/>
                <w:sz w:val="18"/>
                <w:szCs w:val="18"/>
              </w:rPr>
              <w:t>gj</w:t>
            </w:r>
            <w:r w:rsidRPr="00050FA4">
              <w:rPr>
                <w:rFonts w:ascii="Garamond" w:hAnsi="Garamond"/>
                <w:b/>
                <w:sz w:val="18"/>
                <w:szCs w:val="18"/>
              </w:rPr>
              <w:t xml:space="preserve">enda </w:t>
            </w:r>
            <w:r w:rsidR="005A330C" w:rsidRPr="00050FA4">
              <w:rPr>
                <w:rFonts w:ascii="Garamond" w:hAnsi="Garamond"/>
                <w:b/>
                <w:sz w:val="18"/>
                <w:szCs w:val="18"/>
              </w:rPr>
              <w:t>digjitale evropiane</w:t>
            </w:r>
            <w:r w:rsidR="00535FB4" w:rsidRPr="00050FA4">
              <w:rPr>
                <w:rFonts w:ascii="Garamond" w:hAnsi="Garamond"/>
                <w:b/>
                <w:sz w:val="18"/>
                <w:szCs w:val="18"/>
              </w:rPr>
              <w:t>/</w:t>
            </w:r>
            <w:r w:rsidRPr="00050FA4">
              <w:rPr>
                <w:rFonts w:ascii="Garamond" w:hAnsi="Garamond"/>
                <w:b/>
                <w:sz w:val="18"/>
                <w:szCs w:val="18"/>
              </w:rPr>
              <w:t>A</w:t>
            </w:r>
            <w:r w:rsidR="005A330C" w:rsidRPr="00050FA4">
              <w:rPr>
                <w:rFonts w:ascii="Garamond" w:hAnsi="Garamond"/>
                <w:b/>
                <w:sz w:val="18"/>
                <w:szCs w:val="18"/>
              </w:rPr>
              <w:t>gj</w:t>
            </w:r>
            <w:r w:rsidRPr="00050FA4">
              <w:rPr>
                <w:rFonts w:ascii="Garamond" w:hAnsi="Garamond"/>
                <w:b/>
                <w:sz w:val="18"/>
                <w:szCs w:val="18"/>
              </w:rPr>
              <w:t xml:space="preserve">enda </w:t>
            </w:r>
            <w:r w:rsidR="005A330C" w:rsidRPr="00050FA4">
              <w:rPr>
                <w:rFonts w:ascii="Garamond" w:hAnsi="Garamond"/>
                <w:b/>
                <w:sz w:val="18"/>
                <w:szCs w:val="18"/>
              </w:rPr>
              <w:t>digjitale për</w:t>
            </w:r>
            <w:r w:rsidRPr="00050FA4">
              <w:rPr>
                <w:rFonts w:ascii="Garamond" w:hAnsi="Garamond"/>
                <w:b/>
                <w:sz w:val="18"/>
                <w:szCs w:val="18"/>
              </w:rPr>
              <w:t xml:space="preserve"> Ballkanin </w:t>
            </w:r>
            <w:r w:rsidR="005A330C" w:rsidRPr="00050FA4">
              <w:rPr>
                <w:rFonts w:ascii="Garamond" w:hAnsi="Garamond"/>
                <w:b/>
                <w:sz w:val="18"/>
                <w:szCs w:val="18"/>
              </w:rPr>
              <w:t>Perëndimor</w:t>
            </w:r>
          </w:p>
        </w:tc>
        <w:tc>
          <w:tcPr>
            <w:tcW w:w="1647" w:type="dxa"/>
            <w:shd w:val="clear" w:color="auto" w:fill="auto"/>
            <w:vAlign w:val="center"/>
            <w:hideMark/>
          </w:tcPr>
          <w:p w14:paraId="1B05C595" w14:textId="707950E6" w:rsidR="00F41347" w:rsidRPr="00050FA4" w:rsidRDefault="00F41347" w:rsidP="005A330C">
            <w:pPr>
              <w:jc w:val="center"/>
              <w:rPr>
                <w:rFonts w:ascii="Garamond" w:hAnsi="Garamond"/>
                <w:b/>
                <w:sz w:val="18"/>
                <w:szCs w:val="18"/>
              </w:rPr>
            </w:pPr>
            <w:r w:rsidRPr="00050FA4">
              <w:rPr>
                <w:rFonts w:ascii="Garamond" w:hAnsi="Garamond"/>
                <w:b/>
                <w:sz w:val="18"/>
                <w:szCs w:val="18"/>
              </w:rPr>
              <w:t>Projekte IPA III q</w:t>
            </w:r>
            <w:r w:rsidR="005A330C" w:rsidRPr="00050FA4">
              <w:rPr>
                <w:rFonts w:ascii="Garamond" w:hAnsi="Garamond"/>
                <w:b/>
                <w:sz w:val="18"/>
                <w:szCs w:val="18"/>
              </w:rPr>
              <w:t>ë</w:t>
            </w:r>
            <w:r w:rsidRPr="00050FA4">
              <w:rPr>
                <w:rFonts w:ascii="Garamond" w:hAnsi="Garamond"/>
                <w:b/>
                <w:sz w:val="18"/>
                <w:szCs w:val="18"/>
              </w:rPr>
              <w:t xml:space="preserve"> mbështetin </w:t>
            </w:r>
            <w:r w:rsidR="005A330C" w:rsidRPr="00050FA4">
              <w:rPr>
                <w:rFonts w:ascii="Garamond" w:hAnsi="Garamond"/>
                <w:b/>
                <w:sz w:val="18"/>
                <w:szCs w:val="18"/>
              </w:rPr>
              <w:t>reformën</w:t>
            </w:r>
          </w:p>
        </w:tc>
      </w:tr>
      <w:tr w:rsidR="001A2679" w:rsidRPr="00050FA4" w14:paraId="52419673" w14:textId="77777777" w:rsidTr="001A2679">
        <w:trPr>
          <w:trHeight w:val="630"/>
          <w:jc w:val="center"/>
        </w:trPr>
        <w:tc>
          <w:tcPr>
            <w:tcW w:w="3618" w:type="dxa"/>
            <w:shd w:val="clear" w:color="auto" w:fill="auto"/>
            <w:hideMark/>
          </w:tcPr>
          <w:p w14:paraId="23610E46" w14:textId="5C57E005" w:rsidR="00F41347" w:rsidRPr="00050FA4" w:rsidRDefault="00F41347" w:rsidP="001A2679">
            <w:pPr>
              <w:rPr>
                <w:rFonts w:ascii="Garamond" w:hAnsi="Garamond"/>
                <w:sz w:val="18"/>
                <w:szCs w:val="18"/>
              </w:rPr>
            </w:pPr>
            <w:r w:rsidRPr="00050FA4">
              <w:rPr>
                <w:rFonts w:ascii="Garamond" w:hAnsi="Garamond"/>
                <w:sz w:val="18"/>
                <w:szCs w:val="18"/>
              </w:rPr>
              <w:t>Liberalizimi i mëtejshëm i tregut të energjisë</w:t>
            </w:r>
          </w:p>
        </w:tc>
        <w:tc>
          <w:tcPr>
            <w:tcW w:w="1890" w:type="dxa"/>
            <w:shd w:val="clear" w:color="auto" w:fill="auto"/>
            <w:noWrap/>
            <w:hideMark/>
          </w:tcPr>
          <w:p w14:paraId="5D6D6613" w14:textId="750FD921" w:rsidR="00F41347" w:rsidRPr="00050FA4" w:rsidRDefault="00F41347" w:rsidP="001A2679">
            <w:pPr>
              <w:rPr>
                <w:rFonts w:ascii="Garamond" w:hAnsi="Garamond"/>
                <w:sz w:val="18"/>
                <w:szCs w:val="18"/>
              </w:rPr>
            </w:pPr>
            <w:r w:rsidRPr="00050FA4">
              <w:rPr>
                <w:rFonts w:ascii="Garamond" w:hAnsi="Garamond"/>
                <w:sz w:val="18"/>
                <w:szCs w:val="18"/>
              </w:rPr>
              <w:t>Sfida kyçe #2</w:t>
            </w:r>
          </w:p>
        </w:tc>
        <w:tc>
          <w:tcPr>
            <w:tcW w:w="1170" w:type="dxa"/>
            <w:shd w:val="clear" w:color="auto" w:fill="auto"/>
            <w:noWrap/>
            <w:hideMark/>
          </w:tcPr>
          <w:p w14:paraId="48F1CE27" w14:textId="1E86255B" w:rsidR="00F41347" w:rsidRPr="00050FA4" w:rsidRDefault="00F41347" w:rsidP="001A2679">
            <w:pPr>
              <w:rPr>
                <w:rFonts w:ascii="Garamond" w:hAnsi="Garamond"/>
                <w:sz w:val="18"/>
                <w:szCs w:val="18"/>
              </w:rPr>
            </w:pPr>
            <w:r w:rsidRPr="00050FA4">
              <w:rPr>
                <w:rFonts w:ascii="Garamond" w:hAnsi="Garamond"/>
                <w:sz w:val="18"/>
                <w:szCs w:val="18"/>
              </w:rPr>
              <w:t>N/A</w:t>
            </w:r>
          </w:p>
        </w:tc>
        <w:tc>
          <w:tcPr>
            <w:tcW w:w="1710" w:type="dxa"/>
            <w:shd w:val="clear" w:color="auto" w:fill="auto"/>
            <w:noWrap/>
            <w:hideMark/>
          </w:tcPr>
          <w:p w14:paraId="7F7E938B"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35EF327C" w14:textId="2ED90FA8" w:rsidR="00F41347" w:rsidRPr="00050FA4" w:rsidRDefault="00F41347" w:rsidP="001A2679">
            <w:pPr>
              <w:rPr>
                <w:rFonts w:ascii="Garamond" w:hAnsi="Garamond"/>
                <w:sz w:val="18"/>
                <w:szCs w:val="18"/>
              </w:rPr>
            </w:pPr>
            <w:r w:rsidRPr="00050FA4">
              <w:rPr>
                <w:rFonts w:ascii="Garamond" w:hAnsi="Garamond"/>
                <w:sz w:val="18"/>
                <w:szCs w:val="18"/>
              </w:rPr>
              <w:t>SDG #7</w:t>
            </w:r>
          </w:p>
        </w:tc>
        <w:tc>
          <w:tcPr>
            <w:tcW w:w="2430" w:type="dxa"/>
            <w:shd w:val="clear" w:color="auto" w:fill="auto"/>
            <w:noWrap/>
            <w:hideMark/>
          </w:tcPr>
          <w:p w14:paraId="3470839B" w14:textId="1C8B41EF" w:rsidR="00F41347" w:rsidRPr="00050FA4" w:rsidRDefault="00F41347" w:rsidP="004E1F4A">
            <w:pPr>
              <w:rPr>
                <w:rFonts w:ascii="Garamond" w:hAnsi="Garamond"/>
                <w:sz w:val="18"/>
                <w:szCs w:val="18"/>
              </w:rPr>
            </w:pPr>
            <w:r w:rsidRPr="00050FA4">
              <w:rPr>
                <w:rFonts w:ascii="Garamond" w:hAnsi="Garamond"/>
                <w:sz w:val="18"/>
                <w:szCs w:val="18"/>
              </w:rPr>
              <w:t xml:space="preserve">Të dyja masat e kësaj reforme janë në përputhje me Parimet e Marrëveshjes së Madhe të BE-së për sigurimin e një furnizimi të sigurt dhe të përballueshëm me energji në një treg funksional </w:t>
            </w:r>
            <w:r w:rsidR="00C948AF" w:rsidRPr="00050FA4">
              <w:rPr>
                <w:rFonts w:ascii="Garamond" w:hAnsi="Garamond"/>
                <w:sz w:val="18"/>
                <w:szCs w:val="18"/>
              </w:rPr>
              <w:t>digjital</w:t>
            </w:r>
            <w:r w:rsidRPr="00050FA4">
              <w:rPr>
                <w:rFonts w:ascii="Garamond" w:hAnsi="Garamond"/>
                <w:sz w:val="18"/>
                <w:szCs w:val="18"/>
              </w:rPr>
              <w:t xml:space="preserve"> të energjisë (ALPEX) dhe nëpërmjet përmirësimeve të performancës së energjisë në ndërtesa dhe industri, siç përshkruhet në masën e mësipërme me secilin aktivitetit. Objektivat në BE </w:t>
            </w:r>
            <w:r w:rsidRPr="00050FA4">
              <w:rPr>
                <w:rFonts w:ascii="Garamond" w:hAnsi="Garamond"/>
                <w:i/>
                <w:sz w:val="18"/>
                <w:szCs w:val="18"/>
              </w:rPr>
              <w:t>GreanDeal</w:t>
            </w:r>
            <w:r w:rsidRPr="00050FA4">
              <w:rPr>
                <w:rFonts w:ascii="Garamond" w:hAnsi="Garamond"/>
                <w:sz w:val="18"/>
                <w:szCs w:val="18"/>
              </w:rPr>
              <w:t xml:space="preserve"> janë në përputhje me objektivat kombëtar</w:t>
            </w:r>
            <w:r w:rsidR="004E1F4A" w:rsidRPr="00050FA4">
              <w:rPr>
                <w:rFonts w:ascii="Garamond" w:hAnsi="Garamond"/>
                <w:sz w:val="18"/>
                <w:szCs w:val="18"/>
              </w:rPr>
              <w:t>ë</w:t>
            </w:r>
            <w:r w:rsidRPr="00050FA4">
              <w:rPr>
                <w:rFonts w:ascii="Garamond" w:hAnsi="Garamond"/>
                <w:sz w:val="18"/>
                <w:szCs w:val="18"/>
              </w:rPr>
              <w:t xml:space="preserve"> në Strategjinë Kombëtare të Energjisë dhe në draftin NCEP në fazën e miratimit.</w:t>
            </w:r>
          </w:p>
        </w:tc>
        <w:tc>
          <w:tcPr>
            <w:tcW w:w="1620" w:type="dxa"/>
            <w:shd w:val="clear" w:color="auto" w:fill="auto"/>
            <w:noWrap/>
            <w:hideMark/>
          </w:tcPr>
          <w:p w14:paraId="5B75B2DD" w14:textId="0E902B33" w:rsidR="00F41347" w:rsidRPr="00050FA4" w:rsidRDefault="00F41347" w:rsidP="00E67ECA">
            <w:pPr>
              <w:rPr>
                <w:rFonts w:ascii="Garamond" w:hAnsi="Garamond"/>
                <w:sz w:val="18"/>
                <w:szCs w:val="18"/>
              </w:rPr>
            </w:pPr>
            <w:r w:rsidRPr="00050FA4">
              <w:rPr>
                <w:rFonts w:ascii="Garamond" w:hAnsi="Garamond"/>
                <w:sz w:val="18"/>
                <w:szCs w:val="18"/>
              </w:rPr>
              <w:t xml:space="preserve">Aplikimi i TIK-ut në disa fusha në mënyrë të ndjeshme që ndikon në mënyrën se si do të ndërtohet në të ardhmen janë pjesë e masave. Këtu mund të përmendet Digital ALPEX që do të kryejë </w:t>
            </w:r>
            <w:r w:rsidRPr="00050FA4">
              <w:rPr>
                <w:rFonts w:ascii="Garamond" w:hAnsi="Garamond"/>
                <w:i/>
                <w:sz w:val="18"/>
                <w:szCs w:val="18"/>
              </w:rPr>
              <w:t>online</w:t>
            </w:r>
            <w:r w:rsidRPr="00050FA4">
              <w:rPr>
                <w:rFonts w:ascii="Garamond" w:hAnsi="Garamond"/>
                <w:sz w:val="18"/>
                <w:szCs w:val="18"/>
              </w:rPr>
              <w:t xml:space="preserve"> si shkëmbim energjie në kohë reale; Projektet e qytetit të zgjuar në zhvillim nga AEE; Rrjeti i Energjisë; Pajisjet inteligjente mund t</w:t>
            </w:r>
            <w:r w:rsidR="00E67ECA" w:rsidRPr="00050FA4">
              <w:rPr>
                <w:rFonts w:ascii="Garamond" w:hAnsi="Garamond"/>
                <w:sz w:val="18"/>
                <w:szCs w:val="18"/>
              </w:rPr>
              <w:t>’</w:t>
            </w:r>
            <w:r w:rsidRPr="00050FA4">
              <w:rPr>
                <w:rFonts w:ascii="Garamond" w:hAnsi="Garamond"/>
                <w:sz w:val="18"/>
                <w:szCs w:val="18"/>
              </w:rPr>
              <w:t>i ndërgjegjësojnë konsumatorët për energjinë e përdorur dhe t</w:t>
            </w:r>
            <w:r w:rsidR="00E67ECA" w:rsidRPr="00050FA4">
              <w:rPr>
                <w:rFonts w:ascii="Garamond" w:hAnsi="Garamond"/>
                <w:sz w:val="18"/>
                <w:szCs w:val="18"/>
              </w:rPr>
              <w:t>’</w:t>
            </w:r>
            <w:r w:rsidRPr="00050FA4">
              <w:rPr>
                <w:rFonts w:ascii="Garamond" w:hAnsi="Garamond"/>
                <w:sz w:val="18"/>
                <w:szCs w:val="18"/>
              </w:rPr>
              <w:t>i ndihmojnë ata të reduktojnë konsumin e tyre të energjisë në kohë reale, të ndryshojnë sjelljen e tyre ndaj përdorimit të energjisë dhe të kursejnë para në faturat e tyre të energjisë</w:t>
            </w:r>
            <w:r w:rsidR="00577E94" w:rsidRPr="00050FA4">
              <w:rPr>
                <w:rFonts w:ascii="Garamond" w:hAnsi="Garamond"/>
                <w:sz w:val="18"/>
                <w:szCs w:val="18"/>
              </w:rPr>
              <w:t xml:space="preserve"> etj</w:t>
            </w:r>
            <w:r w:rsidRPr="00050FA4">
              <w:rPr>
                <w:rFonts w:ascii="Garamond" w:hAnsi="Garamond"/>
                <w:sz w:val="18"/>
                <w:szCs w:val="18"/>
              </w:rPr>
              <w:t>.</w:t>
            </w:r>
          </w:p>
        </w:tc>
        <w:tc>
          <w:tcPr>
            <w:tcW w:w="1647" w:type="dxa"/>
            <w:shd w:val="clear" w:color="auto" w:fill="auto"/>
            <w:noWrap/>
            <w:hideMark/>
          </w:tcPr>
          <w:p w14:paraId="4D5BB528" w14:textId="2720F569" w:rsidR="00F41347" w:rsidRPr="00050FA4" w:rsidRDefault="00F41347" w:rsidP="001A2679">
            <w:pPr>
              <w:rPr>
                <w:rFonts w:ascii="Garamond" w:hAnsi="Garamond"/>
                <w:sz w:val="18"/>
                <w:szCs w:val="18"/>
              </w:rPr>
            </w:pPr>
            <w:r w:rsidRPr="00050FA4">
              <w:rPr>
                <w:rFonts w:ascii="Garamond" w:hAnsi="Garamond"/>
                <w:sz w:val="18"/>
                <w:szCs w:val="18"/>
              </w:rPr>
              <w:t>N/A</w:t>
            </w:r>
          </w:p>
        </w:tc>
      </w:tr>
      <w:tr w:rsidR="001A2679" w:rsidRPr="00050FA4" w14:paraId="6556A7EE" w14:textId="77777777" w:rsidTr="001A2679">
        <w:trPr>
          <w:trHeight w:val="1007"/>
          <w:jc w:val="center"/>
        </w:trPr>
        <w:tc>
          <w:tcPr>
            <w:tcW w:w="3618" w:type="dxa"/>
            <w:shd w:val="clear" w:color="auto" w:fill="auto"/>
            <w:hideMark/>
          </w:tcPr>
          <w:p w14:paraId="55B7F9BA" w14:textId="29FB3C61" w:rsidR="00F41347" w:rsidRPr="00050FA4" w:rsidRDefault="00F41347" w:rsidP="001A2679">
            <w:pPr>
              <w:rPr>
                <w:rFonts w:ascii="Garamond" w:hAnsi="Garamond"/>
                <w:sz w:val="18"/>
                <w:szCs w:val="18"/>
              </w:rPr>
            </w:pPr>
            <w:r w:rsidRPr="00050FA4">
              <w:rPr>
                <w:rFonts w:ascii="Garamond" w:hAnsi="Garamond"/>
                <w:sz w:val="18"/>
                <w:szCs w:val="18"/>
              </w:rPr>
              <w:t>Diversifikimi i burimeve të energjisë përmes promovimit të burimeve të rinovueshme të ene</w:t>
            </w:r>
            <w:r w:rsidR="000257B1" w:rsidRPr="00050FA4">
              <w:rPr>
                <w:rFonts w:ascii="Garamond" w:hAnsi="Garamond"/>
                <w:sz w:val="18"/>
                <w:szCs w:val="18"/>
              </w:rPr>
              <w:t>rgjisë dhe përmirësimeve të efici</w:t>
            </w:r>
            <w:r w:rsidRPr="00050FA4">
              <w:rPr>
                <w:rFonts w:ascii="Garamond" w:hAnsi="Garamond"/>
                <w:sz w:val="18"/>
                <w:szCs w:val="18"/>
              </w:rPr>
              <w:t>encës së energjisë</w:t>
            </w:r>
          </w:p>
        </w:tc>
        <w:tc>
          <w:tcPr>
            <w:tcW w:w="1890" w:type="dxa"/>
            <w:shd w:val="clear" w:color="auto" w:fill="auto"/>
            <w:noWrap/>
            <w:hideMark/>
          </w:tcPr>
          <w:p w14:paraId="0DF43A8D" w14:textId="66375DA1" w:rsidR="00F41347" w:rsidRPr="00050FA4" w:rsidRDefault="00F41347" w:rsidP="001A2679">
            <w:pPr>
              <w:rPr>
                <w:rFonts w:ascii="Garamond" w:hAnsi="Garamond"/>
                <w:sz w:val="18"/>
                <w:szCs w:val="18"/>
              </w:rPr>
            </w:pPr>
            <w:r w:rsidRPr="00050FA4">
              <w:rPr>
                <w:rFonts w:ascii="Garamond" w:hAnsi="Garamond"/>
                <w:sz w:val="18"/>
                <w:szCs w:val="18"/>
              </w:rPr>
              <w:t>Sfida kyçe #2</w:t>
            </w:r>
          </w:p>
        </w:tc>
        <w:tc>
          <w:tcPr>
            <w:tcW w:w="1170" w:type="dxa"/>
            <w:shd w:val="clear" w:color="auto" w:fill="auto"/>
            <w:noWrap/>
            <w:hideMark/>
          </w:tcPr>
          <w:p w14:paraId="6D76EEDD"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06B6849B"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2309EC93" w14:textId="5650C75C" w:rsidR="00F41347" w:rsidRPr="00050FA4" w:rsidRDefault="00F41347" w:rsidP="001A2679">
            <w:pPr>
              <w:rPr>
                <w:rFonts w:ascii="Garamond" w:hAnsi="Garamond"/>
                <w:sz w:val="18"/>
                <w:szCs w:val="18"/>
              </w:rPr>
            </w:pPr>
            <w:r w:rsidRPr="00050FA4">
              <w:rPr>
                <w:rFonts w:ascii="Garamond" w:hAnsi="Garamond"/>
                <w:sz w:val="18"/>
                <w:szCs w:val="18"/>
              </w:rPr>
              <w:t>SDG #7</w:t>
            </w:r>
          </w:p>
        </w:tc>
        <w:tc>
          <w:tcPr>
            <w:tcW w:w="2430" w:type="dxa"/>
            <w:shd w:val="clear" w:color="auto" w:fill="auto"/>
            <w:noWrap/>
            <w:hideMark/>
          </w:tcPr>
          <w:p w14:paraId="4EC59B11" w14:textId="6B8E5FFF" w:rsidR="00F41347" w:rsidRPr="00050FA4" w:rsidRDefault="00F41347" w:rsidP="004E1F4A">
            <w:pPr>
              <w:rPr>
                <w:rFonts w:ascii="Garamond" w:hAnsi="Garamond"/>
                <w:sz w:val="18"/>
                <w:szCs w:val="18"/>
              </w:rPr>
            </w:pPr>
            <w:r w:rsidRPr="00050FA4">
              <w:rPr>
                <w:rFonts w:ascii="Garamond" w:hAnsi="Garamond"/>
                <w:sz w:val="18"/>
                <w:szCs w:val="18"/>
              </w:rPr>
              <w:t xml:space="preserve">Të dyja masat e kësaj reforme janë në përputhje me Parimet e Marrëveshjes së Madhe të BE-së për sigurimin e një furnizimi të sigurt dhe të përballueshëm me energji në një treg funksional </w:t>
            </w:r>
            <w:r w:rsidR="00C948AF" w:rsidRPr="00050FA4">
              <w:rPr>
                <w:rFonts w:ascii="Garamond" w:hAnsi="Garamond"/>
                <w:sz w:val="18"/>
                <w:szCs w:val="18"/>
              </w:rPr>
              <w:t>digjital</w:t>
            </w:r>
            <w:r w:rsidRPr="00050FA4">
              <w:rPr>
                <w:rFonts w:ascii="Garamond" w:hAnsi="Garamond"/>
                <w:sz w:val="18"/>
                <w:szCs w:val="18"/>
              </w:rPr>
              <w:t xml:space="preserve"> të energjisë </w:t>
            </w:r>
            <w:r w:rsidRPr="00050FA4">
              <w:rPr>
                <w:rFonts w:ascii="Garamond" w:hAnsi="Garamond"/>
                <w:sz w:val="18"/>
                <w:szCs w:val="18"/>
              </w:rPr>
              <w:lastRenderedPageBreak/>
              <w:t xml:space="preserve">(ALPEX) dhe nëpërmjet përmirësimeve të performancës së energjisë në ndërtesa dhe industri, siç përshkruhet në masën e mësipërme me secilin aktivitetit. Objektivat në BE </w:t>
            </w:r>
            <w:r w:rsidRPr="00050FA4">
              <w:rPr>
                <w:rFonts w:ascii="Garamond" w:hAnsi="Garamond"/>
                <w:i/>
                <w:sz w:val="18"/>
                <w:szCs w:val="18"/>
              </w:rPr>
              <w:t>GreanDeal</w:t>
            </w:r>
            <w:r w:rsidRPr="00050FA4">
              <w:rPr>
                <w:rFonts w:ascii="Garamond" w:hAnsi="Garamond"/>
                <w:sz w:val="18"/>
                <w:szCs w:val="18"/>
              </w:rPr>
              <w:t xml:space="preserve"> janë në përputhje me objektivat kombëtar</w:t>
            </w:r>
            <w:r w:rsidR="004E1F4A" w:rsidRPr="00050FA4">
              <w:rPr>
                <w:rFonts w:ascii="Garamond" w:hAnsi="Garamond"/>
                <w:sz w:val="18"/>
                <w:szCs w:val="18"/>
              </w:rPr>
              <w:t>ë</w:t>
            </w:r>
            <w:r w:rsidRPr="00050FA4">
              <w:rPr>
                <w:rFonts w:ascii="Garamond" w:hAnsi="Garamond"/>
                <w:sz w:val="18"/>
                <w:szCs w:val="18"/>
              </w:rPr>
              <w:t xml:space="preserve"> në Strategjinë Kombëtare të Energjisë dhe në draftin NCEP në fazën e miratimit.</w:t>
            </w:r>
          </w:p>
        </w:tc>
        <w:tc>
          <w:tcPr>
            <w:tcW w:w="1620" w:type="dxa"/>
            <w:shd w:val="clear" w:color="auto" w:fill="auto"/>
            <w:noWrap/>
            <w:hideMark/>
          </w:tcPr>
          <w:p w14:paraId="0DDAC8F3" w14:textId="29495032" w:rsidR="00F41347" w:rsidRPr="00050FA4" w:rsidRDefault="00F41347" w:rsidP="00F64363">
            <w:pPr>
              <w:rPr>
                <w:rFonts w:ascii="Garamond" w:hAnsi="Garamond"/>
                <w:sz w:val="18"/>
                <w:szCs w:val="18"/>
              </w:rPr>
            </w:pPr>
            <w:r w:rsidRPr="00050FA4">
              <w:rPr>
                <w:rFonts w:ascii="Garamond" w:hAnsi="Garamond"/>
                <w:sz w:val="18"/>
                <w:szCs w:val="18"/>
              </w:rPr>
              <w:lastRenderedPageBreak/>
              <w:t xml:space="preserve">Aplikimi i TIK-ut në disa fusha në mënyrë të ndjeshme që ndikon në mënyrën se si do të ndërtohet në të ardhmen janë pjesë </w:t>
            </w:r>
            <w:r w:rsidRPr="00050FA4">
              <w:rPr>
                <w:rFonts w:ascii="Garamond" w:hAnsi="Garamond"/>
                <w:sz w:val="18"/>
                <w:szCs w:val="18"/>
              </w:rPr>
              <w:lastRenderedPageBreak/>
              <w:t xml:space="preserve">e masave. Këtu mund të përmendet Digital ALPEX që do të kryejë </w:t>
            </w:r>
            <w:r w:rsidRPr="00050FA4">
              <w:rPr>
                <w:rFonts w:ascii="Garamond" w:hAnsi="Garamond"/>
                <w:i/>
                <w:sz w:val="18"/>
                <w:szCs w:val="18"/>
              </w:rPr>
              <w:t>online</w:t>
            </w:r>
            <w:r w:rsidRPr="00050FA4">
              <w:rPr>
                <w:rFonts w:ascii="Garamond" w:hAnsi="Garamond"/>
                <w:sz w:val="18"/>
                <w:szCs w:val="18"/>
              </w:rPr>
              <w:t xml:space="preserve"> si shkëmbim energjie në kohë reale; Projektet e qytetit të zgjuar në zhvillim nga AEE; Rrjeti i Energjisë; Pajisjet inteligjente mund t</w:t>
            </w:r>
            <w:r w:rsidR="00F64363" w:rsidRPr="00050FA4">
              <w:rPr>
                <w:rFonts w:ascii="Garamond" w:hAnsi="Garamond"/>
                <w:sz w:val="18"/>
                <w:szCs w:val="18"/>
              </w:rPr>
              <w:t>’</w:t>
            </w:r>
            <w:r w:rsidRPr="00050FA4">
              <w:rPr>
                <w:rFonts w:ascii="Garamond" w:hAnsi="Garamond"/>
                <w:sz w:val="18"/>
                <w:szCs w:val="18"/>
              </w:rPr>
              <w:t>i ndërgjegjësojnë konsumatorët për energjinë e përdorur dhe t</w:t>
            </w:r>
            <w:r w:rsidR="00F64363" w:rsidRPr="00050FA4">
              <w:rPr>
                <w:rFonts w:ascii="Garamond" w:hAnsi="Garamond"/>
                <w:sz w:val="18"/>
                <w:szCs w:val="18"/>
              </w:rPr>
              <w:t>’</w:t>
            </w:r>
            <w:r w:rsidRPr="00050FA4">
              <w:rPr>
                <w:rFonts w:ascii="Garamond" w:hAnsi="Garamond"/>
                <w:sz w:val="18"/>
                <w:szCs w:val="18"/>
              </w:rPr>
              <w:t>i ndihmojnë ata të reduktojnë konsumin e tyre të energjisë në kohë reale, të ndryshojnë sjelljen e tyre ndaj përdorimit të energjisë dhe të kursejnë para në faturat e tyre të ene</w:t>
            </w:r>
            <w:r w:rsidR="00F64363" w:rsidRPr="00050FA4">
              <w:rPr>
                <w:rFonts w:ascii="Garamond" w:hAnsi="Garamond"/>
                <w:sz w:val="18"/>
                <w:szCs w:val="18"/>
              </w:rPr>
              <w:t>rgjisë</w:t>
            </w:r>
            <w:r w:rsidRPr="00050FA4">
              <w:rPr>
                <w:rFonts w:ascii="Garamond" w:hAnsi="Garamond"/>
                <w:sz w:val="18"/>
                <w:szCs w:val="18"/>
              </w:rPr>
              <w:t xml:space="preserve"> etj.</w:t>
            </w:r>
          </w:p>
        </w:tc>
        <w:tc>
          <w:tcPr>
            <w:tcW w:w="1647" w:type="dxa"/>
            <w:shd w:val="clear" w:color="auto" w:fill="auto"/>
            <w:noWrap/>
            <w:hideMark/>
          </w:tcPr>
          <w:p w14:paraId="74076B6D" w14:textId="77777777" w:rsidR="00F41347" w:rsidRPr="00050FA4" w:rsidRDefault="00F41347" w:rsidP="001A2679">
            <w:pPr>
              <w:rPr>
                <w:rFonts w:ascii="Garamond" w:hAnsi="Garamond"/>
                <w:sz w:val="18"/>
                <w:szCs w:val="18"/>
              </w:rPr>
            </w:pPr>
            <w:r w:rsidRPr="00050FA4">
              <w:rPr>
                <w:rFonts w:ascii="Garamond" w:hAnsi="Garamond"/>
                <w:sz w:val="18"/>
                <w:szCs w:val="18"/>
              </w:rPr>
              <w:lastRenderedPageBreak/>
              <w:t>1. GATE project completes the implementation of the project May 2022;</w:t>
            </w:r>
          </w:p>
          <w:p w14:paraId="1D5BC9BA" w14:textId="5BB131F4" w:rsidR="00F41347" w:rsidRPr="00050FA4" w:rsidRDefault="00F41347" w:rsidP="001A2679">
            <w:pPr>
              <w:rPr>
                <w:rFonts w:ascii="Garamond" w:hAnsi="Garamond"/>
                <w:sz w:val="18"/>
                <w:szCs w:val="18"/>
              </w:rPr>
            </w:pPr>
            <w:r w:rsidRPr="00050FA4">
              <w:rPr>
                <w:rFonts w:ascii="Garamond" w:hAnsi="Garamond"/>
                <w:sz w:val="18"/>
                <w:szCs w:val="18"/>
              </w:rPr>
              <w:t xml:space="preserve">The Reehub + project completes </w:t>
            </w:r>
            <w:r w:rsidRPr="00050FA4">
              <w:rPr>
                <w:rFonts w:ascii="Garamond" w:hAnsi="Garamond"/>
                <w:sz w:val="18"/>
                <w:szCs w:val="18"/>
              </w:rPr>
              <w:lastRenderedPageBreak/>
              <w:t>the project within 2022; </w:t>
            </w:r>
          </w:p>
        </w:tc>
      </w:tr>
      <w:tr w:rsidR="001A2679" w:rsidRPr="00050FA4" w14:paraId="7123A0EE" w14:textId="77777777" w:rsidTr="001A2679">
        <w:trPr>
          <w:trHeight w:val="630"/>
          <w:jc w:val="center"/>
        </w:trPr>
        <w:tc>
          <w:tcPr>
            <w:tcW w:w="3618" w:type="dxa"/>
            <w:shd w:val="clear" w:color="auto" w:fill="auto"/>
            <w:hideMark/>
          </w:tcPr>
          <w:p w14:paraId="54567B1E" w14:textId="381EFD71" w:rsidR="00F41347" w:rsidRPr="00050FA4" w:rsidRDefault="00F41347" w:rsidP="001A2679">
            <w:pPr>
              <w:rPr>
                <w:rFonts w:ascii="Garamond" w:hAnsi="Garamond"/>
                <w:sz w:val="18"/>
                <w:szCs w:val="18"/>
              </w:rPr>
            </w:pPr>
            <w:r w:rsidRPr="00050FA4">
              <w:rPr>
                <w:rFonts w:ascii="Garamond" w:hAnsi="Garamond"/>
                <w:sz w:val="18"/>
                <w:szCs w:val="18"/>
              </w:rPr>
              <w:lastRenderedPageBreak/>
              <w:t>Rehabilitimi dhe ndërtimi i segmentit hekurudhor Durrës-TIA-Tiranë</w:t>
            </w:r>
          </w:p>
        </w:tc>
        <w:tc>
          <w:tcPr>
            <w:tcW w:w="1890" w:type="dxa"/>
            <w:shd w:val="clear" w:color="auto" w:fill="auto"/>
            <w:noWrap/>
            <w:hideMark/>
          </w:tcPr>
          <w:p w14:paraId="14BDFED3" w14:textId="77777777" w:rsidR="00F41347" w:rsidRPr="00050FA4" w:rsidRDefault="00F41347" w:rsidP="001A2679">
            <w:pPr>
              <w:rPr>
                <w:rFonts w:ascii="Garamond" w:hAnsi="Garamond"/>
                <w:sz w:val="18"/>
                <w:szCs w:val="18"/>
              </w:rPr>
            </w:pPr>
          </w:p>
        </w:tc>
        <w:tc>
          <w:tcPr>
            <w:tcW w:w="1170" w:type="dxa"/>
            <w:shd w:val="clear" w:color="auto" w:fill="auto"/>
            <w:noWrap/>
            <w:hideMark/>
          </w:tcPr>
          <w:p w14:paraId="57E59EB8" w14:textId="77777777" w:rsidR="00F41347" w:rsidRPr="00050FA4" w:rsidRDefault="00F41347" w:rsidP="001A2679">
            <w:pPr>
              <w:rPr>
                <w:rFonts w:ascii="Garamond" w:hAnsi="Garamond"/>
                <w:sz w:val="18"/>
                <w:szCs w:val="18"/>
              </w:rPr>
            </w:pPr>
          </w:p>
        </w:tc>
        <w:tc>
          <w:tcPr>
            <w:tcW w:w="1710" w:type="dxa"/>
            <w:shd w:val="clear" w:color="auto" w:fill="auto"/>
            <w:noWrap/>
          </w:tcPr>
          <w:p w14:paraId="1F06F048" w14:textId="10AB8488" w:rsidR="00F41347" w:rsidRPr="00050FA4" w:rsidRDefault="00F41347" w:rsidP="001A2679">
            <w:pPr>
              <w:rPr>
                <w:rFonts w:ascii="Garamond" w:hAnsi="Garamond"/>
                <w:sz w:val="18"/>
                <w:szCs w:val="18"/>
              </w:rPr>
            </w:pPr>
          </w:p>
        </w:tc>
        <w:tc>
          <w:tcPr>
            <w:tcW w:w="1530" w:type="dxa"/>
            <w:shd w:val="clear" w:color="auto" w:fill="auto"/>
            <w:noWrap/>
          </w:tcPr>
          <w:p w14:paraId="683CC229" w14:textId="4E6EEDF4" w:rsidR="00F41347" w:rsidRPr="00050FA4" w:rsidRDefault="00F41347" w:rsidP="001A2679">
            <w:pPr>
              <w:rPr>
                <w:rFonts w:ascii="Garamond" w:hAnsi="Garamond"/>
                <w:sz w:val="18"/>
                <w:szCs w:val="18"/>
              </w:rPr>
            </w:pPr>
          </w:p>
        </w:tc>
        <w:tc>
          <w:tcPr>
            <w:tcW w:w="2430" w:type="dxa"/>
            <w:shd w:val="clear" w:color="auto" w:fill="auto"/>
            <w:noWrap/>
          </w:tcPr>
          <w:p w14:paraId="7DF18E16" w14:textId="51DE0B93" w:rsidR="00F41347" w:rsidRPr="00050FA4" w:rsidRDefault="00F41347" w:rsidP="001A2679">
            <w:pPr>
              <w:rPr>
                <w:rFonts w:ascii="Garamond" w:hAnsi="Garamond"/>
                <w:sz w:val="18"/>
                <w:szCs w:val="18"/>
              </w:rPr>
            </w:pPr>
          </w:p>
        </w:tc>
        <w:tc>
          <w:tcPr>
            <w:tcW w:w="1620" w:type="dxa"/>
            <w:shd w:val="clear" w:color="auto" w:fill="auto"/>
            <w:noWrap/>
          </w:tcPr>
          <w:p w14:paraId="36E4D11D" w14:textId="5436B581" w:rsidR="00F41347" w:rsidRPr="00050FA4" w:rsidRDefault="00F41347" w:rsidP="001A2679">
            <w:pPr>
              <w:rPr>
                <w:rFonts w:ascii="Garamond" w:hAnsi="Garamond"/>
                <w:sz w:val="18"/>
                <w:szCs w:val="18"/>
              </w:rPr>
            </w:pPr>
          </w:p>
        </w:tc>
        <w:tc>
          <w:tcPr>
            <w:tcW w:w="1647" w:type="dxa"/>
            <w:shd w:val="clear" w:color="auto" w:fill="auto"/>
            <w:noWrap/>
          </w:tcPr>
          <w:p w14:paraId="03370767" w14:textId="74BEBBC7" w:rsidR="00F41347" w:rsidRPr="00050FA4" w:rsidRDefault="00F41347" w:rsidP="001A2679">
            <w:pPr>
              <w:rPr>
                <w:rFonts w:ascii="Garamond" w:hAnsi="Garamond"/>
                <w:sz w:val="18"/>
                <w:szCs w:val="18"/>
              </w:rPr>
            </w:pPr>
          </w:p>
        </w:tc>
      </w:tr>
      <w:tr w:rsidR="001A2679" w:rsidRPr="00050FA4" w14:paraId="1A12178F" w14:textId="77777777" w:rsidTr="001A2679">
        <w:trPr>
          <w:trHeight w:val="630"/>
          <w:jc w:val="center"/>
        </w:trPr>
        <w:tc>
          <w:tcPr>
            <w:tcW w:w="3618" w:type="dxa"/>
            <w:shd w:val="clear" w:color="auto" w:fill="auto"/>
            <w:hideMark/>
          </w:tcPr>
          <w:p w14:paraId="337FAE98" w14:textId="158C00F8" w:rsidR="00F41347" w:rsidRPr="00050FA4" w:rsidRDefault="00F41347" w:rsidP="001A2679">
            <w:pPr>
              <w:rPr>
                <w:rFonts w:ascii="Garamond" w:hAnsi="Garamond"/>
                <w:sz w:val="18"/>
                <w:szCs w:val="18"/>
              </w:rPr>
            </w:pPr>
            <w:r w:rsidRPr="00050FA4">
              <w:rPr>
                <w:rFonts w:ascii="Garamond" w:hAnsi="Garamond"/>
                <w:sz w:val="18"/>
                <w:szCs w:val="18"/>
              </w:rPr>
              <w:t>Reforma në Sektorin e Ujit dhe Ujërave të Zeza</w:t>
            </w:r>
          </w:p>
        </w:tc>
        <w:tc>
          <w:tcPr>
            <w:tcW w:w="1890" w:type="dxa"/>
            <w:shd w:val="clear" w:color="auto" w:fill="auto"/>
            <w:noWrap/>
            <w:hideMark/>
          </w:tcPr>
          <w:p w14:paraId="4459CE5E" w14:textId="77777777" w:rsidR="00F41347" w:rsidRPr="00050FA4" w:rsidRDefault="00F41347" w:rsidP="001A2679">
            <w:pPr>
              <w:rPr>
                <w:rFonts w:ascii="Garamond" w:hAnsi="Garamond"/>
                <w:sz w:val="18"/>
                <w:szCs w:val="18"/>
              </w:rPr>
            </w:pPr>
          </w:p>
        </w:tc>
        <w:tc>
          <w:tcPr>
            <w:tcW w:w="1170" w:type="dxa"/>
            <w:shd w:val="clear" w:color="auto" w:fill="auto"/>
            <w:noWrap/>
            <w:hideMark/>
          </w:tcPr>
          <w:p w14:paraId="444EBB1F"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1B6D7F56"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52BACF5F"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63B25423"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4B52C0BE"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40B926CB"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2F5622B0" w14:textId="77777777" w:rsidTr="001A2679">
        <w:trPr>
          <w:trHeight w:val="630"/>
          <w:jc w:val="center"/>
        </w:trPr>
        <w:tc>
          <w:tcPr>
            <w:tcW w:w="3618" w:type="dxa"/>
            <w:shd w:val="clear" w:color="auto" w:fill="auto"/>
            <w:hideMark/>
          </w:tcPr>
          <w:p w14:paraId="05F997DB" w14:textId="29648270" w:rsidR="00F41347" w:rsidRPr="00050FA4" w:rsidRDefault="00F41347" w:rsidP="001A2679">
            <w:pPr>
              <w:rPr>
                <w:rFonts w:ascii="Garamond" w:hAnsi="Garamond"/>
                <w:sz w:val="18"/>
                <w:szCs w:val="18"/>
              </w:rPr>
            </w:pPr>
            <w:r w:rsidRPr="00050FA4">
              <w:rPr>
                <w:rFonts w:ascii="Garamond" w:hAnsi="Garamond"/>
                <w:sz w:val="18"/>
                <w:szCs w:val="18"/>
              </w:rPr>
              <w:t>Qeverisje dhe shërbime më të mira detare dhe detare</w:t>
            </w:r>
          </w:p>
        </w:tc>
        <w:tc>
          <w:tcPr>
            <w:tcW w:w="1890" w:type="dxa"/>
            <w:shd w:val="clear" w:color="auto" w:fill="auto"/>
            <w:noWrap/>
            <w:hideMark/>
          </w:tcPr>
          <w:p w14:paraId="53436847" w14:textId="77777777" w:rsidR="00F41347" w:rsidRPr="00050FA4" w:rsidRDefault="00F41347" w:rsidP="001A2679">
            <w:pPr>
              <w:rPr>
                <w:rFonts w:ascii="Garamond" w:hAnsi="Garamond"/>
                <w:sz w:val="18"/>
                <w:szCs w:val="18"/>
              </w:rPr>
            </w:pPr>
          </w:p>
        </w:tc>
        <w:tc>
          <w:tcPr>
            <w:tcW w:w="1170" w:type="dxa"/>
            <w:shd w:val="clear" w:color="auto" w:fill="auto"/>
            <w:noWrap/>
            <w:hideMark/>
          </w:tcPr>
          <w:p w14:paraId="5C043CB7"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299A18EA"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17BA9A15"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6CB5DFA2"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1851390C"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7F064A1C"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3C4FC756" w14:textId="77777777" w:rsidTr="001A2679">
        <w:trPr>
          <w:trHeight w:val="630"/>
          <w:jc w:val="center"/>
        </w:trPr>
        <w:tc>
          <w:tcPr>
            <w:tcW w:w="3618" w:type="dxa"/>
            <w:shd w:val="clear" w:color="auto" w:fill="auto"/>
            <w:hideMark/>
          </w:tcPr>
          <w:p w14:paraId="67A42D1B" w14:textId="0A6254E9" w:rsidR="00F41347" w:rsidRPr="00050FA4" w:rsidRDefault="00F41347" w:rsidP="001A2679">
            <w:pPr>
              <w:rPr>
                <w:rFonts w:ascii="Garamond" w:hAnsi="Garamond"/>
                <w:sz w:val="18"/>
                <w:szCs w:val="18"/>
              </w:rPr>
            </w:pPr>
            <w:r w:rsidRPr="00050FA4">
              <w:rPr>
                <w:rFonts w:ascii="Garamond" w:hAnsi="Garamond"/>
                <w:sz w:val="18"/>
                <w:szCs w:val="18"/>
              </w:rPr>
              <w:t>Forcimi i luftës kundër informalitetit</w:t>
            </w:r>
          </w:p>
        </w:tc>
        <w:tc>
          <w:tcPr>
            <w:tcW w:w="1890" w:type="dxa"/>
            <w:shd w:val="clear" w:color="auto" w:fill="auto"/>
            <w:noWrap/>
            <w:hideMark/>
          </w:tcPr>
          <w:p w14:paraId="20634BFD" w14:textId="7671295F" w:rsidR="00F41347" w:rsidRPr="00050FA4" w:rsidRDefault="00F41347" w:rsidP="001A2679">
            <w:pPr>
              <w:rPr>
                <w:rFonts w:ascii="Garamond" w:hAnsi="Garamond"/>
                <w:sz w:val="18"/>
                <w:szCs w:val="18"/>
              </w:rPr>
            </w:pPr>
          </w:p>
        </w:tc>
        <w:tc>
          <w:tcPr>
            <w:tcW w:w="1170" w:type="dxa"/>
            <w:shd w:val="clear" w:color="auto" w:fill="auto"/>
            <w:noWrap/>
            <w:hideMark/>
          </w:tcPr>
          <w:p w14:paraId="1C66E0F6" w14:textId="77777777" w:rsidR="00F41347" w:rsidRPr="00050FA4" w:rsidRDefault="00F41347" w:rsidP="001A2679">
            <w:pPr>
              <w:rPr>
                <w:rFonts w:ascii="Garamond" w:hAnsi="Garamond"/>
                <w:sz w:val="18"/>
                <w:szCs w:val="18"/>
              </w:rPr>
            </w:pPr>
            <w:r w:rsidRPr="00050FA4">
              <w:rPr>
                <w:rFonts w:ascii="Garamond" w:hAnsi="Garamond"/>
                <w:sz w:val="18"/>
                <w:szCs w:val="18"/>
              </w:rPr>
              <w:t>PG 4</w:t>
            </w:r>
          </w:p>
        </w:tc>
        <w:tc>
          <w:tcPr>
            <w:tcW w:w="1710" w:type="dxa"/>
            <w:shd w:val="clear" w:color="auto" w:fill="auto"/>
            <w:noWrap/>
            <w:hideMark/>
          </w:tcPr>
          <w:p w14:paraId="31D0EBC0"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36F0E8F0"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5324FDE7"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4D2D6208"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6116A1F3"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50E0429A" w14:textId="77777777" w:rsidTr="001A2679">
        <w:trPr>
          <w:trHeight w:val="630"/>
          <w:jc w:val="center"/>
        </w:trPr>
        <w:tc>
          <w:tcPr>
            <w:tcW w:w="3618" w:type="dxa"/>
            <w:shd w:val="clear" w:color="auto" w:fill="auto"/>
            <w:hideMark/>
          </w:tcPr>
          <w:p w14:paraId="7E3CA85A" w14:textId="031A2E5D" w:rsidR="00F41347" w:rsidRPr="00050FA4" w:rsidRDefault="00F41347" w:rsidP="001A2679">
            <w:pPr>
              <w:rPr>
                <w:rFonts w:ascii="Garamond" w:hAnsi="Garamond"/>
                <w:sz w:val="18"/>
                <w:szCs w:val="18"/>
              </w:rPr>
            </w:pPr>
            <w:r w:rsidRPr="00050FA4">
              <w:rPr>
                <w:rFonts w:ascii="Garamond" w:hAnsi="Garamond"/>
                <w:sz w:val="18"/>
                <w:szCs w:val="18"/>
              </w:rPr>
              <w:t xml:space="preserve">Zhvillimi i një kuadri ligjor në mbështetje të </w:t>
            </w:r>
            <w:r w:rsidR="00E708DC" w:rsidRPr="00050FA4">
              <w:rPr>
                <w:rFonts w:ascii="Garamond" w:hAnsi="Garamond"/>
                <w:i/>
                <w:sz w:val="18"/>
                <w:szCs w:val="18"/>
              </w:rPr>
              <w:t>start-up</w:t>
            </w:r>
            <w:r w:rsidRPr="00050FA4">
              <w:rPr>
                <w:rFonts w:ascii="Garamond" w:hAnsi="Garamond"/>
                <w:sz w:val="18"/>
                <w:szCs w:val="18"/>
              </w:rPr>
              <w:t>-eve inovative</w:t>
            </w:r>
          </w:p>
        </w:tc>
        <w:tc>
          <w:tcPr>
            <w:tcW w:w="1890" w:type="dxa"/>
            <w:shd w:val="clear" w:color="auto" w:fill="auto"/>
            <w:noWrap/>
            <w:hideMark/>
          </w:tcPr>
          <w:p w14:paraId="78137203" w14:textId="00E95299" w:rsidR="00F41347" w:rsidRPr="00050FA4" w:rsidRDefault="00F41347" w:rsidP="001A2679">
            <w:pPr>
              <w:rPr>
                <w:rFonts w:ascii="Garamond" w:hAnsi="Garamond"/>
                <w:sz w:val="18"/>
                <w:szCs w:val="18"/>
              </w:rPr>
            </w:pPr>
            <w:r w:rsidRPr="00050FA4">
              <w:rPr>
                <w:rFonts w:ascii="Garamond" w:hAnsi="Garamond"/>
                <w:sz w:val="18"/>
                <w:szCs w:val="18"/>
              </w:rPr>
              <w:t>Sfida Kyçe #3</w:t>
            </w:r>
          </w:p>
        </w:tc>
        <w:tc>
          <w:tcPr>
            <w:tcW w:w="1170" w:type="dxa"/>
            <w:shd w:val="clear" w:color="auto" w:fill="auto"/>
            <w:noWrap/>
            <w:hideMark/>
          </w:tcPr>
          <w:p w14:paraId="1D09DDE5" w14:textId="77777777" w:rsidR="00F41347" w:rsidRPr="00050FA4" w:rsidRDefault="00F41347" w:rsidP="001A2679">
            <w:pPr>
              <w:rPr>
                <w:rFonts w:ascii="Garamond" w:hAnsi="Garamond"/>
                <w:sz w:val="18"/>
                <w:szCs w:val="18"/>
              </w:rPr>
            </w:pPr>
            <w:r w:rsidRPr="00050FA4">
              <w:rPr>
                <w:rFonts w:ascii="Garamond" w:hAnsi="Garamond"/>
                <w:sz w:val="18"/>
                <w:szCs w:val="18"/>
              </w:rPr>
              <w:t>PG 5</w:t>
            </w:r>
          </w:p>
        </w:tc>
        <w:tc>
          <w:tcPr>
            <w:tcW w:w="1710" w:type="dxa"/>
            <w:shd w:val="clear" w:color="auto" w:fill="auto"/>
            <w:noWrap/>
            <w:hideMark/>
          </w:tcPr>
          <w:p w14:paraId="1E9256F6"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6F1EDAC1"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0DBB1195"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5C9E3128"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3BD0B5EE"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2528F8F0" w14:textId="77777777" w:rsidTr="001A2679">
        <w:trPr>
          <w:trHeight w:val="315"/>
          <w:jc w:val="center"/>
        </w:trPr>
        <w:tc>
          <w:tcPr>
            <w:tcW w:w="3618" w:type="dxa"/>
            <w:shd w:val="clear" w:color="auto" w:fill="auto"/>
            <w:hideMark/>
          </w:tcPr>
          <w:p w14:paraId="1CA0EB45" w14:textId="114A0833" w:rsidR="00F41347" w:rsidRPr="00050FA4" w:rsidRDefault="00F41347" w:rsidP="001A2679">
            <w:pPr>
              <w:rPr>
                <w:rFonts w:ascii="Garamond" w:hAnsi="Garamond"/>
                <w:sz w:val="18"/>
                <w:szCs w:val="18"/>
              </w:rPr>
            </w:pPr>
            <w:r w:rsidRPr="00050FA4">
              <w:rPr>
                <w:rFonts w:ascii="Garamond" w:hAnsi="Garamond"/>
                <w:sz w:val="18"/>
                <w:szCs w:val="18"/>
              </w:rPr>
              <w:t>Përmirësimi i aksesit në financa për NVM-të</w:t>
            </w:r>
          </w:p>
        </w:tc>
        <w:tc>
          <w:tcPr>
            <w:tcW w:w="1890" w:type="dxa"/>
            <w:shd w:val="clear" w:color="auto" w:fill="auto"/>
            <w:noWrap/>
            <w:hideMark/>
          </w:tcPr>
          <w:p w14:paraId="646E76CD" w14:textId="67C19A32" w:rsidR="00F41347" w:rsidRPr="00050FA4" w:rsidRDefault="00F41347" w:rsidP="001A2679">
            <w:pPr>
              <w:rPr>
                <w:rFonts w:ascii="Garamond" w:hAnsi="Garamond"/>
                <w:sz w:val="18"/>
                <w:szCs w:val="18"/>
              </w:rPr>
            </w:pPr>
            <w:r w:rsidRPr="00050FA4">
              <w:rPr>
                <w:rFonts w:ascii="Garamond" w:hAnsi="Garamond"/>
                <w:sz w:val="18"/>
                <w:szCs w:val="18"/>
              </w:rPr>
              <w:t>Sfida Kyçe #3</w:t>
            </w:r>
          </w:p>
        </w:tc>
        <w:tc>
          <w:tcPr>
            <w:tcW w:w="1170" w:type="dxa"/>
            <w:shd w:val="clear" w:color="auto" w:fill="auto"/>
            <w:noWrap/>
            <w:hideMark/>
          </w:tcPr>
          <w:p w14:paraId="7CD09446"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68D540A8"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581E575A"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1F0A0E3C"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5FD0D4E8"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6984C290"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5DABEBE0" w14:textId="77777777" w:rsidTr="001A2679">
        <w:trPr>
          <w:trHeight w:val="630"/>
          <w:jc w:val="center"/>
        </w:trPr>
        <w:tc>
          <w:tcPr>
            <w:tcW w:w="3618" w:type="dxa"/>
            <w:shd w:val="clear" w:color="auto" w:fill="auto"/>
            <w:hideMark/>
          </w:tcPr>
          <w:p w14:paraId="2C0D4601" w14:textId="2C71B68B" w:rsidR="00F41347" w:rsidRPr="00050FA4" w:rsidRDefault="00F41347" w:rsidP="001A2679">
            <w:pPr>
              <w:rPr>
                <w:rFonts w:ascii="Garamond" w:hAnsi="Garamond"/>
                <w:sz w:val="18"/>
                <w:szCs w:val="18"/>
              </w:rPr>
            </w:pPr>
            <w:r w:rsidRPr="00050FA4">
              <w:rPr>
                <w:rFonts w:ascii="Garamond" w:hAnsi="Garamond"/>
                <w:sz w:val="18"/>
                <w:szCs w:val="18"/>
              </w:rPr>
              <w:t>Modernizimi i instrumenteve të pagesave me pakicë</w:t>
            </w:r>
          </w:p>
        </w:tc>
        <w:tc>
          <w:tcPr>
            <w:tcW w:w="1890" w:type="dxa"/>
            <w:shd w:val="clear" w:color="auto" w:fill="auto"/>
            <w:noWrap/>
            <w:hideMark/>
          </w:tcPr>
          <w:p w14:paraId="144369C9" w14:textId="45978315" w:rsidR="00F41347" w:rsidRPr="00050FA4" w:rsidRDefault="00F41347" w:rsidP="001A2679">
            <w:pPr>
              <w:rPr>
                <w:rFonts w:ascii="Garamond" w:hAnsi="Garamond"/>
                <w:sz w:val="18"/>
                <w:szCs w:val="18"/>
              </w:rPr>
            </w:pPr>
            <w:r w:rsidRPr="00050FA4">
              <w:rPr>
                <w:rFonts w:ascii="Garamond" w:hAnsi="Garamond"/>
                <w:sz w:val="18"/>
                <w:szCs w:val="18"/>
              </w:rPr>
              <w:t>Sfida Kyçe #3</w:t>
            </w:r>
          </w:p>
        </w:tc>
        <w:tc>
          <w:tcPr>
            <w:tcW w:w="1170" w:type="dxa"/>
            <w:shd w:val="clear" w:color="auto" w:fill="auto"/>
            <w:noWrap/>
            <w:hideMark/>
          </w:tcPr>
          <w:p w14:paraId="793DFA31" w14:textId="5FE8F546" w:rsidR="00F41347" w:rsidRPr="00050FA4" w:rsidRDefault="00F41347" w:rsidP="001A2679">
            <w:pPr>
              <w:rPr>
                <w:rFonts w:ascii="Garamond" w:hAnsi="Garamond"/>
                <w:sz w:val="18"/>
                <w:szCs w:val="18"/>
              </w:rPr>
            </w:pPr>
            <w:r w:rsidRPr="00050FA4">
              <w:rPr>
                <w:rFonts w:ascii="Garamond" w:hAnsi="Garamond"/>
                <w:sz w:val="18"/>
                <w:szCs w:val="18"/>
              </w:rPr>
              <w:t>n/a</w:t>
            </w:r>
          </w:p>
        </w:tc>
        <w:tc>
          <w:tcPr>
            <w:tcW w:w="1710" w:type="dxa"/>
            <w:shd w:val="clear" w:color="auto" w:fill="auto"/>
            <w:noWrap/>
            <w:hideMark/>
          </w:tcPr>
          <w:p w14:paraId="59B41027" w14:textId="41263F25" w:rsidR="00F41347" w:rsidRPr="00050FA4" w:rsidRDefault="00F41347" w:rsidP="0084264C">
            <w:pPr>
              <w:rPr>
                <w:rFonts w:ascii="Garamond" w:hAnsi="Garamond"/>
                <w:sz w:val="18"/>
                <w:szCs w:val="18"/>
              </w:rPr>
            </w:pPr>
            <w:r w:rsidRPr="00050FA4">
              <w:rPr>
                <w:rFonts w:ascii="Garamond" w:hAnsi="Garamond"/>
                <w:sz w:val="18"/>
                <w:szCs w:val="18"/>
              </w:rPr>
              <w:t xml:space="preserve">Nuk ka </w:t>
            </w:r>
            <w:r w:rsidR="00957675" w:rsidRPr="00050FA4">
              <w:rPr>
                <w:rFonts w:ascii="Garamond" w:hAnsi="Garamond"/>
                <w:sz w:val="18"/>
                <w:szCs w:val="18"/>
              </w:rPr>
              <w:t>një</w:t>
            </w:r>
            <w:r w:rsidRPr="00050FA4">
              <w:rPr>
                <w:rFonts w:ascii="Garamond" w:hAnsi="Garamond"/>
                <w:sz w:val="18"/>
                <w:szCs w:val="18"/>
              </w:rPr>
              <w:t xml:space="preserve"> rekomandim specifik n</w:t>
            </w:r>
            <w:r w:rsidR="0084264C" w:rsidRPr="00050FA4">
              <w:rPr>
                <w:rFonts w:ascii="Garamond" w:hAnsi="Garamond"/>
                <w:sz w:val="18"/>
                <w:szCs w:val="18"/>
              </w:rPr>
              <w:t>ë</w:t>
            </w:r>
            <w:r w:rsidRPr="00050FA4">
              <w:rPr>
                <w:rFonts w:ascii="Garamond" w:hAnsi="Garamond"/>
                <w:sz w:val="18"/>
                <w:szCs w:val="18"/>
              </w:rPr>
              <w:t xml:space="preserve"> paketën e zgjerimi</w:t>
            </w:r>
            <w:r w:rsidR="004E7F9B" w:rsidRPr="00050FA4">
              <w:rPr>
                <w:rFonts w:ascii="Garamond" w:hAnsi="Garamond"/>
                <w:sz w:val="18"/>
                <w:szCs w:val="18"/>
              </w:rPr>
              <w:t>t. Reforma, megjithatë, synon të</w:t>
            </w:r>
            <w:r w:rsidRPr="00050FA4">
              <w:rPr>
                <w:rFonts w:ascii="Garamond" w:hAnsi="Garamond"/>
                <w:sz w:val="18"/>
                <w:szCs w:val="18"/>
              </w:rPr>
              <w:t xml:space="preserve"> </w:t>
            </w:r>
            <w:r w:rsidR="00957675" w:rsidRPr="00050FA4">
              <w:rPr>
                <w:rFonts w:ascii="Garamond" w:hAnsi="Garamond"/>
                <w:sz w:val="18"/>
                <w:szCs w:val="18"/>
              </w:rPr>
              <w:lastRenderedPageBreak/>
              <w:t>përmbushë</w:t>
            </w:r>
            <w:r w:rsidRPr="00050FA4">
              <w:rPr>
                <w:rFonts w:ascii="Garamond" w:hAnsi="Garamond"/>
                <w:sz w:val="18"/>
                <w:szCs w:val="18"/>
              </w:rPr>
              <w:t xml:space="preserve"> objektivat e strategjisë </w:t>
            </w:r>
            <w:r w:rsidR="004E7F9B" w:rsidRPr="00050FA4">
              <w:rPr>
                <w:rFonts w:ascii="Garamond" w:hAnsi="Garamond"/>
                <w:sz w:val="18"/>
                <w:szCs w:val="18"/>
              </w:rPr>
              <w:t>kombëtare të</w:t>
            </w:r>
            <w:r w:rsidRPr="00050FA4">
              <w:rPr>
                <w:rFonts w:ascii="Garamond" w:hAnsi="Garamond"/>
                <w:sz w:val="18"/>
                <w:szCs w:val="18"/>
              </w:rPr>
              <w:t xml:space="preserve"> </w:t>
            </w:r>
            <w:r w:rsidR="004E7F9B" w:rsidRPr="00050FA4">
              <w:rPr>
                <w:rFonts w:ascii="Garamond" w:hAnsi="Garamond"/>
                <w:sz w:val="18"/>
                <w:szCs w:val="18"/>
              </w:rPr>
              <w:t>Shqipërisë</w:t>
            </w:r>
            <w:r w:rsidRPr="00050FA4">
              <w:rPr>
                <w:rFonts w:ascii="Garamond" w:hAnsi="Garamond"/>
                <w:sz w:val="18"/>
                <w:szCs w:val="18"/>
              </w:rPr>
              <w:t xml:space="preserve"> p</w:t>
            </w:r>
            <w:r w:rsidR="004E7F9B" w:rsidRPr="00050FA4">
              <w:rPr>
                <w:rFonts w:ascii="Garamond" w:hAnsi="Garamond"/>
                <w:sz w:val="18"/>
                <w:szCs w:val="18"/>
              </w:rPr>
              <w:t>ë</w:t>
            </w:r>
            <w:r w:rsidRPr="00050FA4">
              <w:rPr>
                <w:rFonts w:ascii="Garamond" w:hAnsi="Garamond"/>
                <w:sz w:val="18"/>
                <w:szCs w:val="18"/>
              </w:rPr>
              <w:t xml:space="preserve">r pagesat e vogla (NRPS) </w:t>
            </w:r>
            <w:r w:rsidR="004E7F9B" w:rsidRPr="00050FA4">
              <w:rPr>
                <w:rFonts w:ascii="Garamond" w:hAnsi="Garamond"/>
                <w:sz w:val="18"/>
                <w:szCs w:val="18"/>
              </w:rPr>
              <w:t>për</w:t>
            </w:r>
            <w:r w:rsidRPr="00050FA4">
              <w:rPr>
                <w:rFonts w:ascii="Garamond" w:hAnsi="Garamond"/>
                <w:sz w:val="18"/>
                <w:szCs w:val="18"/>
              </w:rPr>
              <w:t xml:space="preserve"> 2018</w:t>
            </w:r>
            <w:r w:rsidR="004E7F9B" w:rsidRPr="00050FA4">
              <w:rPr>
                <w:rFonts w:ascii="Garamond" w:hAnsi="Garamond"/>
                <w:sz w:val="18"/>
                <w:szCs w:val="18"/>
              </w:rPr>
              <w:t>–</w:t>
            </w:r>
            <w:r w:rsidRPr="00050FA4">
              <w:rPr>
                <w:rFonts w:ascii="Garamond" w:hAnsi="Garamond"/>
                <w:sz w:val="18"/>
                <w:szCs w:val="18"/>
              </w:rPr>
              <w:t xml:space="preserve">2023, </w:t>
            </w:r>
            <w:r w:rsidR="004E7F9B" w:rsidRPr="00050FA4">
              <w:rPr>
                <w:rFonts w:ascii="Garamond" w:hAnsi="Garamond"/>
                <w:sz w:val="18"/>
                <w:szCs w:val="18"/>
              </w:rPr>
              <w:t>përmes</w:t>
            </w:r>
            <w:r w:rsidRPr="00050FA4">
              <w:rPr>
                <w:rFonts w:ascii="Garamond" w:hAnsi="Garamond"/>
                <w:sz w:val="18"/>
                <w:szCs w:val="18"/>
              </w:rPr>
              <w:t xml:space="preserve"> miratimit t</w:t>
            </w:r>
            <w:r w:rsidR="004E7F9B" w:rsidRPr="00050FA4">
              <w:rPr>
                <w:rFonts w:ascii="Garamond" w:hAnsi="Garamond"/>
                <w:sz w:val="18"/>
                <w:szCs w:val="18"/>
              </w:rPr>
              <w:t>ë</w:t>
            </w:r>
            <w:r w:rsidRPr="00050FA4">
              <w:rPr>
                <w:rFonts w:ascii="Garamond" w:hAnsi="Garamond"/>
                <w:sz w:val="18"/>
                <w:szCs w:val="18"/>
              </w:rPr>
              <w:t xml:space="preserve"> ligjit mbi shërbimin e pagesave dhe ligjit </w:t>
            </w:r>
            <w:r w:rsidR="004E7F9B" w:rsidRPr="00050FA4">
              <w:rPr>
                <w:rFonts w:ascii="Garamond" w:hAnsi="Garamond"/>
                <w:sz w:val="18"/>
                <w:szCs w:val="18"/>
              </w:rPr>
              <w:t>për</w:t>
            </w:r>
            <w:r w:rsidRPr="00050FA4">
              <w:rPr>
                <w:rFonts w:ascii="Garamond" w:hAnsi="Garamond"/>
                <w:sz w:val="18"/>
                <w:szCs w:val="18"/>
              </w:rPr>
              <w:t xml:space="preserve"> llogarit</w:t>
            </w:r>
            <w:r w:rsidR="004E7F9B" w:rsidRPr="00050FA4">
              <w:rPr>
                <w:rFonts w:ascii="Garamond" w:hAnsi="Garamond"/>
                <w:sz w:val="18"/>
                <w:szCs w:val="18"/>
              </w:rPr>
              <w:t>ë</w:t>
            </w:r>
            <w:r w:rsidRPr="00050FA4">
              <w:rPr>
                <w:rFonts w:ascii="Garamond" w:hAnsi="Garamond"/>
                <w:sz w:val="18"/>
                <w:szCs w:val="18"/>
              </w:rPr>
              <w:t xml:space="preserve"> e pagesave, q</w:t>
            </w:r>
            <w:r w:rsidR="004E7F9B" w:rsidRPr="00050FA4">
              <w:rPr>
                <w:rFonts w:ascii="Garamond" w:hAnsi="Garamond"/>
                <w:sz w:val="18"/>
                <w:szCs w:val="18"/>
              </w:rPr>
              <w:t>ë</w:t>
            </w:r>
            <w:r w:rsidRPr="00050FA4">
              <w:rPr>
                <w:rFonts w:ascii="Garamond" w:hAnsi="Garamond"/>
                <w:sz w:val="18"/>
                <w:szCs w:val="18"/>
              </w:rPr>
              <w:t xml:space="preserve"> synojnë harmonizimin me </w:t>
            </w:r>
            <w:r w:rsidR="004E7F9B" w:rsidRPr="00050FA4">
              <w:rPr>
                <w:rFonts w:ascii="Garamond" w:hAnsi="Garamond"/>
                <w:sz w:val="18"/>
                <w:szCs w:val="18"/>
              </w:rPr>
              <w:t xml:space="preserve">direktivat </w:t>
            </w:r>
            <w:r w:rsidRPr="00050FA4">
              <w:rPr>
                <w:rFonts w:ascii="Garamond" w:hAnsi="Garamond"/>
                <w:sz w:val="18"/>
                <w:szCs w:val="18"/>
              </w:rPr>
              <w:t>përkatëse t</w:t>
            </w:r>
            <w:r w:rsidR="004E7F9B" w:rsidRPr="00050FA4">
              <w:rPr>
                <w:rFonts w:ascii="Garamond" w:hAnsi="Garamond"/>
                <w:sz w:val="18"/>
                <w:szCs w:val="18"/>
              </w:rPr>
              <w:t>ë</w:t>
            </w:r>
            <w:r w:rsidRPr="00050FA4">
              <w:rPr>
                <w:rFonts w:ascii="Garamond" w:hAnsi="Garamond"/>
                <w:sz w:val="18"/>
                <w:szCs w:val="18"/>
              </w:rPr>
              <w:t xml:space="preserve"> BE-s</w:t>
            </w:r>
            <w:r w:rsidR="004E7F9B" w:rsidRPr="00050FA4">
              <w:rPr>
                <w:rFonts w:ascii="Garamond" w:hAnsi="Garamond"/>
                <w:sz w:val="18"/>
                <w:szCs w:val="18"/>
              </w:rPr>
              <w:t>ë, në</w:t>
            </w:r>
            <w:r w:rsidRPr="00050FA4">
              <w:rPr>
                <w:rFonts w:ascii="Garamond" w:hAnsi="Garamond"/>
                <w:sz w:val="18"/>
                <w:szCs w:val="18"/>
              </w:rPr>
              <w:t xml:space="preserve">n </w:t>
            </w:r>
            <w:r w:rsidR="004E7F9B" w:rsidRPr="00050FA4">
              <w:rPr>
                <w:rFonts w:ascii="Garamond" w:hAnsi="Garamond"/>
                <w:sz w:val="18"/>
                <w:szCs w:val="18"/>
              </w:rPr>
              <w:t>kapitullin 4 të</w:t>
            </w:r>
            <w:r w:rsidRPr="00050FA4">
              <w:rPr>
                <w:rFonts w:ascii="Garamond" w:hAnsi="Garamond"/>
                <w:sz w:val="18"/>
                <w:szCs w:val="18"/>
              </w:rPr>
              <w:t xml:space="preserve"> </w:t>
            </w:r>
            <w:r w:rsidRPr="00050FA4">
              <w:rPr>
                <w:rFonts w:ascii="Garamond" w:hAnsi="Garamond"/>
                <w:i/>
                <w:sz w:val="18"/>
                <w:szCs w:val="18"/>
              </w:rPr>
              <w:t>Acquis.</w:t>
            </w:r>
          </w:p>
        </w:tc>
        <w:tc>
          <w:tcPr>
            <w:tcW w:w="1530" w:type="dxa"/>
            <w:shd w:val="clear" w:color="auto" w:fill="auto"/>
            <w:noWrap/>
            <w:hideMark/>
          </w:tcPr>
          <w:p w14:paraId="6BDC86CD" w14:textId="02930E23" w:rsidR="00F41347" w:rsidRPr="00050FA4" w:rsidRDefault="00F41347" w:rsidP="001A2679">
            <w:pPr>
              <w:rPr>
                <w:rFonts w:ascii="Garamond" w:hAnsi="Garamond"/>
                <w:sz w:val="18"/>
                <w:szCs w:val="18"/>
              </w:rPr>
            </w:pPr>
            <w:r w:rsidRPr="00050FA4">
              <w:rPr>
                <w:rFonts w:ascii="Garamond" w:hAnsi="Garamond"/>
                <w:sz w:val="18"/>
                <w:szCs w:val="18"/>
              </w:rPr>
              <w:lastRenderedPageBreak/>
              <w:t>n/a</w:t>
            </w:r>
          </w:p>
        </w:tc>
        <w:tc>
          <w:tcPr>
            <w:tcW w:w="2430" w:type="dxa"/>
            <w:shd w:val="clear" w:color="auto" w:fill="auto"/>
            <w:noWrap/>
            <w:hideMark/>
          </w:tcPr>
          <w:p w14:paraId="062C5020" w14:textId="5E92045E" w:rsidR="00F41347" w:rsidRPr="00050FA4" w:rsidRDefault="00F41347" w:rsidP="001A2679">
            <w:pPr>
              <w:rPr>
                <w:rFonts w:ascii="Garamond" w:hAnsi="Garamond"/>
                <w:sz w:val="18"/>
                <w:szCs w:val="18"/>
              </w:rPr>
            </w:pPr>
            <w:r w:rsidRPr="00050FA4">
              <w:rPr>
                <w:rFonts w:ascii="Garamond" w:hAnsi="Garamond"/>
                <w:sz w:val="18"/>
                <w:szCs w:val="18"/>
              </w:rPr>
              <w:t>n/a</w:t>
            </w:r>
          </w:p>
        </w:tc>
        <w:tc>
          <w:tcPr>
            <w:tcW w:w="1620" w:type="dxa"/>
            <w:shd w:val="clear" w:color="auto" w:fill="auto"/>
            <w:noWrap/>
            <w:hideMark/>
          </w:tcPr>
          <w:p w14:paraId="6D0A9398" w14:textId="22BE7813" w:rsidR="00F41347" w:rsidRPr="00050FA4" w:rsidRDefault="00F41347" w:rsidP="001A2679">
            <w:pPr>
              <w:rPr>
                <w:rFonts w:ascii="Garamond" w:hAnsi="Garamond"/>
                <w:sz w:val="18"/>
                <w:szCs w:val="18"/>
              </w:rPr>
            </w:pPr>
            <w:r w:rsidRPr="00050FA4">
              <w:rPr>
                <w:rFonts w:ascii="Garamond" w:hAnsi="Garamond"/>
                <w:sz w:val="18"/>
                <w:szCs w:val="18"/>
              </w:rPr>
              <w:t>n/a</w:t>
            </w:r>
          </w:p>
        </w:tc>
        <w:tc>
          <w:tcPr>
            <w:tcW w:w="1647" w:type="dxa"/>
            <w:shd w:val="clear" w:color="auto" w:fill="auto"/>
            <w:noWrap/>
            <w:hideMark/>
          </w:tcPr>
          <w:p w14:paraId="49CD225B" w14:textId="2D0F2A84" w:rsidR="00F41347" w:rsidRPr="00050FA4" w:rsidRDefault="00F41347" w:rsidP="001A2679">
            <w:pPr>
              <w:rPr>
                <w:rFonts w:ascii="Garamond" w:hAnsi="Garamond"/>
                <w:sz w:val="18"/>
                <w:szCs w:val="18"/>
              </w:rPr>
            </w:pPr>
            <w:r w:rsidRPr="00050FA4">
              <w:rPr>
                <w:rFonts w:ascii="Garamond" w:hAnsi="Garamond"/>
                <w:sz w:val="18"/>
                <w:szCs w:val="18"/>
              </w:rPr>
              <w:t>n/a</w:t>
            </w:r>
          </w:p>
        </w:tc>
      </w:tr>
      <w:tr w:rsidR="001A2679" w:rsidRPr="00050FA4" w14:paraId="05196819" w14:textId="77777777" w:rsidTr="001A2679">
        <w:trPr>
          <w:trHeight w:val="945"/>
          <w:jc w:val="center"/>
        </w:trPr>
        <w:tc>
          <w:tcPr>
            <w:tcW w:w="3618" w:type="dxa"/>
            <w:shd w:val="clear" w:color="auto" w:fill="auto"/>
            <w:hideMark/>
          </w:tcPr>
          <w:p w14:paraId="3005E6D9" w14:textId="6D82E0B4" w:rsidR="00F41347" w:rsidRPr="00050FA4" w:rsidRDefault="00F41347" w:rsidP="001A2679">
            <w:pPr>
              <w:rPr>
                <w:rFonts w:ascii="Garamond" w:hAnsi="Garamond"/>
                <w:sz w:val="18"/>
                <w:szCs w:val="18"/>
              </w:rPr>
            </w:pPr>
            <w:r w:rsidRPr="00050FA4">
              <w:rPr>
                <w:rFonts w:ascii="Garamond" w:hAnsi="Garamond"/>
                <w:sz w:val="18"/>
                <w:szCs w:val="18"/>
              </w:rPr>
              <w:lastRenderedPageBreak/>
              <w:t>Përmirësimi i kapaciteteve institucionale, financiare dhe njerëzore për kërkimin dhe inovacionin</w:t>
            </w:r>
          </w:p>
        </w:tc>
        <w:tc>
          <w:tcPr>
            <w:tcW w:w="1890" w:type="dxa"/>
            <w:shd w:val="clear" w:color="auto" w:fill="auto"/>
            <w:noWrap/>
            <w:hideMark/>
          </w:tcPr>
          <w:p w14:paraId="6D75D6DD" w14:textId="1E6362EC" w:rsidR="00F41347" w:rsidRPr="00050FA4" w:rsidRDefault="00F41347" w:rsidP="001A2679">
            <w:pPr>
              <w:rPr>
                <w:rFonts w:ascii="Garamond" w:hAnsi="Garamond"/>
                <w:sz w:val="18"/>
                <w:szCs w:val="18"/>
              </w:rPr>
            </w:pPr>
            <w:r w:rsidRPr="00050FA4">
              <w:rPr>
                <w:rFonts w:ascii="Garamond" w:hAnsi="Garamond"/>
                <w:sz w:val="18"/>
                <w:szCs w:val="18"/>
              </w:rPr>
              <w:t>Sfida Kyçe #1</w:t>
            </w:r>
          </w:p>
        </w:tc>
        <w:tc>
          <w:tcPr>
            <w:tcW w:w="1170" w:type="dxa"/>
            <w:shd w:val="clear" w:color="auto" w:fill="auto"/>
            <w:noWrap/>
            <w:hideMark/>
          </w:tcPr>
          <w:p w14:paraId="5CC0D9CA"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6D6FFDCF"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7C68EFD2"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60C554C8" w14:textId="15FE0D61" w:rsidR="00F41347" w:rsidRPr="00050FA4" w:rsidRDefault="00F41347" w:rsidP="001A2679">
            <w:pPr>
              <w:rPr>
                <w:rFonts w:ascii="Garamond" w:hAnsi="Garamond"/>
                <w:sz w:val="18"/>
                <w:szCs w:val="18"/>
              </w:rPr>
            </w:pPr>
            <w:r w:rsidRPr="00050FA4">
              <w:rPr>
                <w:rFonts w:ascii="Garamond" w:hAnsi="Garamond"/>
                <w:sz w:val="18"/>
                <w:szCs w:val="18"/>
              </w:rPr>
              <w:t>S’ka rekomandime</w:t>
            </w:r>
          </w:p>
        </w:tc>
        <w:tc>
          <w:tcPr>
            <w:tcW w:w="1620" w:type="dxa"/>
            <w:shd w:val="clear" w:color="auto" w:fill="auto"/>
            <w:noWrap/>
            <w:hideMark/>
          </w:tcPr>
          <w:p w14:paraId="0D52627D"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2C99031E" w14:textId="68DD483A" w:rsidR="00F41347" w:rsidRPr="00050FA4" w:rsidRDefault="00F41347" w:rsidP="001A2679">
            <w:pPr>
              <w:rPr>
                <w:rFonts w:ascii="Garamond" w:hAnsi="Garamond"/>
                <w:sz w:val="18"/>
                <w:szCs w:val="18"/>
              </w:rPr>
            </w:pPr>
            <w:r w:rsidRPr="00050FA4">
              <w:rPr>
                <w:rFonts w:ascii="Garamond" w:hAnsi="Garamond"/>
                <w:sz w:val="18"/>
                <w:szCs w:val="18"/>
              </w:rPr>
              <w:t xml:space="preserve">E vetmja asistencë e planifikuar që i përgjigjet kësaj fushe është binjakëzimi në lidhje me përmirësimin e kapaciteteve të Agjencisë Kombëtare të Kërkimit Shkencor dhe </w:t>
            </w:r>
            <w:r w:rsidR="003D46B8" w:rsidRPr="00050FA4">
              <w:rPr>
                <w:rFonts w:ascii="Garamond" w:hAnsi="Garamond"/>
                <w:sz w:val="18"/>
                <w:szCs w:val="18"/>
              </w:rPr>
              <w:t xml:space="preserve">inovacionit </w:t>
            </w:r>
            <w:r w:rsidRPr="00050FA4">
              <w:rPr>
                <w:rFonts w:ascii="Garamond" w:hAnsi="Garamond"/>
                <w:sz w:val="18"/>
                <w:szCs w:val="18"/>
              </w:rPr>
              <w:t>në lidhje me përafrimin e legjislacionit në fushën e kërkimit shkencor me legjislacionin përkatës të BE-së. Ky projekt ende nuk ka filluar të zbatohet.</w:t>
            </w:r>
          </w:p>
        </w:tc>
      </w:tr>
      <w:tr w:rsidR="001A2679" w:rsidRPr="00050FA4" w14:paraId="3CEC2A01" w14:textId="77777777" w:rsidTr="00957675">
        <w:trPr>
          <w:trHeight w:val="404"/>
          <w:jc w:val="center"/>
        </w:trPr>
        <w:tc>
          <w:tcPr>
            <w:tcW w:w="3618" w:type="dxa"/>
            <w:shd w:val="clear" w:color="auto" w:fill="auto"/>
            <w:hideMark/>
          </w:tcPr>
          <w:p w14:paraId="3D40A06C" w14:textId="7CFD9B74" w:rsidR="00F41347" w:rsidRPr="00050FA4" w:rsidRDefault="00F41347" w:rsidP="001A2679">
            <w:pPr>
              <w:rPr>
                <w:rFonts w:ascii="Garamond" w:hAnsi="Garamond"/>
                <w:sz w:val="18"/>
                <w:szCs w:val="18"/>
              </w:rPr>
            </w:pPr>
            <w:r w:rsidRPr="00050FA4">
              <w:rPr>
                <w:rFonts w:ascii="Garamond" w:hAnsi="Garamond"/>
                <w:sz w:val="18"/>
                <w:szCs w:val="18"/>
              </w:rPr>
              <w:t xml:space="preserve">Zhvillimi i infrastrukturës </w:t>
            </w:r>
            <w:r w:rsidRPr="00050FA4">
              <w:rPr>
                <w:rFonts w:ascii="Garamond" w:hAnsi="Garamond"/>
                <w:i/>
                <w:sz w:val="18"/>
                <w:szCs w:val="18"/>
              </w:rPr>
              <w:t>broadband</w:t>
            </w:r>
            <w:r w:rsidRPr="00050FA4">
              <w:rPr>
                <w:rFonts w:ascii="Garamond" w:hAnsi="Garamond"/>
                <w:sz w:val="18"/>
                <w:szCs w:val="18"/>
              </w:rPr>
              <w:t xml:space="preserve"> për ekonominë </w:t>
            </w:r>
            <w:r w:rsidR="00C948AF" w:rsidRPr="00050FA4">
              <w:rPr>
                <w:rFonts w:ascii="Garamond" w:hAnsi="Garamond"/>
                <w:sz w:val="18"/>
                <w:szCs w:val="18"/>
              </w:rPr>
              <w:t>digjital</w:t>
            </w:r>
            <w:r w:rsidRPr="00050FA4">
              <w:rPr>
                <w:rFonts w:ascii="Garamond" w:hAnsi="Garamond"/>
                <w:sz w:val="18"/>
                <w:szCs w:val="18"/>
              </w:rPr>
              <w:t>e</w:t>
            </w:r>
          </w:p>
        </w:tc>
        <w:tc>
          <w:tcPr>
            <w:tcW w:w="1890" w:type="dxa"/>
            <w:shd w:val="clear" w:color="auto" w:fill="auto"/>
            <w:noWrap/>
            <w:hideMark/>
          </w:tcPr>
          <w:p w14:paraId="73571D9B" w14:textId="77777777" w:rsidR="00F41347" w:rsidRPr="00050FA4" w:rsidRDefault="00F41347" w:rsidP="001A2679">
            <w:pPr>
              <w:rPr>
                <w:rFonts w:ascii="Garamond" w:hAnsi="Garamond"/>
                <w:sz w:val="18"/>
                <w:szCs w:val="18"/>
              </w:rPr>
            </w:pPr>
          </w:p>
        </w:tc>
        <w:tc>
          <w:tcPr>
            <w:tcW w:w="1170" w:type="dxa"/>
            <w:shd w:val="clear" w:color="auto" w:fill="auto"/>
            <w:noWrap/>
            <w:hideMark/>
          </w:tcPr>
          <w:p w14:paraId="7017C35C"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5AAE8A98"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7507D1E4"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480C0E84"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1195AD01"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361ACB0B"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507E6AC6" w14:textId="77777777" w:rsidTr="00957675">
        <w:trPr>
          <w:trHeight w:val="251"/>
          <w:jc w:val="center"/>
        </w:trPr>
        <w:tc>
          <w:tcPr>
            <w:tcW w:w="3618" w:type="dxa"/>
            <w:shd w:val="clear" w:color="auto" w:fill="auto"/>
            <w:hideMark/>
          </w:tcPr>
          <w:p w14:paraId="64E8E34A" w14:textId="4E919712" w:rsidR="00F41347" w:rsidRPr="00050FA4" w:rsidRDefault="00F41347" w:rsidP="001A2679">
            <w:pPr>
              <w:rPr>
                <w:rFonts w:ascii="Garamond" w:hAnsi="Garamond"/>
                <w:sz w:val="18"/>
                <w:szCs w:val="18"/>
              </w:rPr>
            </w:pPr>
            <w:r w:rsidRPr="00050FA4">
              <w:rPr>
                <w:rFonts w:ascii="Garamond" w:hAnsi="Garamond"/>
                <w:sz w:val="18"/>
                <w:szCs w:val="18"/>
              </w:rPr>
              <w:t>Lehtësimi i lëvizjes ndërkufitare të mallrave</w:t>
            </w:r>
          </w:p>
        </w:tc>
        <w:tc>
          <w:tcPr>
            <w:tcW w:w="1890" w:type="dxa"/>
            <w:shd w:val="clear" w:color="auto" w:fill="auto"/>
            <w:noWrap/>
            <w:hideMark/>
          </w:tcPr>
          <w:p w14:paraId="55648D69" w14:textId="77777777" w:rsidR="00F41347" w:rsidRPr="00050FA4" w:rsidRDefault="00F41347" w:rsidP="001A2679">
            <w:pPr>
              <w:rPr>
                <w:rFonts w:ascii="Garamond" w:hAnsi="Garamond"/>
                <w:sz w:val="18"/>
                <w:szCs w:val="18"/>
              </w:rPr>
            </w:pPr>
          </w:p>
        </w:tc>
        <w:tc>
          <w:tcPr>
            <w:tcW w:w="1170" w:type="dxa"/>
            <w:shd w:val="clear" w:color="auto" w:fill="auto"/>
            <w:noWrap/>
            <w:hideMark/>
          </w:tcPr>
          <w:p w14:paraId="0D91D4D5"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2E9EA122"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16986035"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6EAF9656"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61274D36"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3BCA0714"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3761EC75" w14:textId="77777777" w:rsidTr="00957675">
        <w:trPr>
          <w:trHeight w:val="611"/>
          <w:jc w:val="center"/>
        </w:trPr>
        <w:tc>
          <w:tcPr>
            <w:tcW w:w="3618" w:type="dxa"/>
            <w:shd w:val="clear" w:color="auto" w:fill="auto"/>
            <w:hideMark/>
          </w:tcPr>
          <w:p w14:paraId="6698E557" w14:textId="30DCA5C0" w:rsidR="00F41347" w:rsidRPr="00050FA4" w:rsidRDefault="00F41347" w:rsidP="001A2679">
            <w:pPr>
              <w:rPr>
                <w:rFonts w:ascii="Garamond" w:hAnsi="Garamond"/>
                <w:sz w:val="18"/>
                <w:szCs w:val="18"/>
              </w:rPr>
            </w:pPr>
            <w:r w:rsidRPr="00050FA4">
              <w:rPr>
                <w:rFonts w:ascii="Garamond" w:hAnsi="Garamond"/>
                <w:sz w:val="18"/>
                <w:szCs w:val="18"/>
              </w:rPr>
              <w:t>Finalizimi dhe mbështetja e zbatim</w:t>
            </w:r>
            <w:r w:rsidR="000109D2" w:rsidRPr="00050FA4">
              <w:rPr>
                <w:rFonts w:ascii="Garamond" w:hAnsi="Garamond"/>
                <w:sz w:val="18"/>
                <w:szCs w:val="18"/>
              </w:rPr>
              <w:t>it të reformës kurrikulare para</w:t>
            </w:r>
            <w:r w:rsidRPr="00050FA4">
              <w:rPr>
                <w:rFonts w:ascii="Garamond" w:hAnsi="Garamond"/>
                <w:sz w:val="18"/>
                <w:szCs w:val="18"/>
              </w:rPr>
              <w:t>universitare, trajnimit dhe punësimit të mësuesve</w:t>
            </w:r>
          </w:p>
        </w:tc>
        <w:tc>
          <w:tcPr>
            <w:tcW w:w="1890" w:type="dxa"/>
            <w:shd w:val="clear" w:color="auto" w:fill="auto"/>
            <w:noWrap/>
            <w:hideMark/>
          </w:tcPr>
          <w:p w14:paraId="04B422D5" w14:textId="304384EE" w:rsidR="00F41347" w:rsidRPr="00050FA4" w:rsidRDefault="00F41347" w:rsidP="001A2679">
            <w:pPr>
              <w:rPr>
                <w:rFonts w:ascii="Garamond" w:hAnsi="Garamond"/>
                <w:sz w:val="18"/>
                <w:szCs w:val="18"/>
              </w:rPr>
            </w:pPr>
            <w:r w:rsidRPr="00050FA4">
              <w:rPr>
                <w:rFonts w:ascii="Garamond" w:hAnsi="Garamond"/>
                <w:sz w:val="18"/>
                <w:szCs w:val="18"/>
              </w:rPr>
              <w:t xml:space="preserve">Sfida </w:t>
            </w:r>
            <w:r w:rsidR="000109D2" w:rsidRPr="00050FA4">
              <w:rPr>
                <w:rFonts w:ascii="Garamond" w:hAnsi="Garamond"/>
                <w:sz w:val="18"/>
                <w:szCs w:val="18"/>
              </w:rPr>
              <w:t xml:space="preserve">kyçe </w:t>
            </w:r>
            <w:r w:rsidRPr="00050FA4">
              <w:rPr>
                <w:rFonts w:ascii="Garamond" w:hAnsi="Garamond"/>
                <w:sz w:val="18"/>
                <w:szCs w:val="18"/>
              </w:rPr>
              <w:t>#3</w:t>
            </w:r>
          </w:p>
        </w:tc>
        <w:tc>
          <w:tcPr>
            <w:tcW w:w="1170" w:type="dxa"/>
            <w:shd w:val="clear" w:color="auto" w:fill="auto"/>
            <w:noWrap/>
          </w:tcPr>
          <w:p w14:paraId="1895C596"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44C9B8AD" w14:textId="2CC50174" w:rsidR="00F41347" w:rsidRPr="00050FA4" w:rsidRDefault="00F41347" w:rsidP="001A2679">
            <w:pPr>
              <w:rPr>
                <w:rFonts w:ascii="Garamond" w:hAnsi="Garamond"/>
                <w:sz w:val="18"/>
                <w:szCs w:val="18"/>
              </w:rPr>
            </w:pPr>
            <w:r w:rsidRPr="00050FA4">
              <w:rPr>
                <w:rFonts w:ascii="Garamond" w:hAnsi="Garamond"/>
                <w:sz w:val="18"/>
                <w:szCs w:val="18"/>
              </w:rPr>
              <w:t>S’ka rekomandime</w:t>
            </w:r>
          </w:p>
        </w:tc>
        <w:tc>
          <w:tcPr>
            <w:tcW w:w="1530" w:type="dxa"/>
            <w:shd w:val="clear" w:color="auto" w:fill="auto"/>
            <w:noWrap/>
            <w:hideMark/>
          </w:tcPr>
          <w:p w14:paraId="09BE8CA2" w14:textId="1CD597C9" w:rsidR="00F41347" w:rsidRPr="00050FA4" w:rsidRDefault="00F41347" w:rsidP="001A2679">
            <w:pPr>
              <w:rPr>
                <w:rFonts w:ascii="Garamond" w:hAnsi="Garamond"/>
                <w:sz w:val="18"/>
                <w:szCs w:val="18"/>
              </w:rPr>
            </w:pPr>
            <w:r w:rsidRPr="00050FA4">
              <w:rPr>
                <w:rFonts w:ascii="Garamond" w:hAnsi="Garamond"/>
                <w:sz w:val="18"/>
                <w:szCs w:val="18"/>
              </w:rPr>
              <w:t>SDG4</w:t>
            </w:r>
          </w:p>
        </w:tc>
        <w:tc>
          <w:tcPr>
            <w:tcW w:w="2430" w:type="dxa"/>
            <w:shd w:val="clear" w:color="auto" w:fill="auto"/>
            <w:noWrap/>
            <w:hideMark/>
          </w:tcPr>
          <w:p w14:paraId="6E25D6C6" w14:textId="492CA8ED" w:rsidR="00F41347" w:rsidRPr="00050FA4" w:rsidRDefault="00F41347" w:rsidP="001A2679">
            <w:pPr>
              <w:rPr>
                <w:rFonts w:ascii="Garamond" w:hAnsi="Garamond"/>
                <w:sz w:val="18"/>
                <w:szCs w:val="18"/>
              </w:rPr>
            </w:pPr>
            <w:r w:rsidRPr="00050FA4">
              <w:rPr>
                <w:rFonts w:ascii="Garamond" w:hAnsi="Garamond"/>
                <w:sz w:val="18"/>
                <w:szCs w:val="18"/>
              </w:rPr>
              <w:t>S’ka rekomandime</w:t>
            </w:r>
          </w:p>
        </w:tc>
        <w:tc>
          <w:tcPr>
            <w:tcW w:w="1620" w:type="dxa"/>
            <w:shd w:val="clear" w:color="auto" w:fill="auto"/>
            <w:noWrap/>
            <w:hideMark/>
          </w:tcPr>
          <w:p w14:paraId="51595AB2" w14:textId="77777777" w:rsidR="00F41347" w:rsidRPr="00050FA4" w:rsidRDefault="00F41347" w:rsidP="001A2679">
            <w:pPr>
              <w:rPr>
                <w:rFonts w:ascii="Garamond" w:hAnsi="Garamond"/>
                <w:sz w:val="18"/>
                <w:szCs w:val="18"/>
              </w:rPr>
            </w:pPr>
            <w:r w:rsidRPr="00050FA4">
              <w:rPr>
                <w:rFonts w:ascii="Garamond" w:hAnsi="Garamond"/>
                <w:sz w:val="18"/>
                <w:szCs w:val="18"/>
              </w:rPr>
              <w:t>Masa e re reformuese e propozuar për 2022-2024</w:t>
            </w:r>
          </w:p>
          <w:p w14:paraId="3CAD6569" w14:textId="3244A2D2" w:rsidR="00F41347" w:rsidRPr="00050FA4" w:rsidRDefault="00F41347" w:rsidP="00957675">
            <w:pPr>
              <w:rPr>
                <w:rFonts w:ascii="Garamond" w:hAnsi="Garamond"/>
                <w:sz w:val="18"/>
                <w:szCs w:val="18"/>
              </w:rPr>
            </w:pPr>
            <w:r w:rsidRPr="00050FA4">
              <w:rPr>
                <w:rFonts w:ascii="Garamond" w:hAnsi="Garamond"/>
                <w:sz w:val="18"/>
                <w:szCs w:val="18"/>
              </w:rPr>
              <w:t>Masa e reformës 19: Zhvillimi dhe fuqizimi i kompetencës digjitale</w:t>
            </w:r>
          </w:p>
        </w:tc>
        <w:tc>
          <w:tcPr>
            <w:tcW w:w="1647" w:type="dxa"/>
            <w:shd w:val="clear" w:color="auto" w:fill="auto"/>
            <w:noWrap/>
            <w:hideMark/>
          </w:tcPr>
          <w:p w14:paraId="1AA8BAF3" w14:textId="77777777" w:rsidR="00F41347" w:rsidRPr="00050FA4" w:rsidRDefault="00F41347" w:rsidP="001A2679">
            <w:pPr>
              <w:rPr>
                <w:rFonts w:ascii="Garamond" w:hAnsi="Garamond"/>
                <w:sz w:val="18"/>
                <w:szCs w:val="18"/>
              </w:rPr>
            </w:pPr>
            <w:r w:rsidRPr="00050FA4">
              <w:rPr>
                <w:rFonts w:ascii="Garamond" w:hAnsi="Garamond"/>
                <w:sz w:val="18"/>
                <w:szCs w:val="18"/>
              </w:rPr>
              <w:t>Nuk ka projekte të miratuara apo projekte të planifikuara sipas IPA III që mbështesin këtë masë.</w:t>
            </w:r>
          </w:p>
          <w:p w14:paraId="6318542B" w14:textId="5615BAB6" w:rsidR="00F41347" w:rsidRPr="00050FA4" w:rsidRDefault="00F41347" w:rsidP="001A2679">
            <w:pPr>
              <w:rPr>
                <w:rFonts w:ascii="Garamond" w:hAnsi="Garamond"/>
                <w:sz w:val="18"/>
                <w:szCs w:val="18"/>
              </w:rPr>
            </w:pPr>
          </w:p>
        </w:tc>
      </w:tr>
      <w:tr w:rsidR="001A2679" w:rsidRPr="00050FA4" w14:paraId="3CFEC922" w14:textId="77777777" w:rsidTr="001A2679">
        <w:trPr>
          <w:trHeight w:val="375"/>
          <w:jc w:val="center"/>
        </w:trPr>
        <w:tc>
          <w:tcPr>
            <w:tcW w:w="3618" w:type="dxa"/>
            <w:shd w:val="clear" w:color="auto" w:fill="auto"/>
            <w:hideMark/>
          </w:tcPr>
          <w:p w14:paraId="5346A235" w14:textId="7F07E8AC" w:rsidR="00F41347" w:rsidRPr="00050FA4" w:rsidRDefault="00F41347" w:rsidP="001A2679">
            <w:pPr>
              <w:rPr>
                <w:rFonts w:ascii="Garamond" w:hAnsi="Garamond"/>
                <w:sz w:val="18"/>
                <w:szCs w:val="18"/>
              </w:rPr>
            </w:pPr>
            <w:r w:rsidRPr="00050FA4">
              <w:rPr>
                <w:rFonts w:ascii="Garamond" w:hAnsi="Garamond"/>
                <w:sz w:val="18"/>
                <w:szCs w:val="18"/>
              </w:rPr>
              <w:lastRenderedPageBreak/>
              <w:t>Gjithëpërfshirje dhe barazi në arsim</w:t>
            </w:r>
          </w:p>
        </w:tc>
        <w:tc>
          <w:tcPr>
            <w:tcW w:w="1890" w:type="dxa"/>
            <w:shd w:val="clear" w:color="auto" w:fill="auto"/>
            <w:noWrap/>
            <w:hideMark/>
          </w:tcPr>
          <w:p w14:paraId="57C9B760" w14:textId="639EB35D" w:rsidR="00F41347" w:rsidRPr="00050FA4" w:rsidRDefault="00F41347" w:rsidP="001A2679">
            <w:pPr>
              <w:rPr>
                <w:rFonts w:ascii="Garamond" w:hAnsi="Garamond"/>
                <w:sz w:val="18"/>
                <w:szCs w:val="18"/>
              </w:rPr>
            </w:pPr>
            <w:r w:rsidRPr="00050FA4">
              <w:rPr>
                <w:rFonts w:ascii="Garamond" w:hAnsi="Garamond"/>
                <w:sz w:val="18"/>
                <w:szCs w:val="18"/>
              </w:rPr>
              <w:t>Sfida Kyçe #3</w:t>
            </w:r>
          </w:p>
        </w:tc>
        <w:tc>
          <w:tcPr>
            <w:tcW w:w="1170" w:type="dxa"/>
            <w:shd w:val="clear" w:color="auto" w:fill="auto"/>
            <w:noWrap/>
            <w:hideMark/>
          </w:tcPr>
          <w:p w14:paraId="708CBBD5"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620ED20A" w14:textId="5F4AB200" w:rsidR="00F41347" w:rsidRPr="00050FA4" w:rsidRDefault="00F41347" w:rsidP="001A2679">
            <w:pPr>
              <w:rPr>
                <w:rFonts w:ascii="Garamond" w:hAnsi="Garamond"/>
                <w:sz w:val="18"/>
                <w:szCs w:val="18"/>
              </w:rPr>
            </w:pPr>
            <w:r w:rsidRPr="00050FA4">
              <w:rPr>
                <w:rFonts w:ascii="Garamond" w:hAnsi="Garamond"/>
                <w:sz w:val="18"/>
                <w:szCs w:val="18"/>
              </w:rPr>
              <w:t>S’ka rekomandime</w:t>
            </w:r>
          </w:p>
        </w:tc>
        <w:tc>
          <w:tcPr>
            <w:tcW w:w="1530" w:type="dxa"/>
            <w:shd w:val="clear" w:color="auto" w:fill="auto"/>
            <w:noWrap/>
            <w:hideMark/>
          </w:tcPr>
          <w:p w14:paraId="6D9CA69E" w14:textId="4F9B8842" w:rsidR="00F41347" w:rsidRPr="00050FA4" w:rsidRDefault="00F41347" w:rsidP="001A2679">
            <w:pPr>
              <w:rPr>
                <w:rFonts w:ascii="Garamond" w:hAnsi="Garamond"/>
                <w:sz w:val="18"/>
                <w:szCs w:val="18"/>
              </w:rPr>
            </w:pPr>
            <w:r w:rsidRPr="00050FA4">
              <w:rPr>
                <w:rFonts w:ascii="Garamond" w:hAnsi="Garamond"/>
                <w:sz w:val="18"/>
                <w:szCs w:val="18"/>
              </w:rPr>
              <w:t>SDG4</w:t>
            </w:r>
          </w:p>
        </w:tc>
        <w:tc>
          <w:tcPr>
            <w:tcW w:w="2430" w:type="dxa"/>
            <w:shd w:val="clear" w:color="auto" w:fill="auto"/>
            <w:noWrap/>
            <w:hideMark/>
          </w:tcPr>
          <w:p w14:paraId="2DB0E533" w14:textId="1CC73926" w:rsidR="00F41347" w:rsidRPr="00050FA4" w:rsidRDefault="00F41347" w:rsidP="001A2679">
            <w:pPr>
              <w:rPr>
                <w:rFonts w:ascii="Garamond" w:hAnsi="Garamond"/>
                <w:sz w:val="18"/>
                <w:szCs w:val="18"/>
              </w:rPr>
            </w:pPr>
            <w:r w:rsidRPr="00050FA4">
              <w:rPr>
                <w:rFonts w:ascii="Garamond" w:hAnsi="Garamond"/>
                <w:sz w:val="18"/>
                <w:szCs w:val="18"/>
              </w:rPr>
              <w:t>S’ka rekomandime</w:t>
            </w:r>
          </w:p>
        </w:tc>
        <w:tc>
          <w:tcPr>
            <w:tcW w:w="1620" w:type="dxa"/>
            <w:shd w:val="clear" w:color="auto" w:fill="auto"/>
            <w:noWrap/>
            <w:hideMark/>
          </w:tcPr>
          <w:p w14:paraId="21E8333C" w14:textId="77777777" w:rsidR="00F41347" w:rsidRPr="00050FA4" w:rsidRDefault="00F41347" w:rsidP="001A2679">
            <w:pPr>
              <w:rPr>
                <w:rFonts w:ascii="Garamond" w:hAnsi="Garamond"/>
                <w:sz w:val="18"/>
                <w:szCs w:val="18"/>
              </w:rPr>
            </w:pPr>
            <w:r w:rsidRPr="00050FA4">
              <w:rPr>
                <w:rFonts w:ascii="Garamond" w:hAnsi="Garamond"/>
                <w:sz w:val="18"/>
                <w:szCs w:val="18"/>
              </w:rPr>
              <w:t>Masa e re reformuese e propozuar për 2022-2024</w:t>
            </w:r>
          </w:p>
          <w:p w14:paraId="640242C3" w14:textId="77777777" w:rsidR="00F41347" w:rsidRPr="00050FA4" w:rsidRDefault="00F41347" w:rsidP="001A2679">
            <w:pPr>
              <w:rPr>
                <w:rFonts w:ascii="Garamond" w:hAnsi="Garamond"/>
                <w:sz w:val="18"/>
                <w:szCs w:val="18"/>
              </w:rPr>
            </w:pPr>
            <w:r w:rsidRPr="00050FA4">
              <w:rPr>
                <w:rFonts w:ascii="Garamond" w:hAnsi="Garamond"/>
                <w:sz w:val="18"/>
                <w:szCs w:val="18"/>
              </w:rPr>
              <w:t>Masa e reformës 19: Zhvillimi dhe fuqizimi i kompetencës digjitale</w:t>
            </w:r>
          </w:p>
          <w:p w14:paraId="76559B48" w14:textId="247772A8" w:rsidR="00F41347" w:rsidRPr="00050FA4" w:rsidRDefault="008A0E5B" w:rsidP="001A2679">
            <w:pPr>
              <w:rPr>
                <w:rFonts w:ascii="Garamond" w:hAnsi="Garamond"/>
                <w:sz w:val="18"/>
                <w:szCs w:val="18"/>
              </w:rPr>
            </w:pPr>
            <w:r w:rsidRPr="00050FA4">
              <w:rPr>
                <w:rFonts w:ascii="Garamond" w:hAnsi="Garamond"/>
                <w:sz w:val="18"/>
                <w:szCs w:val="18"/>
              </w:rPr>
              <w:t>“</w:t>
            </w:r>
            <w:r w:rsidR="00F41347" w:rsidRPr="00050FA4">
              <w:rPr>
                <w:rFonts w:ascii="Garamond" w:hAnsi="Garamond"/>
                <w:sz w:val="18"/>
                <w:szCs w:val="18"/>
              </w:rPr>
              <w:t>Rritja e shkrim-leximit, aftësive dhe përfshirjes digjitale; Epoka digjitale duhet të fuqizojë dhe emancipojë, mjedisi ose aftësitë nuk duhet të jenë pengesë për të arritur këtë potencial.</w:t>
            </w:r>
          </w:p>
        </w:tc>
        <w:tc>
          <w:tcPr>
            <w:tcW w:w="1647" w:type="dxa"/>
            <w:shd w:val="clear" w:color="auto" w:fill="auto"/>
            <w:noWrap/>
            <w:hideMark/>
          </w:tcPr>
          <w:p w14:paraId="4D331D7B" w14:textId="1928136E" w:rsidR="00F41347" w:rsidRPr="00050FA4" w:rsidRDefault="00F41347" w:rsidP="003D46B8">
            <w:pPr>
              <w:rPr>
                <w:rFonts w:ascii="Garamond" w:hAnsi="Garamond"/>
                <w:sz w:val="18"/>
                <w:szCs w:val="18"/>
              </w:rPr>
            </w:pPr>
            <w:r w:rsidRPr="00050FA4">
              <w:rPr>
                <w:rFonts w:ascii="Garamond" w:hAnsi="Garamond"/>
                <w:sz w:val="18"/>
                <w:szCs w:val="18"/>
              </w:rPr>
              <w:t xml:space="preserve">Nuk ka projekte të miratuara apo projekte të planifikuara sipas IPA III që mbështesin këtë masë. Sipas IPA II, reforma mbështetet nga </w:t>
            </w:r>
            <w:r w:rsidR="008A0E5B" w:rsidRPr="00050FA4">
              <w:rPr>
                <w:rFonts w:ascii="Garamond" w:hAnsi="Garamond"/>
                <w:sz w:val="18"/>
                <w:szCs w:val="18"/>
              </w:rPr>
              <w:t>“</w:t>
            </w:r>
            <w:r w:rsidRPr="00050FA4">
              <w:rPr>
                <w:rFonts w:ascii="Garamond" w:hAnsi="Garamond"/>
                <w:sz w:val="18"/>
                <w:szCs w:val="18"/>
              </w:rPr>
              <w:t>BE për përfshirjen sociale dhe ndërhyrjen</w:t>
            </w:r>
            <w:r w:rsidR="008A0E5B" w:rsidRPr="00050FA4">
              <w:rPr>
                <w:rFonts w:ascii="Garamond" w:hAnsi="Garamond"/>
                <w:sz w:val="18"/>
                <w:szCs w:val="18"/>
              </w:rPr>
              <w:t>”</w:t>
            </w:r>
            <w:r w:rsidRPr="00050FA4">
              <w:rPr>
                <w:rFonts w:ascii="Garamond" w:hAnsi="Garamond"/>
                <w:sz w:val="18"/>
                <w:szCs w:val="18"/>
              </w:rPr>
              <w:t>. Kjo ndërhyrje përf</w:t>
            </w:r>
            <w:r w:rsidR="00E67ECA" w:rsidRPr="00050FA4">
              <w:rPr>
                <w:rFonts w:ascii="Garamond" w:hAnsi="Garamond"/>
                <w:sz w:val="18"/>
                <w:szCs w:val="18"/>
              </w:rPr>
              <w:t>shin MSHMS, MFE dhe MAS. Për</w:t>
            </w:r>
            <w:r w:rsidR="003D46B8" w:rsidRPr="00050FA4">
              <w:rPr>
                <w:rFonts w:ascii="Garamond" w:hAnsi="Garamond"/>
                <w:sz w:val="18"/>
                <w:szCs w:val="18"/>
              </w:rPr>
              <w:t xml:space="preserve"> </w:t>
            </w:r>
            <w:r w:rsidR="00E67ECA" w:rsidRPr="00050FA4">
              <w:rPr>
                <w:rFonts w:ascii="Garamond" w:hAnsi="Garamond"/>
                <w:sz w:val="18"/>
                <w:szCs w:val="18"/>
              </w:rPr>
              <w:t>sa u</w:t>
            </w:r>
            <w:r w:rsidRPr="00050FA4">
              <w:rPr>
                <w:rFonts w:ascii="Garamond" w:hAnsi="Garamond"/>
                <w:sz w:val="18"/>
                <w:szCs w:val="18"/>
              </w:rPr>
              <w:t xml:space="preserve"> përket fushave të kompetencës së MAS-it, ky projekt mbështet përfshirjen në kurrikulat e barazisë në praktikat arsimore, caktimin e shërbimeve psikosociale në nivel shkolle me materiale përkatëse.</w:t>
            </w:r>
          </w:p>
        </w:tc>
      </w:tr>
      <w:tr w:rsidR="001A2679" w:rsidRPr="00050FA4" w14:paraId="4D227C1C" w14:textId="77777777" w:rsidTr="001A2679">
        <w:trPr>
          <w:trHeight w:val="945"/>
          <w:jc w:val="center"/>
        </w:trPr>
        <w:tc>
          <w:tcPr>
            <w:tcW w:w="3618" w:type="dxa"/>
            <w:shd w:val="clear" w:color="auto" w:fill="auto"/>
            <w:hideMark/>
          </w:tcPr>
          <w:p w14:paraId="0CC2A955" w14:textId="115A7B82" w:rsidR="00F41347" w:rsidRPr="00050FA4" w:rsidRDefault="00F41347" w:rsidP="001A2679">
            <w:pPr>
              <w:rPr>
                <w:rFonts w:ascii="Garamond" w:hAnsi="Garamond"/>
                <w:sz w:val="18"/>
                <w:szCs w:val="18"/>
              </w:rPr>
            </w:pPr>
            <w:r w:rsidRPr="00050FA4">
              <w:rPr>
                <w:rFonts w:ascii="Garamond" w:hAnsi="Garamond"/>
                <w:sz w:val="18"/>
                <w:szCs w:val="18"/>
              </w:rPr>
              <w:t>Përmirësimi i cilësisë dhe mbulimit të AFP-së duke siguruar lidhje me tregun e punës</w:t>
            </w:r>
          </w:p>
        </w:tc>
        <w:tc>
          <w:tcPr>
            <w:tcW w:w="1890" w:type="dxa"/>
            <w:shd w:val="clear" w:color="auto" w:fill="auto"/>
            <w:noWrap/>
            <w:hideMark/>
          </w:tcPr>
          <w:p w14:paraId="22E6EC82" w14:textId="0AAF1FB4" w:rsidR="00F41347" w:rsidRPr="00050FA4" w:rsidRDefault="00F41347" w:rsidP="001A2679">
            <w:pPr>
              <w:rPr>
                <w:rFonts w:ascii="Garamond" w:hAnsi="Garamond"/>
                <w:sz w:val="18"/>
                <w:szCs w:val="18"/>
              </w:rPr>
            </w:pPr>
            <w:r w:rsidRPr="00050FA4">
              <w:rPr>
                <w:rFonts w:ascii="Garamond" w:hAnsi="Garamond"/>
                <w:sz w:val="18"/>
                <w:szCs w:val="18"/>
              </w:rPr>
              <w:t>Sfida Kyçe #1</w:t>
            </w:r>
          </w:p>
        </w:tc>
        <w:tc>
          <w:tcPr>
            <w:tcW w:w="1170" w:type="dxa"/>
            <w:shd w:val="clear" w:color="auto" w:fill="auto"/>
            <w:noWrap/>
            <w:hideMark/>
          </w:tcPr>
          <w:p w14:paraId="100C0DC6" w14:textId="77777777" w:rsidR="00F41347" w:rsidRPr="00050FA4" w:rsidRDefault="00F41347" w:rsidP="001A2679">
            <w:pPr>
              <w:rPr>
                <w:rFonts w:ascii="Garamond" w:hAnsi="Garamond"/>
                <w:sz w:val="18"/>
                <w:szCs w:val="18"/>
              </w:rPr>
            </w:pPr>
          </w:p>
        </w:tc>
        <w:tc>
          <w:tcPr>
            <w:tcW w:w="1710" w:type="dxa"/>
            <w:shd w:val="clear" w:color="auto" w:fill="auto"/>
            <w:noWrap/>
            <w:hideMark/>
          </w:tcPr>
          <w:p w14:paraId="3979108A"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747C4D08"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5FA41002"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34071058"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0E0ABDDD"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1DF8F386" w14:textId="77777777" w:rsidTr="00957675">
        <w:trPr>
          <w:trHeight w:val="854"/>
          <w:jc w:val="center"/>
        </w:trPr>
        <w:tc>
          <w:tcPr>
            <w:tcW w:w="3618" w:type="dxa"/>
            <w:shd w:val="clear" w:color="auto" w:fill="auto"/>
            <w:hideMark/>
          </w:tcPr>
          <w:p w14:paraId="01F95904" w14:textId="2D7DCCD9" w:rsidR="00F41347" w:rsidRPr="00050FA4" w:rsidRDefault="00F41347" w:rsidP="001A2679">
            <w:pPr>
              <w:rPr>
                <w:rFonts w:ascii="Garamond" w:hAnsi="Garamond"/>
                <w:sz w:val="18"/>
                <w:szCs w:val="18"/>
              </w:rPr>
            </w:pPr>
            <w:r w:rsidRPr="00050FA4">
              <w:rPr>
                <w:rFonts w:ascii="Garamond" w:hAnsi="Garamond"/>
                <w:sz w:val="18"/>
                <w:szCs w:val="18"/>
              </w:rPr>
              <w:t>Përmirësimi i punësueshmërisë së punëkërkuesve të papunë më vulnerabël nëpërmjet PNP-ve dhe shërbimeve të punësimit të synuara më mirë</w:t>
            </w:r>
          </w:p>
        </w:tc>
        <w:tc>
          <w:tcPr>
            <w:tcW w:w="1890" w:type="dxa"/>
            <w:shd w:val="clear" w:color="auto" w:fill="auto"/>
            <w:noWrap/>
            <w:hideMark/>
          </w:tcPr>
          <w:p w14:paraId="55D89D0F" w14:textId="2A486BE9" w:rsidR="00F41347" w:rsidRPr="00050FA4" w:rsidRDefault="00F41347" w:rsidP="001A2679">
            <w:pPr>
              <w:rPr>
                <w:rFonts w:ascii="Garamond" w:hAnsi="Garamond"/>
                <w:sz w:val="18"/>
                <w:szCs w:val="18"/>
              </w:rPr>
            </w:pPr>
            <w:r w:rsidRPr="00050FA4">
              <w:rPr>
                <w:rFonts w:ascii="Garamond" w:hAnsi="Garamond"/>
                <w:sz w:val="18"/>
                <w:szCs w:val="18"/>
              </w:rPr>
              <w:t>Sfida Kyçe #1</w:t>
            </w:r>
          </w:p>
        </w:tc>
        <w:tc>
          <w:tcPr>
            <w:tcW w:w="1170" w:type="dxa"/>
            <w:shd w:val="clear" w:color="auto" w:fill="auto"/>
            <w:noWrap/>
            <w:hideMark/>
          </w:tcPr>
          <w:p w14:paraId="720E218A" w14:textId="5D2DADD3" w:rsidR="00F41347" w:rsidRPr="00050FA4" w:rsidRDefault="00F41347" w:rsidP="001A2679">
            <w:pPr>
              <w:rPr>
                <w:rFonts w:ascii="Garamond" w:hAnsi="Garamond"/>
                <w:sz w:val="18"/>
                <w:szCs w:val="18"/>
              </w:rPr>
            </w:pPr>
            <w:r w:rsidRPr="00050FA4">
              <w:rPr>
                <w:rFonts w:ascii="Garamond" w:hAnsi="Garamond"/>
                <w:sz w:val="18"/>
                <w:szCs w:val="18"/>
              </w:rPr>
              <w:t>PG 6</w:t>
            </w:r>
          </w:p>
        </w:tc>
        <w:tc>
          <w:tcPr>
            <w:tcW w:w="1710" w:type="dxa"/>
            <w:shd w:val="clear" w:color="auto" w:fill="auto"/>
            <w:noWrap/>
            <w:hideMark/>
          </w:tcPr>
          <w:p w14:paraId="23299ADA" w14:textId="77777777" w:rsidR="00F41347" w:rsidRPr="00050FA4" w:rsidRDefault="00F41347" w:rsidP="001A2679">
            <w:pPr>
              <w:rPr>
                <w:rFonts w:ascii="Garamond" w:hAnsi="Garamond"/>
                <w:sz w:val="18"/>
                <w:szCs w:val="18"/>
              </w:rPr>
            </w:pPr>
          </w:p>
        </w:tc>
        <w:tc>
          <w:tcPr>
            <w:tcW w:w="1530" w:type="dxa"/>
            <w:shd w:val="clear" w:color="auto" w:fill="auto"/>
            <w:noWrap/>
          </w:tcPr>
          <w:p w14:paraId="0E267072" w14:textId="4E287C9E" w:rsidR="00F41347" w:rsidRPr="00050FA4" w:rsidRDefault="00F41347" w:rsidP="001A2679">
            <w:pPr>
              <w:rPr>
                <w:rFonts w:ascii="Garamond" w:hAnsi="Garamond"/>
                <w:sz w:val="18"/>
                <w:szCs w:val="18"/>
              </w:rPr>
            </w:pPr>
            <w:r w:rsidRPr="00050FA4">
              <w:rPr>
                <w:rFonts w:ascii="Garamond" w:hAnsi="Garamond"/>
                <w:sz w:val="18"/>
                <w:szCs w:val="18"/>
              </w:rPr>
              <w:t>SDG 8</w:t>
            </w:r>
          </w:p>
        </w:tc>
        <w:tc>
          <w:tcPr>
            <w:tcW w:w="2430" w:type="dxa"/>
            <w:shd w:val="clear" w:color="auto" w:fill="auto"/>
            <w:noWrap/>
          </w:tcPr>
          <w:p w14:paraId="73B47152" w14:textId="0241A6CC" w:rsidR="00F41347" w:rsidRPr="00050FA4" w:rsidRDefault="00F41347" w:rsidP="001A2679">
            <w:pPr>
              <w:rPr>
                <w:rFonts w:ascii="Garamond" w:hAnsi="Garamond"/>
                <w:sz w:val="18"/>
                <w:szCs w:val="18"/>
              </w:rPr>
            </w:pPr>
            <w:r w:rsidRPr="00050FA4">
              <w:rPr>
                <w:rFonts w:ascii="Garamond" w:hAnsi="Garamond"/>
                <w:sz w:val="18"/>
                <w:szCs w:val="18"/>
              </w:rPr>
              <w:t>E patargetuar</w:t>
            </w:r>
          </w:p>
        </w:tc>
        <w:tc>
          <w:tcPr>
            <w:tcW w:w="1620" w:type="dxa"/>
            <w:shd w:val="clear" w:color="auto" w:fill="auto"/>
            <w:noWrap/>
          </w:tcPr>
          <w:p w14:paraId="6C6C418F" w14:textId="616DB029" w:rsidR="00F41347" w:rsidRPr="00050FA4" w:rsidRDefault="00F41347" w:rsidP="001A2679">
            <w:pPr>
              <w:rPr>
                <w:rFonts w:ascii="Garamond" w:hAnsi="Garamond"/>
                <w:sz w:val="18"/>
                <w:szCs w:val="18"/>
              </w:rPr>
            </w:pPr>
            <w:r w:rsidRPr="00050FA4">
              <w:rPr>
                <w:rFonts w:ascii="Garamond" w:hAnsi="Garamond"/>
                <w:sz w:val="18"/>
                <w:szCs w:val="18"/>
              </w:rPr>
              <w:t xml:space="preserve">Objektiv i </w:t>
            </w:r>
            <w:r w:rsidR="00957675" w:rsidRPr="00050FA4">
              <w:rPr>
                <w:rFonts w:ascii="Garamond" w:hAnsi="Garamond"/>
                <w:sz w:val="18"/>
                <w:szCs w:val="18"/>
              </w:rPr>
              <w:t>rëndësishëm</w:t>
            </w:r>
          </w:p>
        </w:tc>
        <w:tc>
          <w:tcPr>
            <w:tcW w:w="1647" w:type="dxa"/>
            <w:shd w:val="clear" w:color="auto" w:fill="auto"/>
            <w:noWrap/>
            <w:hideMark/>
          </w:tcPr>
          <w:p w14:paraId="101C0503"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21271F0F" w14:textId="77777777" w:rsidTr="00957675">
        <w:trPr>
          <w:trHeight w:val="890"/>
          <w:jc w:val="center"/>
        </w:trPr>
        <w:tc>
          <w:tcPr>
            <w:tcW w:w="3618" w:type="dxa"/>
            <w:shd w:val="clear" w:color="auto" w:fill="auto"/>
            <w:hideMark/>
          </w:tcPr>
          <w:p w14:paraId="7469A49F" w14:textId="7148A827" w:rsidR="00F41347" w:rsidRPr="00050FA4" w:rsidRDefault="00F41347" w:rsidP="001A2679">
            <w:pPr>
              <w:rPr>
                <w:rFonts w:ascii="Garamond" w:hAnsi="Garamond"/>
                <w:sz w:val="18"/>
                <w:szCs w:val="18"/>
              </w:rPr>
            </w:pPr>
            <w:r w:rsidRPr="00050FA4">
              <w:rPr>
                <w:rFonts w:ascii="Garamond" w:hAnsi="Garamond"/>
                <w:sz w:val="18"/>
                <w:szCs w:val="18"/>
              </w:rPr>
              <w:t>Forcimi dhe zgjerimi i mbulimit të mbrojtjes shëndetësore dhe sociale duke reduktuar pabarazinë dhe duke mbështetur rritjen gjithëpërfshirëse dhe të qëndrueshme</w:t>
            </w:r>
          </w:p>
        </w:tc>
        <w:tc>
          <w:tcPr>
            <w:tcW w:w="1890" w:type="dxa"/>
            <w:shd w:val="clear" w:color="auto" w:fill="auto"/>
            <w:noWrap/>
            <w:hideMark/>
          </w:tcPr>
          <w:p w14:paraId="13DD6E90" w14:textId="4650EAC1" w:rsidR="00F41347" w:rsidRPr="00050FA4" w:rsidRDefault="00F41347" w:rsidP="001A2679">
            <w:pPr>
              <w:rPr>
                <w:rFonts w:ascii="Garamond" w:hAnsi="Garamond"/>
                <w:sz w:val="18"/>
                <w:szCs w:val="18"/>
              </w:rPr>
            </w:pPr>
          </w:p>
        </w:tc>
        <w:tc>
          <w:tcPr>
            <w:tcW w:w="1170" w:type="dxa"/>
            <w:shd w:val="clear" w:color="auto" w:fill="auto"/>
            <w:noWrap/>
            <w:hideMark/>
          </w:tcPr>
          <w:p w14:paraId="30E73519" w14:textId="77777777" w:rsidR="00F41347" w:rsidRPr="00050FA4" w:rsidRDefault="00F41347" w:rsidP="001A2679">
            <w:pPr>
              <w:rPr>
                <w:rFonts w:ascii="Garamond" w:hAnsi="Garamond"/>
                <w:sz w:val="18"/>
                <w:szCs w:val="18"/>
              </w:rPr>
            </w:pPr>
            <w:r w:rsidRPr="00050FA4">
              <w:rPr>
                <w:rFonts w:ascii="Garamond" w:hAnsi="Garamond"/>
                <w:sz w:val="18"/>
                <w:szCs w:val="18"/>
              </w:rPr>
              <w:t>PG 6</w:t>
            </w:r>
          </w:p>
        </w:tc>
        <w:tc>
          <w:tcPr>
            <w:tcW w:w="1710" w:type="dxa"/>
            <w:shd w:val="clear" w:color="auto" w:fill="auto"/>
            <w:noWrap/>
            <w:hideMark/>
          </w:tcPr>
          <w:p w14:paraId="30ECCF0F" w14:textId="77777777" w:rsidR="00F41347" w:rsidRPr="00050FA4" w:rsidRDefault="00F41347" w:rsidP="001A2679">
            <w:pPr>
              <w:rPr>
                <w:rFonts w:ascii="Garamond" w:hAnsi="Garamond"/>
                <w:sz w:val="18"/>
                <w:szCs w:val="18"/>
              </w:rPr>
            </w:pPr>
          </w:p>
        </w:tc>
        <w:tc>
          <w:tcPr>
            <w:tcW w:w="1530" w:type="dxa"/>
            <w:shd w:val="clear" w:color="auto" w:fill="auto"/>
            <w:noWrap/>
            <w:hideMark/>
          </w:tcPr>
          <w:p w14:paraId="07D0372A" w14:textId="77777777" w:rsidR="00F41347" w:rsidRPr="00050FA4" w:rsidRDefault="00F41347" w:rsidP="001A2679">
            <w:pPr>
              <w:rPr>
                <w:rFonts w:ascii="Garamond" w:hAnsi="Garamond"/>
                <w:sz w:val="18"/>
                <w:szCs w:val="18"/>
              </w:rPr>
            </w:pPr>
          </w:p>
        </w:tc>
        <w:tc>
          <w:tcPr>
            <w:tcW w:w="2430" w:type="dxa"/>
            <w:shd w:val="clear" w:color="auto" w:fill="auto"/>
            <w:noWrap/>
            <w:hideMark/>
          </w:tcPr>
          <w:p w14:paraId="59E0E906" w14:textId="77777777" w:rsidR="00F41347" w:rsidRPr="00050FA4" w:rsidRDefault="00F41347" w:rsidP="001A2679">
            <w:pPr>
              <w:rPr>
                <w:rFonts w:ascii="Garamond" w:hAnsi="Garamond"/>
                <w:sz w:val="18"/>
                <w:szCs w:val="18"/>
              </w:rPr>
            </w:pPr>
          </w:p>
        </w:tc>
        <w:tc>
          <w:tcPr>
            <w:tcW w:w="1620" w:type="dxa"/>
            <w:shd w:val="clear" w:color="auto" w:fill="auto"/>
            <w:noWrap/>
            <w:hideMark/>
          </w:tcPr>
          <w:p w14:paraId="24586FCF" w14:textId="77777777" w:rsidR="00F41347" w:rsidRPr="00050FA4" w:rsidRDefault="00F41347" w:rsidP="001A2679">
            <w:pPr>
              <w:rPr>
                <w:rFonts w:ascii="Garamond" w:hAnsi="Garamond"/>
                <w:sz w:val="18"/>
                <w:szCs w:val="18"/>
              </w:rPr>
            </w:pPr>
          </w:p>
        </w:tc>
        <w:tc>
          <w:tcPr>
            <w:tcW w:w="1647" w:type="dxa"/>
            <w:shd w:val="clear" w:color="auto" w:fill="auto"/>
            <w:noWrap/>
            <w:hideMark/>
          </w:tcPr>
          <w:p w14:paraId="6FC62FDD"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r w:rsidR="001A2679" w:rsidRPr="00050FA4" w14:paraId="5F6C8312" w14:textId="77777777" w:rsidTr="001A2679">
        <w:trPr>
          <w:trHeight w:val="330"/>
          <w:jc w:val="center"/>
        </w:trPr>
        <w:tc>
          <w:tcPr>
            <w:tcW w:w="3618" w:type="dxa"/>
            <w:shd w:val="clear" w:color="auto" w:fill="auto"/>
            <w:hideMark/>
          </w:tcPr>
          <w:p w14:paraId="32BFCFC9" w14:textId="2817F0B7" w:rsidR="00F41347" w:rsidRPr="00050FA4" w:rsidRDefault="00F41347" w:rsidP="001A2679">
            <w:pPr>
              <w:rPr>
                <w:rFonts w:ascii="Garamond" w:hAnsi="Garamond"/>
                <w:sz w:val="18"/>
                <w:szCs w:val="18"/>
              </w:rPr>
            </w:pPr>
            <w:r w:rsidRPr="00050FA4">
              <w:rPr>
                <w:rFonts w:ascii="Garamond" w:hAnsi="Garamond"/>
                <w:sz w:val="18"/>
                <w:szCs w:val="18"/>
              </w:rPr>
              <w:t>Rritja e aksesit në kujdesin shëndetësor</w:t>
            </w:r>
          </w:p>
        </w:tc>
        <w:tc>
          <w:tcPr>
            <w:tcW w:w="1890" w:type="dxa"/>
            <w:shd w:val="clear" w:color="auto" w:fill="auto"/>
            <w:noWrap/>
            <w:hideMark/>
          </w:tcPr>
          <w:p w14:paraId="0393330E" w14:textId="5F4F68F5" w:rsidR="00F41347" w:rsidRPr="00050FA4" w:rsidRDefault="00F41347" w:rsidP="001A2679">
            <w:pPr>
              <w:rPr>
                <w:rFonts w:ascii="Garamond" w:hAnsi="Garamond"/>
                <w:sz w:val="18"/>
                <w:szCs w:val="18"/>
              </w:rPr>
            </w:pPr>
          </w:p>
        </w:tc>
        <w:tc>
          <w:tcPr>
            <w:tcW w:w="1170" w:type="dxa"/>
            <w:shd w:val="clear" w:color="auto" w:fill="auto"/>
            <w:noWrap/>
            <w:hideMark/>
          </w:tcPr>
          <w:p w14:paraId="411A5C2E" w14:textId="77777777" w:rsidR="00F41347" w:rsidRPr="00050FA4" w:rsidRDefault="00F41347" w:rsidP="001A2679">
            <w:pPr>
              <w:rPr>
                <w:rFonts w:ascii="Garamond" w:hAnsi="Garamond"/>
                <w:sz w:val="18"/>
                <w:szCs w:val="18"/>
              </w:rPr>
            </w:pPr>
            <w:r w:rsidRPr="00050FA4">
              <w:rPr>
                <w:rFonts w:ascii="Garamond" w:hAnsi="Garamond"/>
                <w:sz w:val="18"/>
                <w:szCs w:val="18"/>
              </w:rPr>
              <w:t>PG 6</w:t>
            </w:r>
          </w:p>
        </w:tc>
        <w:tc>
          <w:tcPr>
            <w:tcW w:w="1710" w:type="dxa"/>
            <w:shd w:val="clear" w:color="auto" w:fill="auto"/>
            <w:noWrap/>
            <w:hideMark/>
          </w:tcPr>
          <w:p w14:paraId="2B4F1E1D"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c>
          <w:tcPr>
            <w:tcW w:w="1530" w:type="dxa"/>
            <w:shd w:val="clear" w:color="auto" w:fill="auto"/>
            <w:noWrap/>
            <w:hideMark/>
          </w:tcPr>
          <w:p w14:paraId="15430A5E" w14:textId="6D5CBBD2" w:rsidR="00F41347" w:rsidRPr="00050FA4" w:rsidRDefault="00F41347" w:rsidP="001A2679">
            <w:pPr>
              <w:rPr>
                <w:rFonts w:ascii="Garamond" w:hAnsi="Garamond"/>
                <w:sz w:val="18"/>
                <w:szCs w:val="18"/>
              </w:rPr>
            </w:pPr>
          </w:p>
        </w:tc>
        <w:tc>
          <w:tcPr>
            <w:tcW w:w="2430" w:type="dxa"/>
            <w:shd w:val="clear" w:color="auto" w:fill="auto"/>
            <w:noWrap/>
            <w:hideMark/>
          </w:tcPr>
          <w:p w14:paraId="47F164BB"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c>
          <w:tcPr>
            <w:tcW w:w="1620" w:type="dxa"/>
            <w:shd w:val="clear" w:color="auto" w:fill="auto"/>
            <w:noWrap/>
            <w:hideMark/>
          </w:tcPr>
          <w:p w14:paraId="12B236B3"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c>
          <w:tcPr>
            <w:tcW w:w="1647" w:type="dxa"/>
            <w:shd w:val="clear" w:color="auto" w:fill="auto"/>
            <w:noWrap/>
            <w:hideMark/>
          </w:tcPr>
          <w:p w14:paraId="59E91F8E" w14:textId="77777777" w:rsidR="00F41347" w:rsidRPr="00050FA4" w:rsidRDefault="00F41347" w:rsidP="001A2679">
            <w:pPr>
              <w:rPr>
                <w:rFonts w:ascii="Garamond" w:hAnsi="Garamond"/>
                <w:sz w:val="18"/>
                <w:szCs w:val="18"/>
              </w:rPr>
            </w:pPr>
            <w:r w:rsidRPr="00050FA4">
              <w:rPr>
                <w:rFonts w:ascii="Garamond" w:hAnsi="Garamond"/>
                <w:sz w:val="18"/>
                <w:szCs w:val="18"/>
              </w:rPr>
              <w:t> </w:t>
            </w:r>
          </w:p>
        </w:tc>
      </w:tr>
    </w:tbl>
    <w:p w14:paraId="4F5ABCB4" w14:textId="77777777" w:rsidR="00C401BF" w:rsidRPr="00050FA4" w:rsidRDefault="00C401BF" w:rsidP="00C401BF">
      <w:pPr>
        <w:pStyle w:val="Heading1"/>
        <w:snapToGrid w:val="0"/>
        <w:ind w:left="0"/>
        <w:rPr>
          <w:rFonts w:ascii="Garamond" w:hAnsi="Garamond" w:cstheme="majorBidi"/>
          <w:color w:val="0D0D0D" w:themeColor="text1" w:themeTint="F2"/>
        </w:rPr>
        <w:sectPr w:rsidR="00C401BF" w:rsidRPr="00050FA4" w:rsidSect="00F41347">
          <w:pgSz w:w="16839" w:h="11907" w:orient="landscape" w:code="9"/>
          <w:pgMar w:top="720" w:right="720" w:bottom="720" w:left="720" w:header="567" w:footer="567" w:gutter="0"/>
          <w:cols w:space="708"/>
          <w:titlePg/>
          <w:docGrid w:linePitch="360"/>
        </w:sectPr>
      </w:pPr>
    </w:p>
    <w:p w14:paraId="37C9096A" w14:textId="77777777" w:rsidR="00C401BF" w:rsidRPr="00050FA4" w:rsidRDefault="00C401BF" w:rsidP="00C401BF">
      <w:pPr>
        <w:pStyle w:val="AAAAAAATEXXXX"/>
        <w:ind w:firstLine="0"/>
        <w:jc w:val="center"/>
        <w:rPr>
          <w:lang w:val="sq-AL"/>
        </w:rPr>
      </w:pPr>
      <w:bookmarkStart w:id="149" w:name="_Toc93325806"/>
      <w:r w:rsidRPr="00050FA4">
        <w:rPr>
          <w:lang w:val="sq-AL"/>
        </w:rPr>
        <w:lastRenderedPageBreak/>
        <w:t>SHTOJCA III</w:t>
      </w:r>
      <w:bookmarkEnd w:id="149"/>
    </w:p>
    <w:p w14:paraId="367AEA92" w14:textId="77777777" w:rsidR="00C401BF" w:rsidRPr="00050FA4" w:rsidRDefault="00C401BF" w:rsidP="00C401BF">
      <w:pPr>
        <w:pStyle w:val="AAAAAAATEXXXX"/>
        <w:ind w:firstLine="0"/>
        <w:jc w:val="center"/>
        <w:rPr>
          <w:lang w:val="sq-AL"/>
        </w:rPr>
      </w:pPr>
      <w:r w:rsidRPr="00050FA4">
        <w:rPr>
          <w:lang w:val="sq-AL"/>
        </w:rPr>
        <w:t>KONTRIBUTET E JASHTME NË E ERP 2022–2024</w:t>
      </w:r>
    </w:p>
    <w:p w14:paraId="2485AC52" w14:textId="77777777" w:rsidR="00C401BF" w:rsidRPr="00050FA4" w:rsidRDefault="00C401BF" w:rsidP="00C401BF">
      <w:pPr>
        <w:pStyle w:val="AAAAAAATEXXXX"/>
        <w:ind w:firstLine="0"/>
        <w:jc w:val="center"/>
        <w:rPr>
          <w:b/>
          <w:lang w:val="sq-AL"/>
        </w:rPr>
      </w:pPr>
    </w:p>
    <w:p w14:paraId="373091FE" w14:textId="1713C985" w:rsidR="00C401BF" w:rsidRPr="00050FA4" w:rsidRDefault="00C31D22" w:rsidP="00C401BF">
      <w:pPr>
        <w:pStyle w:val="AAAAAAATEXXXX"/>
        <w:rPr>
          <w:lang w:val="sq-AL"/>
        </w:rPr>
      </w:pPr>
      <w:r w:rsidRPr="00050FA4">
        <w:rPr>
          <w:lang w:val="sq-AL"/>
        </w:rPr>
        <w:t>Draft-</w:t>
      </w:r>
      <w:r w:rsidR="00C401BF" w:rsidRPr="00050FA4">
        <w:rPr>
          <w:lang w:val="sq-AL"/>
        </w:rPr>
        <w:t>ERP 2022</w:t>
      </w:r>
      <w:r w:rsidR="00AF6EAD" w:rsidRPr="00050FA4">
        <w:rPr>
          <w:lang w:val="sq-AL"/>
        </w:rPr>
        <w:t>–</w:t>
      </w:r>
      <w:r w:rsidR="00C401BF" w:rsidRPr="00050FA4">
        <w:rPr>
          <w:lang w:val="sq-AL"/>
        </w:rPr>
        <w:t>2024 u publikua n</w:t>
      </w:r>
      <w:r w:rsidR="0084264C" w:rsidRPr="00050FA4">
        <w:rPr>
          <w:lang w:val="sq-AL"/>
        </w:rPr>
        <w:t>ë</w:t>
      </w:r>
      <w:r w:rsidR="00C401BF" w:rsidRPr="00050FA4">
        <w:rPr>
          <w:lang w:val="sq-AL"/>
        </w:rPr>
        <w:t xml:space="preserve"> faqen zyrtare të Ministrisë së Financave dhe Ekonomisë për konsultim të gjerë nga grupet e ndryshme të interesit, nga data 22 dhjetor 2021 deri më 31 janar 2022</w:t>
      </w:r>
      <w:r w:rsidR="000109D2" w:rsidRPr="00050FA4">
        <w:rPr>
          <w:lang w:val="sq-AL"/>
        </w:rPr>
        <w:t>,</w:t>
      </w:r>
      <w:r w:rsidR="00C401BF" w:rsidRPr="00050FA4">
        <w:rPr>
          <w:lang w:val="sq-AL"/>
        </w:rPr>
        <w:t xml:space="preserve"> në linkun: </w:t>
      </w:r>
      <w:hyperlink r:id="rId78" w:history="1">
        <w:r w:rsidR="00C401BF" w:rsidRPr="00050FA4">
          <w:rPr>
            <w:rStyle w:val="Hyperlink"/>
            <w:color w:val="0D0D0D" w:themeColor="text1" w:themeTint="F2"/>
            <w:lang w:val="sq-AL"/>
          </w:rPr>
          <w:t>https://www.financa.gov.al/programi-i-reformave-ekonomike/</w:t>
        </w:r>
      </w:hyperlink>
      <w:r w:rsidR="00C401BF" w:rsidRPr="00050FA4">
        <w:rPr>
          <w:lang w:val="sq-AL"/>
        </w:rPr>
        <w:t>. Gjatë kësaj periudhe Ministria e Financave dhe Ekonomisë ka mirëpritur dërgimin e komenteve, reagimeve apo sugjerimeve nga grupet e interesit. Deri në momentin e dorëzimit të dokumentit të ERP 2022</w:t>
      </w:r>
      <w:r w:rsidR="00957675" w:rsidRPr="00050FA4">
        <w:rPr>
          <w:lang w:val="sq-AL"/>
        </w:rPr>
        <w:t>–</w:t>
      </w:r>
      <w:r w:rsidR="00C401BF" w:rsidRPr="00050FA4">
        <w:rPr>
          <w:lang w:val="sq-AL"/>
        </w:rPr>
        <w:t>2024 te Komisioni Evropian, nuk është dërguar asnjë koment. Gjithashtu, n</w:t>
      </w:r>
      <w:r w:rsidR="0084264C" w:rsidRPr="00050FA4">
        <w:rPr>
          <w:lang w:val="sq-AL"/>
        </w:rPr>
        <w:t>ë</w:t>
      </w:r>
      <w:r w:rsidR="00C401BF" w:rsidRPr="00050FA4">
        <w:rPr>
          <w:lang w:val="sq-AL"/>
        </w:rPr>
        <w:t xml:space="preserve"> përputhje me parashikimet e ligjit nr. 146/2014</w:t>
      </w:r>
      <w:r w:rsidR="00956F88" w:rsidRPr="00050FA4">
        <w:rPr>
          <w:lang w:val="sq-AL"/>
        </w:rPr>
        <w:t>,</w:t>
      </w:r>
      <w:r w:rsidR="00C401BF" w:rsidRPr="00050FA4">
        <w:rPr>
          <w:lang w:val="sq-AL"/>
        </w:rPr>
        <w:t xml:space="preserve"> “</w:t>
      </w:r>
      <w:r w:rsidR="00957675" w:rsidRPr="00050FA4">
        <w:rPr>
          <w:lang w:val="sq-AL"/>
        </w:rPr>
        <w:t>Për</w:t>
      </w:r>
      <w:r w:rsidR="00C401BF" w:rsidRPr="00050FA4">
        <w:rPr>
          <w:lang w:val="sq-AL"/>
        </w:rPr>
        <w:t xml:space="preserve"> njoftimin dhe konsultimin publik”, projektvendimi </w:t>
      </w:r>
      <w:r w:rsidR="00957675" w:rsidRPr="00050FA4">
        <w:rPr>
          <w:lang w:val="sq-AL"/>
        </w:rPr>
        <w:t>për</w:t>
      </w:r>
      <w:r w:rsidR="00C401BF" w:rsidRPr="00050FA4">
        <w:rPr>
          <w:lang w:val="sq-AL"/>
        </w:rPr>
        <w:t xml:space="preserve"> miratimin e Programit t</w:t>
      </w:r>
      <w:r w:rsidR="004E7F9B" w:rsidRPr="00050FA4">
        <w:rPr>
          <w:lang w:val="sq-AL"/>
        </w:rPr>
        <w:t>ë</w:t>
      </w:r>
      <w:r w:rsidR="00C401BF" w:rsidRPr="00050FA4">
        <w:rPr>
          <w:lang w:val="sq-AL"/>
        </w:rPr>
        <w:t xml:space="preserve"> Reformave Ekono</w:t>
      </w:r>
      <w:r w:rsidR="00187798" w:rsidRPr="00050FA4">
        <w:rPr>
          <w:lang w:val="sq-AL"/>
        </w:rPr>
        <w:t>mike (ERP) 2022–2024 u shpall në</w:t>
      </w:r>
      <w:r w:rsidR="00C401BF" w:rsidRPr="00050FA4">
        <w:rPr>
          <w:lang w:val="sq-AL"/>
        </w:rPr>
        <w:t xml:space="preserve"> regjistrin e njoftimeve dhe </w:t>
      </w:r>
      <w:r w:rsidR="00187798" w:rsidRPr="00050FA4">
        <w:rPr>
          <w:lang w:val="sq-AL"/>
        </w:rPr>
        <w:t xml:space="preserve">të </w:t>
      </w:r>
      <w:r w:rsidR="00C401BF" w:rsidRPr="00050FA4">
        <w:rPr>
          <w:lang w:val="sq-AL"/>
        </w:rPr>
        <w:t>konsultimeve publike.</w:t>
      </w:r>
    </w:p>
    <w:bookmarkEnd w:id="148"/>
    <w:p w14:paraId="2636F3DF" w14:textId="77777777" w:rsidR="00C401BF" w:rsidRPr="00050FA4" w:rsidRDefault="00C401BF">
      <w:pPr>
        <w:pStyle w:val="AAAAAAATEXXXX"/>
        <w:rPr>
          <w:lang w:val="sq-AL"/>
        </w:rPr>
      </w:pPr>
    </w:p>
    <w:sectPr w:rsidR="00C401BF" w:rsidRPr="00050FA4" w:rsidSect="00C401BF">
      <w:pgSz w:w="11907" w:h="16839" w:code="9"/>
      <w:pgMar w:top="720" w:right="720" w:bottom="720" w:left="720" w:header="562" w:footer="5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4653C" w14:textId="77777777" w:rsidR="00807D6F" w:rsidRDefault="00807D6F" w:rsidP="00DF1828">
      <w:r>
        <w:separator/>
      </w:r>
    </w:p>
  </w:endnote>
  <w:endnote w:type="continuationSeparator" w:id="0">
    <w:p w14:paraId="59437608" w14:textId="77777777" w:rsidR="00807D6F" w:rsidRDefault="00807D6F" w:rsidP="00DF1828">
      <w:r>
        <w:continuationSeparator/>
      </w:r>
    </w:p>
  </w:endnote>
  <w:endnote w:type="continuationNotice" w:id="1">
    <w:p w14:paraId="775482B0" w14:textId="77777777" w:rsidR="00807D6F" w:rsidRDefault="00807D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onotype Sorts">
    <w:altName w:val="Symbol"/>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S Maquette Pro">
    <w:altName w:val="ARS Maquette Pro"/>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Open Sans Light">
    <w:altName w:val="Segoe UI Semi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DCCC4" w14:textId="77777777" w:rsidR="00807D6F" w:rsidRDefault="00807D6F" w:rsidP="008252D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953EA4" w14:textId="77777777" w:rsidR="00807D6F" w:rsidRDefault="00807D6F" w:rsidP="008252D6">
    <w:pPr>
      <w:pStyle w:val="Footer"/>
      <w:ind w:right="360"/>
    </w:pPr>
  </w:p>
  <w:p w14:paraId="4490DF56" w14:textId="77777777" w:rsidR="00807D6F" w:rsidRDefault="00807D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910232"/>
      <w:docPartObj>
        <w:docPartGallery w:val="Page Numbers (Bottom of Page)"/>
        <w:docPartUnique/>
      </w:docPartObj>
    </w:sdtPr>
    <w:sdtEndPr>
      <w:rPr>
        <w:noProof/>
      </w:rPr>
    </w:sdtEndPr>
    <w:sdtContent>
      <w:p w14:paraId="64C7159B" w14:textId="18665F70" w:rsidR="00807D6F" w:rsidRDefault="00807D6F">
        <w:pPr>
          <w:pStyle w:val="Footer"/>
          <w:jc w:val="center"/>
        </w:pPr>
        <w:r>
          <w:fldChar w:fldCharType="begin"/>
        </w:r>
        <w:r>
          <w:instrText xml:space="preserve"> PAGE   \* MERGEFORMAT </w:instrText>
        </w:r>
        <w:r>
          <w:fldChar w:fldCharType="separate"/>
        </w:r>
        <w:r w:rsidR="00467F1F">
          <w:rPr>
            <w:noProof/>
          </w:rPr>
          <w:t>11</w:t>
        </w:r>
        <w:r>
          <w:rPr>
            <w:noProof/>
          </w:rPr>
          <w:fldChar w:fldCharType="end"/>
        </w:r>
      </w:p>
    </w:sdtContent>
  </w:sdt>
  <w:p w14:paraId="7177D02F" w14:textId="3113E443" w:rsidR="00807D6F" w:rsidRPr="004417EE" w:rsidRDefault="00807D6F" w:rsidP="00F62243">
    <w:pPr>
      <w:pStyle w:val="Footer"/>
      <w:jc w:val="right"/>
      <w:rPr>
        <w:rFonts w:ascii="Arial Narrow" w:hAnsi="Arial Narrow"/>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802682"/>
      <w:docPartObj>
        <w:docPartGallery w:val="Page Numbers (Bottom of Page)"/>
        <w:docPartUnique/>
      </w:docPartObj>
    </w:sdtPr>
    <w:sdtEndPr>
      <w:rPr>
        <w:noProof/>
      </w:rPr>
    </w:sdtEndPr>
    <w:sdtContent>
      <w:p w14:paraId="2DC1E18E" w14:textId="758C3B1B" w:rsidR="00807D6F" w:rsidRDefault="00807D6F">
        <w:pPr>
          <w:pStyle w:val="Footer"/>
          <w:jc w:val="right"/>
        </w:pPr>
        <w:r>
          <w:fldChar w:fldCharType="begin"/>
        </w:r>
        <w:r>
          <w:instrText xml:space="preserve"> PAGE   \* MERGEFORMAT </w:instrText>
        </w:r>
        <w:r>
          <w:fldChar w:fldCharType="separate"/>
        </w:r>
        <w:r w:rsidR="00467F1F">
          <w:rPr>
            <w:noProof/>
          </w:rPr>
          <w:t>157</w:t>
        </w:r>
        <w:r>
          <w:rPr>
            <w:noProof/>
          </w:rPr>
          <w:fldChar w:fldCharType="end"/>
        </w:r>
      </w:p>
    </w:sdtContent>
  </w:sdt>
  <w:p w14:paraId="6467EB67" w14:textId="5E5745AA" w:rsidR="00807D6F" w:rsidRPr="00F62243" w:rsidRDefault="00807D6F" w:rsidP="00F41347">
    <w:pPr>
      <w:pStyle w:val="Footer"/>
      <w:jc w:val="right"/>
      <w:rPr>
        <w:rFonts w:asciiTheme="majorBidi" w:hAnsiTheme="majorBid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A00C2" w14:textId="77777777" w:rsidR="00807D6F" w:rsidRDefault="00807D6F" w:rsidP="00DF1828">
      <w:r>
        <w:separator/>
      </w:r>
    </w:p>
  </w:footnote>
  <w:footnote w:type="continuationSeparator" w:id="0">
    <w:p w14:paraId="51D4D78C" w14:textId="77777777" w:rsidR="00807D6F" w:rsidRDefault="00807D6F" w:rsidP="00DF1828">
      <w:r>
        <w:continuationSeparator/>
      </w:r>
    </w:p>
  </w:footnote>
  <w:footnote w:type="continuationNotice" w:id="1">
    <w:p w14:paraId="48D28B6A" w14:textId="77777777" w:rsidR="00807D6F" w:rsidRDefault="00807D6F"/>
  </w:footnote>
  <w:footnote w:id="2">
    <w:p w14:paraId="5B3DEFA4" w14:textId="5D127F80" w:rsidR="00807D6F" w:rsidRPr="00F26EA4" w:rsidRDefault="00807D6F" w:rsidP="00837498">
      <w:pPr>
        <w:pStyle w:val="FootnoteText"/>
        <w:rPr>
          <w:rFonts w:ascii="Garamond" w:hAnsi="Garamond"/>
        </w:rPr>
      </w:pPr>
      <w:r w:rsidRPr="00F26EA4">
        <w:rPr>
          <w:rStyle w:val="FootnoteReference"/>
          <w:rFonts w:ascii="Garamond" w:hAnsi="Garamond"/>
        </w:rPr>
        <w:footnoteRef/>
      </w:r>
      <w:r w:rsidRPr="00F26EA4">
        <w:rPr>
          <w:rFonts w:ascii="Garamond" w:hAnsi="Garamond"/>
        </w:rPr>
        <w:t xml:space="preserve"> </w:t>
      </w:r>
      <w:r w:rsidRPr="00F26EA4">
        <w:rPr>
          <w:rFonts w:ascii="Garamond" w:hAnsi="Garamond" w:cs="Arial Narrow"/>
        </w:rPr>
        <w:t xml:space="preserve">Bazuar në rekomandimin e FMN-së, përkufizimi aktual i individit më të pasur për mjedisin shqiptar është çdo individ me të ardhura vjetore bruto mbi 125 milionë lekë ose me vlerë të akumuluar pasurie mbi </w:t>
      </w:r>
      <w:r w:rsidRPr="00F60951">
        <w:rPr>
          <w:rFonts w:ascii="Garamond" w:hAnsi="Garamond" w:cs="Arial Narrow"/>
        </w:rPr>
        <w:t>1 miliardë lekë.</w:t>
      </w:r>
    </w:p>
  </w:footnote>
  <w:footnote w:id="3">
    <w:p w14:paraId="3896CA1D" w14:textId="41A7A5D9" w:rsidR="00807D6F" w:rsidRPr="00837498" w:rsidRDefault="00807D6F" w:rsidP="00837498">
      <w:pPr>
        <w:jc w:val="both"/>
        <w:rPr>
          <w:rFonts w:ascii="Garamond" w:hAnsi="Garamond"/>
          <w:sz w:val="20"/>
          <w:szCs w:val="20"/>
        </w:rPr>
      </w:pPr>
      <w:r w:rsidRPr="00837498">
        <w:rPr>
          <w:rStyle w:val="FootnoteReference"/>
          <w:rFonts w:ascii="Garamond" w:hAnsi="Garamond"/>
          <w:sz w:val="20"/>
          <w:szCs w:val="20"/>
        </w:rPr>
        <w:footnoteRef/>
      </w:r>
      <w:r>
        <w:rPr>
          <w:rFonts w:ascii="Garamond" w:hAnsi="Garamond"/>
          <w:sz w:val="20"/>
          <w:szCs w:val="20"/>
        </w:rPr>
        <w:t xml:space="preserve"> </w:t>
      </w:r>
      <w:r w:rsidRPr="00837498">
        <w:rPr>
          <w:rFonts w:ascii="Garamond" w:hAnsi="Garamond"/>
          <w:sz w:val="20"/>
          <w:szCs w:val="20"/>
        </w:rPr>
        <w:t>Treguesit përafrues për produktivitetin e punës, koston e punës për njësi dhe kompensimin e punonjësve llogariten nga Banka e Shqipërisë</w:t>
      </w:r>
      <w:r>
        <w:rPr>
          <w:rFonts w:ascii="Garamond" w:hAnsi="Garamond"/>
          <w:sz w:val="20"/>
          <w:szCs w:val="20"/>
        </w:rPr>
        <w:t>,</w:t>
      </w:r>
      <w:r w:rsidRPr="00837498">
        <w:rPr>
          <w:rFonts w:ascii="Garamond" w:hAnsi="Garamond"/>
          <w:sz w:val="20"/>
          <w:szCs w:val="20"/>
        </w:rPr>
        <w:t xml:space="preserve"> bazuar në seritë e “Statistikave afatshkurtra”</w:t>
      </w:r>
      <w:r>
        <w:rPr>
          <w:rFonts w:ascii="Garamond" w:hAnsi="Garamond"/>
          <w:sz w:val="20"/>
          <w:szCs w:val="20"/>
        </w:rPr>
        <w:t>,</w:t>
      </w:r>
      <w:r w:rsidRPr="00837498">
        <w:rPr>
          <w:rFonts w:ascii="Garamond" w:hAnsi="Garamond"/>
          <w:sz w:val="20"/>
          <w:szCs w:val="20"/>
        </w:rPr>
        <w:t xml:space="preserve"> kur sektori bujqësor nuk është i përfshirë (INSTAT</w:t>
      </w:r>
      <w:r>
        <w:rPr>
          <w:rFonts w:ascii="Garamond" w:hAnsi="Garamond"/>
          <w:sz w:val="20"/>
          <w:szCs w:val="20"/>
        </w:rPr>
        <w:t>-i</w:t>
      </w:r>
      <w:r w:rsidRPr="00837498">
        <w:rPr>
          <w:rFonts w:ascii="Garamond" w:hAnsi="Garamond"/>
          <w:sz w:val="20"/>
          <w:szCs w:val="20"/>
        </w:rPr>
        <w:t>, botimi i fundit 2021 T2).</w:t>
      </w:r>
      <w:r>
        <w:rPr>
          <w:rFonts w:ascii="Garamond" w:hAnsi="Garamond"/>
          <w:sz w:val="20"/>
          <w:szCs w:val="20"/>
        </w:rPr>
        <w:t xml:space="preserve"> </w:t>
      </w:r>
    </w:p>
  </w:footnote>
  <w:footnote w:id="4">
    <w:p w14:paraId="2A9717E0" w14:textId="462C6160" w:rsidR="00807D6F" w:rsidRPr="00837498" w:rsidRDefault="00807D6F" w:rsidP="00837498">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Shihni</w:t>
      </w:r>
      <w:r>
        <w:rPr>
          <w:rFonts w:ascii="Garamond" w:hAnsi="Garamond"/>
        </w:rPr>
        <w:t>:</w:t>
      </w:r>
      <w:r w:rsidRPr="00837498">
        <w:rPr>
          <w:rFonts w:ascii="Garamond" w:hAnsi="Garamond"/>
        </w:rPr>
        <w:t xml:space="preserve"> </w:t>
      </w:r>
      <w:hyperlink r:id="rId1" w:history="1">
        <w:r w:rsidRPr="00837498">
          <w:rPr>
            <w:rStyle w:val="Hyperlink"/>
            <w:rFonts w:ascii="Garamond" w:hAnsi="Garamond"/>
          </w:rPr>
          <w:t>http://go.worldbank.org/KQCHUD4JN0</w:t>
        </w:r>
      </w:hyperlink>
      <w:r>
        <w:rPr>
          <w:rFonts w:ascii="Garamond" w:hAnsi="Garamond"/>
        </w:rPr>
        <w:t xml:space="preserve">, </w:t>
      </w:r>
      <w:r w:rsidRPr="00837498">
        <w:rPr>
          <w:rFonts w:ascii="Garamond" w:hAnsi="Garamond"/>
        </w:rPr>
        <w:t>për një diskutim mbi PKT</w:t>
      </w:r>
      <w:r>
        <w:rPr>
          <w:rFonts w:ascii="Garamond" w:hAnsi="Garamond"/>
        </w:rPr>
        <w:t>-në</w:t>
      </w:r>
      <w:r w:rsidRPr="00837498">
        <w:rPr>
          <w:rFonts w:ascii="Garamond" w:hAnsi="Garamond"/>
        </w:rPr>
        <w:t>.</w:t>
      </w:r>
    </w:p>
  </w:footnote>
  <w:footnote w:id="5">
    <w:p w14:paraId="017BC76B" w14:textId="436944D7" w:rsidR="00807D6F" w:rsidRPr="00837498" w:rsidRDefault="00807D6F" w:rsidP="00837498">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Statistikat e borxhit të jashtëm</w:t>
      </w:r>
      <w:r>
        <w:rPr>
          <w:rFonts w:ascii="Garamond" w:hAnsi="Garamond"/>
        </w:rPr>
        <w:t>,</w:t>
      </w:r>
      <w:r w:rsidRPr="00837498">
        <w:rPr>
          <w:rFonts w:ascii="Garamond" w:hAnsi="Garamond"/>
        </w:rPr>
        <w:t xml:space="preserve"> sipas maturitetit kanë pësuar disa </w:t>
      </w:r>
      <w:r>
        <w:rPr>
          <w:rFonts w:ascii="Garamond" w:hAnsi="Garamond"/>
        </w:rPr>
        <w:t>rishikime. Në saje</w:t>
      </w:r>
      <w:r w:rsidRPr="00837498">
        <w:rPr>
          <w:rFonts w:ascii="Garamond" w:hAnsi="Garamond"/>
        </w:rPr>
        <w:t xml:space="preserve"> të të dhënave më të sakta, një pjesë e borxhit të jash</w:t>
      </w:r>
      <w:r>
        <w:rPr>
          <w:rFonts w:ascii="Garamond" w:hAnsi="Garamond"/>
        </w:rPr>
        <w:t>tëm që lidhet me depozitat e jo</w:t>
      </w:r>
      <w:r w:rsidRPr="00837498">
        <w:rPr>
          <w:rFonts w:ascii="Garamond" w:hAnsi="Garamond"/>
        </w:rPr>
        <w:t>rezidentëve është riklasifikuar si borxh afatgjatë. Kjo ka shkaktuar një rritje të fortë të përpjesës së borxhit afatgjatë në kurriz të atij afatshkurtër. Këto ndryshime janë pasqyruar në disa raporte të borxhit afatshkurtër përfshirë ata që lidhen me rezervën</w:t>
      </w:r>
      <w:r>
        <w:rPr>
          <w:rFonts w:ascii="Garamond" w:hAnsi="Garamond"/>
        </w:rPr>
        <w:t>,</w:t>
      </w:r>
      <w:r w:rsidRPr="00837498">
        <w:rPr>
          <w:rFonts w:ascii="Garamond" w:hAnsi="Garamond"/>
        </w:rPr>
        <w:t xml:space="preserve"> sikurse do të paraqitet më vonë. </w:t>
      </w:r>
    </w:p>
  </w:footnote>
  <w:footnote w:id="6">
    <w:p w14:paraId="049DFB96" w14:textId="77777777" w:rsidR="00807D6F" w:rsidRPr="009A592B" w:rsidRDefault="00807D6F" w:rsidP="00837498">
      <w:pPr>
        <w:rPr>
          <w:rFonts w:ascii="Garamond" w:hAnsi="Garamond"/>
          <w:i/>
          <w:sz w:val="20"/>
          <w:szCs w:val="20"/>
          <w:lang w:val="en-US"/>
        </w:rPr>
      </w:pPr>
      <w:r w:rsidRPr="009A592B">
        <w:rPr>
          <w:rStyle w:val="FootnoteReference"/>
          <w:rFonts w:ascii="Garamond" w:hAnsi="Garamond"/>
          <w:i/>
          <w:sz w:val="20"/>
          <w:szCs w:val="20"/>
          <w:lang w:val="en-US"/>
        </w:rPr>
        <w:footnoteRef/>
      </w:r>
      <w:r w:rsidRPr="009A592B">
        <w:rPr>
          <w:rFonts w:ascii="Garamond" w:hAnsi="Garamond"/>
          <w:i/>
          <w:sz w:val="20"/>
          <w:szCs w:val="20"/>
          <w:lang w:val="en-US"/>
        </w:rPr>
        <w:t xml:space="preserve"> Data on reserve ratio to short term debt are recalculated according to revisions in short term debt statistics. </w:t>
      </w:r>
    </w:p>
    <w:p w14:paraId="3BC9674F" w14:textId="77777777" w:rsidR="00807D6F" w:rsidRPr="00837498" w:rsidRDefault="00807D6F" w:rsidP="00837498">
      <w:pPr>
        <w:jc w:val="both"/>
        <w:rPr>
          <w:rFonts w:ascii="Garamond" w:hAnsi="Garamond"/>
          <w:sz w:val="20"/>
          <w:szCs w:val="20"/>
          <w:lang w:val="en-US"/>
        </w:rPr>
      </w:pPr>
    </w:p>
    <w:p w14:paraId="388D216B" w14:textId="77777777" w:rsidR="00807D6F" w:rsidRPr="00837498" w:rsidRDefault="00807D6F" w:rsidP="00837498">
      <w:pPr>
        <w:pStyle w:val="FootnoteText"/>
        <w:jc w:val="both"/>
        <w:rPr>
          <w:rFonts w:ascii="Garamond" w:hAnsi="Garamond"/>
          <w:lang w:val="en-US"/>
        </w:rPr>
      </w:pPr>
    </w:p>
  </w:footnote>
  <w:footnote w:id="7">
    <w:p w14:paraId="5A3ECDE4" w14:textId="5F563E96" w:rsidR="00807D6F" w:rsidRPr="00837498" w:rsidRDefault="00807D6F" w:rsidP="00837498">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Rregull</w:t>
      </w:r>
      <w:r>
        <w:rPr>
          <w:rFonts w:ascii="Garamond" w:hAnsi="Garamond"/>
        </w:rPr>
        <w:t>a</w:t>
      </w:r>
      <w:r w:rsidRPr="00837498">
        <w:rPr>
          <w:rFonts w:ascii="Garamond" w:hAnsi="Garamond"/>
        </w:rPr>
        <w:t xml:space="preserve"> origjinal</w:t>
      </w:r>
      <w:r>
        <w:rPr>
          <w:rFonts w:ascii="Garamond" w:hAnsi="Garamond"/>
        </w:rPr>
        <w:t>e</w:t>
      </w:r>
      <w:r w:rsidRPr="00837498">
        <w:rPr>
          <w:rFonts w:ascii="Garamond" w:hAnsi="Garamond"/>
        </w:rPr>
        <w:t xml:space="preserve"> sanksiononte “që prej 2023”, por më pas kjo u ndryshua sërish në korrik të 2021 dhe u bë “që prej</w:t>
      </w:r>
      <w:r>
        <w:rPr>
          <w:rFonts w:ascii="Garamond" w:hAnsi="Garamond"/>
        </w:rPr>
        <w:t xml:space="preserve"> </w:t>
      </w:r>
      <w:r w:rsidRPr="00837498">
        <w:rPr>
          <w:rFonts w:ascii="Garamond" w:hAnsi="Garamond"/>
        </w:rPr>
        <w:t>2024</w:t>
      </w:r>
      <w:r>
        <w:rPr>
          <w:rFonts w:ascii="Garamond" w:hAnsi="Garamond"/>
        </w:rPr>
        <w:t>-ës</w:t>
      </w:r>
      <w:r w:rsidRPr="00837498">
        <w:rPr>
          <w:rFonts w:ascii="Garamond" w:hAnsi="Garamond"/>
        </w:rPr>
        <w:t>”</w:t>
      </w:r>
      <w:r>
        <w:rPr>
          <w:rFonts w:ascii="Garamond" w:hAnsi="Garamond"/>
        </w:rPr>
        <w:t>.</w:t>
      </w:r>
      <w:r w:rsidRPr="00837498">
        <w:rPr>
          <w:rFonts w:ascii="Garamond" w:hAnsi="Garamond"/>
        </w:rPr>
        <w:t xml:space="preserve"> </w:t>
      </w:r>
    </w:p>
  </w:footnote>
  <w:footnote w:id="8">
    <w:p w14:paraId="5F1D0009" w14:textId="2039CAA0" w:rsidR="00807D6F" w:rsidRPr="00837498" w:rsidRDefault="00807D6F" w:rsidP="006B5E92">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Për shkak të mungesës së të dhënave dhe serive relativisht të shkurtra, në rastin e metodës së disagreg</w:t>
      </w:r>
      <w:r>
        <w:rPr>
          <w:rFonts w:ascii="Garamond" w:hAnsi="Garamond"/>
        </w:rPr>
        <w:t>imit disa prej elasticiteteve/</w:t>
      </w:r>
      <w:r w:rsidRPr="00837498">
        <w:rPr>
          <w:rFonts w:ascii="Garamond" w:hAnsi="Garamond"/>
        </w:rPr>
        <w:t>koeficienteve të vlerësuar nuk ishin të rëndësishëm në nivelet konvencionale dhe u vendosën disa supozime.</w:t>
      </w:r>
    </w:p>
  </w:footnote>
  <w:footnote w:id="9">
    <w:p w14:paraId="4A57BADD" w14:textId="4D7B796F"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PBB në bazë vjetore, referuar Draftkuadrit Makroekonomik dhe Fiskal 2022</w:t>
      </w:r>
      <w:r>
        <w:rPr>
          <w:rFonts w:ascii="Garamond" w:hAnsi="Garamond"/>
        </w:rPr>
        <w:t>–</w:t>
      </w:r>
      <w:r w:rsidRPr="00837498">
        <w:rPr>
          <w:rFonts w:ascii="Garamond" w:hAnsi="Garamond"/>
        </w:rPr>
        <w:t>2024.</w:t>
      </w:r>
    </w:p>
  </w:footnote>
  <w:footnote w:id="10">
    <w:p w14:paraId="0D7C5BD0" w14:textId="77777777" w:rsidR="00807D6F" w:rsidRPr="00837498" w:rsidRDefault="00807D6F" w:rsidP="00017C27">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Korniza strukturore e paraqitjes së treguesve të performacës së rezultateve dhe produkteve dhe vlerave të synuara respektive të tyre.</w:t>
      </w:r>
    </w:p>
  </w:footnote>
  <w:footnote w:id="11">
    <w:p w14:paraId="724682E2" w14:textId="015CA240"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r w:rsidRPr="00837498">
        <w:rPr>
          <w:rFonts w:ascii="Garamond" w:eastAsia="SimSun" w:hAnsi="Garamond" w:cstheme="majorBidi"/>
          <w:color w:val="0D0D0D" w:themeColor="text1" w:themeTint="F2"/>
        </w:rPr>
        <w:t>Strategjia Kombëtare për pagesat me vlerë të vogël është rezultati i një përpjekjeje të përbashkët të palëve të interesuara nga sektori publik dhe privat, i drejtuar nga Banka e Shqipërisë dhe i zbatuar nga Komiteti Kombëtar i Sistemit të Page</w:t>
      </w:r>
      <w:r>
        <w:rPr>
          <w:rFonts w:ascii="Garamond" w:eastAsia="SimSun" w:hAnsi="Garamond" w:cstheme="majorBidi"/>
          <w:color w:val="0D0D0D" w:themeColor="text1" w:themeTint="F2"/>
        </w:rPr>
        <w:t xml:space="preserve">save. Është i disponueshëm tek: </w:t>
      </w:r>
      <w:hyperlink r:id="rId2" w:history="1">
        <w:r w:rsidRPr="003C669F">
          <w:rPr>
            <w:rStyle w:val="Hyperlink"/>
            <w:rFonts w:ascii="Garamond" w:hAnsi="Garamond"/>
          </w:rPr>
          <w:t>https://www.bankofalbania.org/Pagesat/Komiteti_Kombetar_i_Sistemit_te_Pagesave/Mbledhja_e_Katert_Vjetore_e_</w:t>
        </w:r>
      </w:hyperlink>
      <w:r>
        <w:rPr>
          <w:rStyle w:val="Hyperlink"/>
          <w:rFonts w:ascii="Garamond" w:hAnsi="Garamond"/>
          <w:color w:val="auto"/>
        </w:rPr>
        <w:t xml:space="preserve"> </w:t>
      </w:r>
      <w:r w:rsidRPr="000E7A85">
        <w:rPr>
          <w:rStyle w:val="Hyperlink"/>
          <w:rFonts w:ascii="Garamond" w:hAnsi="Garamond"/>
          <w:color w:val="auto"/>
        </w:rPr>
        <w:t>Komitetit_Ko</w:t>
      </w:r>
      <w:r w:rsidRPr="00837498">
        <w:rPr>
          <w:rStyle w:val="Hyperlink"/>
          <w:rFonts w:ascii="Garamond" w:hAnsi="Garamond"/>
        </w:rPr>
        <w:t>mbetar_te_Sistemit_te_Pagesave_20917.html</w:t>
      </w:r>
    </w:p>
  </w:footnote>
  <w:footnote w:id="12">
    <w:p w14:paraId="16180F64" w14:textId="62386F85" w:rsidR="00807D6F" w:rsidRPr="001C36BA" w:rsidRDefault="00807D6F" w:rsidP="00837498">
      <w:pPr>
        <w:pStyle w:val="FootnoteText"/>
        <w:rPr>
          <w:rFonts w:ascii="Garamond" w:hAnsi="Garamond"/>
        </w:rPr>
      </w:pPr>
      <w:r w:rsidRPr="001C36BA">
        <w:rPr>
          <w:rStyle w:val="FootnoteReference"/>
          <w:rFonts w:ascii="Garamond" w:hAnsi="Garamond"/>
        </w:rPr>
        <w:footnoteRef/>
      </w:r>
      <w:r>
        <w:rPr>
          <w:rFonts w:ascii="Garamond" w:hAnsi="Garamond"/>
        </w:rPr>
        <w:t xml:space="preserve"> </w:t>
      </w:r>
      <w:hyperlink r:id="rId3" w:history="1">
        <w:r w:rsidRPr="001C36BA">
          <w:rPr>
            <w:rStyle w:val="Hyperlink"/>
            <w:rFonts w:ascii="Garamond" w:hAnsi="Garamond"/>
          </w:rPr>
          <w:t>https://www.bankofalbania.org/rc/doc/01_Government_payment_digitization_in_albania_NPC_15758.pptx</w:t>
        </w:r>
      </w:hyperlink>
    </w:p>
    <w:p w14:paraId="34132966" w14:textId="77777777" w:rsidR="00807D6F" w:rsidRPr="001C36BA" w:rsidRDefault="00807D6F" w:rsidP="00837498">
      <w:pPr>
        <w:pStyle w:val="FootnoteText"/>
        <w:rPr>
          <w:rFonts w:ascii="Garamond" w:hAnsi="Garamond"/>
        </w:rPr>
      </w:pPr>
    </w:p>
  </w:footnote>
  <w:footnote w:id="13">
    <w:p w14:paraId="3512F7A8" w14:textId="19B8ABFF" w:rsidR="00807D6F" w:rsidRPr="00837498" w:rsidRDefault="00807D6F" w:rsidP="006A4152">
      <w:pPr>
        <w:pStyle w:val="FootnoteText"/>
        <w:jc w:val="both"/>
        <w:rPr>
          <w:rFonts w:ascii="Garamond" w:hAnsi="Garamond"/>
        </w:rPr>
      </w:pPr>
      <w:r w:rsidRPr="001C36BA">
        <w:rPr>
          <w:rStyle w:val="FootnoteReference"/>
          <w:rFonts w:ascii="Garamond" w:hAnsi="Garamond"/>
        </w:rPr>
        <w:footnoteRef/>
      </w:r>
      <w:r w:rsidRPr="001C36BA">
        <w:rPr>
          <w:rFonts w:ascii="Garamond" w:hAnsi="Garamond"/>
        </w:rPr>
        <w:t xml:space="preserve"> Studimi i fizibilitetit tregon se zgjidhja më e përshtatshme për kushtet aktuale të tregut është krijimi i një versioni të lehtë për </w:t>
      </w:r>
      <w:r w:rsidRPr="001C36BA">
        <w:rPr>
          <w:rFonts w:ascii="Garamond" w:hAnsi="Garamond"/>
          <w:i/>
        </w:rPr>
        <w:t>instant</w:t>
      </w:r>
      <w:r w:rsidRPr="00837498">
        <w:rPr>
          <w:rFonts w:ascii="Garamond" w:hAnsi="Garamond"/>
          <w:i/>
        </w:rPr>
        <w:t xml:space="preserve"> payment</w:t>
      </w:r>
      <w:r w:rsidRPr="00837498">
        <w:rPr>
          <w:rFonts w:ascii="Garamond" w:hAnsi="Garamond"/>
        </w:rPr>
        <w:t xml:space="preserve"> nga një kompani </w:t>
      </w:r>
      <w:r w:rsidRPr="00BE11C9">
        <w:rPr>
          <w:rFonts w:ascii="Garamond" w:hAnsi="Garamond"/>
          <w:i/>
        </w:rPr>
        <w:t>fin-tech</w:t>
      </w:r>
      <w:r w:rsidRPr="00837498">
        <w:rPr>
          <w:rFonts w:ascii="Garamond" w:hAnsi="Garamond"/>
        </w:rPr>
        <w:t xml:space="preserve"> të licencuar nga BSH</w:t>
      </w:r>
      <w:r>
        <w:rPr>
          <w:rFonts w:ascii="Garamond" w:hAnsi="Garamond"/>
        </w:rPr>
        <w:t>-ja</w:t>
      </w:r>
      <w:r w:rsidRPr="00837498">
        <w:rPr>
          <w:rFonts w:ascii="Garamond" w:hAnsi="Garamond"/>
        </w:rPr>
        <w:t xml:space="preserve">. Banka e Shqipërisë do të promovojë krijimin e tij. Në rastin e Shqipërisë, krijimi i një SWITCH-i kombëtar nuk ka koncept ekonomik, duke qenë se po nxiten zgjidhje të tjera inovative. </w:t>
      </w:r>
    </w:p>
  </w:footnote>
  <w:footnote w:id="14">
    <w:p w14:paraId="543BB48F" w14:textId="6D023512"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4" w:history="1">
        <w:r w:rsidRPr="00837498">
          <w:rPr>
            <w:rStyle w:val="Hyperlink"/>
            <w:rFonts w:ascii="Garamond" w:hAnsi="Garamond"/>
          </w:rPr>
          <w:t>https://www.bankofalbania.org/rc/doc/16_NRepishti_AKSHI_electronicpayments_e_Albania_18144.pdf</w:t>
        </w:r>
      </w:hyperlink>
    </w:p>
  </w:footnote>
  <w:footnote w:id="15">
    <w:p w14:paraId="118AA92B" w14:textId="6FB8C173" w:rsidR="00807D6F" w:rsidRPr="00837498" w:rsidRDefault="00807D6F" w:rsidP="00837498">
      <w:pPr>
        <w:pStyle w:val="FootnoteText"/>
        <w:rPr>
          <w:rFonts w:ascii="Garamond" w:hAnsi="Garamond"/>
        </w:rPr>
      </w:pPr>
      <w:r w:rsidRPr="00837498">
        <w:rPr>
          <w:rStyle w:val="FootnoteReference"/>
          <w:rFonts w:ascii="Garamond" w:hAnsi="Garamond"/>
        </w:rPr>
        <w:footnoteRef/>
      </w:r>
      <w:hyperlink r:id="rId5" w:history="1">
        <w:r w:rsidRPr="00837498">
          <w:rPr>
            <w:rStyle w:val="Hyperlink"/>
            <w:rFonts w:ascii="Garamond" w:hAnsi="Garamond"/>
          </w:rPr>
          <w:t>https://www.bankofalbania.org/Rreth_Bankes/Legjislacioni/Rregullore_Nr_36_Per_funksionimin_e_sistemit_te_pagesave_nderbankare_me_vlere_te_madhe-AIPS.html</w:t>
        </w:r>
      </w:hyperlink>
    </w:p>
  </w:footnote>
  <w:footnote w:id="16">
    <w:p w14:paraId="0F889A96" w14:textId="20D765E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Style w:val="Hyperlink"/>
          <w:rFonts w:ascii="Garamond" w:hAnsi="Garamond"/>
        </w:rPr>
        <w:t>https://www.bankofalbania.org/Rreth_Bankes/Legjislacioni/Rregullore_35_2020_Per_funksionimin_e_sistemit_te_klerimit_te_pagesave_me_vlere_te_vogel_AECH.html</w:t>
      </w:r>
    </w:p>
  </w:footnote>
  <w:footnote w:id="17">
    <w:p w14:paraId="68C79D8B" w14:textId="11AC4200" w:rsidR="00807D6F" w:rsidRPr="00837498" w:rsidRDefault="00807D6F" w:rsidP="00837498">
      <w:pPr>
        <w:rPr>
          <w:rFonts w:ascii="Garamond" w:hAnsi="Garamond"/>
          <w:sz w:val="20"/>
          <w:szCs w:val="20"/>
        </w:rPr>
      </w:pPr>
      <w:r w:rsidRPr="00837498">
        <w:rPr>
          <w:rStyle w:val="FootnoteReference"/>
          <w:rFonts w:ascii="Garamond" w:hAnsi="Garamond"/>
          <w:sz w:val="20"/>
          <w:szCs w:val="20"/>
        </w:rPr>
        <w:footnoteRef/>
      </w:r>
      <w:r>
        <w:t xml:space="preserve"> </w:t>
      </w:r>
      <w:hyperlink r:id="rId6" w:history="1">
        <w:r w:rsidRPr="00837498">
          <w:rPr>
            <w:rStyle w:val="Hyperlink"/>
            <w:rFonts w:ascii="Garamond" w:hAnsi="Garamond"/>
            <w:sz w:val="20"/>
            <w:szCs w:val="20"/>
          </w:rPr>
          <w:t>https://eeas.europa.eu/delegations/albania/83464/regional-broadband-infrastructure-development-albania-closing-workshop_en</w:t>
        </w:r>
      </w:hyperlink>
    </w:p>
  </w:footnote>
  <w:footnote w:id="18">
    <w:p w14:paraId="4CF3D54E" w14:textId="6DB8AA4C" w:rsidR="00807D6F" w:rsidRPr="00837498" w:rsidRDefault="00807D6F" w:rsidP="00837498">
      <w:pPr>
        <w:pStyle w:val="C1"/>
        <w:rPr>
          <w:rFonts w:ascii="Garamond" w:hAnsi="Garamond"/>
          <w:lang w:val="sq-AL"/>
        </w:rPr>
      </w:pPr>
      <w:r w:rsidRPr="00837498">
        <w:rPr>
          <w:rStyle w:val="FootnoteReference"/>
          <w:rFonts w:ascii="Garamond" w:hAnsi="Garamond"/>
          <w:lang w:val="sq-AL"/>
        </w:rPr>
        <w:footnoteRef/>
      </w:r>
      <w:r>
        <w:rPr>
          <w:rFonts w:ascii="Garamond" w:hAnsi="Garamond"/>
          <w:lang w:val="sq-AL"/>
        </w:rPr>
        <w:t xml:space="preserve"> Ligji “</w:t>
      </w:r>
      <w:r w:rsidRPr="00837498">
        <w:rPr>
          <w:rFonts w:ascii="Garamond" w:hAnsi="Garamond"/>
          <w:lang w:val="sq-AL"/>
        </w:rPr>
        <w:t>Për zhvillimin e rrjeteve të komunikimeve elektronike të shpejtësisë së lartë dhe sigurimin e së drejtës së kalimit” ka përafruar plotësisht direktivën 2014/61/BE</w:t>
      </w:r>
    </w:p>
  </w:footnote>
  <w:footnote w:id="19">
    <w:p w14:paraId="4C32B875" w14:textId="0FA544F2" w:rsidR="00807D6F" w:rsidRPr="00837498" w:rsidRDefault="00807D6F" w:rsidP="00837498">
      <w:pPr>
        <w:rPr>
          <w:rFonts w:ascii="Garamond" w:hAnsi="Garamond"/>
          <w:color w:val="0C000F"/>
          <w:sz w:val="20"/>
          <w:szCs w:val="20"/>
          <w:shd w:val="clear" w:color="auto" w:fill="FFFFFF"/>
        </w:rPr>
      </w:pPr>
      <w:r w:rsidRPr="00837498">
        <w:rPr>
          <w:rStyle w:val="FootnoteReference"/>
          <w:rFonts w:ascii="Garamond" w:hAnsi="Garamond"/>
          <w:sz w:val="20"/>
          <w:szCs w:val="20"/>
        </w:rPr>
        <w:footnoteRef/>
      </w:r>
      <w:r>
        <w:t xml:space="preserve"> </w:t>
      </w:r>
      <w:hyperlink r:id="rId7" w:history="1">
        <w:r w:rsidRPr="00837498">
          <w:rPr>
            <w:rStyle w:val="Hyperlink"/>
            <w:rFonts w:ascii="Garamond" w:hAnsi="Garamond"/>
            <w:sz w:val="20"/>
            <w:szCs w:val="20"/>
            <w:shd w:val="clear" w:color="auto" w:fill="FFFFFF"/>
          </w:rPr>
          <w:t>https://ec.europa.eu/neighbourhood-enlargement/sites/near/files/communication_on_wb_economic_and_investment_plan_october_2020_en.pdf</w:t>
        </w:r>
      </w:hyperlink>
    </w:p>
    <w:p w14:paraId="50DB2C08" w14:textId="77777777" w:rsidR="00807D6F" w:rsidRPr="00837498" w:rsidRDefault="00807D6F" w:rsidP="00837498">
      <w:pPr>
        <w:pStyle w:val="FootnoteText"/>
        <w:rPr>
          <w:rFonts w:ascii="Garamond" w:hAnsi="Garamond"/>
        </w:rPr>
      </w:pPr>
    </w:p>
  </w:footnote>
  <w:footnote w:id="20">
    <w:p w14:paraId="69C0B5AE" w14:textId="5B4CBAC9" w:rsidR="00807D6F" w:rsidRPr="00837498" w:rsidRDefault="00807D6F" w:rsidP="00837498">
      <w:pPr>
        <w:rPr>
          <w:rFonts w:ascii="Garamond" w:hAnsi="Garamond"/>
          <w:sz w:val="20"/>
          <w:szCs w:val="20"/>
        </w:rPr>
      </w:pPr>
      <w:r w:rsidRPr="00837498">
        <w:rPr>
          <w:rStyle w:val="FootnoteReference"/>
          <w:rFonts w:ascii="Garamond" w:hAnsi="Garamond"/>
          <w:sz w:val="20"/>
          <w:szCs w:val="20"/>
        </w:rPr>
        <w:footnoteRef/>
      </w:r>
      <w:r w:rsidRPr="00837498">
        <w:rPr>
          <w:rFonts w:ascii="Garamond" w:hAnsi="Garamond"/>
          <w:sz w:val="20"/>
          <w:szCs w:val="20"/>
        </w:rPr>
        <w:t xml:space="preserve"> Sipas studimi</w:t>
      </w:r>
      <w:r>
        <w:rPr>
          <w:rFonts w:ascii="Garamond" w:hAnsi="Garamond"/>
          <w:sz w:val="20"/>
          <w:szCs w:val="20"/>
        </w:rPr>
        <w:t>t “Raporti rajonal i masave jo</w:t>
      </w:r>
      <w:r w:rsidRPr="00837498">
        <w:rPr>
          <w:rFonts w:ascii="Garamond" w:hAnsi="Garamond"/>
          <w:sz w:val="20"/>
          <w:szCs w:val="20"/>
        </w:rPr>
        <w:t>tarifore në CEFTA”</w:t>
      </w:r>
      <w:r>
        <w:rPr>
          <w:rFonts w:ascii="Garamond" w:hAnsi="Garamond"/>
          <w:sz w:val="20"/>
          <w:szCs w:val="20"/>
        </w:rPr>
        <w:t>.</w:t>
      </w:r>
    </w:p>
  </w:footnote>
  <w:footnote w:id="21">
    <w:p w14:paraId="2FB3E67F" w14:textId="60DFAB7D" w:rsidR="00807D6F" w:rsidRPr="00837498" w:rsidRDefault="00807D6F" w:rsidP="00837498">
      <w:pPr>
        <w:pStyle w:val="FootnoteText"/>
        <w:rPr>
          <w:rFonts w:ascii="Garamond" w:hAnsi="Garamond"/>
        </w:rPr>
      </w:pPr>
      <w:r w:rsidRPr="00837498">
        <w:rPr>
          <w:rStyle w:val="FootnoteReference"/>
          <w:rFonts w:ascii="Garamond" w:hAnsi="Garamond"/>
        </w:rPr>
        <w:footnoteRef/>
      </w:r>
      <w:r>
        <w:rPr>
          <w:rFonts w:ascii="Garamond" w:hAnsi="Garamond"/>
        </w:rPr>
        <w:t xml:space="preserve"> DCM No. 253, dated 24.</w:t>
      </w:r>
      <w:r w:rsidRPr="00837498">
        <w:rPr>
          <w:rFonts w:ascii="Garamond" w:hAnsi="Garamond"/>
        </w:rPr>
        <w:t>4.2019</w:t>
      </w:r>
      <w:r>
        <w:rPr>
          <w:rFonts w:ascii="Garamond" w:hAnsi="Garamond"/>
        </w:rPr>
        <w:t>,</w:t>
      </w:r>
      <w:r w:rsidRPr="00837498">
        <w:rPr>
          <w:rFonts w:ascii="Garamond" w:hAnsi="Garamond"/>
        </w:rPr>
        <w:t xml:space="preserve"> </w:t>
      </w:r>
      <w:r>
        <w:rPr>
          <w:rFonts w:ascii="Garamond" w:hAnsi="Garamond"/>
        </w:rPr>
        <w:t>“</w:t>
      </w:r>
      <w:r w:rsidRPr="00837498">
        <w:rPr>
          <w:rFonts w:ascii="Garamond" w:hAnsi="Garamond"/>
        </w:rPr>
        <w:t>On the approval of the financial consolidation plan of the public power sector</w:t>
      </w:r>
      <w:r>
        <w:rPr>
          <w:rFonts w:ascii="Garamond" w:hAnsi="Garamond"/>
        </w:rPr>
        <w:t>”</w:t>
      </w:r>
      <w:r w:rsidRPr="00837498">
        <w:rPr>
          <w:rFonts w:ascii="Garamond" w:hAnsi="Garamond"/>
        </w:rPr>
        <w:t>, amended</w:t>
      </w:r>
      <w:r>
        <w:rPr>
          <w:rFonts w:ascii="Garamond" w:hAnsi="Garamond"/>
        </w:rPr>
        <w:t>.</w:t>
      </w:r>
    </w:p>
  </w:footnote>
  <w:footnote w:id="22">
    <w:p w14:paraId="4CD66B7A" w14:textId="104FCFB2" w:rsidR="00807D6F" w:rsidRPr="00837498" w:rsidRDefault="00807D6F" w:rsidP="00837498">
      <w:pPr>
        <w:pStyle w:val="FootnoteText"/>
        <w:rPr>
          <w:rFonts w:ascii="Garamond" w:hAnsi="Garamond"/>
        </w:rPr>
      </w:pPr>
      <w:r w:rsidRPr="00837498">
        <w:rPr>
          <w:rStyle w:val="FootnoteReference"/>
          <w:rFonts w:ascii="Garamond" w:hAnsi="Garamond"/>
        </w:rPr>
        <w:footnoteRef/>
      </w:r>
      <w:r>
        <w:rPr>
          <w:rFonts w:ascii="Garamond" w:hAnsi="Garamond"/>
        </w:rPr>
        <w:t xml:space="preserve"> DCM No. 253, dated 24.</w:t>
      </w:r>
      <w:r w:rsidRPr="00837498">
        <w:rPr>
          <w:rFonts w:ascii="Garamond" w:hAnsi="Garamond"/>
        </w:rPr>
        <w:t>4.2019</w:t>
      </w:r>
      <w:r>
        <w:rPr>
          <w:rFonts w:ascii="Garamond" w:hAnsi="Garamond"/>
        </w:rPr>
        <w:t>,</w:t>
      </w:r>
      <w:r w:rsidRPr="00837498">
        <w:rPr>
          <w:rFonts w:ascii="Garamond" w:hAnsi="Garamond"/>
        </w:rPr>
        <w:t xml:space="preserve"> </w:t>
      </w:r>
      <w:r>
        <w:rPr>
          <w:rFonts w:ascii="Garamond" w:hAnsi="Garamond"/>
        </w:rPr>
        <w:t>“</w:t>
      </w:r>
      <w:r w:rsidRPr="00837498">
        <w:rPr>
          <w:rFonts w:ascii="Garamond" w:hAnsi="Garamond"/>
        </w:rPr>
        <w:t>On the approval of the financial consolidation plan of the public power sector</w:t>
      </w:r>
      <w:r>
        <w:rPr>
          <w:rFonts w:ascii="Garamond" w:hAnsi="Garamond"/>
        </w:rPr>
        <w:t>”.</w:t>
      </w:r>
    </w:p>
  </w:footnote>
  <w:footnote w:id="23">
    <w:p w14:paraId="71F9DEFD" w14:textId="77777777" w:rsidR="00807D6F" w:rsidRPr="00FA4DC6" w:rsidRDefault="00807D6F" w:rsidP="00FA4DC6">
      <w:pPr>
        <w:pStyle w:val="FootnoteText"/>
        <w:rPr>
          <w:rFonts w:ascii="Garamond" w:hAnsi="Garamond"/>
        </w:rPr>
      </w:pPr>
      <w:r w:rsidRPr="00FA4DC6">
        <w:rPr>
          <w:rStyle w:val="FootnoteReference"/>
          <w:rFonts w:ascii="Garamond" w:hAnsi="Garamond"/>
        </w:rPr>
        <w:footnoteRef/>
      </w:r>
      <w:r w:rsidRPr="00FA4DC6">
        <w:rPr>
          <w:rFonts w:ascii="Garamond" w:hAnsi="Garamond"/>
        </w:rPr>
        <w:t xml:space="preserve"> </w:t>
      </w:r>
      <w:hyperlink r:id="rId8" w:history="1">
        <w:r w:rsidRPr="00FA4DC6">
          <w:rPr>
            <w:rStyle w:val="Hyperlink"/>
            <w:rFonts w:ascii="Garamond" w:hAnsi="Garamond"/>
          </w:rPr>
          <w:t>http://www.instat.gov.al/en/sdgs/quality-education/43-ensure-equal-access-for-all-women-and-men-to-affordable-and-quality-technical-vocational-and-tertiary-education-including-university/431-participation-rate-of-youth-and-adults-in-formal-and-non-formal-education-and-training-in-the-previous-12-months-by-sex/</w:t>
        </w:r>
      </w:hyperlink>
    </w:p>
  </w:footnote>
  <w:footnote w:id="24">
    <w:p w14:paraId="19EC91B0" w14:textId="77777777" w:rsidR="00807D6F" w:rsidRPr="00FA4DC6" w:rsidRDefault="00807D6F" w:rsidP="00FA4DC6">
      <w:pPr>
        <w:pStyle w:val="FootnoteText"/>
        <w:rPr>
          <w:rFonts w:ascii="Garamond" w:hAnsi="Garamond"/>
        </w:rPr>
      </w:pPr>
      <w:r w:rsidRPr="00FA4DC6">
        <w:rPr>
          <w:rStyle w:val="FootnoteReference"/>
          <w:rFonts w:ascii="Garamond" w:hAnsi="Garamond"/>
        </w:rPr>
        <w:footnoteRef/>
      </w:r>
      <w:r w:rsidRPr="00FA4DC6">
        <w:rPr>
          <w:rFonts w:ascii="Garamond" w:hAnsi="Garamond"/>
        </w:rPr>
        <w:t xml:space="preserve"> </w:t>
      </w:r>
      <w:hyperlink r:id="rId9" w:history="1">
        <w:r w:rsidRPr="00FA4DC6">
          <w:rPr>
            <w:rStyle w:val="Hyperlink"/>
            <w:rFonts w:ascii="Garamond" w:hAnsi="Garamond"/>
          </w:rPr>
          <w:t>http://www.instat.gov.al/en/sdgs/quality-education/43-ensure-equal-access-for-all-women-and-men-to-affordable-and-quality-technical-vocational-and-tertiary-education-including-university/431-participation-rate-of-youth-and-adults-in-formal-and-non-formal-education-and-training-in-the-previous-12-months-by-sex/</w:t>
        </w:r>
      </w:hyperlink>
    </w:p>
  </w:footnote>
  <w:footnote w:id="25">
    <w:p w14:paraId="239DD77E" w14:textId="77777777" w:rsidR="00807D6F" w:rsidRPr="00FA4DC6" w:rsidRDefault="00807D6F" w:rsidP="00FA4DC6">
      <w:pPr>
        <w:pStyle w:val="FootnoteText"/>
        <w:rPr>
          <w:rFonts w:ascii="Garamond" w:hAnsi="Garamond"/>
        </w:rPr>
      </w:pPr>
      <w:r w:rsidRPr="00FA4DC6">
        <w:rPr>
          <w:rStyle w:val="FootnoteReference"/>
          <w:rFonts w:ascii="Garamond" w:hAnsi="Garamond"/>
        </w:rPr>
        <w:footnoteRef/>
      </w:r>
      <w:r w:rsidRPr="00FA4DC6">
        <w:rPr>
          <w:rFonts w:ascii="Garamond" w:hAnsi="Garamond"/>
        </w:rPr>
        <w:t xml:space="preserve"> </w:t>
      </w:r>
      <w:hyperlink r:id="rId10" w:history="1">
        <w:r w:rsidRPr="00FA4DC6">
          <w:rPr>
            <w:rStyle w:val="Hyperlink"/>
            <w:rFonts w:ascii="Garamond" w:hAnsi="Garamond"/>
          </w:rPr>
          <w:t>http://www.instat.gov.al/en/publications/books/2020/labour-market-2019/</w:t>
        </w:r>
      </w:hyperlink>
    </w:p>
  </w:footnote>
  <w:footnote w:id="26">
    <w:p w14:paraId="7960CC58" w14:textId="77777777" w:rsidR="00807D6F" w:rsidRPr="00FA4DC6" w:rsidRDefault="00807D6F" w:rsidP="00FA4DC6">
      <w:pPr>
        <w:pStyle w:val="FootnoteText"/>
        <w:rPr>
          <w:rFonts w:ascii="Garamond" w:hAnsi="Garamond"/>
        </w:rPr>
      </w:pPr>
      <w:r w:rsidRPr="00FA4DC6">
        <w:rPr>
          <w:rStyle w:val="FootnoteReference"/>
          <w:rFonts w:ascii="Garamond" w:hAnsi="Garamond"/>
        </w:rPr>
        <w:footnoteRef/>
      </w:r>
      <w:r w:rsidRPr="00FA4DC6">
        <w:rPr>
          <w:rFonts w:ascii="Garamond" w:hAnsi="Garamond"/>
        </w:rPr>
        <w:t xml:space="preserve"> </w:t>
      </w:r>
      <w:hyperlink r:id="rId11" w:history="1">
        <w:r w:rsidRPr="00FA4DC6">
          <w:rPr>
            <w:rStyle w:val="Hyperlink"/>
            <w:rFonts w:ascii="Garamond" w:hAnsi="Garamond"/>
          </w:rPr>
          <w:t>http://www.instat.gov.al/en/publications/books/2020/labour-market-2019/</w:t>
        </w:r>
      </w:hyperlink>
    </w:p>
  </w:footnote>
  <w:footnote w:id="27">
    <w:p w14:paraId="118C486E" w14:textId="77777777" w:rsidR="00807D6F" w:rsidRPr="00837498" w:rsidRDefault="00807D6F" w:rsidP="00FA4DC6">
      <w:pPr>
        <w:pStyle w:val="FootnoteText"/>
        <w:rPr>
          <w:rFonts w:ascii="Garamond" w:hAnsi="Garamond"/>
        </w:rPr>
      </w:pPr>
      <w:r w:rsidRPr="00FA4DC6">
        <w:rPr>
          <w:rStyle w:val="FootnoteReference"/>
          <w:rFonts w:ascii="Garamond" w:hAnsi="Garamond"/>
        </w:rPr>
        <w:footnoteRef/>
      </w:r>
      <w:r w:rsidRPr="00FA4DC6">
        <w:rPr>
          <w:rFonts w:ascii="Garamond" w:hAnsi="Garamond"/>
        </w:rPr>
        <w:t xml:space="preserve"> </w:t>
      </w:r>
      <w:hyperlink r:id="rId12" w:history="1">
        <w:r w:rsidRPr="00FA4DC6">
          <w:rPr>
            <w:rStyle w:val="Hyperlink"/>
            <w:rFonts w:ascii="Garamond" w:hAnsi="Garamond"/>
          </w:rPr>
          <w:t>http://www.instat.gov.al/en/publications/books/2020/labour-market-2019/</w:t>
        </w:r>
      </w:hyperlink>
    </w:p>
  </w:footnote>
  <w:footnote w:id="28">
    <w:p w14:paraId="4DC34C32"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13" w:history="1">
        <w:r w:rsidRPr="00837498">
          <w:rPr>
            <w:rStyle w:val="Hyperlink"/>
            <w:rFonts w:ascii="Garamond" w:hAnsi="Garamond"/>
          </w:rPr>
          <w:t>http://www.instat.gov.al/en/publications/books/2020/labour-market-2019/</w:t>
        </w:r>
      </w:hyperlink>
    </w:p>
  </w:footnote>
  <w:footnote w:id="29">
    <w:p w14:paraId="0C108E28" w14:textId="56D757C1" w:rsidR="00807D6F" w:rsidRPr="00837498" w:rsidRDefault="00807D6F" w:rsidP="000109D2">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Treguesi 10 është llogaritur sipas përkufizimit te</w:t>
      </w:r>
      <w:r>
        <w:rPr>
          <w:rFonts w:ascii="Garamond" w:hAnsi="Garamond"/>
        </w:rPr>
        <w:t>k</w:t>
      </w:r>
      <w:r w:rsidRPr="00837498">
        <w:rPr>
          <w:rFonts w:ascii="Garamond" w:hAnsi="Garamond"/>
        </w:rPr>
        <w:t xml:space="preserve"> Eurostat</w:t>
      </w:r>
      <w:r>
        <w:rPr>
          <w:rFonts w:ascii="Garamond" w:hAnsi="Garamond"/>
        </w:rPr>
        <w:t>i</w:t>
      </w:r>
      <w:r w:rsidRPr="00837498">
        <w:rPr>
          <w:rFonts w:ascii="Garamond" w:hAnsi="Garamond"/>
        </w:rPr>
        <w:t xml:space="preserve"> dhe 2020 nuk është publikuar ende në bazën e t</w:t>
      </w:r>
      <w:r>
        <w:rPr>
          <w:rFonts w:ascii="Garamond" w:hAnsi="Garamond"/>
        </w:rPr>
        <w:t>ë</w:t>
      </w:r>
      <w:r w:rsidRPr="00837498">
        <w:rPr>
          <w:rFonts w:ascii="Garamond" w:hAnsi="Garamond"/>
        </w:rPr>
        <w:t xml:space="preserve"> dhënave t</w:t>
      </w:r>
      <w:r>
        <w:rPr>
          <w:rFonts w:ascii="Garamond" w:hAnsi="Garamond"/>
        </w:rPr>
        <w:t xml:space="preserve">ë </w:t>
      </w:r>
      <w:r w:rsidRPr="00837498">
        <w:rPr>
          <w:rFonts w:ascii="Garamond" w:hAnsi="Garamond"/>
        </w:rPr>
        <w:t>Eurostat</w:t>
      </w:r>
      <w:r>
        <w:rPr>
          <w:rFonts w:ascii="Garamond" w:hAnsi="Garamond"/>
        </w:rPr>
        <w:t>it</w:t>
      </w:r>
      <w:r w:rsidRPr="00837498">
        <w:rPr>
          <w:rFonts w:ascii="Garamond" w:hAnsi="Garamond"/>
        </w:rPr>
        <w:t>.</w:t>
      </w:r>
    </w:p>
  </w:footnote>
  <w:footnote w:id="30">
    <w:p w14:paraId="722A5A36"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14" w:history="1">
        <w:r w:rsidRPr="00837498">
          <w:rPr>
            <w:rStyle w:val="Hyperlink"/>
            <w:rFonts w:ascii="Garamond" w:hAnsi="Garamond"/>
          </w:rPr>
          <w:t>https://ec.europa.eu/eurostat/databrowser/view/NAMA_10_A64__custom_1349853/default/Tabela?lang=en</w:t>
        </w:r>
      </w:hyperlink>
    </w:p>
    <w:p w14:paraId="5DD3C6F9" w14:textId="77777777" w:rsidR="00807D6F" w:rsidRPr="00837498" w:rsidRDefault="00467F1F" w:rsidP="00837498">
      <w:pPr>
        <w:pStyle w:val="FootnoteText"/>
        <w:rPr>
          <w:rFonts w:ascii="Garamond" w:hAnsi="Garamond"/>
        </w:rPr>
      </w:pPr>
      <w:hyperlink r:id="rId15" w:anchor="tab2" w:history="1">
        <w:r w:rsidR="00807D6F" w:rsidRPr="00837498">
          <w:rPr>
            <w:rStyle w:val="Hyperlink"/>
            <w:rFonts w:ascii="Garamond" w:hAnsi="Garamond"/>
          </w:rPr>
          <w:t>http://www.instat.gov.al/en/themes/economy-and-finance/national-accounts-gdp/#tab2</w:t>
        </w:r>
      </w:hyperlink>
    </w:p>
  </w:footnote>
  <w:footnote w:id="31">
    <w:p w14:paraId="208513F4"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16" w:history="1">
        <w:r w:rsidRPr="00837498">
          <w:rPr>
            <w:rStyle w:val="Hyperlink"/>
            <w:rFonts w:ascii="Garamond" w:hAnsi="Garamond"/>
          </w:rPr>
          <w:t>http://www.instat.gov.al/en/publications/books/2020/labour-market-2019/</w:t>
        </w:r>
      </w:hyperlink>
    </w:p>
  </w:footnote>
  <w:footnote w:id="32">
    <w:p w14:paraId="2C5B34C9"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Sipas të dhënave zyrtare të raportuara nga MBZHR, kjo Tregues vlerësohet në rreth 41% për të gjitha seritë kohore</w:t>
      </w:r>
    </w:p>
  </w:footnote>
  <w:footnote w:id="33">
    <w:p w14:paraId="4204BEE3"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17" w:history="1">
        <w:r w:rsidRPr="00837498">
          <w:rPr>
            <w:rStyle w:val="Hyperlink"/>
            <w:rFonts w:ascii="Garamond" w:hAnsi="Garamond"/>
          </w:rPr>
          <w:t>https://ec.europa.eu/eurostat/databrowser/view/NAMA_10_A64__custom_1349853/default/Tabela?lang=en</w:t>
        </w:r>
      </w:hyperlink>
    </w:p>
    <w:p w14:paraId="4B1BE953" w14:textId="77777777" w:rsidR="00807D6F" w:rsidRPr="00837498" w:rsidRDefault="00467F1F" w:rsidP="00837498">
      <w:pPr>
        <w:pStyle w:val="FootnoteText"/>
        <w:rPr>
          <w:rFonts w:ascii="Garamond" w:hAnsi="Garamond"/>
        </w:rPr>
      </w:pPr>
      <w:hyperlink r:id="rId18" w:anchor="tab2" w:history="1">
        <w:r w:rsidR="00807D6F" w:rsidRPr="00837498">
          <w:rPr>
            <w:rStyle w:val="Hyperlink"/>
            <w:rFonts w:ascii="Garamond" w:hAnsi="Garamond"/>
          </w:rPr>
          <w:t>http://www.instat.gov.al/en/themes/economy-and-finance/national-accounts-gdp/#tab2</w:t>
        </w:r>
      </w:hyperlink>
    </w:p>
  </w:footnote>
  <w:footnote w:id="34">
    <w:p w14:paraId="08D2ED59"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19" w:history="1">
        <w:r w:rsidRPr="00837498">
          <w:rPr>
            <w:rStyle w:val="Hyperlink"/>
            <w:rFonts w:ascii="Garamond" w:hAnsi="Garamond"/>
          </w:rPr>
          <w:t>http://www.instat.gov.al/en/publications/books/2020/labour-market-2019/</w:t>
        </w:r>
      </w:hyperlink>
    </w:p>
  </w:footnote>
  <w:footnote w:id="35">
    <w:p w14:paraId="1EE81ACB"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20" w:history="1">
        <w:r w:rsidRPr="00837498">
          <w:rPr>
            <w:rStyle w:val="Hyperlink"/>
            <w:rFonts w:ascii="Garamond" w:hAnsi="Garamond"/>
          </w:rPr>
          <w:t>https://ec.europa.eu/eurostat/databrowser/view/NAMA_10_A64__custom_1349853/default/Tabela?lang=en</w:t>
        </w:r>
      </w:hyperlink>
    </w:p>
    <w:p w14:paraId="49589EB5" w14:textId="77777777" w:rsidR="00807D6F" w:rsidRPr="00837498" w:rsidRDefault="00467F1F" w:rsidP="00837498">
      <w:pPr>
        <w:pStyle w:val="FootnoteText"/>
        <w:rPr>
          <w:rFonts w:ascii="Garamond" w:hAnsi="Garamond"/>
        </w:rPr>
      </w:pPr>
      <w:hyperlink r:id="rId21" w:anchor="tab2" w:history="1">
        <w:r w:rsidR="00807D6F" w:rsidRPr="00837498">
          <w:rPr>
            <w:rStyle w:val="Hyperlink"/>
            <w:rFonts w:ascii="Garamond" w:hAnsi="Garamond"/>
          </w:rPr>
          <w:t>http://www.instat.gov.al/en/themes/economy-and-finance/national-accounts-gdp/#tab2</w:t>
        </w:r>
      </w:hyperlink>
    </w:p>
  </w:footnote>
  <w:footnote w:id="36">
    <w:p w14:paraId="67CD7219" w14:textId="7777777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hyperlink r:id="rId22" w:history="1">
        <w:r w:rsidRPr="00837498">
          <w:rPr>
            <w:rStyle w:val="Hyperlink"/>
            <w:rFonts w:ascii="Garamond" w:hAnsi="Garamond"/>
          </w:rPr>
          <w:t>http://www.instat.gov.al/en/publications/books/2020/labour-market-2019/</w:t>
        </w:r>
      </w:hyperlink>
    </w:p>
  </w:footnote>
  <w:footnote w:id="37">
    <w:p w14:paraId="649C0711" w14:textId="42FC0D34"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1 EUR = 123 ALL</w:t>
      </w:r>
    </w:p>
  </w:footnote>
  <w:footnote w:id="38">
    <w:p w14:paraId="7449D91B" w14:textId="05503140"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Shpenzimet kapitale i referohen zgjidhjes për pagesa t</w:t>
      </w:r>
      <w:r>
        <w:rPr>
          <w:rFonts w:ascii="Garamond" w:hAnsi="Garamond"/>
        </w:rPr>
        <w:t>ë</w:t>
      </w:r>
      <w:r w:rsidRPr="00837498">
        <w:rPr>
          <w:rFonts w:ascii="Garamond" w:hAnsi="Garamond"/>
        </w:rPr>
        <w:t xml:space="preserve"> menjëhershme. Vlera e parashikuar është një vlerësim i mbështetur në eksperiencën e vendeve të tjera. Investimi do të mbulohet nga subjekte/aktorë privat</w:t>
      </w:r>
      <w:r>
        <w:rPr>
          <w:rFonts w:ascii="Garamond" w:hAnsi="Garamond"/>
        </w:rPr>
        <w:t>e/ë</w:t>
      </w:r>
      <w:r w:rsidRPr="00837498">
        <w:rPr>
          <w:rFonts w:ascii="Garamond" w:hAnsi="Garamond"/>
        </w:rPr>
        <w:t xml:space="preserve"> të tregut. </w:t>
      </w:r>
    </w:p>
  </w:footnote>
  <w:footnote w:id="39">
    <w:p w14:paraId="6C507924" w14:textId="34BADFFF" w:rsidR="00807D6F" w:rsidRPr="00837498" w:rsidRDefault="00807D6F" w:rsidP="000109D2">
      <w:pPr>
        <w:pStyle w:val="FootnoteText"/>
        <w:jc w:val="both"/>
        <w:rPr>
          <w:rFonts w:ascii="Garamond" w:hAnsi="Garamond"/>
        </w:rPr>
      </w:pPr>
      <w:r w:rsidRPr="00837498">
        <w:rPr>
          <w:rStyle w:val="FootnoteReference"/>
          <w:rFonts w:ascii="Garamond" w:hAnsi="Garamond"/>
          <w:color w:val="000000" w:themeColor="text1"/>
        </w:rPr>
        <w:footnoteRef/>
      </w:r>
      <w:r w:rsidRPr="00837498">
        <w:rPr>
          <w:rFonts w:ascii="Garamond" w:hAnsi="Garamond"/>
          <w:color w:val="000000" w:themeColor="text1"/>
        </w:rPr>
        <w:t xml:space="preserve"> Shoqëria ndërtuese do të përcaktojë rrogatin, sipas rastit. Deri më tani, rrogat në njësinë e zbatimit të projektit, janë duke ekzekutuar/raportuar, duke pasur parasysh zërin subvencione/transferta të buxhetit të HSH. Ky buxhet nuk është në punë civile.</w:t>
      </w:r>
    </w:p>
  </w:footnote>
  <w:footnote w:id="40">
    <w:p w14:paraId="79FD9F44" w14:textId="0D0ADC07"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1 eur</w:t>
      </w:r>
      <w:r>
        <w:rPr>
          <w:rFonts w:ascii="Garamond" w:hAnsi="Garamond"/>
        </w:rPr>
        <w:t>o</w:t>
      </w:r>
      <w:r w:rsidRPr="00837498">
        <w:rPr>
          <w:rFonts w:ascii="Garamond" w:hAnsi="Garamond"/>
        </w:rPr>
        <w:t xml:space="preserve"> = 123 ALL</w:t>
      </w:r>
    </w:p>
  </w:footnote>
  <w:footnote w:id="41">
    <w:p w14:paraId="6DBFE8D9" w14:textId="5172129C"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w:t>
      </w:r>
      <w:r w:rsidRPr="00837498">
        <w:rPr>
          <w:rStyle w:val="FootnoteReference"/>
          <w:rFonts w:ascii="Garamond" w:hAnsi="Garamond" w:cstheme="minorHAnsi"/>
          <w:vertAlign w:val="baseline"/>
        </w:rPr>
        <w:t>Asistencë teknike me tre përfitues, shuma e papjestuar sipas viteve.</w:t>
      </w:r>
    </w:p>
  </w:footnote>
  <w:footnote w:id="42">
    <w:p w14:paraId="0209289F" w14:textId="16B59A2D" w:rsidR="00807D6F" w:rsidRPr="00837498" w:rsidRDefault="00807D6F" w:rsidP="000109D2">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Shpenzimet kapitale i referohen zgjidhjes për </w:t>
      </w:r>
      <w:r w:rsidRPr="000109D2">
        <w:rPr>
          <w:rFonts w:ascii="Garamond" w:hAnsi="Garamond"/>
          <w:i/>
        </w:rPr>
        <w:t>instant payment.</w:t>
      </w:r>
      <w:r w:rsidRPr="00837498">
        <w:rPr>
          <w:rFonts w:ascii="Garamond" w:hAnsi="Garamond"/>
        </w:rPr>
        <w:t xml:space="preserve"> Vlera e parashikuar është një vlerësim i mbështetur në eksperiencën e vendeve të tjera.</w:t>
      </w:r>
    </w:p>
  </w:footnote>
  <w:footnote w:id="43">
    <w:p w14:paraId="22AC3B5E" w14:textId="2571F77A" w:rsidR="00807D6F" w:rsidRPr="00837498" w:rsidRDefault="00807D6F" w:rsidP="00A417C0">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w:t>
      </w:r>
      <w:r w:rsidRPr="000109D2">
        <w:rPr>
          <w:rFonts w:ascii="Garamond" w:hAnsi="Garamond"/>
          <w:i/>
        </w:rPr>
        <w:t>Single Window</w:t>
      </w:r>
      <w:r w:rsidRPr="00837498">
        <w:rPr>
          <w:rFonts w:ascii="Garamond" w:hAnsi="Garamond"/>
        </w:rPr>
        <w:t xml:space="preserve"> dhe NCTS janë projekte t</w:t>
      </w:r>
      <w:r>
        <w:rPr>
          <w:rFonts w:ascii="Garamond" w:hAnsi="Garamond"/>
        </w:rPr>
        <w:t>ë</w:t>
      </w:r>
      <w:r w:rsidRPr="00837498">
        <w:rPr>
          <w:rFonts w:ascii="Garamond" w:hAnsi="Garamond"/>
        </w:rPr>
        <w:t xml:space="preserve"> financuara nga Banka Botërore. Huaja është n</w:t>
      </w:r>
      <w:r>
        <w:rPr>
          <w:rFonts w:ascii="Garamond" w:hAnsi="Garamond"/>
        </w:rPr>
        <w:t>ë</w:t>
      </w:r>
      <w:r w:rsidRPr="00837498">
        <w:rPr>
          <w:rFonts w:ascii="Garamond" w:hAnsi="Garamond"/>
        </w:rPr>
        <w:t xml:space="preserve"> USD. Vlera n</w:t>
      </w:r>
      <w:r>
        <w:rPr>
          <w:rFonts w:ascii="Garamond" w:hAnsi="Garamond"/>
        </w:rPr>
        <w:t>ë</w:t>
      </w:r>
      <w:r w:rsidRPr="00837498">
        <w:rPr>
          <w:rFonts w:ascii="Garamond" w:hAnsi="Garamond"/>
        </w:rPr>
        <w:t xml:space="preserve"> EUR është llogaritur me kursin e këmbimit 1 EUR = 1.61 USD.</w:t>
      </w:r>
    </w:p>
  </w:footnote>
  <w:footnote w:id="44">
    <w:p w14:paraId="446E5B17" w14:textId="62E8F1BE" w:rsidR="00807D6F" w:rsidRPr="00837498" w:rsidRDefault="00807D6F" w:rsidP="00A417C0">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w:t>
      </w:r>
      <w:r w:rsidRPr="000109D2">
        <w:rPr>
          <w:rFonts w:ascii="Garamond" w:hAnsi="Garamond"/>
          <w:i/>
        </w:rPr>
        <w:t>Single Window</w:t>
      </w:r>
      <w:r w:rsidRPr="00837498">
        <w:rPr>
          <w:rFonts w:ascii="Garamond" w:hAnsi="Garamond"/>
        </w:rPr>
        <w:t xml:space="preserve"> dhe NCTS janë projekte t</w:t>
      </w:r>
      <w:r>
        <w:rPr>
          <w:rFonts w:ascii="Garamond" w:hAnsi="Garamond"/>
        </w:rPr>
        <w:t>ë</w:t>
      </w:r>
      <w:r w:rsidRPr="00837498">
        <w:rPr>
          <w:rFonts w:ascii="Garamond" w:hAnsi="Garamond"/>
        </w:rPr>
        <w:t xml:space="preserve"> financuara nga Banka Botërore. Huaja është n</w:t>
      </w:r>
      <w:r>
        <w:rPr>
          <w:rFonts w:ascii="Garamond" w:hAnsi="Garamond"/>
        </w:rPr>
        <w:t>ë</w:t>
      </w:r>
      <w:r w:rsidRPr="00837498">
        <w:rPr>
          <w:rFonts w:ascii="Garamond" w:hAnsi="Garamond"/>
        </w:rPr>
        <w:t xml:space="preserve"> USD. Vlera n</w:t>
      </w:r>
      <w:r>
        <w:rPr>
          <w:rFonts w:ascii="Garamond" w:hAnsi="Garamond"/>
        </w:rPr>
        <w:t>ë</w:t>
      </w:r>
      <w:r w:rsidRPr="00837498">
        <w:rPr>
          <w:rFonts w:ascii="Garamond" w:hAnsi="Garamond"/>
        </w:rPr>
        <w:t xml:space="preserve"> EUR është llogaritur me kursin e këmbimit 1 EUR = 1.61 USD.</w:t>
      </w:r>
    </w:p>
  </w:footnote>
  <w:footnote w:id="45">
    <w:p w14:paraId="58A9684E" w14:textId="65A97D45" w:rsidR="00807D6F" w:rsidRPr="00837498" w:rsidRDefault="00807D6F" w:rsidP="00837498">
      <w:pPr>
        <w:pStyle w:val="FootnoteText"/>
        <w:rPr>
          <w:rFonts w:ascii="Garamond" w:hAnsi="Garamond"/>
        </w:rPr>
      </w:pPr>
      <w:r w:rsidRPr="00837498">
        <w:rPr>
          <w:rStyle w:val="FootnoteReference"/>
          <w:rFonts w:ascii="Garamond" w:hAnsi="Garamond"/>
        </w:rPr>
        <w:footnoteRef/>
      </w:r>
      <w:r w:rsidRPr="00837498">
        <w:rPr>
          <w:rFonts w:ascii="Garamond" w:hAnsi="Garamond"/>
        </w:rPr>
        <w:t xml:space="preserve"> Granti për dy projektet është akorduar nga IFC.</w:t>
      </w:r>
    </w:p>
  </w:footnote>
  <w:footnote w:id="46">
    <w:p w14:paraId="76136833" w14:textId="6B27055D" w:rsidR="00807D6F" w:rsidRPr="00837498" w:rsidRDefault="00807D6F" w:rsidP="00A417C0">
      <w:pPr>
        <w:pStyle w:val="FootnoteText"/>
        <w:jc w:val="both"/>
        <w:rPr>
          <w:rFonts w:ascii="Garamond" w:hAnsi="Garamond"/>
        </w:rPr>
      </w:pPr>
      <w:r w:rsidRPr="00837498">
        <w:rPr>
          <w:rStyle w:val="FootnoteReference"/>
          <w:rFonts w:ascii="Garamond" w:hAnsi="Garamond"/>
        </w:rPr>
        <w:footnoteRef/>
      </w:r>
      <w:r w:rsidRPr="00837498">
        <w:rPr>
          <w:rFonts w:ascii="Garamond" w:hAnsi="Garamond"/>
        </w:rPr>
        <w:t xml:space="preserve"> 70 milion euro për përfundimin e linjës nd</w:t>
      </w:r>
      <w:r>
        <w:rPr>
          <w:rFonts w:ascii="Garamond" w:hAnsi="Garamond"/>
        </w:rPr>
        <w:t>ërlidhëse Elbasan-Bitola (50 milion euro hua; 15 mi</w:t>
      </w:r>
      <w:r w:rsidRPr="00837498">
        <w:rPr>
          <w:rFonts w:ascii="Garamond" w:hAnsi="Garamond"/>
        </w:rPr>
        <w:t>lion euro grant; 5 milion euro financim nga OST). Nuk ka ndikim t</w:t>
      </w:r>
      <w:r>
        <w:rPr>
          <w:rFonts w:ascii="Garamond" w:hAnsi="Garamond"/>
        </w:rPr>
        <w:t>ë</w:t>
      </w:r>
      <w:r w:rsidRPr="00837498">
        <w:rPr>
          <w:rFonts w:ascii="Garamond" w:hAnsi="Garamond"/>
        </w:rPr>
        <w:t xml:space="preserve"> drejtpërdrejt</w:t>
      </w:r>
      <w:r>
        <w:rPr>
          <w:rFonts w:ascii="Garamond" w:hAnsi="Garamond"/>
        </w:rPr>
        <w:t>ë</w:t>
      </w:r>
      <w:r w:rsidRPr="00837498">
        <w:rPr>
          <w:rFonts w:ascii="Garamond" w:hAnsi="Garamond"/>
        </w:rPr>
        <w:t xml:space="preserve"> n</w:t>
      </w:r>
      <w:r>
        <w:rPr>
          <w:rFonts w:ascii="Garamond" w:hAnsi="Garamond"/>
        </w:rPr>
        <w:t>ë</w:t>
      </w:r>
      <w:r w:rsidRPr="00837498">
        <w:rPr>
          <w:rFonts w:ascii="Garamond" w:hAnsi="Garamond"/>
        </w:rPr>
        <w:t xml:space="preserve"> buxhetin e shtetit.</w:t>
      </w:r>
    </w:p>
  </w:footnote>
  <w:footnote w:id="47">
    <w:p w14:paraId="43DE29E4" w14:textId="24DAE29B" w:rsidR="00807D6F" w:rsidRPr="00837498" w:rsidRDefault="00807D6F" w:rsidP="00837498">
      <w:pPr>
        <w:pStyle w:val="FootnoteText"/>
        <w:rPr>
          <w:rFonts w:ascii="Garamond" w:hAnsi="Garamond"/>
          <w:color w:val="0D0D0D" w:themeColor="text1" w:themeTint="F2"/>
        </w:rPr>
      </w:pPr>
      <w:r w:rsidRPr="00837498">
        <w:rPr>
          <w:rStyle w:val="FootnoteReference"/>
          <w:rFonts w:ascii="Garamond" w:hAnsi="Garamond"/>
          <w:color w:val="0D0D0D" w:themeColor="text1" w:themeTint="F2"/>
        </w:rPr>
        <w:footnoteRef/>
      </w:r>
      <w:r w:rsidRPr="00837498">
        <w:rPr>
          <w:rFonts w:ascii="Garamond" w:hAnsi="Garamond"/>
          <w:color w:val="0D0D0D" w:themeColor="text1" w:themeTint="F2"/>
        </w:rPr>
        <w:t xml:space="preserve"> 0=pa zbatim; 1= zbatimi po përgatitet; 2=hapat fillestar</w:t>
      </w:r>
      <w:r>
        <w:rPr>
          <w:rFonts w:ascii="Garamond" w:hAnsi="Garamond"/>
          <w:color w:val="0D0D0D" w:themeColor="text1" w:themeTint="F2"/>
        </w:rPr>
        <w:t>ë</w:t>
      </w:r>
      <w:r w:rsidRPr="00837498">
        <w:rPr>
          <w:rFonts w:ascii="Garamond" w:hAnsi="Garamond"/>
          <w:color w:val="0D0D0D" w:themeColor="text1" w:themeTint="F2"/>
        </w:rPr>
        <w:t xml:space="preserve"> janë marr</w:t>
      </w:r>
      <w:r>
        <w:rPr>
          <w:rFonts w:ascii="Garamond" w:hAnsi="Garamond"/>
          <w:color w:val="0D0D0D" w:themeColor="text1" w:themeTint="F2"/>
        </w:rPr>
        <w:t>ë</w:t>
      </w:r>
      <w:r w:rsidRPr="00837498">
        <w:rPr>
          <w:rFonts w:ascii="Garamond" w:hAnsi="Garamond"/>
          <w:color w:val="0D0D0D" w:themeColor="text1" w:themeTint="F2"/>
        </w:rPr>
        <w:t>; 3=zbatimi po ecën me disa rezultate t</w:t>
      </w:r>
      <w:r>
        <w:rPr>
          <w:rFonts w:ascii="Garamond" w:hAnsi="Garamond"/>
          <w:color w:val="0D0D0D" w:themeColor="text1" w:themeTint="F2"/>
        </w:rPr>
        <w:t>ë</w:t>
      </w:r>
      <w:r w:rsidRPr="00837498">
        <w:rPr>
          <w:rFonts w:ascii="Garamond" w:hAnsi="Garamond"/>
          <w:color w:val="0D0D0D" w:themeColor="text1" w:themeTint="F2"/>
        </w:rPr>
        <w:t xml:space="preserve"> hershme; 4=zbatimi </w:t>
      </w:r>
      <w:r>
        <w:rPr>
          <w:rFonts w:ascii="Garamond" w:hAnsi="Garamond"/>
          <w:color w:val="0D0D0D" w:themeColor="text1" w:themeTint="F2"/>
        </w:rPr>
        <w:t>ë</w:t>
      </w:r>
      <w:r w:rsidRPr="00837498">
        <w:rPr>
          <w:rFonts w:ascii="Garamond" w:hAnsi="Garamond"/>
          <w:color w:val="0D0D0D" w:themeColor="text1" w:themeTint="F2"/>
        </w:rPr>
        <w:t>sht</w:t>
      </w:r>
      <w:r>
        <w:rPr>
          <w:rFonts w:ascii="Garamond" w:hAnsi="Garamond"/>
          <w:color w:val="0D0D0D" w:themeColor="text1" w:themeTint="F2"/>
        </w:rPr>
        <w:t>ë</w:t>
      </w:r>
      <w:r w:rsidRPr="00837498">
        <w:rPr>
          <w:rFonts w:ascii="Garamond" w:hAnsi="Garamond"/>
          <w:color w:val="0D0D0D" w:themeColor="text1" w:themeTint="F2"/>
        </w:rPr>
        <w:t xml:space="preserve"> i përparuar; 5=zbatim i plot</w:t>
      </w:r>
      <w:r>
        <w:rPr>
          <w:rFonts w:ascii="Garamond" w:hAnsi="Garamond"/>
          <w:color w:val="0D0D0D" w:themeColor="text1" w:themeTint="F2"/>
        </w:rPr>
        <w:t>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110F9"/>
    <w:multiLevelType w:val="hybridMultilevel"/>
    <w:tmpl w:val="B0F4194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00347DEB"/>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0D8182D"/>
    <w:multiLevelType w:val="hybridMultilevel"/>
    <w:tmpl w:val="4CEC7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1D16D2B"/>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2007A32"/>
    <w:multiLevelType w:val="hybridMultilevel"/>
    <w:tmpl w:val="A6EE8E3A"/>
    <w:lvl w:ilvl="0" w:tplc="08090019">
      <w:start w:val="1"/>
      <w:numFmt w:val="lowerLetter"/>
      <w:lvlText w:val="%1."/>
      <w:lvlJc w:val="left"/>
      <w:pPr>
        <w:ind w:left="2100" w:hanging="360"/>
      </w:pPr>
    </w:lvl>
    <w:lvl w:ilvl="1" w:tplc="041C0019">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5">
    <w:nsid w:val="02634CFA"/>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028141BF"/>
    <w:multiLevelType w:val="hybridMultilevel"/>
    <w:tmpl w:val="F8185D3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03A74ECC"/>
    <w:multiLevelType w:val="hybridMultilevel"/>
    <w:tmpl w:val="37F4EF2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05A06E68"/>
    <w:multiLevelType w:val="hybridMultilevel"/>
    <w:tmpl w:val="C4C2F088"/>
    <w:lvl w:ilvl="0" w:tplc="8E62C2E8">
      <w:numFmt w:val="bullet"/>
      <w:lvlText w:val="-"/>
      <w:lvlJc w:val="left"/>
      <w:pPr>
        <w:ind w:left="720" w:hanging="360"/>
      </w:pPr>
      <w:rPr>
        <w:rFonts w:ascii="Cambria" w:eastAsia="Times New Roman" w:hAnsi="Cambr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060941BE"/>
    <w:multiLevelType w:val="hybridMultilevel"/>
    <w:tmpl w:val="5A7A6A56"/>
    <w:lvl w:ilvl="0" w:tplc="041C0019">
      <w:start w:val="1"/>
      <w:numFmt w:val="lowerLetter"/>
      <w:lvlText w:val="%1."/>
      <w:lvlJc w:val="left"/>
      <w:pPr>
        <w:ind w:left="144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06767E70"/>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08611DF0"/>
    <w:multiLevelType w:val="hybridMultilevel"/>
    <w:tmpl w:val="41CC7B1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09147C2D"/>
    <w:multiLevelType w:val="hybridMultilevel"/>
    <w:tmpl w:val="D64CA226"/>
    <w:lvl w:ilvl="0" w:tplc="7C5AF0E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BD06D92"/>
    <w:multiLevelType w:val="hybridMultilevel"/>
    <w:tmpl w:val="B2864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CA259D2"/>
    <w:multiLevelType w:val="hybridMultilevel"/>
    <w:tmpl w:val="6BC0252A"/>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0DB463DA"/>
    <w:multiLevelType w:val="hybridMultilevel"/>
    <w:tmpl w:val="BE4AC0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DF22681"/>
    <w:multiLevelType w:val="hybridMultilevel"/>
    <w:tmpl w:val="DC5A1260"/>
    <w:lvl w:ilvl="0" w:tplc="6584D4C2">
      <w:start w:val="1"/>
      <w:numFmt w:val="decimal"/>
      <w:lvlText w:val="%1."/>
      <w:lvlJc w:val="left"/>
      <w:pPr>
        <w:ind w:left="720" w:hanging="360"/>
      </w:pPr>
      <w:rPr>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0EA1676B"/>
    <w:multiLevelType w:val="hybridMultilevel"/>
    <w:tmpl w:val="BFCC97E2"/>
    <w:lvl w:ilvl="0" w:tplc="9D8C9174">
      <w:numFmt w:val="bullet"/>
      <w:lvlText w:val="-"/>
      <w:lvlJc w:val="left"/>
      <w:pPr>
        <w:ind w:left="1440" w:hanging="360"/>
      </w:pPr>
      <w:rPr>
        <w:rFonts w:ascii="Calibri" w:eastAsia="Calibri" w:hAnsi="Calibri"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0F1B1E83"/>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0845813"/>
    <w:multiLevelType w:val="hybridMultilevel"/>
    <w:tmpl w:val="41CC7B1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11761D02"/>
    <w:multiLevelType w:val="hybridMultilevel"/>
    <w:tmpl w:val="0F1CFA8C"/>
    <w:lvl w:ilvl="0" w:tplc="788C0684">
      <w:start w:val="1"/>
      <w:numFmt w:val="lowerRoman"/>
      <w:lvlText w:val="%1."/>
      <w:lvlJc w:val="left"/>
      <w:pPr>
        <w:ind w:left="720" w:hanging="360"/>
      </w:pPr>
      <w:rPr>
        <w:rFonts w:ascii="Times New Roman" w:hAnsi="Times New Roman" w:cs="Times New Roman" w:hint="default"/>
        <w:color w:val="000000"/>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11E76E75"/>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12BB31A9"/>
    <w:multiLevelType w:val="hybridMultilevel"/>
    <w:tmpl w:val="9C9A4F4E"/>
    <w:lvl w:ilvl="0" w:tplc="C4A8E860">
      <w:numFmt w:val="bullet"/>
      <w:lvlText w:val="-"/>
      <w:lvlJc w:val="left"/>
      <w:pPr>
        <w:ind w:left="720" w:hanging="360"/>
      </w:pPr>
      <w:rPr>
        <w:rFonts w:ascii="Arial Narrow" w:eastAsiaTheme="minorHAnsi" w:hAnsi="Arial Narrow"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137765F9"/>
    <w:multiLevelType w:val="hybridMultilevel"/>
    <w:tmpl w:val="DDB046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nsid w:val="13776B88"/>
    <w:multiLevelType w:val="hybridMultilevel"/>
    <w:tmpl w:val="F558D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3F149C3"/>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142A4F2C"/>
    <w:multiLevelType w:val="hybridMultilevel"/>
    <w:tmpl w:val="7292B5FA"/>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15016AC6"/>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154C3BD2"/>
    <w:multiLevelType w:val="hybridMultilevel"/>
    <w:tmpl w:val="9FC6F450"/>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15A17275"/>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16E87191"/>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18774E70"/>
    <w:multiLevelType w:val="hybridMultilevel"/>
    <w:tmpl w:val="41CC7B1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18F11211"/>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19120E80"/>
    <w:multiLevelType w:val="hybridMultilevel"/>
    <w:tmpl w:val="E84E8678"/>
    <w:lvl w:ilvl="0" w:tplc="A84263FE">
      <w:numFmt w:val="bullet"/>
      <w:lvlText w:val="-"/>
      <w:lvlJc w:val="left"/>
      <w:pPr>
        <w:ind w:left="720" w:hanging="360"/>
      </w:pPr>
      <w:rPr>
        <w:rFonts w:ascii="Times New Roman" w:eastAsia="Calibri"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1AB1290E"/>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1AFE3168"/>
    <w:multiLevelType w:val="hybridMultilevel"/>
    <w:tmpl w:val="F0E668CC"/>
    <w:lvl w:ilvl="0" w:tplc="0409000D">
      <w:start w:val="1"/>
      <w:numFmt w:val="bullet"/>
      <w:lvlText w:val=""/>
      <w:lvlJc w:val="left"/>
      <w:pPr>
        <w:ind w:left="727" w:hanging="360"/>
      </w:pPr>
      <w:rPr>
        <w:rFonts w:ascii="Wingdings" w:hAnsi="Wingdings" w:hint="default"/>
      </w:rPr>
    </w:lvl>
    <w:lvl w:ilvl="1" w:tplc="04090003">
      <w:start w:val="1"/>
      <w:numFmt w:val="bullet"/>
      <w:lvlText w:val="o"/>
      <w:lvlJc w:val="left"/>
      <w:pPr>
        <w:ind w:left="1447" w:hanging="360"/>
      </w:pPr>
      <w:rPr>
        <w:rFonts w:ascii="Courier New" w:hAnsi="Courier New" w:cs="Courier New" w:hint="default"/>
      </w:rPr>
    </w:lvl>
    <w:lvl w:ilvl="2" w:tplc="04090005">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cs="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cs="Courier New" w:hint="default"/>
      </w:rPr>
    </w:lvl>
    <w:lvl w:ilvl="8" w:tplc="04090005">
      <w:start w:val="1"/>
      <w:numFmt w:val="bullet"/>
      <w:lvlText w:val=""/>
      <w:lvlJc w:val="left"/>
      <w:pPr>
        <w:ind w:left="6487" w:hanging="360"/>
      </w:pPr>
      <w:rPr>
        <w:rFonts w:ascii="Wingdings" w:hAnsi="Wingdings" w:hint="default"/>
      </w:rPr>
    </w:lvl>
  </w:abstractNum>
  <w:abstractNum w:abstractNumId="36">
    <w:nsid w:val="1B2B0424"/>
    <w:multiLevelType w:val="hybridMultilevel"/>
    <w:tmpl w:val="9740F898"/>
    <w:lvl w:ilvl="0" w:tplc="0809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1B373343"/>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1BAC5B5B"/>
    <w:multiLevelType w:val="hybridMultilevel"/>
    <w:tmpl w:val="813073EC"/>
    <w:lvl w:ilvl="0" w:tplc="9D8C91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BBD5A84"/>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1C0D55F3"/>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1EC23684"/>
    <w:multiLevelType w:val="hybridMultilevel"/>
    <w:tmpl w:val="9740F898"/>
    <w:lvl w:ilvl="0" w:tplc="08090019">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2">
    <w:nsid w:val="1F215BB7"/>
    <w:multiLevelType w:val="multilevel"/>
    <w:tmpl w:val="8F3EB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1F8F612F"/>
    <w:multiLevelType w:val="hybridMultilevel"/>
    <w:tmpl w:val="2FE82D1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4">
    <w:nsid w:val="20842655"/>
    <w:multiLevelType w:val="hybridMultilevel"/>
    <w:tmpl w:val="94BA2BE8"/>
    <w:lvl w:ilvl="0" w:tplc="9D8C9174">
      <w:numFmt w:val="bullet"/>
      <w:lvlText w:val="-"/>
      <w:lvlJc w:val="left"/>
      <w:pPr>
        <w:ind w:left="1440" w:hanging="360"/>
      </w:pPr>
      <w:rPr>
        <w:rFonts w:ascii="Calibri" w:eastAsia="Calibri" w:hAnsi="Calibri"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5">
    <w:nsid w:val="2200118D"/>
    <w:multiLevelType w:val="hybridMultilevel"/>
    <w:tmpl w:val="0B201BD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6">
    <w:nsid w:val="22BD6FE1"/>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233D0C53"/>
    <w:multiLevelType w:val="hybridMultilevel"/>
    <w:tmpl w:val="04D80AC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nsid w:val="2453404B"/>
    <w:multiLevelType w:val="hybridMultilevel"/>
    <w:tmpl w:val="C3565E5A"/>
    <w:lvl w:ilvl="0" w:tplc="08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9">
    <w:nsid w:val="248D62CB"/>
    <w:multiLevelType w:val="hybridMultilevel"/>
    <w:tmpl w:val="7E68F5A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0">
    <w:nsid w:val="24A75F72"/>
    <w:multiLevelType w:val="hybridMultilevel"/>
    <w:tmpl w:val="EB14186E"/>
    <w:lvl w:ilvl="0" w:tplc="9D8C9174">
      <w:numFmt w:val="bullet"/>
      <w:lvlText w:val="-"/>
      <w:lvlJc w:val="left"/>
      <w:pPr>
        <w:ind w:left="720" w:hanging="360"/>
      </w:pPr>
      <w:rPr>
        <w:rFonts w:ascii="Calibri" w:eastAsia="Calibri" w:hAnsi="Calibri" w:cs="Times New Roman" w:hint="default"/>
      </w:rPr>
    </w:lvl>
    <w:lvl w:ilvl="1" w:tplc="FF0AD89E">
      <w:start w:val="1"/>
      <w:numFmt w:val="lowerLetter"/>
      <w:lvlText w:val="%2."/>
      <w:lvlJc w:val="left"/>
      <w:pPr>
        <w:ind w:left="1440" w:hanging="360"/>
      </w:pPr>
      <w:rPr>
        <w:b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nsid w:val="268E4030"/>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nsid w:val="2694325F"/>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53">
    <w:nsid w:val="27EE20DD"/>
    <w:multiLevelType w:val="hybridMultilevel"/>
    <w:tmpl w:val="88DCD9E6"/>
    <w:lvl w:ilvl="0" w:tplc="0809000F">
      <w:start w:val="1"/>
      <w:numFmt w:val="decimal"/>
      <w:lvlText w:val="%1."/>
      <w:lvlJc w:val="left"/>
      <w:pPr>
        <w:ind w:left="644" w:hanging="360"/>
      </w:p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54">
    <w:nsid w:val="28627C92"/>
    <w:multiLevelType w:val="multilevel"/>
    <w:tmpl w:val="881A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29170269"/>
    <w:multiLevelType w:val="hybridMultilevel"/>
    <w:tmpl w:val="ED1E5F5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nsid w:val="29710315"/>
    <w:multiLevelType w:val="hybridMultilevel"/>
    <w:tmpl w:val="88DCD9E6"/>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7">
    <w:nsid w:val="29793BFA"/>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nsid w:val="2B9E7CC3"/>
    <w:multiLevelType w:val="hybridMultilevel"/>
    <w:tmpl w:val="3D5C590A"/>
    <w:lvl w:ilvl="0" w:tplc="0809001B">
      <w:start w:val="1"/>
      <w:numFmt w:val="lowerRoman"/>
      <w:lvlText w:val="%1."/>
      <w:lvlJc w:val="right"/>
      <w:pPr>
        <w:ind w:left="783" w:hanging="360"/>
      </w:pPr>
    </w:lvl>
    <w:lvl w:ilvl="1" w:tplc="04090003">
      <w:start w:val="1"/>
      <w:numFmt w:val="bullet"/>
      <w:lvlText w:val="o"/>
      <w:lvlJc w:val="left"/>
      <w:pPr>
        <w:ind w:left="1503" w:hanging="360"/>
      </w:pPr>
      <w:rPr>
        <w:rFonts w:ascii="Courier New" w:hAnsi="Courier New" w:cs="Courier New" w:hint="default"/>
      </w:rPr>
    </w:lvl>
    <w:lvl w:ilvl="2" w:tplc="04090005">
      <w:start w:val="1"/>
      <w:numFmt w:val="bullet"/>
      <w:lvlText w:val=""/>
      <w:lvlJc w:val="left"/>
      <w:pPr>
        <w:ind w:left="2223" w:hanging="360"/>
      </w:pPr>
      <w:rPr>
        <w:rFonts w:ascii="Wingdings" w:hAnsi="Wingdings" w:hint="default"/>
      </w:rPr>
    </w:lvl>
    <w:lvl w:ilvl="3" w:tplc="04090001">
      <w:start w:val="1"/>
      <w:numFmt w:val="bullet"/>
      <w:lvlText w:val=""/>
      <w:lvlJc w:val="left"/>
      <w:pPr>
        <w:ind w:left="2943" w:hanging="360"/>
      </w:pPr>
      <w:rPr>
        <w:rFonts w:ascii="Symbol" w:hAnsi="Symbol" w:hint="default"/>
      </w:rPr>
    </w:lvl>
    <w:lvl w:ilvl="4" w:tplc="04090003">
      <w:start w:val="1"/>
      <w:numFmt w:val="bullet"/>
      <w:lvlText w:val="o"/>
      <w:lvlJc w:val="left"/>
      <w:pPr>
        <w:ind w:left="3663" w:hanging="360"/>
      </w:pPr>
      <w:rPr>
        <w:rFonts w:ascii="Courier New" w:hAnsi="Courier New" w:cs="Courier New" w:hint="default"/>
      </w:rPr>
    </w:lvl>
    <w:lvl w:ilvl="5" w:tplc="04090005">
      <w:start w:val="1"/>
      <w:numFmt w:val="bullet"/>
      <w:lvlText w:val=""/>
      <w:lvlJc w:val="left"/>
      <w:pPr>
        <w:ind w:left="4383" w:hanging="360"/>
      </w:pPr>
      <w:rPr>
        <w:rFonts w:ascii="Wingdings" w:hAnsi="Wingdings" w:hint="default"/>
      </w:rPr>
    </w:lvl>
    <w:lvl w:ilvl="6" w:tplc="04090001">
      <w:start w:val="1"/>
      <w:numFmt w:val="bullet"/>
      <w:lvlText w:val=""/>
      <w:lvlJc w:val="left"/>
      <w:pPr>
        <w:ind w:left="5103" w:hanging="360"/>
      </w:pPr>
      <w:rPr>
        <w:rFonts w:ascii="Symbol" w:hAnsi="Symbol" w:hint="default"/>
      </w:rPr>
    </w:lvl>
    <w:lvl w:ilvl="7" w:tplc="04090003">
      <w:start w:val="1"/>
      <w:numFmt w:val="bullet"/>
      <w:lvlText w:val="o"/>
      <w:lvlJc w:val="left"/>
      <w:pPr>
        <w:ind w:left="5823" w:hanging="360"/>
      </w:pPr>
      <w:rPr>
        <w:rFonts w:ascii="Courier New" w:hAnsi="Courier New" w:cs="Courier New" w:hint="default"/>
      </w:rPr>
    </w:lvl>
    <w:lvl w:ilvl="8" w:tplc="04090005">
      <w:start w:val="1"/>
      <w:numFmt w:val="bullet"/>
      <w:lvlText w:val=""/>
      <w:lvlJc w:val="left"/>
      <w:pPr>
        <w:ind w:left="6543" w:hanging="360"/>
      </w:pPr>
      <w:rPr>
        <w:rFonts w:ascii="Wingdings" w:hAnsi="Wingdings" w:hint="default"/>
      </w:rPr>
    </w:lvl>
  </w:abstractNum>
  <w:abstractNum w:abstractNumId="59">
    <w:nsid w:val="2C5B564D"/>
    <w:multiLevelType w:val="hybridMultilevel"/>
    <w:tmpl w:val="9740F898"/>
    <w:lvl w:ilvl="0" w:tplc="08090019">
      <w:start w:val="1"/>
      <w:numFmt w:val="lowerLetter"/>
      <w:lvlText w:val="%1."/>
      <w:lvlJc w:val="left"/>
      <w:pPr>
        <w:ind w:left="928" w:hanging="360"/>
      </w:pPr>
    </w:lvl>
    <w:lvl w:ilvl="1" w:tplc="041C0019" w:tentative="1">
      <w:start w:val="1"/>
      <w:numFmt w:val="lowerLetter"/>
      <w:lvlText w:val="%2."/>
      <w:lvlJc w:val="left"/>
      <w:pPr>
        <w:ind w:left="1648" w:hanging="360"/>
      </w:pPr>
    </w:lvl>
    <w:lvl w:ilvl="2" w:tplc="041C001B" w:tentative="1">
      <w:start w:val="1"/>
      <w:numFmt w:val="lowerRoman"/>
      <w:lvlText w:val="%3."/>
      <w:lvlJc w:val="right"/>
      <w:pPr>
        <w:ind w:left="2368" w:hanging="180"/>
      </w:pPr>
    </w:lvl>
    <w:lvl w:ilvl="3" w:tplc="041C000F" w:tentative="1">
      <w:start w:val="1"/>
      <w:numFmt w:val="decimal"/>
      <w:lvlText w:val="%4."/>
      <w:lvlJc w:val="left"/>
      <w:pPr>
        <w:ind w:left="3088" w:hanging="360"/>
      </w:pPr>
    </w:lvl>
    <w:lvl w:ilvl="4" w:tplc="041C0019" w:tentative="1">
      <w:start w:val="1"/>
      <w:numFmt w:val="lowerLetter"/>
      <w:lvlText w:val="%5."/>
      <w:lvlJc w:val="left"/>
      <w:pPr>
        <w:ind w:left="3808" w:hanging="360"/>
      </w:pPr>
    </w:lvl>
    <w:lvl w:ilvl="5" w:tplc="041C001B" w:tentative="1">
      <w:start w:val="1"/>
      <w:numFmt w:val="lowerRoman"/>
      <w:lvlText w:val="%6."/>
      <w:lvlJc w:val="right"/>
      <w:pPr>
        <w:ind w:left="4528" w:hanging="180"/>
      </w:pPr>
    </w:lvl>
    <w:lvl w:ilvl="6" w:tplc="041C000F" w:tentative="1">
      <w:start w:val="1"/>
      <w:numFmt w:val="decimal"/>
      <w:lvlText w:val="%7."/>
      <w:lvlJc w:val="left"/>
      <w:pPr>
        <w:ind w:left="5248" w:hanging="360"/>
      </w:pPr>
    </w:lvl>
    <w:lvl w:ilvl="7" w:tplc="041C0019" w:tentative="1">
      <w:start w:val="1"/>
      <w:numFmt w:val="lowerLetter"/>
      <w:lvlText w:val="%8."/>
      <w:lvlJc w:val="left"/>
      <w:pPr>
        <w:ind w:left="5968" w:hanging="360"/>
      </w:pPr>
    </w:lvl>
    <w:lvl w:ilvl="8" w:tplc="041C001B" w:tentative="1">
      <w:start w:val="1"/>
      <w:numFmt w:val="lowerRoman"/>
      <w:lvlText w:val="%9."/>
      <w:lvlJc w:val="right"/>
      <w:pPr>
        <w:ind w:left="6688" w:hanging="180"/>
      </w:pPr>
    </w:lvl>
  </w:abstractNum>
  <w:abstractNum w:abstractNumId="60">
    <w:nsid w:val="2D530892"/>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2E163B0D"/>
    <w:multiLevelType w:val="hybridMultilevel"/>
    <w:tmpl w:val="88DCD9E6"/>
    <w:lvl w:ilvl="0" w:tplc="0809000F">
      <w:start w:val="1"/>
      <w:numFmt w:val="decimal"/>
      <w:lvlText w:val="%1."/>
      <w:lvlJc w:val="left"/>
      <w:pPr>
        <w:ind w:left="502" w:hanging="360"/>
      </w:p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62">
    <w:nsid w:val="30364E57"/>
    <w:multiLevelType w:val="multilevel"/>
    <w:tmpl w:val="665AEC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nsid w:val="30642F5A"/>
    <w:multiLevelType w:val="hybridMultilevel"/>
    <w:tmpl w:val="C720BCCC"/>
    <w:lvl w:ilvl="0" w:tplc="F7CE3912">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nsid w:val="32C74A43"/>
    <w:multiLevelType w:val="hybridMultilevel"/>
    <w:tmpl w:val="4EB881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5">
    <w:nsid w:val="33406C4F"/>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nsid w:val="33D40BD1"/>
    <w:multiLevelType w:val="hybridMultilevel"/>
    <w:tmpl w:val="FB0EF3E2"/>
    <w:lvl w:ilvl="0" w:tplc="0410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nsid w:val="340C6FCB"/>
    <w:multiLevelType w:val="hybridMultilevel"/>
    <w:tmpl w:val="3CCCC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nsid w:val="341A7C7B"/>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nsid w:val="344B66CA"/>
    <w:multiLevelType w:val="hybridMultilevel"/>
    <w:tmpl w:val="FBA45A04"/>
    <w:lvl w:ilvl="0" w:tplc="1A300FD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nsid w:val="35066726"/>
    <w:multiLevelType w:val="hybridMultilevel"/>
    <w:tmpl w:val="DD3C05B2"/>
    <w:lvl w:ilvl="0" w:tplc="7BD88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5C458D7"/>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2">
    <w:nsid w:val="35FB1EB0"/>
    <w:multiLevelType w:val="hybridMultilevel"/>
    <w:tmpl w:val="F39C363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nsid w:val="372F4505"/>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74">
    <w:nsid w:val="398F5B5F"/>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5">
    <w:nsid w:val="3A1626A8"/>
    <w:multiLevelType w:val="hybridMultilevel"/>
    <w:tmpl w:val="57AA9C5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6">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77">
    <w:nsid w:val="3C067365"/>
    <w:multiLevelType w:val="hybridMultilevel"/>
    <w:tmpl w:val="58F639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8">
    <w:nsid w:val="3E173606"/>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9">
    <w:nsid w:val="3E795A01"/>
    <w:multiLevelType w:val="hybridMultilevel"/>
    <w:tmpl w:val="54385F16"/>
    <w:lvl w:ilvl="0" w:tplc="9D8C9174">
      <w:numFmt w:val="bullet"/>
      <w:lvlText w:val="-"/>
      <w:lvlJc w:val="left"/>
      <w:pPr>
        <w:ind w:left="1440" w:hanging="360"/>
      </w:pPr>
      <w:rPr>
        <w:rFonts w:ascii="Calibri" w:eastAsia="Calibri" w:hAnsi="Calibri"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0">
    <w:nsid w:val="409D14A8"/>
    <w:multiLevelType w:val="hybridMultilevel"/>
    <w:tmpl w:val="88DCD9E6"/>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1">
    <w:nsid w:val="41441222"/>
    <w:multiLevelType w:val="hybridMultilevel"/>
    <w:tmpl w:val="0A0CC87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2">
    <w:nsid w:val="42451498"/>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3">
    <w:nsid w:val="42916541"/>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nsid w:val="42DC2111"/>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5">
    <w:nsid w:val="43537F72"/>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6">
    <w:nsid w:val="43926E9B"/>
    <w:multiLevelType w:val="hybridMultilevel"/>
    <w:tmpl w:val="338600FE"/>
    <w:lvl w:ilvl="0" w:tplc="04090019">
      <w:start w:val="1"/>
      <w:numFmt w:val="lowerLetter"/>
      <w:lvlText w:val="%1."/>
      <w:lvlJc w:val="left"/>
      <w:pPr>
        <w:ind w:left="720" w:hanging="360"/>
      </w:pPr>
      <w:rPr>
        <w:rFonts w:hint="default"/>
      </w:rPr>
    </w:lvl>
    <w:lvl w:ilvl="1" w:tplc="6F8020EE">
      <w:numFmt w:val="bullet"/>
      <w:lvlText w:val="-"/>
      <w:lvlJc w:val="left"/>
      <w:pPr>
        <w:ind w:left="45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3B71437"/>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8">
    <w:nsid w:val="450C2120"/>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9">
    <w:nsid w:val="45AF11B8"/>
    <w:multiLevelType w:val="hybridMultilevel"/>
    <w:tmpl w:val="CACC922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0">
    <w:nsid w:val="463A72E4"/>
    <w:multiLevelType w:val="hybridMultilevel"/>
    <w:tmpl w:val="54C45936"/>
    <w:lvl w:ilvl="0" w:tplc="9D8C9174">
      <w:numFmt w:val="bullet"/>
      <w:lvlText w:val="-"/>
      <w:lvlJc w:val="left"/>
      <w:pPr>
        <w:ind w:left="720" w:hanging="360"/>
      </w:pPr>
      <w:rPr>
        <w:rFonts w:ascii="Calibri" w:eastAsia="Calibri" w:hAnsi="Calibri" w:cs="Times New Roman" w:hint="default"/>
      </w:rPr>
    </w:lvl>
    <w:lvl w:ilvl="1" w:tplc="F3B4FE9A">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47913A4E"/>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2">
    <w:nsid w:val="49515F75"/>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3">
    <w:nsid w:val="49F62F11"/>
    <w:multiLevelType w:val="hybridMultilevel"/>
    <w:tmpl w:val="9740F898"/>
    <w:lvl w:ilvl="0" w:tplc="08090019">
      <w:start w:val="1"/>
      <w:numFmt w:val="lowerLetter"/>
      <w:lvlText w:val="%1."/>
      <w:lvlJc w:val="left"/>
      <w:pPr>
        <w:ind w:left="644" w:hanging="360"/>
      </w:p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94">
    <w:nsid w:val="4AF55C05"/>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nsid w:val="4C261D84"/>
    <w:multiLevelType w:val="hybridMultilevel"/>
    <w:tmpl w:val="0A0CC87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6">
    <w:nsid w:val="4C8717F7"/>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7">
    <w:nsid w:val="4DB6059E"/>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8">
    <w:nsid w:val="4E0F5869"/>
    <w:multiLevelType w:val="hybridMultilevel"/>
    <w:tmpl w:val="FDDEB7D0"/>
    <w:lvl w:ilvl="0" w:tplc="041C0001">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99">
    <w:nsid w:val="4E9C7663"/>
    <w:multiLevelType w:val="multilevel"/>
    <w:tmpl w:val="256AC32A"/>
    <w:lvl w:ilvl="0">
      <w:numFmt w:val="bullet"/>
      <w:lvlText w:val="-"/>
      <w:lvlJc w:val="left"/>
      <w:pPr>
        <w:tabs>
          <w:tab w:val="num" w:pos="720"/>
        </w:tabs>
        <w:ind w:left="720" w:hanging="720"/>
      </w:pPr>
      <w:rPr>
        <w:rFonts w:ascii="Calibri" w:eastAsia="Calibri" w:hAnsi="Calibri"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0">
    <w:nsid w:val="4EAA2886"/>
    <w:multiLevelType w:val="hybridMultilevel"/>
    <w:tmpl w:val="9EB2AC82"/>
    <w:lvl w:ilvl="0" w:tplc="9D8C9174">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nsid w:val="4F924935"/>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2">
    <w:nsid w:val="4FAC3ABA"/>
    <w:multiLevelType w:val="hybridMultilevel"/>
    <w:tmpl w:val="78BAD69A"/>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3">
    <w:nsid w:val="502B4705"/>
    <w:multiLevelType w:val="hybridMultilevel"/>
    <w:tmpl w:val="33443944"/>
    <w:lvl w:ilvl="0" w:tplc="6DEC6ADE">
      <w:start w:val="1"/>
      <w:numFmt w:val="lowerRoman"/>
      <w:lvlText w:val="(%1)"/>
      <w:lvlJc w:val="left"/>
      <w:pPr>
        <w:ind w:left="780" w:hanging="720"/>
      </w:pPr>
      <w:rPr>
        <w:rFonts w:hint="default"/>
      </w:rPr>
    </w:lvl>
    <w:lvl w:ilvl="1" w:tplc="041C0019">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104">
    <w:nsid w:val="53EA05C8"/>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5">
    <w:nsid w:val="54255FAF"/>
    <w:multiLevelType w:val="hybridMultilevel"/>
    <w:tmpl w:val="09F8B4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nsid w:val="55C52584"/>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7">
    <w:nsid w:val="568328D1"/>
    <w:multiLevelType w:val="multilevel"/>
    <w:tmpl w:val="4A484080"/>
    <w:lvl w:ilvl="0">
      <w:start w:val="1"/>
      <w:numFmt w:val="decimal"/>
      <w:lvlText w:val="%1."/>
      <w:lvlJc w:val="left"/>
      <w:pPr>
        <w:tabs>
          <w:tab w:val="num" w:pos="720"/>
        </w:tabs>
        <w:ind w:left="720" w:hanging="360"/>
      </w:pPr>
      <w:rPr>
        <w:rFonts w:hint="default"/>
        <w:b w:val="0"/>
        <w:bCs/>
        <w:i w:val="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57703C5C"/>
    <w:multiLevelType w:val="hybridMultilevel"/>
    <w:tmpl w:val="EE2257D4"/>
    <w:lvl w:ilvl="0" w:tplc="04090011">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9">
    <w:nsid w:val="59555DC0"/>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0">
    <w:nsid w:val="595A09F8"/>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11">
    <w:nsid w:val="59736B4F"/>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2">
    <w:nsid w:val="59C361CC"/>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13">
    <w:nsid w:val="5A041625"/>
    <w:multiLevelType w:val="hybridMultilevel"/>
    <w:tmpl w:val="E4E00126"/>
    <w:lvl w:ilvl="0" w:tplc="5022A1C8">
      <w:start w:val="1"/>
      <w:numFmt w:val="upp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4">
    <w:nsid w:val="5AD90F1D"/>
    <w:multiLevelType w:val="hybridMultilevel"/>
    <w:tmpl w:val="88DCD9E6"/>
    <w:lvl w:ilvl="0" w:tplc="08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5">
    <w:nsid w:val="5B301384"/>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6">
    <w:nsid w:val="5B9F3171"/>
    <w:multiLevelType w:val="hybridMultilevel"/>
    <w:tmpl w:val="9A0A0BD2"/>
    <w:lvl w:ilvl="0" w:tplc="08090019">
      <w:start w:val="1"/>
      <w:numFmt w:val="lowerLetter"/>
      <w:lvlText w:val="%1."/>
      <w:lvlJc w:val="left"/>
      <w:pPr>
        <w:ind w:left="2100" w:hanging="360"/>
      </w:pPr>
    </w:lvl>
    <w:lvl w:ilvl="1" w:tplc="B10E0040">
      <w:numFmt w:val="bullet"/>
      <w:lvlText w:val="•"/>
      <w:lvlJc w:val="left"/>
      <w:pPr>
        <w:ind w:left="2820" w:hanging="360"/>
      </w:pPr>
      <w:rPr>
        <w:rFonts w:ascii="Times New Roman" w:eastAsia="Calibri" w:hAnsi="Times New Roman" w:cs="Times New Roman" w:hint="default"/>
      </w:r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17">
    <w:nsid w:val="5BD4185C"/>
    <w:multiLevelType w:val="hybridMultilevel"/>
    <w:tmpl w:val="D74ADF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8">
    <w:nsid w:val="5D750EBF"/>
    <w:multiLevelType w:val="hybridMultilevel"/>
    <w:tmpl w:val="CCD49C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9">
    <w:nsid w:val="5D8169F4"/>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20">
    <w:nsid w:val="5EE82902"/>
    <w:multiLevelType w:val="hybridMultilevel"/>
    <w:tmpl w:val="A1B2D168"/>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1">
    <w:nsid w:val="5F325AC5"/>
    <w:multiLevelType w:val="hybridMultilevel"/>
    <w:tmpl w:val="590EE886"/>
    <w:lvl w:ilvl="0" w:tplc="E422AF96">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nsid w:val="5F626C73"/>
    <w:multiLevelType w:val="hybridMultilevel"/>
    <w:tmpl w:val="92CC3B96"/>
    <w:lvl w:ilvl="0" w:tplc="1A5C8C16">
      <w:start w:val="2"/>
      <w:numFmt w:val="bullet"/>
      <w:lvlText w:val="-"/>
      <w:lvlJc w:val="left"/>
      <w:pPr>
        <w:ind w:left="360" w:hanging="360"/>
      </w:pPr>
      <w:rPr>
        <w:rFonts w:ascii="Calibri" w:eastAsiaTheme="minorHAnsi" w:hAnsi="Calibri" w:cstheme="minorBidi" w:hint="default"/>
      </w:rPr>
    </w:lvl>
    <w:lvl w:ilvl="1" w:tplc="041C0003">
      <w:start w:val="1"/>
      <w:numFmt w:val="bullet"/>
      <w:lvlText w:val="o"/>
      <w:lvlJc w:val="left"/>
      <w:pPr>
        <w:ind w:left="1080" w:hanging="360"/>
      </w:pPr>
      <w:rPr>
        <w:rFonts w:ascii="Courier New" w:hAnsi="Courier New" w:cs="Courier New" w:hint="default"/>
      </w:rPr>
    </w:lvl>
    <w:lvl w:ilvl="2" w:tplc="7BD88B82">
      <w:numFmt w:val="bullet"/>
      <w:lvlText w:val="•"/>
      <w:lvlJc w:val="left"/>
      <w:pPr>
        <w:ind w:left="1800" w:hanging="360"/>
      </w:pPr>
      <w:rPr>
        <w:rFonts w:ascii="Times New Roman" w:eastAsia="Times New Roman" w:hAnsi="Times New Roman" w:cs="Times New Roman"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3">
    <w:nsid w:val="5FC835EE"/>
    <w:multiLevelType w:val="hybridMultilevel"/>
    <w:tmpl w:val="9E606DD4"/>
    <w:lvl w:ilvl="0" w:tplc="9D8C9174">
      <w:numFmt w:val="bullet"/>
      <w:lvlText w:val="-"/>
      <w:lvlJc w:val="left"/>
      <w:pPr>
        <w:ind w:left="1440" w:hanging="360"/>
      </w:pPr>
      <w:rPr>
        <w:rFonts w:ascii="Calibri" w:eastAsia="Calibri" w:hAnsi="Calibri"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4">
    <w:nsid w:val="60D17283"/>
    <w:multiLevelType w:val="hybridMultilevel"/>
    <w:tmpl w:val="93C0B8A6"/>
    <w:lvl w:ilvl="0" w:tplc="6C487FB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nsid w:val="61110510"/>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6">
    <w:nsid w:val="618914A9"/>
    <w:multiLevelType w:val="hybridMultilevel"/>
    <w:tmpl w:val="956E1E6A"/>
    <w:lvl w:ilvl="0" w:tplc="04090003">
      <w:start w:val="1"/>
      <w:numFmt w:val="bullet"/>
      <w:lvlText w:val="o"/>
      <w:lvlJc w:val="left"/>
      <w:pPr>
        <w:ind w:left="1500" w:hanging="360"/>
      </w:pPr>
      <w:rPr>
        <w:rFonts w:ascii="Courier New" w:hAnsi="Courier New" w:cs="Courier New"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27">
    <w:nsid w:val="61CC0CF1"/>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8">
    <w:nsid w:val="61CD45E8"/>
    <w:multiLevelType w:val="hybridMultilevel"/>
    <w:tmpl w:val="120CD36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9">
    <w:nsid w:val="62191C29"/>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0">
    <w:nsid w:val="62F478A4"/>
    <w:multiLevelType w:val="hybridMultilevel"/>
    <w:tmpl w:val="A6EE8E3A"/>
    <w:lvl w:ilvl="0" w:tplc="08090019">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1">
    <w:nsid w:val="633243FF"/>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2">
    <w:nsid w:val="635576F3"/>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33">
    <w:nsid w:val="65412F6D"/>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4">
    <w:nsid w:val="660B00D3"/>
    <w:multiLevelType w:val="hybridMultilevel"/>
    <w:tmpl w:val="8E8C298C"/>
    <w:lvl w:ilvl="0" w:tplc="2ABA82B0">
      <w:start w:val="1"/>
      <w:numFmt w:val="lowerLetter"/>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690766E"/>
    <w:multiLevelType w:val="hybridMultilevel"/>
    <w:tmpl w:val="5A7227A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6">
    <w:nsid w:val="66A521E7"/>
    <w:multiLevelType w:val="multilevel"/>
    <w:tmpl w:val="9CA4C172"/>
    <w:lvl w:ilvl="0">
      <w:numFmt w:val="bullet"/>
      <w:lvlText w:val="-"/>
      <w:lvlJc w:val="left"/>
      <w:pPr>
        <w:tabs>
          <w:tab w:val="num" w:pos="720"/>
        </w:tabs>
        <w:ind w:left="720" w:hanging="720"/>
      </w:pPr>
      <w:rPr>
        <w:rFonts w:ascii="Calibri" w:eastAsia="Calibri" w:hAnsi="Calibri"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7">
    <w:nsid w:val="678B152D"/>
    <w:multiLevelType w:val="hybridMultilevel"/>
    <w:tmpl w:val="ECA07458"/>
    <w:lvl w:ilvl="0" w:tplc="08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8">
    <w:nsid w:val="684E4BDC"/>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9">
    <w:nsid w:val="68C1130F"/>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0">
    <w:nsid w:val="692920F0"/>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1">
    <w:nsid w:val="69FB0F7F"/>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42">
    <w:nsid w:val="6B5C7536"/>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3">
    <w:nsid w:val="6BA018F1"/>
    <w:multiLevelType w:val="hybridMultilevel"/>
    <w:tmpl w:val="A25AF6B2"/>
    <w:lvl w:ilvl="0" w:tplc="8E62C2E8">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4">
    <w:nsid w:val="6CCC2075"/>
    <w:multiLevelType w:val="hybridMultilevel"/>
    <w:tmpl w:val="D4262F54"/>
    <w:lvl w:ilvl="0" w:tplc="041C0019">
      <w:start w:val="1"/>
      <w:numFmt w:val="lowerLetter"/>
      <w:lvlText w:val="%1."/>
      <w:lvlJc w:val="left"/>
      <w:pPr>
        <w:ind w:left="144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5">
    <w:nsid w:val="6D7622B9"/>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6">
    <w:nsid w:val="6DF232C1"/>
    <w:multiLevelType w:val="hybridMultilevel"/>
    <w:tmpl w:val="3A4A82E0"/>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47">
    <w:nsid w:val="6EDF2D53"/>
    <w:multiLevelType w:val="hybridMultilevel"/>
    <w:tmpl w:val="2E82872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8">
    <w:nsid w:val="6F8F130C"/>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9">
    <w:nsid w:val="6FA010C1"/>
    <w:multiLevelType w:val="hybridMultilevel"/>
    <w:tmpl w:val="3DEE681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0">
    <w:nsid w:val="6FD06076"/>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1">
    <w:nsid w:val="70400966"/>
    <w:multiLevelType w:val="hybridMultilevel"/>
    <w:tmpl w:val="A1500DDA"/>
    <w:lvl w:ilvl="0" w:tplc="9D8C9174">
      <w:numFmt w:val="bullet"/>
      <w:lvlText w:val="-"/>
      <w:lvlJc w:val="left"/>
      <w:pPr>
        <w:ind w:left="720" w:hanging="360"/>
      </w:pPr>
      <w:rPr>
        <w:rFonts w:ascii="Calibri" w:eastAsia="Calibri" w:hAnsi="Calibri"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2">
    <w:nsid w:val="70FC36C8"/>
    <w:multiLevelType w:val="hybridMultilevel"/>
    <w:tmpl w:val="AD2CF3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nsid w:val="72237905"/>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4">
    <w:nsid w:val="72A3292F"/>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5">
    <w:nsid w:val="72A32CAF"/>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6">
    <w:nsid w:val="730E3407"/>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57">
    <w:nsid w:val="73166CA2"/>
    <w:multiLevelType w:val="hybridMultilevel"/>
    <w:tmpl w:val="42C269AE"/>
    <w:lvl w:ilvl="0" w:tplc="A8F66A3C">
      <w:start w:val="4"/>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8">
    <w:nsid w:val="74E256FC"/>
    <w:multiLevelType w:val="hybridMultilevel"/>
    <w:tmpl w:val="12C45356"/>
    <w:lvl w:ilvl="0" w:tplc="041C001B">
      <w:start w:val="1"/>
      <w:numFmt w:val="lowerRoman"/>
      <w:lvlText w:val="%1."/>
      <w:lvlJc w:val="righ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59">
    <w:nsid w:val="75576354"/>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0">
    <w:nsid w:val="75B02E66"/>
    <w:multiLevelType w:val="multilevel"/>
    <w:tmpl w:val="041C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1">
    <w:nsid w:val="75EB7711"/>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2">
    <w:nsid w:val="767825B9"/>
    <w:multiLevelType w:val="hybridMultilevel"/>
    <w:tmpl w:val="CAF49C7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nsid w:val="773C147B"/>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4">
    <w:nsid w:val="7791379B"/>
    <w:multiLevelType w:val="multilevel"/>
    <w:tmpl w:val="BFB62248"/>
    <w:lvl w:ilvl="0">
      <w:start w:val="1"/>
      <w:numFmt w:val="bullet"/>
      <w:pStyle w:val="ECABullets"/>
      <w:lvlText w:val=""/>
      <w:lvlJc w:val="left"/>
      <w:pPr>
        <w:tabs>
          <w:tab w:val="num" w:pos="1134"/>
        </w:tabs>
        <w:ind w:left="1134" w:hanging="567"/>
      </w:pPr>
      <w:rPr>
        <w:rFonts w:ascii="Monotype Sorts" w:hAnsi="Monotype Sorts" w:hint="default"/>
        <w:sz w:val="22"/>
      </w:rPr>
    </w:lvl>
    <w:lvl w:ilvl="1">
      <w:start w:val="1"/>
      <w:numFmt w:val="bullet"/>
      <w:pStyle w:val="ECABulletsSub"/>
      <w:lvlText w:val=""/>
      <w:lvlJc w:val="left"/>
      <w:pPr>
        <w:tabs>
          <w:tab w:val="num" w:pos="1701"/>
        </w:tabs>
        <w:ind w:left="1701" w:hanging="567"/>
      </w:pPr>
      <w:rPr>
        <w:rFonts w:ascii="Monotype Sorts" w:hAnsi="Monotype Sorts" w:hint="default"/>
        <w:sz w:val="16"/>
      </w:rPr>
    </w:lvl>
    <w:lvl w:ilvl="2">
      <w:start w:val="1"/>
      <w:numFmt w:val="bullet"/>
      <w:lvlRestart w:val="0"/>
      <w:pStyle w:val="ECABullets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hint="default"/>
      </w:rPr>
    </w:lvl>
    <w:lvl w:ilvl="8">
      <w:start w:val="1"/>
      <w:numFmt w:val="none"/>
      <w:lvlText w:val=""/>
      <w:lvlJc w:val="left"/>
      <w:pPr>
        <w:tabs>
          <w:tab w:val="num" w:pos="0"/>
        </w:tabs>
        <w:ind w:left="4014" w:hanging="360"/>
      </w:pPr>
      <w:rPr>
        <w:rFonts w:ascii="Wingdings" w:hAnsi="Wingdings" w:hint="default"/>
      </w:rPr>
    </w:lvl>
  </w:abstractNum>
  <w:abstractNum w:abstractNumId="165">
    <w:nsid w:val="7884270C"/>
    <w:multiLevelType w:val="hybridMultilevel"/>
    <w:tmpl w:val="AC5A78C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6">
    <w:nsid w:val="789E089B"/>
    <w:multiLevelType w:val="hybridMultilevel"/>
    <w:tmpl w:val="A6EE8E3A"/>
    <w:lvl w:ilvl="0" w:tplc="08090019">
      <w:start w:val="1"/>
      <w:numFmt w:val="lowerLetter"/>
      <w:lvlText w:val="%1."/>
      <w:lvlJc w:val="left"/>
      <w:pPr>
        <w:ind w:left="2100" w:hanging="360"/>
      </w:pPr>
    </w:lvl>
    <w:lvl w:ilvl="1" w:tplc="041C0019" w:tentative="1">
      <w:start w:val="1"/>
      <w:numFmt w:val="lowerLetter"/>
      <w:lvlText w:val="%2."/>
      <w:lvlJc w:val="left"/>
      <w:pPr>
        <w:ind w:left="2820" w:hanging="360"/>
      </w:pPr>
    </w:lvl>
    <w:lvl w:ilvl="2" w:tplc="041C001B" w:tentative="1">
      <w:start w:val="1"/>
      <w:numFmt w:val="lowerRoman"/>
      <w:lvlText w:val="%3."/>
      <w:lvlJc w:val="right"/>
      <w:pPr>
        <w:ind w:left="3540" w:hanging="180"/>
      </w:pPr>
    </w:lvl>
    <w:lvl w:ilvl="3" w:tplc="041C000F" w:tentative="1">
      <w:start w:val="1"/>
      <w:numFmt w:val="decimal"/>
      <w:lvlText w:val="%4."/>
      <w:lvlJc w:val="left"/>
      <w:pPr>
        <w:ind w:left="4260" w:hanging="360"/>
      </w:pPr>
    </w:lvl>
    <w:lvl w:ilvl="4" w:tplc="041C0019" w:tentative="1">
      <w:start w:val="1"/>
      <w:numFmt w:val="lowerLetter"/>
      <w:lvlText w:val="%5."/>
      <w:lvlJc w:val="left"/>
      <w:pPr>
        <w:ind w:left="4980" w:hanging="360"/>
      </w:pPr>
    </w:lvl>
    <w:lvl w:ilvl="5" w:tplc="041C001B" w:tentative="1">
      <w:start w:val="1"/>
      <w:numFmt w:val="lowerRoman"/>
      <w:lvlText w:val="%6."/>
      <w:lvlJc w:val="right"/>
      <w:pPr>
        <w:ind w:left="5700" w:hanging="180"/>
      </w:pPr>
    </w:lvl>
    <w:lvl w:ilvl="6" w:tplc="041C000F" w:tentative="1">
      <w:start w:val="1"/>
      <w:numFmt w:val="decimal"/>
      <w:lvlText w:val="%7."/>
      <w:lvlJc w:val="left"/>
      <w:pPr>
        <w:ind w:left="6420" w:hanging="360"/>
      </w:pPr>
    </w:lvl>
    <w:lvl w:ilvl="7" w:tplc="041C0019" w:tentative="1">
      <w:start w:val="1"/>
      <w:numFmt w:val="lowerLetter"/>
      <w:lvlText w:val="%8."/>
      <w:lvlJc w:val="left"/>
      <w:pPr>
        <w:ind w:left="7140" w:hanging="360"/>
      </w:pPr>
    </w:lvl>
    <w:lvl w:ilvl="8" w:tplc="041C001B" w:tentative="1">
      <w:start w:val="1"/>
      <w:numFmt w:val="lowerRoman"/>
      <w:lvlText w:val="%9."/>
      <w:lvlJc w:val="right"/>
      <w:pPr>
        <w:ind w:left="7860" w:hanging="180"/>
      </w:pPr>
    </w:lvl>
  </w:abstractNum>
  <w:abstractNum w:abstractNumId="167">
    <w:nsid w:val="78C57DCC"/>
    <w:multiLevelType w:val="hybridMultilevel"/>
    <w:tmpl w:val="390A7E12"/>
    <w:lvl w:ilvl="0" w:tplc="189C598E">
      <w:start w:val="1"/>
      <w:numFmt w:val="decimal"/>
      <w:pStyle w:val="Heading6"/>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8">
    <w:nsid w:val="795C1614"/>
    <w:multiLevelType w:val="hybridMultilevel"/>
    <w:tmpl w:val="9740F898"/>
    <w:lvl w:ilvl="0" w:tplc="08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9">
    <w:nsid w:val="79D073FC"/>
    <w:multiLevelType w:val="hybridMultilevel"/>
    <w:tmpl w:val="C9542CB2"/>
    <w:lvl w:ilvl="0" w:tplc="F3B4FE9A">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0">
    <w:nsid w:val="79ED5E77"/>
    <w:multiLevelType w:val="hybridMultilevel"/>
    <w:tmpl w:val="B09E3A26"/>
    <w:lvl w:ilvl="0" w:tplc="FF0AD89E">
      <w:start w:val="1"/>
      <w:numFmt w:val="lowerLetter"/>
      <w:lvlText w:val="%1."/>
      <w:lvlJc w:val="left"/>
      <w:pPr>
        <w:ind w:left="144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1">
    <w:nsid w:val="7A846803"/>
    <w:multiLevelType w:val="hybridMultilevel"/>
    <w:tmpl w:val="3BCC7A7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2">
    <w:nsid w:val="7B7E6B63"/>
    <w:multiLevelType w:val="hybridMultilevel"/>
    <w:tmpl w:val="09AED86A"/>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73">
    <w:nsid w:val="7B89129C"/>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4">
    <w:nsid w:val="7DF45B6B"/>
    <w:multiLevelType w:val="hybridMultilevel"/>
    <w:tmpl w:val="E0386310"/>
    <w:lvl w:ilvl="0" w:tplc="9D8C9174">
      <w:numFmt w:val="bullet"/>
      <w:lvlText w:val="-"/>
      <w:lvlJc w:val="left"/>
      <w:pPr>
        <w:ind w:left="720" w:hanging="360"/>
      </w:pPr>
      <w:rPr>
        <w:rFonts w:ascii="Calibri" w:eastAsia="Calibri" w:hAnsi="Calibri"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5">
    <w:nsid w:val="7E3F7FA9"/>
    <w:multiLevelType w:val="hybridMultilevel"/>
    <w:tmpl w:val="88DCD9E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6">
    <w:nsid w:val="7E892361"/>
    <w:multiLevelType w:val="hybridMultilevel"/>
    <w:tmpl w:val="DFD20124"/>
    <w:lvl w:ilvl="0" w:tplc="04090003">
      <w:start w:val="1"/>
      <w:numFmt w:val="bullet"/>
      <w:lvlText w:val="o"/>
      <w:lvlJc w:val="left"/>
      <w:pPr>
        <w:ind w:left="540" w:hanging="360"/>
      </w:pPr>
      <w:rPr>
        <w:rFonts w:ascii="Courier New" w:hAnsi="Courier New" w:cs="Courier New"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177">
    <w:nsid w:val="7EAC5CE3"/>
    <w:multiLevelType w:val="hybridMultilevel"/>
    <w:tmpl w:val="E13E88DC"/>
    <w:lvl w:ilvl="0" w:tplc="E7EC0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0"/>
  </w:num>
  <w:num w:numId="2">
    <w:abstractNumId w:val="76"/>
  </w:num>
  <w:num w:numId="3">
    <w:abstractNumId w:val="110"/>
  </w:num>
  <w:num w:numId="4">
    <w:abstractNumId w:val="50"/>
  </w:num>
  <w:num w:numId="5">
    <w:abstractNumId w:val="39"/>
  </w:num>
  <w:num w:numId="6">
    <w:abstractNumId w:val="167"/>
  </w:num>
  <w:num w:numId="7">
    <w:abstractNumId w:val="83"/>
  </w:num>
  <w:num w:numId="8">
    <w:abstractNumId w:val="90"/>
  </w:num>
  <w:num w:numId="9">
    <w:abstractNumId w:val="164"/>
  </w:num>
  <w:num w:numId="10">
    <w:abstractNumId w:val="169"/>
  </w:num>
  <w:num w:numId="11">
    <w:abstractNumId w:val="166"/>
  </w:num>
  <w:num w:numId="12">
    <w:abstractNumId w:val="175"/>
  </w:num>
  <w:num w:numId="13">
    <w:abstractNumId w:val="29"/>
  </w:num>
  <w:num w:numId="14">
    <w:abstractNumId w:val="74"/>
  </w:num>
  <w:num w:numId="15">
    <w:abstractNumId w:val="19"/>
  </w:num>
  <w:num w:numId="16">
    <w:abstractNumId w:val="96"/>
  </w:num>
  <w:num w:numId="17">
    <w:abstractNumId w:val="4"/>
  </w:num>
  <w:num w:numId="18">
    <w:abstractNumId w:val="73"/>
  </w:num>
  <w:num w:numId="19">
    <w:abstractNumId w:val="127"/>
  </w:num>
  <w:num w:numId="20">
    <w:abstractNumId w:val="36"/>
  </w:num>
  <w:num w:numId="21">
    <w:abstractNumId w:val="37"/>
  </w:num>
  <w:num w:numId="22">
    <w:abstractNumId w:val="113"/>
  </w:num>
  <w:num w:numId="23">
    <w:abstractNumId w:val="53"/>
  </w:num>
  <w:num w:numId="24">
    <w:abstractNumId w:val="159"/>
  </w:num>
  <w:num w:numId="25">
    <w:abstractNumId w:val="95"/>
  </w:num>
  <w:num w:numId="26">
    <w:abstractNumId w:val="147"/>
  </w:num>
  <w:num w:numId="27">
    <w:abstractNumId w:val="125"/>
  </w:num>
  <w:num w:numId="28">
    <w:abstractNumId w:val="148"/>
  </w:num>
  <w:num w:numId="29">
    <w:abstractNumId w:val="168"/>
  </w:num>
  <w:num w:numId="30">
    <w:abstractNumId w:val="81"/>
  </w:num>
  <w:num w:numId="31">
    <w:abstractNumId w:val="84"/>
  </w:num>
  <w:num w:numId="32">
    <w:abstractNumId w:val="104"/>
  </w:num>
  <w:num w:numId="33">
    <w:abstractNumId w:val="10"/>
  </w:num>
  <w:num w:numId="34">
    <w:abstractNumId w:val="111"/>
  </w:num>
  <w:num w:numId="35">
    <w:abstractNumId w:val="11"/>
  </w:num>
  <w:num w:numId="36">
    <w:abstractNumId w:val="85"/>
  </w:num>
  <w:num w:numId="37">
    <w:abstractNumId w:val="30"/>
  </w:num>
  <w:num w:numId="38">
    <w:abstractNumId w:val="51"/>
  </w:num>
  <w:num w:numId="39">
    <w:abstractNumId w:val="60"/>
  </w:num>
  <w:num w:numId="40">
    <w:abstractNumId w:val="9"/>
  </w:num>
  <w:num w:numId="41">
    <w:abstractNumId w:val="94"/>
  </w:num>
  <w:num w:numId="42">
    <w:abstractNumId w:val="1"/>
  </w:num>
  <w:num w:numId="43">
    <w:abstractNumId w:val="142"/>
  </w:num>
  <w:num w:numId="44">
    <w:abstractNumId w:val="154"/>
  </w:num>
  <w:num w:numId="45">
    <w:abstractNumId w:val="31"/>
  </w:num>
  <w:num w:numId="46">
    <w:abstractNumId w:val="115"/>
  </w:num>
  <w:num w:numId="47">
    <w:abstractNumId w:val="27"/>
  </w:num>
  <w:num w:numId="48">
    <w:abstractNumId w:val="21"/>
  </w:num>
  <w:num w:numId="49">
    <w:abstractNumId w:val="158"/>
  </w:num>
  <w:num w:numId="50">
    <w:abstractNumId w:val="130"/>
  </w:num>
  <w:num w:numId="51">
    <w:abstractNumId w:val="150"/>
  </w:num>
  <w:num w:numId="52">
    <w:abstractNumId w:val="93"/>
  </w:num>
  <w:num w:numId="53">
    <w:abstractNumId w:val="129"/>
  </w:num>
  <w:num w:numId="54">
    <w:abstractNumId w:val="165"/>
  </w:num>
  <w:num w:numId="55">
    <w:abstractNumId w:val="68"/>
  </w:num>
  <w:num w:numId="56">
    <w:abstractNumId w:val="132"/>
  </w:num>
  <w:num w:numId="57">
    <w:abstractNumId w:val="163"/>
  </w:num>
  <w:num w:numId="58">
    <w:abstractNumId w:val="109"/>
  </w:num>
  <w:num w:numId="59">
    <w:abstractNumId w:val="97"/>
  </w:num>
  <w:num w:numId="60">
    <w:abstractNumId w:val="156"/>
  </w:num>
  <w:num w:numId="61">
    <w:abstractNumId w:val="145"/>
  </w:num>
  <w:num w:numId="62">
    <w:abstractNumId w:val="82"/>
  </w:num>
  <w:num w:numId="63">
    <w:abstractNumId w:val="87"/>
  </w:num>
  <w:num w:numId="64">
    <w:abstractNumId w:val="71"/>
  </w:num>
  <w:num w:numId="65">
    <w:abstractNumId w:val="155"/>
  </w:num>
  <w:num w:numId="66">
    <w:abstractNumId w:val="141"/>
  </w:num>
  <w:num w:numId="67">
    <w:abstractNumId w:val="114"/>
  </w:num>
  <w:num w:numId="68">
    <w:abstractNumId w:val="5"/>
  </w:num>
  <w:num w:numId="69">
    <w:abstractNumId w:val="123"/>
  </w:num>
  <w:num w:numId="70">
    <w:abstractNumId w:val="106"/>
  </w:num>
  <w:num w:numId="71">
    <w:abstractNumId w:val="138"/>
  </w:num>
  <w:num w:numId="72">
    <w:abstractNumId w:val="144"/>
  </w:num>
  <w:num w:numId="73">
    <w:abstractNumId w:val="61"/>
  </w:num>
  <w:num w:numId="74">
    <w:abstractNumId w:val="40"/>
  </w:num>
  <w:num w:numId="75">
    <w:abstractNumId w:val="17"/>
  </w:num>
  <w:num w:numId="76">
    <w:abstractNumId w:val="44"/>
  </w:num>
  <w:num w:numId="77">
    <w:abstractNumId w:val="79"/>
  </w:num>
  <w:num w:numId="78">
    <w:abstractNumId w:val="116"/>
  </w:num>
  <w:num w:numId="79">
    <w:abstractNumId w:val="59"/>
  </w:num>
  <w:num w:numId="80">
    <w:abstractNumId w:val="18"/>
  </w:num>
  <w:num w:numId="81">
    <w:abstractNumId w:val="101"/>
  </w:num>
  <w:num w:numId="82">
    <w:abstractNumId w:val="91"/>
  </w:num>
  <w:num w:numId="83">
    <w:abstractNumId w:val="173"/>
  </w:num>
  <w:num w:numId="84">
    <w:abstractNumId w:val="146"/>
  </w:num>
  <w:num w:numId="85">
    <w:abstractNumId w:val="25"/>
  </w:num>
  <w:num w:numId="86">
    <w:abstractNumId w:val="88"/>
  </w:num>
  <w:num w:numId="87">
    <w:abstractNumId w:val="170"/>
  </w:num>
  <w:num w:numId="88">
    <w:abstractNumId w:val="131"/>
  </w:num>
  <w:num w:numId="89">
    <w:abstractNumId w:val="32"/>
  </w:num>
  <w:num w:numId="90">
    <w:abstractNumId w:val="52"/>
  </w:num>
  <w:num w:numId="91">
    <w:abstractNumId w:val="80"/>
  </w:num>
  <w:num w:numId="92">
    <w:abstractNumId w:val="41"/>
  </w:num>
  <w:num w:numId="93">
    <w:abstractNumId w:val="57"/>
  </w:num>
  <w:num w:numId="94">
    <w:abstractNumId w:val="46"/>
  </w:num>
  <w:num w:numId="95">
    <w:abstractNumId w:val="92"/>
  </w:num>
  <w:num w:numId="96">
    <w:abstractNumId w:val="140"/>
  </w:num>
  <w:num w:numId="97">
    <w:abstractNumId w:val="34"/>
  </w:num>
  <w:num w:numId="98">
    <w:abstractNumId w:val="78"/>
  </w:num>
  <w:num w:numId="99">
    <w:abstractNumId w:val="3"/>
  </w:num>
  <w:num w:numId="100">
    <w:abstractNumId w:val="65"/>
  </w:num>
  <w:num w:numId="101">
    <w:abstractNumId w:val="56"/>
  </w:num>
  <w:num w:numId="102">
    <w:abstractNumId w:val="133"/>
  </w:num>
  <w:num w:numId="103">
    <w:abstractNumId w:val="161"/>
  </w:num>
  <w:num w:numId="104">
    <w:abstractNumId w:val="153"/>
  </w:num>
  <w:num w:numId="105">
    <w:abstractNumId w:val="139"/>
  </w:num>
  <w:num w:numId="106">
    <w:abstractNumId w:val="112"/>
  </w:num>
  <w:num w:numId="107">
    <w:abstractNumId w:val="6"/>
  </w:num>
  <w:num w:numId="108">
    <w:abstractNumId w:val="15"/>
  </w:num>
  <w:num w:numId="109">
    <w:abstractNumId w:val="121"/>
  </w:num>
  <w:num w:numId="110">
    <w:abstractNumId w:val="22"/>
  </w:num>
  <w:num w:numId="111">
    <w:abstractNumId w:val="70"/>
  </w:num>
  <w:num w:numId="112">
    <w:abstractNumId w:val="86"/>
  </w:num>
  <w:num w:numId="113">
    <w:abstractNumId w:val="33"/>
  </w:num>
  <w:num w:numId="114">
    <w:abstractNumId w:val="108"/>
  </w:num>
  <w:num w:numId="115">
    <w:abstractNumId w:val="134"/>
  </w:num>
  <w:num w:numId="116">
    <w:abstractNumId w:val="124"/>
  </w:num>
  <w:num w:numId="117">
    <w:abstractNumId w:val="151"/>
  </w:num>
  <w:num w:numId="118">
    <w:abstractNumId w:val="177"/>
  </w:num>
  <w:num w:numId="11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2"/>
  </w:num>
  <w:num w:numId="122">
    <w:abstractNumId w:val="45"/>
  </w:num>
  <w:num w:numId="123">
    <w:abstractNumId w:val="24"/>
  </w:num>
  <w:num w:numId="124">
    <w:abstractNumId w:val="122"/>
  </w:num>
  <w:num w:numId="125">
    <w:abstractNumId w:val="13"/>
  </w:num>
  <w:num w:numId="126">
    <w:abstractNumId w:val="38"/>
  </w:num>
  <w:num w:numId="127">
    <w:abstractNumId w:val="174"/>
  </w:num>
  <w:num w:numId="128">
    <w:abstractNumId w:val="16"/>
  </w:num>
  <w:num w:numId="129">
    <w:abstractNumId w:val="20"/>
  </w:num>
  <w:num w:numId="130">
    <w:abstractNumId w:val="107"/>
  </w:num>
  <w:num w:numId="131">
    <w:abstractNumId w:val="54"/>
  </w:num>
  <w:num w:numId="132">
    <w:abstractNumId w:val="136"/>
  </w:num>
  <w:num w:numId="133">
    <w:abstractNumId w:val="89"/>
  </w:num>
  <w:num w:numId="134">
    <w:abstractNumId w:val="99"/>
  </w:num>
  <w:num w:numId="135">
    <w:abstractNumId w:val="152"/>
  </w:num>
  <w:num w:numId="136">
    <w:abstractNumId w:val="43"/>
  </w:num>
  <w:num w:numId="137">
    <w:abstractNumId w:val="100"/>
  </w:num>
  <w:num w:numId="138">
    <w:abstractNumId w:val="8"/>
  </w:num>
  <w:num w:numId="13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17"/>
  </w:num>
  <w:num w:numId="141">
    <w:abstractNumId w:val="118"/>
  </w:num>
  <w:num w:numId="142">
    <w:abstractNumId w:val="23"/>
  </w:num>
  <w:num w:numId="143">
    <w:abstractNumId w:val="128"/>
  </w:num>
  <w:num w:numId="14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8"/>
  </w:num>
  <w:num w:numId="147">
    <w:abstractNumId w:val="120"/>
  </w:num>
  <w:num w:numId="148">
    <w:abstractNumId w:val="7"/>
  </w:num>
  <w:num w:numId="149">
    <w:abstractNumId w:val="14"/>
  </w:num>
  <w:num w:numId="150">
    <w:abstractNumId w:val="26"/>
  </w:num>
  <w:num w:numId="151">
    <w:abstractNumId w:val="77"/>
  </w:num>
  <w:num w:numId="152">
    <w:abstractNumId w:val="63"/>
  </w:num>
  <w:num w:numId="153">
    <w:abstractNumId w:val="126"/>
  </w:num>
  <w:num w:numId="154">
    <w:abstractNumId w:val="0"/>
  </w:num>
  <w:num w:numId="155">
    <w:abstractNumId w:val="75"/>
  </w:num>
  <w:num w:numId="156">
    <w:abstractNumId w:val="72"/>
  </w:num>
  <w:num w:numId="157">
    <w:abstractNumId w:val="105"/>
  </w:num>
  <w:num w:numId="158">
    <w:abstractNumId w:val="98"/>
  </w:num>
  <w:num w:numId="159">
    <w:abstractNumId w:val="67"/>
  </w:num>
  <w:num w:numId="160">
    <w:abstractNumId w:val="35"/>
  </w:num>
  <w:num w:numId="161">
    <w:abstractNumId w:val="135"/>
  </w:num>
  <w:num w:numId="162">
    <w:abstractNumId w:val="47"/>
  </w:num>
  <w:num w:numId="163">
    <w:abstractNumId w:val="55"/>
  </w:num>
  <w:num w:numId="164">
    <w:abstractNumId w:val="149"/>
  </w:num>
  <w:num w:numId="165">
    <w:abstractNumId w:val="171"/>
  </w:num>
  <w:num w:numId="166">
    <w:abstractNumId w:val="162"/>
  </w:num>
  <w:num w:numId="167">
    <w:abstractNumId w:val="66"/>
  </w:num>
  <w:num w:numId="168">
    <w:abstractNumId w:val="172"/>
  </w:num>
  <w:num w:numId="169">
    <w:abstractNumId w:val="48"/>
  </w:num>
  <w:num w:numId="17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7"/>
  </w:num>
  <w:num w:numId="172">
    <w:abstractNumId w:val="2"/>
  </w:num>
  <w:num w:numId="173">
    <w:abstractNumId w:val="69"/>
  </w:num>
  <w:num w:numId="174">
    <w:abstractNumId w:val="143"/>
  </w:num>
  <w:num w:numId="175">
    <w:abstractNumId w:val="176"/>
  </w:num>
  <w:num w:numId="176">
    <w:abstractNumId w:val="58"/>
    <w:lvlOverride w:ilvl="0">
      <w:startOverride w:val="1"/>
    </w:lvlOverride>
    <w:lvlOverride w:ilvl="1"/>
    <w:lvlOverride w:ilvl="2"/>
    <w:lvlOverride w:ilvl="3"/>
    <w:lvlOverride w:ilvl="4"/>
    <w:lvlOverride w:ilvl="5"/>
    <w:lvlOverride w:ilvl="6"/>
    <w:lvlOverride w:ilvl="7"/>
    <w:lvlOverride w:ilvl="8"/>
  </w:num>
  <w:num w:numId="177">
    <w:abstractNumId w:val="119"/>
  </w:num>
  <w:num w:numId="178">
    <w:abstractNumId w:val="12"/>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hideSpellingErrors/>
  <w:hideGrammaticalErrors/>
  <w:activeWritingStyle w:appName="MSWord" w:lang="en-GB" w:vendorID="64" w:dllVersion="6" w:nlCheck="1" w:checkStyle="0"/>
  <w:activeWritingStyle w:appName="MSWord" w:lang="en-US" w:vendorID="64" w:dllVersion="6" w:nlCheck="1" w:checkStyle="0"/>
  <w:activeWritingStyle w:appName="MSWord" w:lang="en-CA" w:vendorID="64" w:dllVersion="6" w:nlCheck="1" w:checkStyle="1"/>
  <w:activeWritingStyle w:appName="MSWord" w:lang="en-AU"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fr-FR"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 w:vendorID="64" w:dllVersion="131078" w:nlCheck="1" w:checkStyle="1"/>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828"/>
    <w:rsid w:val="0000061B"/>
    <w:rsid w:val="00000803"/>
    <w:rsid w:val="0000098E"/>
    <w:rsid w:val="00000B37"/>
    <w:rsid w:val="00000CA7"/>
    <w:rsid w:val="000010B7"/>
    <w:rsid w:val="000011FD"/>
    <w:rsid w:val="0000158C"/>
    <w:rsid w:val="00002520"/>
    <w:rsid w:val="00002F63"/>
    <w:rsid w:val="0000324D"/>
    <w:rsid w:val="00003690"/>
    <w:rsid w:val="00003A1B"/>
    <w:rsid w:val="00003B91"/>
    <w:rsid w:val="000046CB"/>
    <w:rsid w:val="000046E1"/>
    <w:rsid w:val="00004ED7"/>
    <w:rsid w:val="00004EF2"/>
    <w:rsid w:val="0000572F"/>
    <w:rsid w:val="00005D22"/>
    <w:rsid w:val="00006158"/>
    <w:rsid w:val="000063B0"/>
    <w:rsid w:val="0000674E"/>
    <w:rsid w:val="00006B67"/>
    <w:rsid w:val="00007073"/>
    <w:rsid w:val="00007136"/>
    <w:rsid w:val="000074E5"/>
    <w:rsid w:val="000076C0"/>
    <w:rsid w:val="00007857"/>
    <w:rsid w:val="00007BF3"/>
    <w:rsid w:val="000100CB"/>
    <w:rsid w:val="000109D2"/>
    <w:rsid w:val="00010B03"/>
    <w:rsid w:val="00010E38"/>
    <w:rsid w:val="00011192"/>
    <w:rsid w:val="0001123C"/>
    <w:rsid w:val="00011282"/>
    <w:rsid w:val="00011C08"/>
    <w:rsid w:val="00011DB8"/>
    <w:rsid w:val="00011ECF"/>
    <w:rsid w:val="00011EDF"/>
    <w:rsid w:val="00012135"/>
    <w:rsid w:val="0001460F"/>
    <w:rsid w:val="00014685"/>
    <w:rsid w:val="00014DD8"/>
    <w:rsid w:val="0001548F"/>
    <w:rsid w:val="0001581A"/>
    <w:rsid w:val="0001595B"/>
    <w:rsid w:val="00015C7A"/>
    <w:rsid w:val="00015E10"/>
    <w:rsid w:val="00015EDA"/>
    <w:rsid w:val="00016B5B"/>
    <w:rsid w:val="00016D6D"/>
    <w:rsid w:val="00016E18"/>
    <w:rsid w:val="000177DE"/>
    <w:rsid w:val="00017C27"/>
    <w:rsid w:val="00017E93"/>
    <w:rsid w:val="00017EB8"/>
    <w:rsid w:val="0002088B"/>
    <w:rsid w:val="00020EB1"/>
    <w:rsid w:val="000210DE"/>
    <w:rsid w:val="000212A4"/>
    <w:rsid w:val="000214DA"/>
    <w:rsid w:val="00021B3B"/>
    <w:rsid w:val="00022197"/>
    <w:rsid w:val="0002223C"/>
    <w:rsid w:val="0002383C"/>
    <w:rsid w:val="0002386F"/>
    <w:rsid w:val="000238F1"/>
    <w:rsid w:val="000239A9"/>
    <w:rsid w:val="00023B75"/>
    <w:rsid w:val="0002429A"/>
    <w:rsid w:val="0002471F"/>
    <w:rsid w:val="00024EB7"/>
    <w:rsid w:val="000252E9"/>
    <w:rsid w:val="000254C4"/>
    <w:rsid w:val="0002562B"/>
    <w:rsid w:val="000257B1"/>
    <w:rsid w:val="0002620E"/>
    <w:rsid w:val="0002636C"/>
    <w:rsid w:val="00026791"/>
    <w:rsid w:val="0002691E"/>
    <w:rsid w:val="00026EFA"/>
    <w:rsid w:val="00027F3E"/>
    <w:rsid w:val="0003004C"/>
    <w:rsid w:val="00030B40"/>
    <w:rsid w:val="00030CD7"/>
    <w:rsid w:val="000315A3"/>
    <w:rsid w:val="00032678"/>
    <w:rsid w:val="000329C2"/>
    <w:rsid w:val="00032C8B"/>
    <w:rsid w:val="00032E85"/>
    <w:rsid w:val="00032EF2"/>
    <w:rsid w:val="000330CC"/>
    <w:rsid w:val="00033137"/>
    <w:rsid w:val="00033A09"/>
    <w:rsid w:val="00033D7D"/>
    <w:rsid w:val="00033DDD"/>
    <w:rsid w:val="0003477F"/>
    <w:rsid w:val="00034CC4"/>
    <w:rsid w:val="0003587C"/>
    <w:rsid w:val="00035A00"/>
    <w:rsid w:val="00036CD0"/>
    <w:rsid w:val="00037269"/>
    <w:rsid w:val="00037CD9"/>
    <w:rsid w:val="000405C8"/>
    <w:rsid w:val="00040AA7"/>
    <w:rsid w:val="00040B46"/>
    <w:rsid w:val="00040EBA"/>
    <w:rsid w:val="00041330"/>
    <w:rsid w:val="0004171D"/>
    <w:rsid w:val="00041D92"/>
    <w:rsid w:val="00041F5E"/>
    <w:rsid w:val="00042165"/>
    <w:rsid w:val="000421DF"/>
    <w:rsid w:val="000422B5"/>
    <w:rsid w:val="000436E6"/>
    <w:rsid w:val="000441C3"/>
    <w:rsid w:val="00044AFB"/>
    <w:rsid w:val="00045A3F"/>
    <w:rsid w:val="00045B9B"/>
    <w:rsid w:val="00045F22"/>
    <w:rsid w:val="00046579"/>
    <w:rsid w:val="00046CCE"/>
    <w:rsid w:val="00046DD0"/>
    <w:rsid w:val="00046DDD"/>
    <w:rsid w:val="0004739A"/>
    <w:rsid w:val="0004743F"/>
    <w:rsid w:val="00047F29"/>
    <w:rsid w:val="000501EE"/>
    <w:rsid w:val="0005049F"/>
    <w:rsid w:val="00050531"/>
    <w:rsid w:val="00050E69"/>
    <w:rsid w:val="00050FA4"/>
    <w:rsid w:val="0005187B"/>
    <w:rsid w:val="000518D2"/>
    <w:rsid w:val="00051AD6"/>
    <w:rsid w:val="00051C0C"/>
    <w:rsid w:val="00051E32"/>
    <w:rsid w:val="0005231A"/>
    <w:rsid w:val="0005268D"/>
    <w:rsid w:val="00052870"/>
    <w:rsid w:val="00053022"/>
    <w:rsid w:val="0005368B"/>
    <w:rsid w:val="00053CEC"/>
    <w:rsid w:val="00053DBE"/>
    <w:rsid w:val="00054926"/>
    <w:rsid w:val="00054C35"/>
    <w:rsid w:val="00055A91"/>
    <w:rsid w:val="00055C1A"/>
    <w:rsid w:val="000560A7"/>
    <w:rsid w:val="000563F0"/>
    <w:rsid w:val="000563FC"/>
    <w:rsid w:val="000568E6"/>
    <w:rsid w:val="00056B6B"/>
    <w:rsid w:val="00057608"/>
    <w:rsid w:val="00057932"/>
    <w:rsid w:val="00057A29"/>
    <w:rsid w:val="00057FAC"/>
    <w:rsid w:val="00060391"/>
    <w:rsid w:val="0006155E"/>
    <w:rsid w:val="00062119"/>
    <w:rsid w:val="00062539"/>
    <w:rsid w:val="00062754"/>
    <w:rsid w:val="00062A16"/>
    <w:rsid w:val="00062B73"/>
    <w:rsid w:val="00063231"/>
    <w:rsid w:val="00063580"/>
    <w:rsid w:val="000638B8"/>
    <w:rsid w:val="00063B97"/>
    <w:rsid w:val="000644F9"/>
    <w:rsid w:val="00064987"/>
    <w:rsid w:val="00064B3D"/>
    <w:rsid w:val="00064F6C"/>
    <w:rsid w:val="000655BE"/>
    <w:rsid w:val="000658FE"/>
    <w:rsid w:val="00065C44"/>
    <w:rsid w:val="0006626E"/>
    <w:rsid w:val="00066271"/>
    <w:rsid w:val="00066591"/>
    <w:rsid w:val="000665DC"/>
    <w:rsid w:val="00066658"/>
    <w:rsid w:val="00066677"/>
    <w:rsid w:val="00066693"/>
    <w:rsid w:val="00066B1A"/>
    <w:rsid w:val="00066E4A"/>
    <w:rsid w:val="00066F6E"/>
    <w:rsid w:val="00066FFC"/>
    <w:rsid w:val="00067A66"/>
    <w:rsid w:val="00070108"/>
    <w:rsid w:val="000709D8"/>
    <w:rsid w:val="00070A0F"/>
    <w:rsid w:val="000711D5"/>
    <w:rsid w:val="00071A3F"/>
    <w:rsid w:val="00071BE1"/>
    <w:rsid w:val="0007206E"/>
    <w:rsid w:val="0007206F"/>
    <w:rsid w:val="000722A6"/>
    <w:rsid w:val="0007230D"/>
    <w:rsid w:val="000725CE"/>
    <w:rsid w:val="0007299A"/>
    <w:rsid w:val="0007389A"/>
    <w:rsid w:val="000738FC"/>
    <w:rsid w:val="00073D7D"/>
    <w:rsid w:val="000740A4"/>
    <w:rsid w:val="0007422B"/>
    <w:rsid w:val="000746ED"/>
    <w:rsid w:val="0007478C"/>
    <w:rsid w:val="00074AFA"/>
    <w:rsid w:val="000762ED"/>
    <w:rsid w:val="00076575"/>
    <w:rsid w:val="00076D0F"/>
    <w:rsid w:val="00077163"/>
    <w:rsid w:val="00077344"/>
    <w:rsid w:val="00077A28"/>
    <w:rsid w:val="00080063"/>
    <w:rsid w:val="00080139"/>
    <w:rsid w:val="00080594"/>
    <w:rsid w:val="000807F3"/>
    <w:rsid w:val="00081461"/>
    <w:rsid w:val="00081509"/>
    <w:rsid w:val="00081526"/>
    <w:rsid w:val="000815CC"/>
    <w:rsid w:val="00081B0E"/>
    <w:rsid w:val="00081F12"/>
    <w:rsid w:val="00082344"/>
    <w:rsid w:val="00082619"/>
    <w:rsid w:val="0008284E"/>
    <w:rsid w:val="00082DA1"/>
    <w:rsid w:val="00083116"/>
    <w:rsid w:val="00083E4E"/>
    <w:rsid w:val="00083FD4"/>
    <w:rsid w:val="00084992"/>
    <w:rsid w:val="00084C67"/>
    <w:rsid w:val="00084E89"/>
    <w:rsid w:val="00084FF2"/>
    <w:rsid w:val="0008512E"/>
    <w:rsid w:val="00085149"/>
    <w:rsid w:val="00085266"/>
    <w:rsid w:val="00085CB2"/>
    <w:rsid w:val="00085CE8"/>
    <w:rsid w:val="00086018"/>
    <w:rsid w:val="000879FE"/>
    <w:rsid w:val="00087B79"/>
    <w:rsid w:val="00087F85"/>
    <w:rsid w:val="0009031A"/>
    <w:rsid w:val="00090766"/>
    <w:rsid w:val="00090A66"/>
    <w:rsid w:val="0009178B"/>
    <w:rsid w:val="00091945"/>
    <w:rsid w:val="00091B82"/>
    <w:rsid w:val="00091CD8"/>
    <w:rsid w:val="00091CE5"/>
    <w:rsid w:val="00092044"/>
    <w:rsid w:val="00092831"/>
    <w:rsid w:val="000928B5"/>
    <w:rsid w:val="000929CB"/>
    <w:rsid w:val="00092BE9"/>
    <w:rsid w:val="00092FA0"/>
    <w:rsid w:val="000933C1"/>
    <w:rsid w:val="00093617"/>
    <w:rsid w:val="0009388D"/>
    <w:rsid w:val="00093D65"/>
    <w:rsid w:val="00093FF5"/>
    <w:rsid w:val="000943BC"/>
    <w:rsid w:val="000943E0"/>
    <w:rsid w:val="0009453E"/>
    <w:rsid w:val="000948AA"/>
    <w:rsid w:val="00094A26"/>
    <w:rsid w:val="000952F5"/>
    <w:rsid w:val="00095A79"/>
    <w:rsid w:val="00096061"/>
    <w:rsid w:val="00096064"/>
    <w:rsid w:val="000964E1"/>
    <w:rsid w:val="00096715"/>
    <w:rsid w:val="0009680A"/>
    <w:rsid w:val="000969D0"/>
    <w:rsid w:val="00096B9B"/>
    <w:rsid w:val="000971AE"/>
    <w:rsid w:val="00097B17"/>
    <w:rsid w:val="00097D6A"/>
    <w:rsid w:val="00097DAF"/>
    <w:rsid w:val="00097F24"/>
    <w:rsid w:val="000A01CE"/>
    <w:rsid w:val="000A028E"/>
    <w:rsid w:val="000A0519"/>
    <w:rsid w:val="000A0A8F"/>
    <w:rsid w:val="000A0CBC"/>
    <w:rsid w:val="000A0D67"/>
    <w:rsid w:val="000A0F26"/>
    <w:rsid w:val="000A1645"/>
    <w:rsid w:val="000A16A7"/>
    <w:rsid w:val="000A197F"/>
    <w:rsid w:val="000A1C65"/>
    <w:rsid w:val="000A202E"/>
    <w:rsid w:val="000A2210"/>
    <w:rsid w:val="000A2731"/>
    <w:rsid w:val="000A27DD"/>
    <w:rsid w:val="000A2EEC"/>
    <w:rsid w:val="000A2FB2"/>
    <w:rsid w:val="000A358F"/>
    <w:rsid w:val="000A3955"/>
    <w:rsid w:val="000A3B0F"/>
    <w:rsid w:val="000A3E00"/>
    <w:rsid w:val="000A4845"/>
    <w:rsid w:val="000A57DF"/>
    <w:rsid w:val="000A5D45"/>
    <w:rsid w:val="000A5FDC"/>
    <w:rsid w:val="000A6514"/>
    <w:rsid w:val="000A657F"/>
    <w:rsid w:val="000A66A6"/>
    <w:rsid w:val="000A66DC"/>
    <w:rsid w:val="000A67AF"/>
    <w:rsid w:val="000A6C40"/>
    <w:rsid w:val="000A6E1D"/>
    <w:rsid w:val="000A6E7C"/>
    <w:rsid w:val="000B0320"/>
    <w:rsid w:val="000B08DD"/>
    <w:rsid w:val="000B0C45"/>
    <w:rsid w:val="000B136D"/>
    <w:rsid w:val="000B1526"/>
    <w:rsid w:val="000B16F7"/>
    <w:rsid w:val="000B170E"/>
    <w:rsid w:val="000B17BB"/>
    <w:rsid w:val="000B1809"/>
    <w:rsid w:val="000B1EE6"/>
    <w:rsid w:val="000B2363"/>
    <w:rsid w:val="000B2A70"/>
    <w:rsid w:val="000B2FB0"/>
    <w:rsid w:val="000B4088"/>
    <w:rsid w:val="000B4CAD"/>
    <w:rsid w:val="000B4DA5"/>
    <w:rsid w:val="000B519D"/>
    <w:rsid w:val="000B71AE"/>
    <w:rsid w:val="000B71B0"/>
    <w:rsid w:val="000B7400"/>
    <w:rsid w:val="000B7AA8"/>
    <w:rsid w:val="000B7AF7"/>
    <w:rsid w:val="000B7EEE"/>
    <w:rsid w:val="000B7F16"/>
    <w:rsid w:val="000C0638"/>
    <w:rsid w:val="000C09FD"/>
    <w:rsid w:val="000C0BF3"/>
    <w:rsid w:val="000C0D32"/>
    <w:rsid w:val="000C2536"/>
    <w:rsid w:val="000C2A75"/>
    <w:rsid w:val="000C2B12"/>
    <w:rsid w:val="000C350C"/>
    <w:rsid w:val="000C359E"/>
    <w:rsid w:val="000C3C6B"/>
    <w:rsid w:val="000C414E"/>
    <w:rsid w:val="000C42C2"/>
    <w:rsid w:val="000C4C69"/>
    <w:rsid w:val="000C4D82"/>
    <w:rsid w:val="000C52B8"/>
    <w:rsid w:val="000C5721"/>
    <w:rsid w:val="000C58BA"/>
    <w:rsid w:val="000C5A14"/>
    <w:rsid w:val="000C5A52"/>
    <w:rsid w:val="000C65A8"/>
    <w:rsid w:val="000C661E"/>
    <w:rsid w:val="000C6CE2"/>
    <w:rsid w:val="000C6D11"/>
    <w:rsid w:val="000C6EA2"/>
    <w:rsid w:val="000C71F9"/>
    <w:rsid w:val="000C7763"/>
    <w:rsid w:val="000C77E3"/>
    <w:rsid w:val="000C7FB1"/>
    <w:rsid w:val="000D007F"/>
    <w:rsid w:val="000D12AF"/>
    <w:rsid w:val="000D1377"/>
    <w:rsid w:val="000D169F"/>
    <w:rsid w:val="000D1A18"/>
    <w:rsid w:val="000D1BD0"/>
    <w:rsid w:val="000D2101"/>
    <w:rsid w:val="000D2275"/>
    <w:rsid w:val="000D2545"/>
    <w:rsid w:val="000D25FA"/>
    <w:rsid w:val="000D29E1"/>
    <w:rsid w:val="000D2D1F"/>
    <w:rsid w:val="000D2F19"/>
    <w:rsid w:val="000D3619"/>
    <w:rsid w:val="000D3677"/>
    <w:rsid w:val="000D38C1"/>
    <w:rsid w:val="000D485C"/>
    <w:rsid w:val="000D4D70"/>
    <w:rsid w:val="000D5456"/>
    <w:rsid w:val="000D5E24"/>
    <w:rsid w:val="000D5F26"/>
    <w:rsid w:val="000D67FC"/>
    <w:rsid w:val="000D681A"/>
    <w:rsid w:val="000D6DE4"/>
    <w:rsid w:val="000D7076"/>
    <w:rsid w:val="000D732B"/>
    <w:rsid w:val="000D757C"/>
    <w:rsid w:val="000E0EFF"/>
    <w:rsid w:val="000E134D"/>
    <w:rsid w:val="000E1673"/>
    <w:rsid w:val="000E1821"/>
    <w:rsid w:val="000E1FAD"/>
    <w:rsid w:val="000E23F6"/>
    <w:rsid w:val="000E24A7"/>
    <w:rsid w:val="000E2A30"/>
    <w:rsid w:val="000E2AD9"/>
    <w:rsid w:val="000E44D7"/>
    <w:rsid w:val="000E46AD"/>
    <w:rsid w:val="000E4928"/>
    <w:rsid w:val="000E4AA6"/>
    <w:rsid w:val="000E5376"/>
    <w:rsid w:val="000E571E"/>
    <w:rsid w:val="000E5A32"/>
    <w:rsid w:val="000E5F22"/>
    <w:rsid w:val="000E69E0"/>
    <w:rsid w:val="000E762F"/>
    <w:rsid w:val="000E7751"/>
    <w:rsid w:val="000E787D"/>
    <w:rsid w:val="000E7A85"/>
    <w:rsid w:val="000F04DB"/>
    <w:rsid w:val="000F0D88"/>
    <w:rsid w:val="000F1FDA"/>
    <w:rsid w:val="000F231E"/>
    <w:rsid w:val="000F3032"/>
    <w:rsid w:val="000F3691"/>
    <w:rsid w:val="000F3FCB"/>
    <w:rsid w:val="000F48D6"/>
    <w:rsid w:val="000F4FF1"/>
    <w:rsid w:val="000F59A2"/>
    <w:rsid w:val="000F60F1"/>
    <w:rsid w:val="000F612A"/>
    <w:rsid w:val="000F620F"/>
    <w:rsid w:val="000F627F"/>
    <w:rsid w:val="000F62B2"/>
    <w:rsid w:val="000F63EB"/>
    <w:rsid w:val="000F64AA"/>
    <w:rsid w:val="000F6C7F"/>
    <w:rsid w:val="000F7161"/>
    <w:rsid w:val="000F72CC"/>
    <w:rsid w:val="000F73F4"/>
    <w:rsid w:val="000F741E"/>
    <w:rsid w:val="000F7764"/>
    <w:rsid w:val="000F779C"/>
    <w:rsid w:val="000F7E5A"/>
    <w:rsid w:val="00100759"/>
    <w:rsid w:val="00100D62"/>
    <w:rsid w:val="00100F61"/>
    <w:rsid w:val="0010131C"/>
    <w:rsid w:val="0010164D"/>
    <w:rsid w:val="00101DC1"/>
    <w:rsid w:val="001022C9"/>
    <w:rsid w:val="001024F7"/>
    <w:rsid w:val="0010365A"/>
    <w:rsid w:val="00103735"/>
    <w:rsid w:val="00103F3B"/>
    <w:rsid w:val="00104482"/>
    <w:rsid w:val="00104884"/>
    <w:rsid w:val="00105188"/>
    <w:rsid w:val="00105627"/>
    <w:rsid w:val="001056F1"/>
    <w:rsid w:val="00105775"/>
    <w:rsid w:val="00105DC6"/>
    <w:rsid w:val="001061C6"/>
    <w:rsid w:val="00106240"/>
    <w:rsid w:val="00106A3D"/>
    <w:rsid w:val="00106A7A"/>
    <w:rsid w:val="00106AA6"/>
    <w:rsid w:val="00106D3A"/>
    <w:rsid w:val="001071D0"/>
    <w:rsid w:val="001078D4"/>
    <w:rsid w:val="00107FF5"/>
    <w:rsid w:val="0011058D"/>
    <w:rsid w:val="001105B6"/>
    <w:rsid w:val="001107B2"/>
    <w:rsid w:val="00110CB4"/>
    <w:rsid w:val="00110E56"/>
    <w:rsid w:val="001113C8"/>
    <w:rsid w:val="00111626"/>
    <w:rsid w:val="00111673"/>
    <w:rsid w:val="0011189A"/>
    <w:rsid w:val="00111927"/>
    <w:rsid w:val="00111E11"/>
    <w:rsid w:val="00112431"/>
    <w:rsid w:val="0011265A"/>
    <w:rsid w:val="0011265F"/>
    <w:rsid w:val="00113323"/>
    <w:rsid w:val="00113F96"/>
    <w:rsid w:val="001140A5"/>
    <w:rsid w:val="001144B8"/>
    <w:rsid w:val="00114C58"/>
    <w:rsid w:val="00114D6B"/>
    <w:rsid w:val="00114E20"/>
    <w:rsid w:val="00114F9B"/>
    <w:rsid w:val="00116A63"/>
    <w:rsid w:val="00117465"/>
    <w:rsid w:val="00117714"/>
    <w:rsid w:val="00120372"/>
    <w:rsid w:val="001209D5"/>
    <w:rsid w:val="00120E59"/>
    <w:rsid w:val="00121612"/>
    <w:rsid w:val="00121DEB"/>
    <w:rsid w:val="001221FC"/>
    <w:rsid w:val="00122305"/>
    <w:rsid w:val="001223FA"/>
    <w:rsid w:val="001228C0"/>
    <w:rsid w:val="00123243"/>
    <w:rsid w:val="00123A0A"/>
    <w:rsid w:val="00123C88"/>
    <w:rsid w:val="00124CED"/>
    <w:rsid w:val="001250D0"/>
    <w:rsid w:val="00125719"/>
    <w:rsid w:val="001258C3"/>
    <w:rsid w:val="00126648"/>
    <w:rsid w:val="0012672B"/>
    <w:rsid w:val="00126BB0"/>
    <w:rsid w:val="001271B5"/>
    <w:rsid w:val="00127613"/>
    <w:rsid w:val="00127E04"/>
    <w:rsid w:val="001301EA"/>
    <w:rsid w:val="00130644"/>
    <w:rsid w:val="00130D99"/>
    <w:rsid w:val="0013120F"/>
    <w:rsid w:val="00131374"/>
    <w:rsid w:val="001315B0"/>
    <w:rsid w:val="00131858"/>
    <w:rsid w:val="00131C7B"/>
    <w:rsid w:val="00131F1C"/>
    <w:rsid w:val="00131F84"/>
    <w:rsid w:val="0013252E"/>
    <w:rsid w:val="00132DB4"/>
    <w:rsid w:val="00132F84"/>
    <w:rsid w:val="00133033"/>
    <w:rsid w:val="0013367A"/>
    <w:rsid w:val="00133705"/>
    <w:rsid w:val="00134993"/>
    <w:rsid w:val="00134E0B"/>
    <w:rsid w:val="0013509A"/>
    <w:rsid w:val="00135951"/>
    <w:rsid w:val="001363D7"/>
    <w:rsid w:val="00136489"/>
    <w:rsid w:val="001376AB"/>
    <w:rsid w:val="0013786A"/>
    <w:rsid w:val="001404DE"/>
    <w:rsid w:val="00140CA7"/>
    <w:rsid w:val="00140FC7"/>
    <w:rsid w:val="001411C0"/>
    <w:rsid w:val="00141929"/>
    <w:rsid w:val="0014260A"/>
    <w:rsid w:val="00142C41"/>
    <w:rsid w:val="00142C9E"/>
    <w:rsid w:val="001439AC"/>
    <w:rsid w:val="00144456"/>
    <w:rsid w:val="00144726"/>
    <w:rsid w:val="001449B8"/>
    <w:rsid w:val="00145036"/>
    <w:rsid w:val="001453F3"/>
    <w:rsid w:val="0014543B"/>
    <w:rsid w:val="00145FFC"/>
    <w:rsid w:val="001460F5"/>
    <w:rsid w:val="00146700"/>
    <w:rsid w:val="00147A09"/>
    <w:rsid w:val="00147E11"/>
    <w:rsid w:val="001500EB"/>
    <w:rsid w:val="001508E2"/>
    <w:rsid w:val="00151F1C"/>
    <w:rsid w:val="001521EB"/>
    <w:rsid w:val="00153459"/>
    <w:rsid w:val="00153A96"/>
    <w:rsid w:val="001546E5"/>
    <w:rsid w:val="0015496B"/>
    <w:rsid w:val="00154DB8"/>
    <w:rsid w:val="001550DD"/>
    <w:rsid w:val="0015555A"/>
    <w:rsid w:val="0015570C"/>
    <w:rsid w:val="00156064"/>
    <w:rsid w:val="0015613F"/>
    <w:rsid w:val="00156154"/>
    <w:rsid w:val="001561AA"/>
    <w:rsid w:val="0015663D"/>
    <w:rsid w:val="001568AF"/>
    <w:rsid w:val="00156BBD"/>
    <w:rsid w:val="00156FCD"/>
    <w:rsid w:val="00157013"/>
    <w:rsid w:val="00157791"/>
    <w:rsid w:val="001605CE"/>
    <w:rsid w:val="00160932"/>
    <w:rsid w:val="00160A1F"/>
    <w:rsid w:val="00161315"/>
    <w:rsid w:val="001618B7"/>
    <w:rsid w:val="00161AC2"/>
    <w:rsid w:val="00162001"/>
    <w:rsid w:val="00162266"/>
    <w:rsid w:val="001623EC"/>
    <w:rsid w:val="001625C1"/>
    <w:rsid w:val="00162662"/>
    <w:rsid w:val="001627AC"/>
    <w:rsid w:val="00162FEF"/>
    <w:rsid w:val="0016335E"/>
    <w:rsid w:val="00163586"/>
    <w:rsid w:val="0016372A"/>
    <w:rsid w:val="0016436C"/>
    <w:rsid w:val="00164529"/>
    <w:rsid w:val="00164621"/>
    <w:rsid w:val="001656A4"/>
    <w:rsid w:val="00165754"/>
    <w:rsid w:val="001657C1"/>
    <w:rsid w:val="0016608F"/>
    <w:rsid w:val="001664C8"/>
    <w:rsid w:val="001664E2"/>
    <w:rsid w:val="0016674B"/>
    <w:rsid w:val="001667B1"/>
    <w:rsid w:val="001669FC"/>
    <w:rsid w:val="00167094"/>
    <w:rsid w:val="00167177"/>
    <w:rsid w:val="0016733A"/>
    <w:rsid w:val="0016779E"/>
    <w:rsid w:val="001701B0"/>
    <w:rsid w:val="0017053F"/>
    <w:rsid w:val="00170BA2"/>
    <w:rsid w:val="00171325"/>
    <w:rsid w:val="00171727"/>
    <w:rsid w:val="00171B68"/>
    <w:rsid w:val="00171BD8"/>
    <w:rsid w:val="00171FFE"/>
    <w:rsid w:val="0017213C"/>
    <w:rsid w:val="00172525"/>
    <w:rsid w:val="00172F0B"/>
    <w:rsid w:val="001736C3"/>
    <w:rsid w:val="001742B1"/>
    <w:rsid w:val="00174680"/>
    <w:rsid w:val="00174974"/>
    <w:rsid w:val="00175891"/>
    <w:rsid w:val="00175E28"/>
    <w:rsid w:val="00176D04"/>
    <w:rsid w:val="00176E17"/>
    <w:rsid w:val="001770D0"/>
    <w:rsid w:val="00177636"/>
    <w:rsid w:val="00177874"/>
    <w:rsid w:val="00177A9F"/>
    <w:rsid w:val="00177FDC"/>
    <w:rsid w:val="00180801"/>
    <w:rsid w:val="00181163"/>
    <w:rsid w:val="001811BD"/>
    <w:rsid w:val="0018149E"/>
    <w:rsid w:val="00181812"/>
    <w:rsid w:val="00182AB6"/>
    <w:rsid w:val="00183027"/>
    <w:rsid w:val="001838E1"/>
    <w:rsid w:val="00183E85"/>
    <w:rsid w:val="00183F06"/>
    <w:rsid w:val="00183FE0"/>
    <w:rsid w:val="0018479D"/>
    <w:rsid w:val="00184DEB"/>
    <w:rsid w:val="001851BF"/>
    <w:rsid w:val="001853DC"/>
    <w:rsid w:val="00185D86"/>
    <w:rsid w:val="0018600C"/>
    <w:rsid w:val="00186948"/>
    <w:rsid w:val="00186BD3"/>
    <w:rsid w:val="001872A3"/>
    <w:rsid w:val="00187798"/>
    <w:rsid w:val="00187FD1"/>
    <w:rsid w:val="00190377"/>
    <w:rsid w:val="001904A4"/>
    <w:rsid w:val="001906CC"/>
    <w:rsid w:val="0019090D"/>
    <w:rsid w:val="0019098F"/>
    <w:rsid w:val="00190ABC"/>
    <w:rsid w:val="00191487"/>
    <w:rsid w:val="0019233C"/>
    <w:rsid w:val="00192417"/>
    <w:rsid w:val="0019295B"/>
    <w:rsid w:val="00192A3D"/>
    <w:rsid w:val="00193025"/>
    <w:rsid w:val="00193381"/>
    <w:rsid w:val="00193A73"/>
    <w:rsid w:val="001944A3"/>
    <w:rsid w:val="00194A61"/>
    <w:rsid w:val="00195358"/>
    <w:rsid w:val="00195F3C"/>
    <w:rsid w:val="001962F0"/>
    <w:rsid w:val="0019656D"/>
    <w:rsid w:val="00196BE0"/>
    <w:rsid w:val="00197E31"/>
    <w:rsid w:val="00197F61"/>
    <w:rsid w:val="001A0685"/>
    <w:rsid w:val="001A07F7"/>
    <w:rsid w:val="001A0C36"/>
    <w:rsid w:val="001A0D05"/>
    <w:rsid w:val="001A14FE"/>
    <w:rsid w:val="001A1988"/>
    <w:rsid w:val="001A1ACE"/>
    <w:rsid w:val="001A1CDD"/>
    <w:rsid w:val="001A1FF2"/>
    <w:rsid w:val="001A2679"/>
    <w:rsid w:val="001A2AA1"/>
    <w:rsid w:val="001A322B"/>
    <w:rsid w:val="001A3403"/>
    <w:rsid w:val="001A34CA"/>
    <w:rsid w:val="001A3EB9"/>
    <w:rsid w:val="001A3F1C"/>
    <w:rsid w:val="001A412D"/>
    <w:rsid w:val="001A4385"/>
    <w:rsid w:val="001A457A"/>
    <w:rsid w:val="001A45FC"/>
    <w:rsid w:val="001A52C2"/>
    <w:rsid w:val="001A5366"/>
    <w:rsid w:val="001A53E3"/>
    <w:rsid w:val="001A5D7C"/>
    <w:rsid w:val="001A5F8B"/>
    <w:rsid w:val="001A5FC0"/>
    <w:rsid w:val="001A65AF"/>
    <w:rsid w:val="001A6786"/>
    <w:rsid w:val="001A67B6"/>
    <w:rsid w:val="001A6A11"/>
    <w:rsid w:val="001A6EF5"/>
    <w:rsid w:val="001A742F"/>
    <w:rsid w:val="001A7760"/>
    <w:rsid w:val="001A7938"/>
    <w:rsid w:val="001A7D20"/>
    <w:rsid w:val="001A7DE9"/>
    <w:rsid w:val="001A7F4B"/>
    <w:rsid w:val="001B01DF"/>
    <w:rsid w:val="001B0960"/>
    <w:rsid w:val="001B098F"/>
    <w:rsid w:val="001B11FA"/>
    <w:rsid w:val="001B14E3"/>
    <w:rsid w:val="001B17F6"/>
    <w:rsid w:val="001B194A"/>
    <w:rsid w:val="001B23C4"/>
    <w:rsid w:val="001B26F3"/>
    <w:rsid w:val="001B3153"/>
    <w:rsid w:val="001B3802"/>
    <w:rsid w:val="001B48F0"/>
    <w:rsid w:val="001B4F02"/>
    <w:rsid w:val="001B4F8A"/>
    <w:rsid w:val="001B4FB1"/>
    <w:rsid w:val="001B5589"/>
    <w:rsid w:val="001B55F0"/>
    <w:rsid w:val="001B5618"/>
    <w:rsid w:val="001B6140"/>
    <w:rsid w:val="001B67A5"/>
    <w:rsid w:val="001B692A"/>
    <w:rsid w:val="001B6D38"/>
    <w:rsid w:val="001B7089"/>
    <w:rsid w:val="001B78FB"/>
    <w:rsid w:val="001B7BBD"/>
    <w:rsid w:val="001B7C44"/>
    <w:rsid w:val="001B7CCA"/>
    <w:rsid w:val="001C03EF"/>
    <w:rsid w:val="001C06FA"/>
    <w:rsid w:val="001C0FC0"/>
    <w:rsid w:val="001C1022"/>
    <w:rsid w:val="001C137E"/>
    <w:rsid w:val="001C2229"/>
    <w:rsid w:val="001C27C0"/>
    <w:rsid w:val="001C2BFD"/>
    <w:rsid w:val="001C2D84"/>
    <w:rsid w:val="001C2F44"/>
    <w:rsid w:val="001C2FB8"/>
    <w:rsid w:val="001C3533"/>
    <w:rsid w:val="001C36BA"/>
    <w:rsid w:val="001C399E"/>
    <w:rsid w:val="001C3A00"/>
    <w:rsid w:val="001C3BD0"/>
    <w:rsid w:val="001C44B8"/>
    <w:rsid w:val="001C4894"/>
    <w:rsid w:val="001C4CC6"/>
    <w:rsid w:val="001C5864"/>
    <w:rsid w:val="001C58DC"/>
    <w:rsid w:val="001C5C83"/>
    <w:rsid w:val="001C5DAB"/>
    <w:rsid w:val="001C5F7E"/>
    <w:rsid w:val="001C6039"/>
    <w:rsid w:val="001C71FE"/>
    <w:rsid w:val="001C7AC5"/>
    <w:rsid w:val="001C7BED"/>
    <w:rsid w:val="001C7D41"/>
    <w:rsid w:val="001D00EB"/>
    <w:rsid w:val="001D07D4"/>
    <w:rsid w:val="001D0959"/>
    <w:rsid w:val="001D0B51"/>
    <w:rsid w:val="001D129A"/>
    <w:rsid w:val="001D1F34"/>
    <w:rsid w:val="001D21CF"/>
    <w:rsid w:val="001D227F"/>
    <w:rsid w:val="001D26D3"/>
    <w:rsid w:val="001D299E"/>
    <w:rsid w:val="001D2BB7"/>
    <w:rsid w:val="001D2C4D"/>
    <w:rsid w:val="001D3ABD"/>
    <w:rsid w:val="001D3E05"/>
    <w:rsid w:val="001D4043"/>
    <w:rsid w:val="001D42A4"/>
    <w:rsid w:val="001D4448"/>
    <w:rsid w:val="001D4FF4"/>
    <w:rsid w:val="001D5444"/>
    <w:rsid w:val="001D5AA6"/>
    <w:rsid w:val="001D5FA3"/>
    <w:rsid w:val="001D6123"/>
    <w:rsid w:val="001D684B"/>
    <w:rsid w:val="001D6BDD"/>
    <w:rsid w:val="001D7CB9"/>
    <w:rsid w:val="001E0C6E"/>
    <w:rsid w:val="001E10D6"/>
    <w:rsid w:val="001E1843"/>
    <w:rsid w:val="001E1844"/>
    <w:rsid w:val="001E18DC"/>
    <w:rsid w:val="001E2367"/>
    <w:rsid w:val="001E31B9"/>
    <w:rsid w:val="001E31CD"/>
    <w:rsid w:val="001E32C9"/>
    <w:rsid w:val="001E3386"/>
    <w:rsid w:val="001E376A"/>
    <w:rsid w:val="001E3B79"/>
    <w:rsid w:val="001E41D2"/>
    <w:rsid w:val="001E46F7"/>
    <w:rsid w:val="001E4CCA"/>
    <w:rsid w:val="001E4FC2"/>
    <w:rsid w:val="001E53A0"/>
    <w:rsid w:val="001E574C"/>
    <w:rsid w:val="001E697F"/>
    <w:rsid w:val="001E6D8F"/>
    <w:rsid w:val="001E7016"/>
    <w:rsid w:val="001E703B"/>
    <w:rsid w:val="001E7577"/>
    <w:rsid w:val="001E7850"/>
    <w:rsid w:val="001E7998"/>
    <w:rsid w:val="001E7CC6"/>
    <w:rsid w:val="001F0A7E"/>
    <w:rsid w:val="001F0BF2"/>
    <w:rsid w:val="001F0FE6"/>
    <w:rsid w:val="001F19B4"/>
    <w:rsid w:val="001F1F94"/>
    <w:rsid w:val="001F353A"/>
    <w:rsid w:val="001F38E7"/>
    <w:rsid w:val="001F3A4D"/>
    <w:rsid w:val="001F3D3F"/>
    <w:rsid w:val="001F43D5"/>
    <w:rsid w:val="001F44B3"/>
    <w:rsid w:val="001F44B6"/>
    <w:rsid w:val="001F46AA"/>
    <w:rsid w:val="001F4781"/>
    <w:rsid w:val="001F498E"/>
    <w:rsid w:val="001F49EE"/>
    <w:rsid w:val="001F50F3"/>
    <w:rsid w:val="001F5592"/>
    <w:rsid w:val="001F5822"/>
    <w:rsid w:val="001F5A91"/>
    <w:rsid w:val="001F5CE1"/>
    <w:rsid w:val="001F60D3"/>
    <w:rsid w:val="001F6205"/>
    <w:rsid w:val="001F65AE"/>
    <w:rsid w:val="001F67EC"/>
    <w:rsid w:val="001F759C"/>
    <w:rsid w:val="001F7F26"/>
    <w:rsid w:val="002005D3"/>
    <w:rsid w:val="002008B8"/>
    <w:rsid w:val="00200AC9"/>
    <w:rsid w:val="002014D6"/>
    <w:rsid w:val="00201A48"/>
    <w:rsid w:val="00201BB0"/>
    <w:rsid w:val="00201C73"/>
    <w:rsid w:val="00202300"/>
    <w:rsid w:val="00202BF5"/>
    <w:rsid w:val="00203489"/>
    <w:rsid w:val="00203825"/>
    <w:rsid w:val="00203C94"/>
    <w:rsid w:val="00203D0C"/>
    <w:rsid w:val="00203FC4"/>
    <w:rsid w:val="00204203"/>
    <w:rsid w:val="00204D9F"/>
    <w:rsid w:val="0020509B"/>
    <w:rsid w:val="00205600"/>
    <w:rsid w:val="002062F5"/>
    <w:rsid w:val="002069F6"/>
    <w:rsid w:val="0020732E"/>
    <w:rsid w:val="00207658"/>
    <w:rsid w:val="0020767E"/>
    <w:rsid w:val="00207689"/>
    <w:rsid w:val="00207CB1"/>
    <w:rsid w:val="002106AD"/>
    <w:rsid w:val="002106CE"/>
    <w:rsid w:val="00211480"/>
    <w:rsid w:val="002123CB"/>
    <w:rsid w:val="00212502"/>
    <w:rsid w:val="00212770"/>
    <w:rsid w:val="002133C1"/>
    <w:rsid w:val="002137B7"/>
    <w:rsid w:val="00214054"/>
    <w:rsid w:val="002141AF"/>
    <w:rsid w:val="0021477B"/>
    <w:rsid w:val="00214B73"/>
    <w:rsid w:val="00215169"/>
    <w:rsid w:val="00215240"/>
    <w:rsid w:val="0021592C"/>
    <w:rsid w:val="00215ADF"/>
    <w:rsid w:val="00215E05"/>
    <w:rsid w:val="002161DA"/>
    <w:rsid w:val="00216FF4"/>
    <w:rsid w:val="00217C92"/>
    <w:rsid w:val="00217FB7"/>
    <w:rsid w:val="00220C1F"/>
    <w:rsid w:val="00220E5A"/>
    <w:rsid w:val="002214AC"/>
    <w:rsid w:val="0022151D"/>
    <w:rsid w:val="002219F3"/>
    <w:rsid w:val="00221DFB"/>
    <w:rsid w:val="002221B3"/>
    <w:rsid w:val="00222398"/>
    <w:rsid w:val="00222507"/>
    <w:rsid w:val="00223D8E"/>
    <w:rsid w:val="00224041"/>
    <w:rsid w:val="002240EC"/>
    <w:rsid w:val="00224821"/>
    <w:rsid w:val="00224C73"/>
    <w:rsid w:val="00224FEB"/>
    <w:rsid w:val="00225291"/>
    <w:rsid w:val="002253AA"/>
    <w:rsid w:val="00225576"/>
    <w:rsid w:val="00225C27"/>
    <w:rsid w:val="002261FB"/>
    <w:rsid w:val="00226584"/>
    <w:rsid w:val="00226BA4"/>
    <w:rsid w:val="00226BA9"/>
    <w:rsid w:val="0022707F"/>
    <w:rsid w:val="00227099"/>
    <w:rsid w:val="0022784D"/>
    <w:rsid w:val="00227E93"/>
    <w:rsid w:val="00230559"/>
    <w:rsid w:val="0023181C"/>
    <w:rsid w:val="00231D63"/>
    <w:rsid w:val="00231E45"/>
    <w:rsid w:val="002322B4"/>
    <w:rsid w:val="00232E59"/>
    <w:rsid w:val="00232F4A"/>
    <w:rsid w:val="002330AA"/>
    <w:rsid w:val="00233AD8"/>
    <w:rsid w:val="002347C3"/>
    <w:rsid w:val="00234A2B"/>
    <w:rsid w:val="00234A66"/>
    <w:rsid w:val="00234C13"/>
    <w:rsid w:val="00235056"/>
    <w:rsid w:val="00235A0B"/>
    <w:rsid w:val="00236494"/>
    <w:rsid w:val="002367B3"/>
    <w:rsid w:val="00236804"/>
    <w:rsid w:val="00236CB0"/>
    <w:rsid w:val="00236D4B"/>
    <w:rsid w:val="00237C3F"/>
    <w:rsid w:val="002409F9"/>
    <w:rsid w:val="002414A0"/>
    <w:rsid w:val="002415C0"/>
    <w:rsid w:val="00241697"/>
    <w:rsid w:val="00241BAC"/>
    <w:rsid w:val="00241FAD"/>
    <w:rsid w:val="00242631"/>
    <w:rsid w:val="00242E7A"/>
    <w:rsid w:val="002434E0"/>
    <w:rsid w:val="00243E61"/>
    <w:rsid w:val="002444ED"/>
    <w:rsid w:val="00244E6D"/>
    <w:rsid w:val="00244EA3"/>
    <w:rsid w:val="0024511B"/>
    <w:rsid w:val="00245FA9"/>
    <w:rsid w:val="0024645C"/>
    <w:rsid w:val="00246838"/>
    <w:rsid w:val="00247784"/>
    <w:rsid w:val="00250309"/>
    <w:rsid w:val="00250737"/>
    <w:rsid w:val="00250B6D"/>
    <w:rsid w:val="00250EA7"/>
    <w:rsid w:val="00251246"/>
    <w:rsid w:val="0025188C"/>
    <w:rsid w:val="00251F5D"/>
    <w:rsid w:val="00251FE9"/>
    <w:rsid w:val="002524E1"/>
    <w:rsid w:val="00252793"/>
    <w:rsid w:val="00252AF2"/>
    <w:rsid w:val="00253341"/>
    <w:rsid w:val="002537FD"/>
    <w:rsid w:val="00253B40"/>
    <w:rsid w:val="00255820"/>
    <w:rsid w:val="00255AE8"/>
    <w:rsid w:val="00255C7F"/>
    <w:rsid w:val="00255EB2"/>
    <w:rsid w:val="00256A95"/>
    <w:rsid w:val="00256AC6"/>
    <w:rsid w:val="00256E1C"/>
    <w:rsid w:val="00256EB2"/>
    <w:rsid w:val="00256F9C"/>
    <w:rsid w:val="0025734E"/>
    <w:rsid w:val="0025767D"/>
    <w:rsid w:val="00257971"/>
    <w:rsid w:val="00257BF0"/>
    <w:rsid w:val="002608E3"/>
    <w:rsid w:val="002609D9"/>
    <w:rsid w:val="00260B92"/>
    <w:rsid w:val="00260FBD"/>
    <w:rsid w:val="002612AF"/>
    <w:rsid w:val="00261755"/>
    <w:rsid w:val="00261D44"/>
    <w:rsid w:val="00261E61"/>
    <w:rsid w:val="00262236"/>
    <w:rsid w:val="00263861"/>
    <w:rsid w:val="002639D0"/>
    <w:rsid w:val="00263A56"/>
    <w:rsid w:val="00263B19"/>
    <w:rsid w:val="002644E9"/>
    <w:rsid w:val="0026453E"/>
    <w:rsid w:val="0026501C"/>
    <w:rsid w:val="002651CE"/>
    <w:rsid w:val="0026579F"/>
    <w:rsid w:val="00265BC5"/>
    <w:rsid w:val="00266141"/>
    <w:rsid w:val="002668B2"/>
    <w:rsid w:val="00266B5D"/>
    <w:rsid w:val="00266F9F"/>
    <w:rsid w:val="0026758A"/>
    <w:rsid w:val="0026779F"/>
    <w:rsid w:val="00267993"/>
    <w:rsid w:val="00267CB1"/>
    <w:rsid w:val="00267DEC"/>
    <w:rsid w:val="00270827"/>
    <w:rsid w:val="0027095E"/>
    <w:rsid w:val="00270CFE"/>
    <w:rsid w:val="0027143B"/>
    <w:rsid w:val="00271D1A"/>
    <w:rsid w:val="00271EE1"/>
    <w:rsid w:val="002725AC"/>
    <w:rsid w:val="002727C3"/>
    <w:rsid w:val="0027471E"/>
    <w:rsid w:val="002749E3"/>
    <w:rsid w:val="002749EB"/>
    <w:rsid w:val="00274B1F"/>
    <w:rsid w:val="00274C57"/>
    <w:rsid w:val="002753C7"/>
    <w:rsid w:val="00275780"/>
    <w:rsid w:val="00275E40"/>
    <w:rsid w:val="00275E81"/>
    <w:rsid w:val="0027632D"/>
    <w:rsid w:val="002767E1"/>
    <w:rsid w:val="00276B48"/>
    <w:rsid w:val="00277067"/>
    <w:rsid w:val="002774D7"/>
    <w:rsid w:val="0027784E"/>
    <w:rsid w:val="00280F63"/>
    <w:rsid w:val="00281158"/>
    <w:rsid w:val="00281AA2"/>
    <w:rsid w:val="00281BB4"/>
    <w:rsid w:val="002820F4"/>
    <w:rsid w:val="002821F1"/>
    <w:rsid w:val="002824C3"/>
    <w:rsid w:val="00282770"/>
    <w:rsid w:val="002827FE"/>
    <w:rsid w:val="00282863"/>
    <w:rsid w:val="002829A4"/>
    <w:rsid w:val="00282F15"/>
    <w:rsid w:val="00282FB5"/>
    <w:rsid w:val="002830D4"/>
    <w:rsid w:val="002833F5"/>
    <w:rsid w:val="00283F98"/>
    <w:rsid w:val="002847F1"/>
    <w:rsid w:val="00284A57"/>
    <w:rsid w:val="00284C1D"/>
    <w:rsid w:val="002851D3"/>
    <w:rsid w:val="002852C6"/>
    <w:rsid w:val="00285688"/>
    <w:rsid w:val="0028577D"/>
    <w:rsid w:val="002857EC"/>
    <w:rsid w:val="00285D94"/>
    <w:rsid w:val="00286032"/>
    <w:rsid w:val="00286E8B"/>
    <w:rsid w:val="00286F8D"/>
    <w:rsid w:val="00287514"/>
    <w:rsid w:val="00287855"/>
    <w:rsid w:val="00287E9A"/>
    <w:rsid w:val="00290E0A"/>
    <w:rsid w:val="002912AD"/>
    <w:rsid w:val="00291301"/>
    <w:rsid w:val="00291356"/>
    <w:rsid w:val="00291F40"/>
    <w:rsid w:val="00293065"/>
    <w:rsid w:val="002936A6"/>
    <w:rsid w:val="00293A5D"/>
    <w:rsid w:val="00294212"/>
    <w:rsid w:val="00294947"/>
    <w:rsid w:val="0029495D"/>
    <w:rsid w:val="00294F8C"/>
    <w:rsid w:val="00295263"/>
    <w:rsid w:val="00295924"/>
    <w:rsid w:val="00295CE6"/>
    <w:rsid w:val="002964B3"/>
    <w:rsid w:val="00296554"/>
    <w:rsid w:val="002969D2"/>
    <w:rsid w:val="00296A84"/>
    <w:rsid w:val="00296C3E"/>
    <w:rsid w:val="00296E37"/>
    <w:rsid w:val="002973CA"/>
    <w:rsid w:val="00297B91"/>
    <w:rsid w:val="00297C3D"/>
    <w:rsid w:val="00297EBF"/>
    <w:rsid w:val="002A052B"/>
    <w:rsid w:val="002A0B2B"/>
    <w:rsid w:val="002A0FA8"/>
    <w:rsid w:val="002A103D"/>
    <w:rsid w:val="002A12C3"/>
    <w:rsid w:val="002A1A67"/>
    <w:rsid w:val="002A2BBA"/>
    <w:rsid w:val="002A2E36"/>
    <w:rsid w:val="002A3230"/>
    <w:rsid w:val="002A35BD"/>
    <w:rsid w:val="002A40FA"/>
    <w:rsid w:val="002A41E3"/>
    <w:rsid w:val="002A434B"/>
    <w:rsid w:val="002A437A"/>
    <w:rsid w:val="002A4417"/>
    <w:rsid w:val="002A4BC2"/>
    <w:rsid w:val="002A4C47"/>
    <w:rsid w:val="002A4EF2"/>
    <w:rsid w:val="002A529D"/>
    <w:rsid w:val="002A53C4"/>
    <w:rsid w:val="002A6D50"/>
    <w:rsid w:val="002A6D78"/>
    <w:rsid w:val="002A6EF4"/>
    <w:rsid w:val="002A725A"/>
    <w:rsid w:val="002A7385"/>
    <w:rsid w:val="002A7640"/>
    <w:rsid w:val="002A7E13"/>
    <w:rsid w:val="002A7F77"/>
    <w:rsid w:val="002B0163"/>
    <w:rsid w:val="002B0214"/>
    <w:rsid w:val="002B02A1"/>
    <w:rsid w:val="002B0335"/>
    <w:rsid w:val="002B0975"/>
    <w:rsid w:val="002B14ED"/>
    <w:rsid w:val="002B243B"/>
    <w:rsid w:val="002B2490"/>
    <w:rsid w:val="002B2B54"/>
    <w:rsid w:val="002B2B60"/>
    <w:rsid w:val="002B2DBC"/>
    <w:rsid w:val="002B2F33"/>
    <w:rsid w:val="002B304B"/>
    <w:rsid w:val="002B332F"/>
    <w:rsid w:val="002B33ED"/>
    <w:rsid w:val="002B3BCE"/>
    <w:rsid w:val="002B429F"/>
    <w:rsid w:val="002B43EA"/>
    <w:rsid w:val="002B45A8"/>
    <w:rsid w:val="002B45F2"/>
    <w:rsid w:val="002B5355"/>
    <w:rsid w:val="002B5377"/>
    <w:rsid w:val="002B6181"/>
    <w:rsid w:val="002B6FE5"/>
    <w:rsid w:val="002B73B5"/>
    <w:rsid w:val="002B7FE4"/>
    <w:rsid w:val="002C0277"/>
    <w:rsid w:val="002C0F04"/>
    <w:rsid w:val="002C13BE"/>
    <w:rsid w:val="002C1C21"/>
    <w:rsid w:val="002C208A"/>
    <w:rsid w:val="002C215D"/>
    <w:rsid w:val="002C2446"/>
    <w:rsid w:val="002C2621"/>
    <w:rsid w:val="002C2CF9"/>
    <w:rsid w:val="002C2D20"/>
    <w:rsid w:val="002C2D28"/>
    <w:rsid w:val="002C3394"/>
    <w:rsid w:val="002C3A44"/>
    <w:rsid w:val="002C3BA5"/>
    <w:rsid w:val="002C3CE2"/>
    <w:rsid w:val="002C3DF0"/>
    <w:rsid w:val="002C4308"/>
    <w:rsid w:val="002C448A"/>
    <w:rsid w:val="002C4771"/>
    <w:rsid w:val="002C4FFB"/>
    <w:rsid w:val="002C526F"/>
    <w:rsid w:val="002C583F"/>
    <w:rsid w:val="002C5872"/>
    <w:rsid w:val="002C65A3"/>
    <w:rsid w:val="002C6B66"/>
    <w:rsid w:val="002C70A3"/>
    <w:rsid w:val="002C7E03"/>
    <w:rsid w:val="002C7E1A"/>
    <w:rsid w:val="002C7E6B"/>
    <w:rsid w:val="002D0627"/>
    <w:rsid w:val="002D0650"/>
    <w:rsid w:val="002D123F"/>
    <w:rsid w:val="002D142A"/>
    <w:rsid w:val="002D1499"/>
    <w:rsid w:val="002D1580"/>
    <w:rsid w:val="002D1BA4"/>
    <w:rsid w:val="002D1CE1"/>
    <w:rsid w:val="002D1F63"/>
    <w:rsid w:val="002D2013"/>
    <w:rsid w:val="002D2485"/>
    <w:rsid w:val="002D2598"/>
    <w:rsid w:val="002D291B"/>
    <w:rsid w:val="002D2BA2"/>
    <w:rsid w:val="002D2BFA"/>
    <w:rsid w:val="002D38C0"/>
    <w:rsid w:val="002D3C56"/>
    <w:rsid w:val="002D3CE6"/>
    <w:rsid w:val="002D4492"/>
    <w:rsid w:val="002D4838"/>
    <w:rsid w:val="002D4E5E"/>
    <w:rsid w:val="002D5371"/>
    <w:rsid w:val="002D5B6B"/>
    <w:rsid w:val="002D5EE4"/>
    <w:rsid w:val="002D601B"/>
    <w:rsid w:val="002D68D9"/>
    <w:rsid w:val="002D6BCF"/>
    <w:rsid w:val="002D7088"/>
    <w:rsid w:val="002D73E4"/>
    <w:rsid w:val="002D7B78"/>
    <w:rsid w:val="002D7EE8"/>
    <w:rsid w:val="002E0317"/>
    <w:rsid w:val="002E0959"/>
    <w:rsid w:val="002E13D6"/>
    <w:rsid w:val="002E18E2"/>
    <w:rsid w:val="002E1C39"/>
    <w:rsid w:val="002E21FD"/>
    <w:rsid w:val="002E2CCB"/>
    <w:rsid w:val="002E34B7"/>
    <w:rsid w:val="002E3807"/>
    <w:rsid w:val="002E387A"/>
    <w:rsid w:val="002E45D8"/>
    <w:rsid w:val="002E49E1"/>
    <w:rsid w:val="002E4A89"/>
    <w:rsid w:val="002E4C5C"/>
    <w:rsid w:val="002E509D"/>
    <w:rsid w:val="002E51F1"/>
    <w:rsid w:val="002E55A8"/>
    <w:rsid w:val="002E5783"/>
    <w:rsid w:val="002E5870"/>
    <w:rsid w:val="002E5A42"/>
    <w:rsid w:val="002E5BE9"/>
    <w:rsid w:val="002E63E6"/>
    <w:rsid w:val="002E67B3"/>
    <w:rsid w:val="002E6B8B"/>
    <w:rsid w:val="002E70BF"/>
    <w:rsid w:val="002E7862"/>
    <w:rsid w:val="002E7BD4"/>
    <w:rsid w:val="002E7F0D"/>
    <w:rsid w:val="002F02B3"/>
    <w:rsid w:val="002F0464"/>
    <w:rsid w:val="002F0EEC"/>
    <w:rsid w:val="002F1271"/>
    <w:rsid w:val="002F12AF"/>
    <w:rsid w:val="002F193B"/>
    <w:rsid w:val="002F1D6D"/>
    <w:rsid w:val="002F1D89"/>
    <w:rsid w:val="002F1DB6"/>
    <w:rsid w:val="002F235E"/>
    <w:rsid w:val="002F2738"/>
    <w:rsid w:val="002F2A9F"/>
    <w:rsid w:val="002F316C"/>
    <w:rsid w:val="002F3347"/>
    <w:rsid w:val="002F36C2"/>
    <w:rsid w:val="002F38CF"/>
    <w:rsid w:val="002F47E7"/>
    <w:rsid w:val="002F4A45"/>
    <w:rsid w:val="002F4A8B"/>
    <w:rsid w:val="002F5176"/>
    <w:rsid w:val="002F62DE"/>
    <w:rsid w:val="002F64E6"/>
    <w:rsid w:val="002F658C"/>
    <w:rsid w:val="002F65E9"/>
    <w:rsid w:val="002F692B"/>
    <w:rsid w:val="002F6C51"/>
    <w:rsid w:val="002F6D1F"/>
    <w:rsid w:val="002F6E2F"/>
    <w:rsid w:val="002F6FE6"/>
    <w:rsid w:val="002F736A"/>
    <w:rsid w:val="002F73A3"/>
    <w:rsid w:val="002F755A"/>
    <w:rsid w:val="002F7750"/>
    <w:rsid w:val="002F7ABD"/>
    <w:rsid w:val="002F7B24"/>
    <w:rsid w:val="002F7F58"/>
    <w:rsid w:val="003008E7"/>
    <w:rsid w:val="00300A49"/>
    <w:rsid w:val="00300D7B"/>
    <w:rsid w:val="00300F46"/>
    <w:rsid w:val="00300FFF"/>
    <w:rsid w:val="003010E4"/>
    <w:rsid w:val="003014E9"/>
    <w:rsid w:val="00301895"/>
    <w:rsid w:val="003018E7"/>
    <w:rsid w:val="00301BDF"/>
    <w:rsid w:val="003024E7"/>
    <w:rsid w:val="00302C74"/>
    <w:rsid w:val="00302E20"/>
    <w:rsid w:val="0030376F"/>
    <w:rsid w:val="0030399B"/>
    <w:rsid w:val="00303A4B"/>
    <w:rsid w:val="00303CB4"/>
    <w:rsid w:val="00303FF6"/>
    <w:rsid w:val="00304494"/>
    <w:rsid w:val="003045B4"/>
    <w:rsid w:val="003045F2"/>
    <w:rsid w:val="003048B0"/>
    <w:rsid w:val="00304CEA"/>
    <w:rsid w:val="00304D8A"/>
    <w:rsid w:val="00305B0D"/>
    <w:rsid w:val="00305B64"/>
    <w:rsid w:val="0030642B"/>
    <w:rsid w:val="00306777"/>
    <w:rsid w:val="00306C4D"/>
    <w:rsid w:val="00307096"/>
    <w:rsid w:val="0030742B"/>
    <w:rsid w:val="00307EAE"/>
    <w:rsid w:val="00307FDE"/>
    <w:rsid w:val="00310993"/>
    <w:rsid w:val="00310B93"/>
    <w:rsid w:val="00311890"/>
    <w:rsid w:val="00311DEC"/>
    <w:rsid w:val="003123A0"/>
    <w:rsid w:val="00312973"/>
    <w:rsid w:val="00312C93"/>
    <w:rsid w:val="00312D9C"/>
    <w:rsid w:val="00312E13"/>
    <w:rsid w:val="00312E44"/>
    <w:rsid w:val="00312FAE"/>
    <w:rsid w:val="0031307B"/>
    <w:rsid w:val="0031327C"/>
    <w:rsid w:val="0031464D"/>
    <w:rsid w:val="0031480F"/>
    <w:rsid w:val="003151DE"/>
    <w:rsid w:val="00315DEA"/>
    <w:rsid w:val="00315E86"/>
    <w:rsid w:val="0031672C"/>
    <w:rsid w:val="00317817"/>
    <w:rsid w:val="00317A75"/>
    <w:rsid w:val="00317D3D"/>
    <w:rsid w:val="00317DB6"/>
    <w:rsid w:val="00320BA3"/>
    <w:rsid w:val="00320D71"/>
    <w:rsid w:val="00320EAF"/>
    <w:rsid w:val="0032171B"/>
    <w:rsid w:val="003220AD"/>
    <w:rsid w:val="0032297C"/>
    <w:rsid w:val="00322BDE"/>
    <w:rsid w:val="00323A0E"/>
    <w:rsid w:val="00323BCA"/>
    <w:rsid w:val="003248AA"/>
    <w:rsid w:val="00324BEF"/>
    <w:rsid w:val="00324FDD"/>
    <w:rsid w:val="003252A5"/>
    <w:rsid w:val="0032538B"/>
    <w:rsid w:val="00325478"/>
    <w:rsid w:val="003257A6"/>
    <w:rsid w:val="00325CFD"/>
    <w:rsid w:val="00326201"/>
    <w:rsid w:val="003264BB"/>
    <w:rsid w:val="00326B0D"/>
    <w:rsid w:val="00326B4B"/>
    <w:rsid w:val="00327283"/>
    <w:rsid w:val="003276FB"/>
    <w:rsid w:val="0032772E"/>
    <w:rsid w:val="003279C2"/>
    <w:rsid w:val="00327A3C"/>
    <w:rsid w:val="00327D69"/>
    <w:rsid w:val="00327DF1"/>
    <w:rsid w:val="00330199"/>
    <w:rsid w:val="0033034B"/>
    <w:rsid w:val="00330358"/>
    <w:rsid w:val="0033095E"/>
    <w:rsid w:val="00330AC6"/>
    <w:rsid w:val="00330BDB"/>
    <w:rsid w:val="0033133F"/>
    <w:rsid w:val="00331C6E"/>
    <w:rsid w:val="00331D1F"/>
    <w:rsid w:val="00332042"/>
    <w:rsid w:val="00332209"/>
    <w:rsid w:val="00332EBD"/>
    <w:rsid w:val="00333115"/>
    <w:rsid w:val="003332B6"/>
    <w:rsid w:val="003333B0"/>
    <w:rsid w:val="00333B05"/>
    <w:rsid w:val="00333B50"/>
    <w:rsid w:val="00333E5D"/>
    <w:rsid w:val="00334078"/>
    <w:rsid w:val="00334831"/>
    <w:rsid w:val="00334C6B"/>
    <w:rsid w:val="00335362"/>
    <w:rsid w:val="0033628A"/>
    <w:rsid w:val="0033645D"/>
    <w:rsid w:val="00336767"/>
    <w:rsid w:val="00337651"/>
    <w:rsid w:val="00337735"/>
    <w:rsid w:val="0034021B"/>
    <w:rsid w:val="00340254"/>
    <w:rsid w:val="0034025E"/>
    <w:rsid w:val="00340906"/>
    <w:rsid w:val="00340B8C"/>
    <w:rsid w:val="003410B6"/>
    <w:rsid w:val="00341228"/>
    <w:rsid w:val="00341553"/>
    <w:rsid w:val="0034182B"/>
    <w:rsid w:val="00341BAD"/>
    <w:rsid w:val="00342269"/>
    <w:rsid w:val="003426E9"/>
    <w:rsid w:val="00343890"/>
    <w:rsid w:val="00343964"/>
    <w:rsid w:val="00343D23"/>
    <w:rsid w:val="00343D44"/>
    <w:rsid w:val="00343D75"/>
    <w:rsid w:val="00344087"/>
    <w:rsid w:val="0034451E"/>
    <w:rsid w:val="003450C7"/>
    <w:rsid w:val="0034517C"/>
    <w:rsid w:val="00345516"/>
    <w:rsid w:val="003458C2"/>
    <w:rsid w:val="00345F5E"/>
    <w:rsid w:val="00346213"/>
    <w:rsid w:val="0034644D"/>
    <w:rsid w:val="003466B7"/>
    <w:rsid w:val="003467D9"/>
    <w:rsid w:val="00346E99"/>
    <w:rsid w:val="003475BF"/>
    <w:rsid w:val="00347C70"/>
    <w:rsid w:val="00347E2B"/>
    <w:rsid w:val="00350017"/>
    <w:rsid w:val="003504B6"/>
    <w:rsid w:val="00350561"/>
    <w:rsid w:val="0035080F"/>
    <w:rsid w:val="00350925"/>
    <w:rsid w:val="00350ABA"/>
    <w:rsid w:val="00350B64"/>
    <w:rsid w:val="00350CB2"/>
    <w:rsid w:val="00350CFD"/>
    <w:rsid w:val="00350DC9"/>
    <w:rsid w:val="003510D6"/>
    <w:rsid w:val="0035141B"/>
    <w:rsid w:val="00351796"/>
    <w:rsid w:val="00351894"/>
    <w:rsid w:val="00352148"/>
    <w:rsid w:val="00352636"/>
    <w:rsid w:val="0035296D"/>
    <w:rsid w:val="003534D5"/>
    <w:rsid w:val="003537F0"/>
    <w:rsid w:val="0035507F"/>
    <w:rsid w:val="00355301"/>
    <w:rsid w:val="003557D4"/>
    <w:rsid w:val="00355A69"/>
    <w:rsid w:val="00355C01"/>
    <w:rsid w:val="00355E30"/>
    <w:rsid w:val="003563DC"/>
    <w:rsid w:val="003568E4"/>
    <w:rsid w:val="00356ED2"/>
    <w:rsid w:val="003570C4"/>
    <w:rsid w:val="003579F6"/>
    <w:rsid w:val="00357D9B"/>
    <w:rsid w:val="00357DF2"/>
    <w:rsid w:val="00360069"/>
    <w:rsid w:val="00360245"/>
    <w:rsid w:val="0036038D"/>
    <w:rsid w:val="003609DF"/>
    <w:rsid w:val="00360DEA"/>
    <w:rsid w:val="003612A0"/>
    <w:rsid w:val="003614D3"/>
    <w:rsid w:val="0036166C"/>
    <w:rsid w:val="003616E8"/>
    <w:rsid w:val="003621C7"/>
    <w:rsid w:val="003629AD"/>
    <w:rsid w:val="00362A1B"/>
    <w:rsid w:val="00363059"/>
    <w:rsid w:val="0036310F"/>
    <w:rsid w:val="00363293"/>
    <w:rsid w:val="003634F8"/>
    <w:rsid w:val="00363C2D"/>
    <w:rsid w:val="00363E64"/>
    <w:rsid w:val="00364150"/>
    <w:rsid w:val="00364223"/>
    <w:rsid w:val="00364580"/>
    <w:rsid w:val="00364710"/>
    <w:rsid w:val="0036476F"/>
    <w:rsid w:val="00364CA8"/>
    <w:rsid w:val="00365047"/>
    <w:rsid w:val="003657DF"/>
    <w:rsid w:val="003658C4"/>
    <w:rsid w:val="00365CE4"/>
    <w:rsid w:val="00366A0A"/>
    <w:rsid w:val="00366BE9"/>
    <w:rsid w:val="00370107"/>
    <w:rsid w:val="00370C25"/>
    <w:rsid w:val="00370F52"/>
    <w:rsid w:val="003710A1"/>
    <w:rsid w:val="003711A0"/>
    <w:rsid w:val="0037208B"/>
    <w:rsid w:val="00373850"/>
    <w:rsid w:val="003738BF"/>
    <w:rsid w:val="003742AB"/>
    <w:rsid w:val="00375101"/>
    <w:rsid w:val="00375993"/>
    <w:rsid w:val="00375EA8"/>
    <w:rsid w:val="003761C6"/>
    <w:rsid w:val="003767D3"/>
    <w:rsid w:val="003767DA"/>
    <w:rsid w:val="00376DA3"/>
    <w:rsid w:val="00376E55"/>
    <w:rsid w:val="003774E0"/>
    <w:rsid w:val="00377D61"/>
    <w:rsid w:val="00377DB6"/>
    <w:rsid w:val="00377FF3"/>
    <w:rsid w:val="003809E7"/>
    <w:rsid w:val="00381324"/>
    <w:rsid w:val="00381446"/>
    <w:rsid w:val="003820F7"/>
    <w:rsid w:val="00382449"/>
    <w:rsid w:val="0038277B"/>
    <w:rsid w:val="003827E3"/>
    <w:rsid w:val="00382BF5"/>
    <w:rsid w:val="00382F07"/>
    <w:rsid w:val="0038319C"/>
    <w:rsid w:val="003833A7"/>
    <w:rsid w:val="00383A18"/>
    <w:rsid w:val="00383A47"/>
    <w:rsid w:val="00383BBF"/>
    <w:rsid w:val="00383D37"/>
    <w:rsid w:val="00383F05"/>
    <w:rsid w:val="003841E5"/>
    <w:rsid w:val="003845E4"/>
    <w:rsid w:val="003850EA"/>
    <w:rsid w:val="003860C0"/>
    <w:rsid w:val="00386170"/>
    <w:rsid w:val="003866AB"/>
    <w:rsid w:val="0038674D"/>
    <w:rsid w:val="0038675F"/>
    <w:rsid w:val="00386CA0"/>
    <w:rsid w:val="00387351"/>
    <w:rsid w:val="003874A6"/>
    <w:rsid w:val="00387763"/>
    <w:rsid w:val="003900FB"/>
    <w:rsid w:val="00390464"/>
    <w:rsid w:val="00391172"/>
    <w:rsid w:val="00391520"/>
    <w:rsid w:val="003915DB"/>
    <w:rsid w:val="003915EF"/>
    <w:rsid w:val="003917FF"/>
    <w:rsid w:val="00391B19"/>
    <w:rsid w:val="00391F51"/>
    <w:rsid w:val="00392087"/>
    <w:rsid w:val="003923A6"/>
    <w:rsid w:val="0039324A"/>
    <w:rsid w:val="003936A3"/>
    <w:rsid w:val="00393B9C"/>
    <w:rsid w:val="00393F68"/>
    <w:rsid w:val="003942D8"/>
    <w:rsid w:val="003944F8"/>
    <w:rsid w:val="00394644"/>
    <w:rsid w:val="003947C3"/>
    <w:rsid w:val="00394AD6"/>
    <w:rsid w:val="00394EE2"/>
    <w:rsid w:val="00395218"/>
    <w:rsid w:val="00395355"/>
    <w:rsid w:val="0039543A"/>
    <w:rsid w:val="00395C26"/>
    <w:rsid w:val="00395D79"/>
    <w:rsid w:val="00395DB4"/>
    <w:rsid w:val="0039620C"/>
    <w:rsid w:val="0039695F"/>
    <w:rsid w:val="00396ACB"/>
    <w:rsid w:val="00396C0C"/>
    <w:rsid w:val="00396D04"/>
    <w:rsid w:val="00396D18"/>
    <w:rsid w:val="00397D68"/>
    <w:rsid w:val="00397F9D"/>
    <w:rsid w:val="003A0403"/>
    <w:rsid w:val="003A0CD2"/>
    <w:rsid w:val="003A10CF"/>
    <w:rsid w:val="003A17DD"/>
    <w:rsid w:val="003A21A2"/>
    <w:rsid w:val="003A21E8"/>
    <w:rsid w:val="003A2996"/>
    <w:rsid w:val="003A2E89"/>
    <w:rsid w:val="003A3FE0"/>
    <w:rsid w:val="003A4094"/>
    <w:rsid w:val="003A42B6"/>
    <w:rsid w:val="003A46D5"/>
    <w:rsid w:val="003A4945"/>
    <w:rsid w:val="003A4EE4"/>
    <w:rsid w:val="003A51B7"/>
    <w:rsid w:val="003A52D4"/>
    <w:rsid w:val="003A56EA"/>
    <w:rsid w:val="003A5CFC"/>
    <w:rsid w:val="003A69D4"/>
    <w:rsid w:val="003A76F1"/>
    <w:rsid w:val="003A7A75"/>
    <w:rsid w:val="003B0083"/>
    <w:rsid w:val="003B08BD"/>
    <w:rsid w:val="003B0FC4"/>
    <w:rsid w:val="003B1023"/>
    <w:rsid w:val="003B1182"/>
    <w:rsid w:val="003B23B4"/>
    <w:rsid w:val="003B2E29"/>
    <w:rsid w:val="003B2E83"/>
    <w:rsid w:val="003B34F3"/>
    <w:rsid w:val="003B3AEC"/>
    <w:rsid w:val="003B3EB9"/>
    <w:rsid w:val="003B3EBB"/>
    <w:rsid w:val="003B4324"/>
    <w:rsid w:val="003B484F"/>
    <w:rsid w:val="003B4BAF"/>
    <w:rsid w:val="003B4FD8"/>
    <w:rsid w:val="003B524B"/>
    <w:rsid w:val="003B561C"/>
    <w:rsid w:val="003B5BCA"/>
    <w:rsid w:val="003B5D0A"/>
    <w:rsid w:val="003B5F0E"/>
    <w:rsid w:val="003B67CE"/>
    <w:rsid w:val="003B7232"/>
    <w:rsid w:val="003B745A"/>
    <w:rsid w:val="003B74A5"/>
    <w:rsid w:val="003B78A2"/>
    <w:rsid w:val="003B7D34"/>
    <w:rsid w:val="003C0B2F"/>
    <w:rsid w:val="003C0C8C"/>
    <w:rsid w:val="003C0D65"/>
    <w:rsid w:val="003C0F00"/>
    <w:rsid w:val="003C1014"/>
    <w:rsid w:val="003C12B3"/>
    <w:rsid w:val="003C1616"/>
    <w:rsid w:val="003C1698"/>
    <w:rsid w:val="003C26DA"/>
    <w:rsid w:val="003C2858"/>
    <w:rsid w:val="003C2B8A"/>
    <w:rsid w:val="003C2C7B"/>
    <w:rsid w:val="003C2ECC"/>
    <w:rsid w:val="003C2FB4"/>
    <w:rsid w:val="003C35E2"/>
    <w:rsid w:val="003C3628"/>
    <w:rsid w:val="003C4315"/>
    <w:rsid w:val="003C4E00"/>
    <w:rsid w:val="003C4FAC"/>
    <w:rsid w:val="003C51D0"/>
    <w:rsid w:val="003C55FC"/>
    <w:rsid w:val="003C5789"/>
    <w:rsid w:val="003C5ADD"/>
    <w:rsid w:val="003C5E61"/>
    <w:rsid w:val="003C6237"/>
    <w:rsid w:val="003C6EE2"/>
    <w:rsid w:val="003C7785"/>
    <w:rsid w:val="003C77F2"/>
    <w:rsid w:val="003C79C4"/>
    <w:rsid w:val="003C7BD7"/>
    <w:rsid w:val="003C7C78"/>
    <w:rsid w:val="003D0442"/>
    <w:rsid w:val="003D082F"/>
    <w:rsid w:val="003D1425"/>
    <w:rsid w:val="003D1CE7"/>
    <w:rsid w:val="003D1D3A"/>
    <w:rsid w:val="003D228D"/>
    <w:rsid w:val="003D256F"/>
    <w:rsid w:val="003D2C3E"/>
    <w:rsid w:val="003D2C7A"/>
    <w:rsid w:val="003D2DBB"/>
    <w:rsid w:val="003D3187"/>
    <w:rsid w:val="003D3D72"/>
    <w:rsid w:val="003D41AA"/>
    <w:rsid w:val="003D41DC"/>
    <w:rsid w:val="003D46B8"/>
    <w:rsid w:val="003D49CD"/>
    <w:rsid w:val="003D4A83"/>
    <w:rsid w:val="003D4CF1"/>
    <w:rsid w:val="003D51B8"/>
    <w:rsid w:val="003D51F9"/>
    <w:rsid w:val="003D5516"/>
    <w:rsid w:val="003D556A"/>
    <w:rsid w:val="003D5DD5"/>
    <w:rsid w:val="003D661A"/>
    <w:rsid w:val="003D6624"/>
    <w:rsid w:val="003D6965"/>
    <w:rsid w:val="003D6CCE"/>
    <w:rsid w:val="003D6FD2"/>
    <w:rsid w:val="003D7229"/>
    <w:rsid w:val="003D7840"/>
    <w:rsid w:val="003D7FE7"/>
    <w:rsid w:val="003E02E9"/>
    <w:rsid w:val="003E09E7"/>
    <w:rsid w:val="003E1162"/>
    <w:rsid w:val="003E132B"/>
    <w:rsid w:val="003E18A8"/>
    <w:rsid w:val="003E1C59"/>
    <w:rsid w:val="003E203D"/>
    <w:rsid w:val="003E2060"/>
    <w:rsid w:val="003E23ED"/>
    <w:rsid w:val="003E2AE7"/>
    <w:rsid w:val="003E3039"/>
    <w:rsid w:val="003E3146"/>
    <w:rsid w:val="003E34F7"/>
    <w:rsid w:val="003E4261"/>
    <w:rsid w:val="003E4F8F"/>
    <w:rsid w:val="003E516B"/>
    <w:rsid w:val="003E5A16"/>
    <w:rsid w:val="003E5AD9"/>
    <w:rsid w:val="003E5C0F"/>
    <w:rsid w:val="003E6322"/>
    <w:rsid w:val="003E6434"/>
    <w:rsid w:val="003E64D0"/>
    <w:rsid w:val="003E6A19"/>
    <w:rsid w:val="003E6B26"/>
    <w:rsid w:val="003E6DAC"/>
    <w:rsid w:val="003E6EB6"/>
    <w:rsid w:val="003E6F7E"/>
    <w:rsid w:val="003E73EA"/>
    <w:rsid w:val="003E7624"/>
    <w:rsid w:val="003E7F5C"/>
    <w:rsid w:val="003F0125"/>
    <w:rsid w:val="003F016C"/>
    <w:rsid w:val="003F0962"/>
    <w:rsid w:val="003F0AA6"/>
    <w:rsid w:val="003F1233"/>
    <w:rsid w:val="003F12DA"/>
    <w:rsid w:val="003F1326"/>
    <w:rsid w:val="003F1855"/>
    <w:rsid w:val="003F1C43"/>
    <w:rsid w:val="003F1DA7"/>
    <w:rsid w:val="003F1E56"/>
    <w:rsid w:val="003F2215"/>
    <w:rsid w:val="003F274C"/>
    <w:rsid w:val="003F32CD"/>
    <w:rsid w:val="003F3762"/>
    <w:rsid w:val="003F39E5"/>
    <w:rsid w:val="003F3DFB"/>
    <w:rsid w:val="003F3F8C"/>
    <w:rsid w:val="003F412E"/>
    <w:rsid w:val="003F4E52"/>
    <w:rsid w:val="003F5A6E"/>
    <w:rsid w:val="003F5B14"/>
    <w:rsid w:val="003F5B24"/>
    <w:rsid w:val="003F5BE6"/>
    <w:rsid w:val="003F62A1"/>
    <w:rsid w:val="003F634C"/>
    <w:rsid w:val="003F67BB"/>
    <w:rsid w:val="003F7FDB"/>
    <w:rsid w:val="004001D8"/>
    <w:rsid w:val="0040032F"/>
    <w:rsid w:val="00400391"/>
    <w:rsid w:val="0040068D"/>
    <w:rsid w:val="0040155D"/>
    <w:rsid w:val="00401615"/>
    <w:rsid w:val="00401BB1"/>
    <w:rsid w:val="00401D55"/>
    <w:rsid w:val="00403051"/>
    <w:rsid w:val="00403147"/>
    <w:rsid w:val="00403B56"/>
    <w:rsid w:val="00403B5D"/>
    <w:rsid w:val="004041EA"/>
    <w:rsid w:val="00404EAA"/>
    <w:rsid w:val="00405262"/>
    <w:rsid w:val="0040564A"/>
    <w:rsid w:val="00406219"/>
    <w:rsid w:val="00406236"/>
    <w:rsid w:val="0040641F"/>
    <w:rsid w:val="00406488"/>
    <w:rsid w:val="00406D34"/>
    <w:rsid w:val="00406D41"/>
    <w:rsid w:val="00406F98"/>
    <w:rsid w:val="00407122"/>
    <w:rsid w:val="0040714D"/>
    <w:rsid w:val="004072F6"/>
    <w:rsid w:val="004073D8"/>
    <w:rsid w:val="00407862"/>
    <w:rsid w:val="004117C4"/>
    <w:rsid w:val="0041187F"/>
    <w:rsid w:val="00411A28"/>
    <w:rsid w:val="00411ABF"/>
    <w:rsid w:val="00411D51"/>
    <w:rsid w:val="00412186"/>
    <w:rsid w:val="0041255A"/>
    <w:rsid w:val="004127C4"/>
    <w:rsid w:val="00412B01"/>
    <w:rsid w:val="004130B2"/>
    <w:rsid w:val="004130C8"/>
    <w:rsid w:val="0041345F"/>
    <w:rsid w:val="00413A19"/>
    <w:rsid w:val="00413C04"/>
    <w:rsid w:val="004144A5"/>
    <w:rsid w:val="004156A9"/>
    <w:rsid w:val="004156AA"/>
    <w:rsid w:val="00415AEF"/>
    <w:rsid w:val="00415E67"/>
    <w:rsid w:val="0041667D"/>
    <w:rsid w:val="00416A18"/>
    <w:rsid w:val="00417017"/>
    <w:rsid w:val="004171D8"/>
    <w:rsid w:val="004171FF"/>
    <w:rsid w:val="00417344"/>
    <w:rsid w:val="00417585"/>
    <w:rsid w:val="00417899"/>
    <w:rsid w:val="00417DD6"/>
    <w:rsid w:val="00420C12"/>
    <w:rsid w:val="00420F1A"/>
    <w:rsid w:val="00421C4A"/>
    <w:rsid w:val="00421D32"/>
    <w:rsid w:val="00421FFE"/>
    <w:rsid w:val="0042249E"/>
    <w:rsid w:val="004225B8"/>
    <w:rsid w:val="004226B9"/>
    <w:rsid w:val="004228F4"/>
    <w:rsid w:val="0042295F"/>
    <w:rsid w:val="00422EC3"/>
    <w:rsid w:val="00423443"/>
    <w:rsid w:val="004238A2"/>
    <w:rsid w:val="00423976"/>
    <w:rsid w:val="00423BBE"/>
    <w:rsid w:val="0042440F"/>
    <w:rsid w:val="004245FD"/>
    <w:rsid w:val="00424A4A"/>
    <w:rsid w:val="004254F5"/>
    <w:rsid w:val="00425EA4"/>
    <w:rsid w:val="00426166"/>
    <w:rsid w:val="00426715"/>
    <w:rsid w:val="00426758"/>
    <w:rsid w:val="004268DF"/>
    <w:rsid w:val="00426ABF"/>
    <w:rsid w:val="00426C6E"/>
    <w:rsid w:val="00427714"/>
    <w:rsid w:val="00427D4E"/>
    <w:rsid w:val="00430131"/>
    <w:rsid w:val="00430175"/>
    <w:rsid w:val="00430361"/>
    <w:rsid w:val="00430DC1"/>
    <w:rsid w:val="004310F1"/>
    <w:rsid w:val="004319EB"/>
    <w:rsid w:val="00431BAB"/>
    <w:rsid w:val="00432175"/>
    <w:rsid w:val="004322C2"/>
    <w:rsid w:val="00432673"/>
    <w:rsid w:val="004343F4"/>
    <w:rsid w:val="00434D6D"/>
    <w:rsid w:val="00435A39"/>
    <w:rsid w:val="004362E5"/>
    <w:rsid w:val="004363DD"/>
    <w:rsid w:val="00436772"/>
    <w:rsid w:val="004379C6"/>
    <w:rsid w:val="00437BBA"/>
    <w:rsid w:val="00440D51"/>
    <w:rsid w:val="00440FB6"/>
    <w:rsid w:val="004414BE"/>
    <w:rsid w:val="004417EE"/>
    <w:rsid w:val="00441DDD"/>
    <w:rsid w:val="004422E2"/>
    <w:rsid w:val="004425F5"/>
    <w:rsid w:val="004426FA"/>
    <w:rsid w:val="00442785"/>
    <w:rsid w:val="0044279D"/>
    <w:rsid w:val="004427D8"/>
    <w:rsid w:val="00442CEB"/>
    <w:rsid w:val="004430B3"/>
    <w:rsid w:val="0044329C"/>
    <w:rsid w:val="0044333F"/>
    <w:rsid w:val="00443916"/>
    <w:rsid w:val="004439EE"/>
    <w:rsid w:val="00443C7A"/>
    <w:rsid w:val="00443D04"/>
    <w:rsid w:val="00443D5A"/>
    <w:rsid w:val="00443FA9"/>
    <w:rsid w:val="0044410A"/>
    <w:rsid w:val="00444873"/>
    <w:rsid w:val="00444907"/>
    <w:rsid w:val="004449F0"/>
    <w:rsid w:val="00444A18"/>
    <w:rsid w:val="00444BBB"/>
    <w:rsid w:val="00444C24"/>
    <w:rsid w:val="00444D77"/>
    <w:rsid w:val="004453D5"/>
    <w:rsid w:val="00446008"/>
    <w:rsid w:val="004461F5"/>
    <w:rsid w:val="004463ED"/>
    <w:rsid w:val="004468D2"/>
    <w:rsid w:val="00447DD4"/>
    <w:rsid w:val="00450000"/>
    <w:rsid w:val="004503F3"/>
    <w:rsid w:val="004503FE"/>
    <w:rsid w:val="004506FE"/>
    <w:rsid w:val="00450833"/>
    <w:rsid w:val="0045085B"/>
    <w:rsid w:val="00450CD9"/>
    <w:rsid w:val="004516C4"/>
    <w:rsid w:val="00451EAF"/>
    <w:rsid w:val="004526B7"/>
    <w:rsid w:val="00453485"/>
    <w:rsid w:val="004537CC"/>
    <w:rsid w:val="004537D2"/>
    <w:rsid w:val="00453DE5"/>
    <w:rsid w:val="00453DEF"/>
    <w:rsid w:val="004548A8"/>
    <w:rsid w:val="00454B25"/>
    <w:rsid w:val="00454C36"/>
    <w:rsid w:val="00455233"/>
    <w:rsid w:val="00455362"/>
    <w:rsid w:val="004563F9"/>
    <w:rsid w:val="004566AC"/>
    <w:rsid w:val="00456C8F"/>
    <w:rsid w:val="00456F5A"/>
    <w:rsid w:val="00457C0D"/>
    <w:rsid w:val="00457C1C"/>
    <w:rsid w:val="00460104"/>
    <w:rsid w:val="00460152"/>
    <w:rsid w:val="00460315"/>
    <w:rsid w:val="00460503"/>
    <w:rsid w:val="00460564"/>
    <w:rsid w:val="00460ADB"/>
    <w:rsid w:val="00461106"/>
    <w:rsid w:val="0046166A"/>
    <w:rsid w:val="004616D2"/>
    <w:rsid w:val="004618FF"/>
    <w:rsid w:val="004619E5"/>
    <w:rsid w:val="00461AB5"/>
    <w:rsid w:val="00461B77"/>
    <w:rsid w:val="00461CA0"/>
    <w:rsid w:val="00461CAE"/>
    <w:rsid w:val="004621B4"/>
    <w:rsid w:val="0046224D"/>
    <w:rsid w:val="004625CE"/>
    <w:rsid w:val="004634D2"/>
    <w:rsid w:val="00463C36"/>
    <w:rsid w:val="00463ECB"/>
    <w:rsid w:val="0046424B"/>
    <w:rsid w:val="00464823"/>
    <w:rsid w:val="0046504F"/>
    <w:rsid w:val="00465575"/>
    <w:rsid w:val="004656C2"/>
    <w:rsid w:val="00465F7C"/>
    <w:rsid w:val="00466223"/>
    <w:rsid w:val="0046657E"/>
    <w:rsid w:val="00466B3C"/>
    <w:rsid w:val="00466BE6"/>
    <w:rsid w:val="0046744C"/>
    <w:rsid w:val="0046746F"/>
    <w:rsid w:val="00467C11"/>
    <w:rsid w:val="00467E5A"/>
    <w:rsid w:val="00467F1F"/>
    <w:rsid w:val="0047047A"/>
    <w:rsid w:val="00470660"/>
    <w:rsid w:val="004706E6"/>
    <w:rsid w:val="00470A3F"/>
    <w:rsid w:val="00471859"/>
    <w:rsid w:val="004719F3"/>
    <w:rsid w:val="00471A6A"/>
    <w:rsid w:val="00471CB0"/>
    <w:rsid w:val="00471F0D"/>
    <w:rsid w:val="004724F0"/>
    <w:rsid w:val="004727B7"/>
    <w:rsid w:val="00472C31"/>
    <w:rsid w:val="00472DBF"/>
    <w:rsid w:val="00472FAB"/>
    <w:rsid w:val="00473031"/>
    <w:rsid w:val="00473106"/>
    <w:rsid w:val="00473D77"/>
    <w:rsid w:val="00473F20"/>
    <w:rsid w:val="00475C26"/>
    <w:rsid w:val="004768DF"/>
    <w:rsid w:val="00476C3E"/>
    <w:rsid w:val="00476CBE"/>
    <w:rsid w:val="00476CC6"/>
    <w:rsid w:val="0047724B"/>
    <w:rsid w:val="004778E4"/>
    <w:rsid w:val="00477BF6"/>
    <w:rsid w:val="00477D74"/>
    <w:rsid w:val="00477E52"/>
    <w:rsid w:val="00480695"/>
    <w:rsid w:val="004806F4"/>
    <w:rsid w:val="00480DE2"/>
    <w:rsid w:val="004814B2"/>
    <w:rsid w:val="004814F8"/>
    <w:rsid w:val="00481964"/>
    <w:rsid w:val="004819C1"/>
    <w:rsid w:val="00481B31"/>
    <w:rsid w:val="00482596"/>
    <w:rsid w:val="004828D4"/>
    <w:rsid w:val="00482C03"/>
    <w:rsid w:val="00482D1C"/>
    <w:rsid w:val="0048340E"/>
    <w:rsid w:val="004835B7"/>
    <w:rsid w:val="00483D0A"/>
    <w:rsid w:val="00484646"/>
    <w:rsid w:val="00484C4F"/>
    <w:rsid w:val="00484DFF"/>
    <w:rsid w:val="0048569D"/>
    <w:rsid w:val="004857E5"/>
    <w:rsid w:val="0048589E"/>
    <w:rsid w:val="00485F11"/>
    <w:rsid w:val="00485F80"/>
    <w:rsid w:val="00485F93"/>
    <w:rsid w:val="004867ED"/>
    <w:rsid w:val="0048688B"/>
    <w:rsid w:val="00486C55"/>
    <w:rsid w:val="00486DD5"/>
    <w:rsid w:val="00486E13"/>
    <w:rsid w:val="00486F3F"/>
    <w:rsid w:val="00487F7C"/>
    <w:rsid w:val="0049019F"/>
    <w:rsid w:val="004902F1"/>
    <w:rsid w:val="0049041D"/>
    <w:rsid w:val="00490913"/>
    <w:rsid w:val="00491308"/>
    <w:rsid w:val="00491AC5"/>
    <w:rsid w:val="00491FBB"/>
    <w:rsid w:val="004922C3"/>
    <w:rsid w:val="0049278F"/>
    <w:rsid w:val="0049281C"/>
    <w:rsid w:val="00492C4C"/>
    <w:rsid w:val="004933F6"/>
    <w:rsid w:val="00494579"/>
    <w:rsid w:val="00494E4A"/>
    <w:rsid w:val="00495271"/>
    <w:rsid w:val="004952A4"/>
    <w:rsid w:val="00495799"/>
    <w:rsid w:val="004958C2"/>
    <w:rsid w:val="00496F35"/>
    <w:rsid w:val="004971C3"/>
    <w:rsid w:val="004977C5"/>
    <w:rsid w:val="00497CDC"/>
    <w:rsid w:val="004A05B7"/>
    <w:rsid w:val="004A1FC7"/>
    <w:rsid w:val="004A218E"/>
    <w:rsid w:val="004A23F7"/>
    <w:rsid w:val="004A285B"/>
    <w:rsid w:val="004A2A72"/>
    <w:rsid w:val="004A3247"/>
    <w:rsid w:val="004A32F5"/>
    <w:rsid w:val="004A3466"/>
    <w:rsid w:val="004A3852"/>
    <w:rsid w:val="004A3965"/>
    <w:rsid w:val="004A397D"/>
    <w:rsid w:val="004A3F7B"/>
    <w:rsid w:val="004A441D"/>
    <w:rsid w:val="004A4567"/>
    <w:rsid w:val="004A4833"/>
    <w:rsid w:val="004A52D7"/>
    <w:rsid w:val="004A59CC"/>
    <w:rsid w:val="004A620F"/>
    <w:rsid w:val="004A6722"/>
    <w:rsid w:val="004A6944"/>
    <w:rsid w:val="004A6AF0"/>
    <w:rsid w:val="004A6D14"/>
    <w:rsid w:val="004A70C9"/>
    <w:rsid w:val="004A71FE"/>
    <w:rsid w:val="004A73A4"/>
    <w:rsid w:val="004A7595"/>
    <w:rsid w:val="004A7CB5"/>
    <w:rsid w:val="004B018C"/>
    <w:rsid w:val="004B018E"/>
    <w:rsid w:val="004B0345"/>
    <w:rsid w:val="004B0671"/>
    <w:rsid w:val="004B094F"/>
    <w:rsid w:val="004B09D6"/>
    <w:rsid w:val="004B119C"/>
    <w:rsid w:val="004B12F5"/>
    <w:rsid w:val="004B1309"/>
    <w:rsid w:val="004B143B"/>
    <w:rsid w:val="004B19EA"/>
    <w:rsid w:val="004B1F83"/>
    <w:rsid w:val="004B22BF"/>
    <w:rsid w:val="004B25F5"/>
    <w:rsid w:val="004B261F"/>
    <w:rsid w:val="004B2872"/>
    <w:rsid w:val="004B2ED1"/>
    <w:rsid w:val="004B2FFF"/>
    <w:rsid w:val="004B3389"/>
    <w:rsid w:val="004B3521"/>
    <w:rsid w:val="004B36BB"/>
    <w:rsid w:val="004B36DB"/>
    <w:rsid w:val="004B394A"/>
    <w:rsid w:val="004B3E63"/>
    <w:rsid w:val="004B4589"/>
    <w:rsid w:val="004B47BC"/>
    <w:rsid w:val="004B4B39"/>
    <w:rsid w:val="004B5A8E"/>
    <w:rsid w:val="004B5B11"/>
    <w:rsid w:val="004B5FA7"/>
    <w:rsid w:val="004B603C"/>
    <w:rsid w:val="004B64E5"/>
    <w:rsid w:val="004B64F1"/>
    <w:rsid w:val="004B6CB2"/>
    <w:rsid w:val="004B6E58"/>
    <w:rsid w:val="004B7019"/>
    <w:rsid w:val="004B7616"/>
    <w:rsid w:val="004B7D0D"/>
    <w:rsid w:val="004C0929"/>
    <w:rsid w:val="004C0F0B"/>
    <w:rsid w:val="004C0F96"/>
    <w:rsid w:val="004C11E8"/>
    <w:rsid w:val="004C1E56"/>
    <w:rsid w:val="004C2009"/>
    <w:rsid w:val="004C21C1"/>
    <w:rsid w:val="004C2226"/>
    <w:rsid w:val="004C23FE"/>
    <w:rsid w:val="004C2A69"/>
    <w:rsid w:val="004C3BF3"/>
    <w:rsid w:val="004C403F"/>
    <w:rsid w:val="004C4807"/>
    <w:rsid w:val="004C4E88"/>
    <w:rsid w:val="004C4F64"/>
    <w:rsid w:val="004C51E5"/>
    <w:rsid w:val="004C51E6"/>
    <w:rsid w:val="004C5882"/>
    <w:rsid w:val="004C5ABC"/>
    <w:rsid w:val="004C5E99"/>
    <w:rsid w:val="004C7A02"/>
    <w:rsid w:val="004C7CE3"/>
    <w:rsid w:val="004D031A"/>
    <w:rsid w:val="004D0689"/>
    <w:rsid w:val="004D06BF"/>
    <w:rsid w:val="004D12D9"/>
    <w:rsid w:val="004D151C"/>
    <w:rsid w:val="004D1594"/>
    <w:rsid w:val="004D1D42"/>
    <w:rsid w:val="004D1F1F"/>
    <w:rsid w:val="004D1F24"/>
    <w:rsid w:val="004D217F"/>
    <w:rsid w:val="004D254E"/>
    <w:rsid w:val="004D2A59"/>
    <w:rsid w:val="004D2D34"/>
    <w:rsid w:val="004D3237"/>
    <w:rsid w:val="004D3533"/>
    <w:rsid w:val="004D3BE4"/>
    <w:rsid w:val="004D40B1"/>
    <w:rsid w:val="004D4B0B"/>
    <w:rsid w:val="004D4DF3"/>
    <w:rsid w:val="004D4E88"/>
    <w:rsid w:val="004D4FD0"/>
    <w:rsid w:val="004D5015"/>
    <w:rsid w:val="004D58D5"/>
    <w:rsid w:val="004D5FE3"/>
    <w:rsid w:val="004D60CF"/>
    <w:rsid w:val="004D7D0C"/>
    <w:rsid w:val="004E0F73"/>
    <w:rsid w:val="004E14A8"/>
    <w:rsid w:val="004E1637"/>
    <w:rsid w:val="004E1F4A"/>
    <w:rsid w:val="004E2A29"/>
    <w:rsid w:val="004E2A95"/>
    <w:rsid w:val="004E2AF0"/>
    <w:rsid w:val="004E3634"/>
    <w:rsid w:val="004E3D3F"/>
    <w:rsid w:val="004E4051"/>
    <w:rsid w:val="004E42E5"/>
    <w:rsid w:val="004E475E"/>
    <w:rsid w:val="004E493E"/>
    <w:rsid w:val="004E50A7"/>
    <w:rsid w:val="004E585B"/>
    <w:rsid w:val="004E5BCB"/>
    <w:rsid w:val="004E6037"/>
    <w:rsid w:val="004E6105"/>
    <w:rsid w:val="004E610B"/>
    <w:rsid w:val="004E619B"/>
    <w:rsid w:val="004E644B"/>
    <w:rsid w:val="004E6A88"/>
    <w:rsid w:val="004E717A"/>
    <w:rsid w:val="004E7C8F"/>
    <w:rsid w:val="004E7E89"/>
    <w:rsid w:val="004E7F9B"/>
    <w:rsid w:val="004F0967"/>
    <w:rsid w:val="004F0B55"/>
    <w:rsid w:val="004F0B67"/>
    <w:rsid w:val="004F0B72"/>
    <w:rsid w:val="004F0FE6"/>
    <w:rsid w:val="004F1847"/>
    <w:rsid w:val="004F2402"/>
    <w:rsid w:val="004F2B50"/>
    <w:rsid w:val="004F2DF8"/>
    <w:rsid w:val="004F2EB7"/>
    <w:rsid w:val="004F2F8B"/>
    <w:rsid w:val="004F312A"/>
    <w:rsid w:val="004F339A"/>
    <w:rsid w:val="004F3A66"/>
    <w:rsid w:val="004F3DC8"/>
    <w:rsid w:val="004F3F7A"/>
    <w:rsid w:val="004F4A59"/>
    <w:rsid w:val="004F5490"/>
    <w:rsid w:val="004F5664"/>
    <w:rsid w:val="004F57E7"/>
    <w:rsid w:val="004F59B0"/>
    <w:rsid w:val="004F59F4"/>
    <w:rsid w:val="004F5A72"/>
    <w:rsid w:val="004F654B"/>
    <w:rsid w:val="004F6FD7"/>
    <w:rsid w:val="004F7090"/>
    <w:rsid w:val="004F71E9"/>
    <w:rsid w:val="004F7D30"/>
    <w:rsid w:val="005003EB"/>
    <w:rsid w:val="00500E80"/>
    <w:rsid w:val="00500E94"/>
    <w:rsid w:val="005013E4"/>
    <w:rsid w:val="0050179C"/>
    <w:rsid w:val="00501B45"/>
    <w:rsid w:val="00501CB7"/>
    <w:rsid w:val="00502337"/>
    <w:rsid w:val="00502891"/>
    <w:rsid w:val="00502C01"/>
    <w:rsid w:val="00502FCF"/>
    <w:rsid w:val="0050350A"/>
    <w:rsid w:val="00503ABE"/>
    <w:rsid w:val="00503B37"/>
    <w:rsid w:val="00503CB3"/>
    <w:rsid w:val="005043C0"/>
    <w:rsid w:val="0050448F"/>
    <w:rsid w:val="005047BC"/>
    <w:rsid w:val="005058CC"/>
    <w:rsid w:val="00505A55"/>
    <w:rsid w:val="00506369"/>
    <w:rsid w:val="00506CDB"/>
    <w:rsid w:val="00506ECF"/>
    <w:rsid w:val="00506F8B"/>
    <w:rsid w:val="005075DC"/>
    <w:rsid w:val="005078C6"/>
    <w:rsid w:val="00507A65"/>
    <w:rsid w:val="005106DE"/>
    <w:rsid w:val="00510CE7"/>
    <w:rsid w:val="00511033"/>
    <w:rsid w:val="005112A5"/>
    <w:rsid w:val="00511477"/>
    <w:rsid w:val="00511524"/>
    <w:rsid w:val="00511879"/>
    <w:rsid w:val="00511A59"/>
    <w:rsid w:val="00511C8D"/>
    <w:rsid w:val="00511FFD"/>
    <w:rsid w:val="005121A7"/>
    <w:rsid w:val="005129E5"/>
    <w:rsid w:val="00512A0F"/>
    <w:rsid w:val="00512E55"/>
    <w:rsid w:val="00512FC5"/>
    <w:rsid w:val="00512FFA"/>
    <w:rsid w:val="00513049"/>
    <w:rsid w:val="00513448"/>
    <w:rsid w:val="00513D74"/>
    <w:rsid w:val="005140DC"/>
    <w:rsid w:val="00514821"/>
    <w:rsid w:val="00514B6F"/>
    <w:rsid w:val="00514F71"/>
    <w:rsid w:val="0051534E"/>
    <w:rsid w:val="005155AE"/>
    <w:rsid w:val="00515EA4"/>
    <w:rsid w:val="00516308"/>
    <w:rsid w:val="00516834"/>
    <w:rsid w:val="005169FA"/>
    <w:rsid w:val="00516ACC"/>
    <w:rsid w:val="00516B92"/>
    <w:rsid w:val="00516DBC"/>
    <w:rsid w:val="00517479"/>
    <w:rsid w:val="0051798C"/>
    <w:rsid w:val="005179AC"/>
    <w:rsid w:val="00517A84"/>
    <w:rsid w:val="00517DCA"/>
    <w:rsid w:val="00520326"/>
    <w:rsid w:val="0052045F"/>
    <w:rsid w:val="00520EA7"/>
    <w:rsid w:val="00521BA8"/>
    <w:rsid w:val="00522031"/>
    <w:rsid w:val="00522599"/>
    <w:rsid w:val="0052261C"/>
    <w:rsid w:val="00522929"/>
    <w:rsid w:val="00523307"/>
    <w:rsid w:val="005234BD"/>
    <w:rsid w:val="00523505"/>
    <w:rsid w:val="005238F5"/>
    <w:rsid w:val="00523D28"/>
    <w:rsid w:val="00524195"/>
    <w:rsid w:val="0052433A"/>
    <w:rsid w:val="00524BEE"/>
    <w:rsid w:val="0052530C"/>
    <w:rsid w:val="0052550D"/>
    <w:rsid w:val="00525A55"/>
    <w:rsid w:val="00525F31"/>
    <w:rsid w:val="00526769"/>
    <w:rsid w:val="00526789"/>
    <w:rsid w:val="00526921"/>
    <w:rsid w:val="00526A0A"/>
    <w:rsid w:val="00526C8F"/>
    <w:rsid w:val="00527BD3"/>
    <w:rsid w:val="00527BD8"/>
    <w:rsid w:val="005304DD"/>
    <w:rsid w:val="00530B9F"/>
    <w:rsid w:val="0053116F"/>
    <w:rsid w:val="00532039"/>
    <w:rsid w:val="005324D2"/>
    <w:rsid w:val="005324D9"/>
    <w:rsid w:val="005325AA"/>
    <w:rsid w:val="00532620"/>
    <w:rsid w:val="00532A91"/>
    <w:rsid w:val="005331B3"/>
    <w:rsid w:val="00534162"/>
    <w:rsid w:val="00534840"/>
    <w:rsid w:val="00534FAF"/>
    <w:rsid w:val="00535483"/>
    <w:rsid w:val="0053588B"/>
    <w:rsid w:val="005358F8"/>
    <w:rsid w:val="00535D2D"/>
    <w:rsid w:val="00535FB4"/>
    <w:rsid w:val="00536228"/>
    <w:rsid w:val="00536535"/>
    <w:rsid w:val="00536B86"/>
    <w:rsid w:val="00536C4E"/>
    <w:rsid w:val="00536D51"/>
    <w:rsid w:val="00536D9D"/>
    <w:rsid w:val="00536E15"/>
    <w:rsid w:val="00537564"/>
    <w:rsid w:val="0053798B"/>
    <w:rsid w:val="00540345"/>
    <w:rsid w:val="005406B5"/>
    <w:rsid w:val="005407AC"/>
    <w:rsid w:val="00540D35"/>
    <w:rsid w:val="00540EDC"/>
    <w:rsid w:val="00541750"/>
    <w:rsid w:val="00541D70"/>
    <w:rsid w:val="00541EC7"/>
    <w:rsid w:val="0054388F"/>
    <w:rsid w:val="00543E90"/>
    <w:rsid w:val="005446D4"/>
    <w:rsid w:val="00544C8D"/>
    <w:rsid w:val="00545C4A"/>
    <w:rsid w:val="005460A9"/>
    <w:rsid w:val="005466ED"/>
    <w:rsid w:val="00546841"/>
    <w:rsid w:val="00546AD1"/>
    <w:rsid w:val="005472FE"/>
    <w:rsid w:val="0054766E"/>
    <w:rsid w:val="00547DDB"/>
    <w:rsid w:val="00547E12"/>
    <w:rsid w:val="0055044B"/>
    <w:rsid w:val="00550456"/>
    <w:rsid w:val="00550575"/>
    <w:rsid w:val="005505E8"/>
    <w:rsid w:val="00550793"/>
    <w:rsid w:val="005516CD"/>
    <w:rsid w:val="00551C01"/>
    <w:rsid w:val="00551CC1"/>
    <w:rsid w:val="00551F33"/>
    <w:rsid w:val="005525B5"/>
    <w:rsid w:val="005526C1"/>
    <w:rsid w:val="005526E0"/>
    <w:rsid w:val="005528DF"/>
    <w:rsid w:val="00552933"/>
    <w:rsid w:val="00552A63"/>
    <w:rsid w:val="00552A9B"/>
    <w:rsid w:val="00552B6A"/>
    <w:rsid w:val="00552E80"/>
    <w:rsid w:val="005531C7"/>
    <w:rsid w:val="00553220"/>
    <w:rsid w:val="0055335A"/>
    <w:rsid w:val="00553E17"/>
    <w:rsid w:val="00553F3C"/>
    <w:rsid w:val="005542CF"/>
    <w:rsid w:val="005542F2"/>
    <w:rsid w:val="0055431D"/>
    <w:rsid w:val="005543C2"/>
    <w:rsid w:val="00554A22"/>
    <w:rsid w:val="00554CBD"/>
    <w:rsid w:val="005551AF"/>
    <w:rsid w:val="00555545"/>
    <w:rsid w:val="005556FA"/>
    <w:rsid w:val="00555748"/>
    <w:rsid w:val="005557AB"/>
    <w:rsid w:val="00555830"/>
    <w:rsid w:val="00555A6D"/>
    <w:rsid w:val="00555CF6"/>
    <w:rsid w:val="00555EA9"/>
    <w:rsid w:val="00556E2E"/>
    <w:rsid w:val="00556FAC"/>
    <w:rsid w:val="005570FB"/>
    <w:rsid w:val="00557654"/>
    <w:rsid w:val="005576E7"/>
    <w:rsid w:val="00557873"/>
    <w:rsid w:val="00557BF1"/>
    <w:rsid w:val="00557E24"/>
    <w:rsid w:val="00560567"/>
    <w:rsid w:val="0056116C"/>
    <w:rsid w:val="005611AD"/>
    <w:rsid w:val="00561793"/>
    <w:rsid w:val="00562194"/>
    <w:rsid w:val="0056251B"/>
    <w:rsid w:val="00562C5B"/>
    <w:rsid w:val="00562FE1"/>
    <w:rsid w:val="00563213"/>
    <w:rsid w:val="00563256"/>
    <w:rsid w:val="00563A2C"/>
    <w:rsid w:val="00563F0E"/>
    <w:rsid w:val="00564877"/>
    <w:rsid w:val="005648D8"/>
    <w:rsid w:val="0056494E"/>
    <w:rsid w:val="0056533C"/>
    <w:rsid w:val="005656E4"/>
    <w:rsid w:val="00565792"/>
    <w:rsid w:val="0056580D"/>
    <w:rsid w:val="005661AC"/>
    <w:rsid w:val="00566491"/>
    <w:rsid w:val="005665DE"/>
    <w:rsid w:val="00567286"/>
    <w:rsid w:val="00567322"/>
    <w:rsid w:val="00570B3B"/>
    <w:rsid w:val="00570B58"/>
    <w:rsid w:val="005714D0"/>
    <w:rsid w:val="0057155A"/>
    <w:rsid w:val="0057176B"/>
    <w:rsid w:val="00571946"/>
    <w:rsid w:val="00571D8E"/>
    <w:rsid w:val="00571E7C"/>
    <w:rsid w:val="00571F4E"/>
    <w:rsid w:val="005721F7"/>
    <w:rsid w:val="005721FF"/>
    <w:rsid w:val="00572C00"/>
    <w:rsid w:val="00572D00"/>
    <w:rsid w:val="005734D0"/>
    <w:rsid w:val="005735A6"/>
    <w:rsid w:val="0057370B"/>
    <w:rsid w:val="00573947"/>
    <w:rsid w:val="00573A92"/>
    <w:rsid w:val="00573AAA"/>
    <w:rsid w:val="00573D57"/>
    <w:rsid w:val="00573D83"/>
    <w:rsid w:val="0057442F"/>
    <w:rsid w:val="005744DF"/>
    <w:rsid w:val="00574B91"/>
    <w:rsid w:val="00574C20"/>
    <w:rsid w:val="00575E7D"/>
    <w:rsid w:val="0057640A"/>
    <w:rsid w:val="00576501"/>
    <w:rsid w:val="00576BE7"/>
    <w:rsid w:val="00576D60"/>
    <w:rsid w:val="00576DD1"/>
    <w:rsid w:val="005777C1"/>
    <w:rsid w:val="00577BC1"/>
    <w:rsid w:val="00577E94"/>
    <w:rsid w:val="0058008A"/>
    <w:rsid w:val="005807CA"/>
    <w:rsid w:val="00580810"/>
    <w:rsid w:val="005809D9"/>
    <w:rsid w:val="005812ED"/>
    <w:rsid w:val="0058164B"/>
    <w:rsid w:val="005817C7"/>
    <w:rsid w:val="005819EB"/>
    <w:rsid w:val="00581B84"/>
    <w:rsid w:val="00581C78"/>
    <w:rsid w:val="0058219C"/>
    <w:rsid w:val="0058229C"/>
    <w:rsid w:val="005825F2"/>
    <w:rsid w:val="00582A3E"/>
    <w:rsid w:val="00582F22"/>
    <w:rsid w:val="0058306B"/>
    <w:rsid w:val="00583320"/>
    <w:rsid w:val="005833E1"/>
    <w:rsid w:val="0058356A"/>
    <w:rsid w:val="005835EF"/>
    <w:rsid w:val="00583AC8"/>
    <w:rsid w:val="005851F9"/>
    <w:rsid w:val="00585280"/>
    <w:rsid w:val="005853E2"/>
    <w:rsid w:val="0058544D"/>
    <w:rsid w:val="00585671"/>
    <w:rsid w:val="005858A2"/>
    <w:rsid w:val="00585903"/>
    <w:rsid w:val="0058645B"/>
    <w:rsid w:val="0058710E"/>
    <w:rsid w:val="00587609"/>
    <w:rsid w:val="0059048E"/>
    <w:rsid w:val="00590A29"/>
    <w:rsid w:val="005917E7"/>
    <w:rsid w:val="00591DC9"/>
    <w:rsid w:val="0059226E"/>
    <w:rsid w:val="0059288D"/>
    <w:rsid w:val="0059291D"/>
    <w:rsid w:val="00592A5B"/>
    <w:rsid w:val="00592EEB"/>
    <w:rsid w:val="005932DB"/>
    <w:rsid w:val="00593CC0"/>
    <w:rsid w:val="00593EFD"/>
    <w:rsid w:val="005942FD"/>
    <w:rsid w:val="005945F8"/>
    <w:rsid w:val="00594E92"/>
    <w:rsid w:val="0059504C"/>
    <w:rsid w:val="005958FE"/>
    <w:rsid w:val="00595D77"/>
    <w:rsid w:val="00595F23"/>
    <w:rsid w:val="005966FF"/>
    <w:rsid w:val="00596B72"/>
    <w:rsid w:val="00596B74"/>
    <w:rsid w:val="00596F09"/>
    <w:rsid w:val="00596FDF"/>
    <w:rsid w:val="005971FD"/>
    <w:rsid w:val="0059793E"/>
    <w:rsid w:val="00597BA6"/>
    <w:rsid w:val="005A00EC"/>
    <w:rsid w:val="005A0540"/>
    <w:rsid w:val="005A0BA7"/>
    <w:rsid w:val="005A1B9C"/>
    <w:rsid w:val="005A1DB4"/>
    <w:rsid w:val="005A1F6F"/>
    <w:rsid w:val="005A2047"/>
    <w:rsid w:val="005A330C"/>
    <w:rsid w:val="005A341C"/>
    <w:rsid w:val="005A3691"/>
    <w:rsid w:val="005A3738"/>
    <w:rsid w:val="005A3EF0"/>
    <w:rsid w:val="005A427A"/>
    <w:rsid w:val="005A49FE"/>
    <w:rsid w:val="005A4E30"/>
    <w:rsid w:val="005A4E6E"/>
    <w:rsid w:val="005A62FC"/>
    <w:rsid w:val="005A6B6F"/>
    <w:rsid w:val="005A6F57"/>
    <w:rsid w:val="005A6FB6"/>
    <w:rsid w:val="005A741D"/>
    <w:rsid w:val="005A78FF"/>
    <w:rsid w:val="005B0A2F"/>
    <w:rsid w:val="005B0E88"/>
    <w:rsid w:val="005B1163"/>
    <w:rsid w:val="005B1B04"/>
    <w:rsid w:val="005B1F19"/>
    <w:rsid w:val="005B2566"/>
    <w:rsid w:val="005B3CCE"/>
    <w:rsid w:val="005B3FA4"/>
    <w:rsid w:val="005B40E8"/>
    <w:rsid w:val="005B4BC8"/>
    <w:rsid w:val="005B4BDB"/>
    <w:rsid w:val="005B4C87"/>
    <w:rsid w:val="005B5DCA"/>
    <w:rsid w:val="005B6418"/>
    <w:rsid w:val="005B7566"/>
    <w:rsid w:val="005B76F8"/>
    <w:rsid w:val="005B7BBA"/>
    <w:rsid w:val="005B7E50"/>
    <w:rsid w:val="005C0394"/>
    <w:rsid w:val="005C0A1B"/>
    <w:rsid w:val="005C1847"/>
    <w:rsid w:val="005C1F5A"/>
    <w:rsid w:val="005C2740"/>
    <w:rsid w:val="005C2B8C"/>
    <w:rsid w:val="005C2D70"/>
    <w:rsid w:val="005C2FCD"/>
    <w:rsid w:val="005C3026"/>
    <w:rsid w:val="005C34F4"/>
    <w:rsid w:val="005C355F"/>
    <w:rsid w:val="005C36C1"/>
    <w:rsid w:val="005C37EA"/>
    <w:rsid w:val="005C382C"/>
    <w:rsid w:val="005C59A6"/>
    <w:rsid w:val="005C5F78"/>
    <w:rsid w:val="005C63F6"/>
    <w:rsid w:val="005C64F4"/>
    <w:rsid w:val="005C65B1"/>
    <w:rsid w:val="005C693E"/>
    <w:rsid w:val="005C696E"/>
    <w:rsid w:val="005C6C21"/>
    <w:rsid w:val="005C7180"/>
    <w:rsid w:val="005C74C8"/>
    <w:rsid w:val="005C7505"/>
    <w:rsid w:val="005C75F7"/>
    <w:rsid w:val="005C7749"/>
    <w:rsid w:val="005D03C5"/>
    <w:rsid w:val="005D13AF"/>
    <w:rsid w:val="005D1E34"/>
    <w:rsid w:val="005D1F5B"/>
    <w:rsid w:val="005D2204"/>
    <w:rsid w:val="005D24B4"/>
    <w:rsid w:val="005D284C"/>
    <w:rsid w:val="005D2C3D"/>
    <w:rsid w:val="005D309E"/>
    <w:rsid w:val="005D3669"/>
    <w:rsid w:val="005D3CA0"/>
    <w:rsid w:val="005D45BF"/>
    <w:rsid w:val="005D5491"/>
    <w:rsid w:val="005D5609"/>
    <w:rsid w:val="005D566D"/>
    <w:rsid w:val="005D5723"/>
    <w:rsid w:val="005D5810"/>
    <w:rsid w:val="005D581A"/>
    <w:rsid w:val="005D5AAF"/>
    <w:rsid w:val="005D5AFF"/>
    <w:rsid w:val="005D5B6B"/>
    <w:rsid w:val="005D5E49"/>
    <w:rsid w:val="005D64F3"/>
    <w:rsid w:val="005D67FD"/>
    <w:rsid w:val="005D6B9E"/>
    <w:rsid w:val="005E0019"/>
    <w:rsid w:val="005E02F9"/>
    <w:rsid w:val="005E1631"/>
    <w:rsid w:val="005E17B5"/>
    <w:rsid w:val="005E1B1C"/>
    <w:rsid w:val="005E1EE0"/>
    <w:rsid w:val="005E1FDE"/>
    <w:rsid w:val="005E210A"/>
    <w:rsid w:val="005E21E5"/>
    <w:rsid w:val="005E239D"/>
    <w:rsid w:val="005E2629"/>
    <w:rsid w:val="005E293C"/>
    <w:rsid w:val="005E32FE"/>
    <w:rsid w:val="005E3360"/>
    <w:rsid w:val="005E36ED"/>
    <w:rsid w:val="005E3871"/>
    <w:rsid w:val="005E39BC"/>
    <w:rsid w:val="005E3ED0"/>
    <w:rsid w:val="005E44FE"/>
    <w:rsid w:val="005E4591"/>
    <w:rsid w:val="005E4A28"/>
    <w:rsid w:val="005E4ABA"/>
    <w:rsid w:val="005E4DA8"/>
    <w:rsid w:val="005E53E2"/>
    <w:rsid w:val="005E6A19"/>
    <w:rsid w:val="005E6A97"/>
    <w:rsid w:val="005E6D96"/>
    <w:rsid w:val="005E706F"/>
    <w:rsid w:val="005E77DA"/>
    <w:rsid w:val="005E7A90"/>
    <w:rsid w:val="005F0DA9"/>
    <w:rsid w:val="005F1525"/>
    <w:rsid w:val="005F21AD"/>
    <w:rsid w:val="005F2441"/>
    <w:rsid w:val="005F2853"/>
    <w:rsid w:val="005F29E6"/>
    <w:rsid w:val="005F377F"/>
    <w:rsid w:val="005F39A5"/>
    <w:rsid w:val="005F39C4"/>
    <w:rsid w:val="005F4429"/>
    <w:rsid w:val="005F45D2"/>
    <w:rsid w:val="005F46E4"/>
    <w:rsid w:val="005F5CD2"/>
    <w:rsid w:val="005F64AC"/>
    <w:rsid w:val="005F67BF"/>
    <w:rsid w:val="005F68ED"/>
    <w:rsid w:val="005F6BAC"/>
    <w:rsid w:val="005F6D4D"/>
    <w:rsid w:val="005F71EF"/>
    <w:rsid w:val="005F74B1"/>
    <w:rsid w:val="005F74C1"/>
    <w:rsid w:val="005F78BF"/>
    <w:rsid w:val="005F7947"/>
    <w:rsid w:val="005F7CB0"/>
    <w:rsid w:val="005F7CF2"/>
    <w:rsid w:val="0060004B"/>
    <w:rsid w:val="00600222"/>
    <w:rsid w:val="00600A03"/>
    <w:rsid w:val="00600BFF"/>
    <w:rsid w:val="00600FE8"/>
    <w:rsid w:val="006016C2"/>
    <w:rsid w:val="00601B33"/>
    <w:rsid w:val="00601BCD"/>
    <w:rsid w:val="006022C6"/>
    <w:rsid w:val="006025AA"/>
    <w:rsid w:val="00602987"/>
    <w:rsid w:val="00602D6E"/>
    <w:rsid w:val="00602F3F"/>
    <w:rsid w:val="00602FC2"/>
    <w:rsid w:val="00603A76"/>
    <w:rsid w:val="00604471"/>
    <w:rsid w:val="00604AE4"/>
    <w:rsid w:val="006050F9"/>
    <w:rsid w:val="00605135"/>
    <w:rsid w:val="0060533B"/>
    <w:rsid w:val="006053BE"/>
    <w:rsid w:val="00605AF1"/>
    <w:rsid w:val="00605DE6"/>
    <w:rsid w:val="0060613F"/>
    <w:rsid w:val="00606358"/>
    <w:rsid w:val="00606542"/>
    <w:rsid w:val="006065F0"/>
    <w:rsid w:val="00606646"/>
    <w:rsid w:val="006066CF"/>
    <w:rsid w:val="006068BF"/>
    <w:rsid w:val="006070D0"/>
    <w:rsid w:val="0060731B"/>
    <w:rsid w:val="00607768"/>
    <w:rsid w:val="006077F9"/>
    <w:rsid w:val="0060785C"/>
    <w:rsid w:val="00607A7C"/>
    <w:rsid w:val="00610395"/>
    <w:rsid w:val="00611293"/>
    <w:rsid w:val="006115F1"/>
    <w:rsid w:val="00611FC7"/>
    <w:rsid w:val="00612126"/>
    <w:rsid w:val="0061261E"/>
    <w:rsid w:val="00612D07"/>
    <w:rsid w:val="00613159"/>
    <w:rsid w:val="0061370C"/>
    <w:rsid w:val="00613714"/>
    <w:rsid w:val="00613E5E"/>
    <w:rsid w:val="00614097"/>
    <w:rsid w:val="00614373"/>
    <w:rsid w:val="0061451D"/>
    <w:rsid w:val="00614563"/>
    <w:rsid w:val="00614622"/>
    <w:rsid w:val="00614A92"/>
    <w:rsid w:val="00614E20"/>
    <w:rsid w:val="0061543A"/>
    <w:rsid w:val="0061568E"/>
    <w:rsid w:val="006157CE"/>
    <w:rsid w:val="00615FFE"/>
    <w:rsid w:val="006160AE"/>
    <w:rsid w:val="00616B2A"/>
    <w:rsid w:val="00616C1A"/>
    <w:rsid w:val="00617189"/>
    <w:rsid w:val="00617455"/>
    <w:rsid w:val="006175B5"/>
    <w:rsid w:val="006177BC"/>
    <w:rsid w:val="00617B60"/>
    <w:rsid w:val="0062010D"/>
    <w:rsid w:val="00620CBC"/>
    <w:rsid w:val="00620FA1"/>
    <w:rsid w:val="00620FC3"/>
    <w:rsid w:val="00621653"/>
    <w:rsid w:val="006217BA"/>
    <w:rsid w:val="00621EE7"/>
    <w:rsid w:val="00621F5D"/>
    <w:rsid w:val="006221F9"/>
    <w:rsid w:val="00622F7D"/>
    <w:rsid w:val="006230D4"/>
    <w:rsid w:val="006235F4"/>
    <w:rsid w:val="006236F3"/>
    <w:rsid w:val="006239F4"/>
    <w:rsid w:val="006239F7"/>
    <w:rsid w:val="00623B49"/>
    <w:rsid w:val="00623F62"/>
    <w:rsid w:val="00624186"/>
    <w:rsid w:val="00625297"/>
    <w:rsid w:val="006255E5"/>
    <w:rsid w:val="006256C3"/>
    <w:rsid w:val="00625F93"/>
    <w:rsid w:val="0062688A"/>
    <w:rsid w:val="00626FE1"/>
    <w:rsid w:val="00627045"/>
    <w:rsid w:val="00627624"/>
    <w:rsid w:val="00627F6C"/>
    <w:rsid w:val="00630556"/>
    <w:rsid w:val="0063055F"/>
    <w:rsid w:val="006308D4"/>
    <w:rsid w:val="006309CA"/>
    <w:rsid w:val="00630C06"/>
    <w:rsid w:val="00630CC2"/>
    <w:rsid w:val="00631096"/>
    <w:rsid w:val="00631802"/>
    <w:rsid w:val="00631D37"/>
    <w:rsid w:val="00631F6A"/>
    <w:rsid w:val="00631FD7"/>
    <w:rsid w:val="00633586"/>
    <w:rsid w:val="006336FD"/>
    <w:rsid w:val="00633BFD"/>
    <w:rsid w:val="00633FE3"/>
    <w:rsid w:val="00634B7B"/>
    <w:rsid w:val="00634D57"/>
    <w:rsid w:val="00634E6D"/>
    <w:rsid w:val="0063553C"/>
    <w:rsid w:val="00635884"/>
    <w:rsid w:val="00635B15"/>
    <w:rsid w:val="00635E48"/>
    <w:rsid w:val="00636ACC"/>
    <w:rsid w:val="00637323"/>
    <w:rsid w:val="006378CB"/>
    <w:rsid w:val="00640446"/>
    <w:rsid w:val="00640B05"/>
    <w:rsid w:val="00640F54"/>
    <w:rsid w:val="00641092"/>
    <w:rsid w:val="00641254"/>
    <w:rsid w:val="006415CC"/>
    <w:rsid w:val="006416C5"/>
    <w:rsid w:val="0064216D"/>
    <w:rsid w:val="0064232A"/>
    <w:rsid w:val="00643003"/>
    <w:rsid w:val="006437DC"/>
    <w:rsid w:val="00643BAF"/>
    <w:rsid w:val="006441F5"/>
    <w:rsid w:val="00644201"/>
    <w:rsid w:val="0064526F"/>
    <w:rsid w:val="00645540"/>
    <w:rsid w:val="00645932"/>
    <w:rsid w:val="00645AA4"/>
    <w:rsid w:val="00645AF7"/>
    <w:rsid w:val="00645E2E"/>
    <w:rsid w:val="00645F4D"/>
    <w:rsid w:val="00645F86"/>
    <w:rsid w:val="00646925"/>
    <w:rsid w:val="00646E5D"/>
    <w:rsid w:val="00646F8E"/>
    <w:rsid w:val="00646FDD"/>
    <w:rsid w:val="0064775F"/>
    <w:rsid w:val="00647D8E"/>
    <w:rsid w:val="00650249"/>
    <w:rsid w:val="00650A8D"/>
    <w:rsid w:val="00650DB6"/>
    <w:rsid w:val="0065113B"/>
    <w:rsid w:val="00651235"/>
    <w:rsid w:val="006520D0"/>
    <w:rsid w:val="00652104"/>
    <w:rsid w:val="00652270"/>
    <w:rsid w:val="00652277"/>
    <w:rsid w:val="00652797"/>
    <w:rsid w:val="006530C8"/>
    <w:rsid w:val="006532DE"/>
    <w:rsid w:val="006535ED"/>
    <w:rsid w:val="006536E8"/>
    <w:rsid w:val="00653792"/>
    <w:rsid w:val="006537E2"/>
    <w:rsid w:val="00653C21"/>
    <w:rsid w:val="006543A8"/>
    <w:rsid w:val="006545DA"/>
    <w:rsid w:val="00654C80"/>
    <w:rsid w:val="00654C96"/>
    <w:rsid w:val="006550A8"/>
    <w:rsid w:val="00655282"/>
    <w:rsid w:val="00655F22"/>
    <w:rsid w:val="0065611D"/>
    <w:rsid w:val="00656602"/>
    <w:rsid w:val="006568FB"/>
    <w:rsid w:val="00656968"/>
    <w:rsid w:val="00656AF8"/>
    <w:rsid w:val="00656C20"/>
    <w:rsid w:val="00656DBD"/>
    <w:rsid w:val="006574C9"/>
    <w:rsid w:val="00657735"/>
    <w:rsid w:val="0065779F"/>
    <w:rsid w:val="00660204"/>
    <w:rsid w:val="00660425"/>
    <w:rsid w:val="0066066C"/>
    <w:rsid w:val="00660B51"/>
    <w:rsid w:val="00660B90"/>
    <w:rsid w:val="00660E9A"/>
    <w:rsid w:val="00660EE2"/>
    <w:rsid w:val="006610CC"/>
    <w:rsid w:val="00661ACF"/>
    <w:rsid w:val="00662060"/>
    <w:rsid w:val="006626CE"/>
    <w:rsid w:val="00662DD6"/>
    <w:rsid w:val="006636B9"/>
    <w:rsid w:val="0066395C"/>
    <w:rsid w:val="00663A92"/>
    <w:rsid w:val="0066447B"/>
    <w:rsid w:val="006645C1"/>
    <w:rsid w:val="00664791"/>
    <w:rsid w:val="00664A70"/>
    <w:rsid w:val="00664B94"/>
    <w:rsid w:val="0066513C"/>
    <w:rsid w:val="0066590D"/>
    <w:rsid w:val="00666163"/>
    <w:rsid w:val="0066616E"/>
    <w:rsid w:val="0066624B"/>
    <w:rsid w:val="00666558"/>
    <w:rsid w:val="00666938"/>
    <w:rsid w:val="0066696B"/>
    <w:rsid w:val="00667231"/>
    <w:rsid w:val="00667E5D"/>
    <w:rsid w:val="006705AC"/>
    <w:rsid w:val="00670918"/>
    <w:rsid w:val="00670A00"/>
    <w:rsid w:val="006714BB"/>
    <w:rsid w:val="00671580"/>
    <w:rsid w:val="00671926"/>
    <w:rsid w:val="00671B53"/>
    <w:rsid w:val="00672351"/>
    <w:rsid w:val="00672859"/>
    <w:rsid w:val="006728E3"/>
    <w:rsid w:val="006732AD"/>
    <w:rsid w:val="006735BF"/>
    <w:rsid w:val="00673792"/>
    <w:rsid w:val="006738AA"/>
    <w:rsid w:val="00673998"/>
    <w:rsid w:val="00673AAF"/>
    <w:rsid w:val="00673BC4"/>
    <w:rsid w:val="006745CA"/>
    <w:rsid w:val="006745DA"/>
    <w:rsid w:val="0067461D"/>
    <w:rsid w:val="00674748"/>
    <w:rsid w:val="00674B04"/>
    <w:rsid w:val="00674C8D"/>
    <w:rsid w:val="00675EEA"/>
    <w:rsid w:val="0067633C"/>
    <w:rsid w:val="00676CF4"/>
    <w:rsid w:val="00676F24"/>
    <w:rsid w:val="006778B8"/>
    <w:rsid w:val="00677A25"/>
    <w:rsid w:val="00680210"/>
    <w:rsid w:val="006804B6"/>
    <w:rsid w:val="00680E54"/>
    <w:rsid w:val="00681158"/>
    <w:rsid w:val="006816F7"/>
    <w:rsid w:val="00681B88"/>
    <w:rsid w:val="00681C98"/>
    <w:rsid w:val="00682D8E"/>
    <w:rsid w:val="006830E7"/>
    <w:rsid w:val="006835F5"/>
    <w:rsid w:val="00683AF8"/>
    <w:rsid w:val="00683C81"/>
    <w:rsid w:val="00683E79"/>
    <w:rsid w:val="006840D8"/>
    <w:rsid w:val="00684493"/>
    <w:rsid w:val="00684646"/>
    <w:rsid w:val="00684D10"/>
    <w:rsid w:val="00684D8D"/>
    <w:rsid w:val="00685512"/>
    <w:rsid w:val="00685E66"/>
    <w:rsid w:val="00685F8A"/>
    <w:rsid w:val="006860FF"/>
    <w:rsid w:val="00686217"/>
    <w:rsid w:val="0068637A"/>
    <w:rsid w:val="00686470"/>
    <w:rsid w:val="00686CD7"/>
    <w:rsid w:val="00687B8F"/>
    <w:rsid w:val="0069028D"/>
    <w:rsid w:val="006906A0"/>
    <w:rsid w:val="00690E65"/>
    <w:rsid w:val="00690F89"/>
    <w:rsid w:val="00690FFA"/>
    <w:rsid w:val="006913E3"/>
    <w:rsid w:val="006917B0"/>
    <w:rsid w:val="006921D7"/>
    <w:rsid w:val="00693220"/>
    <w:rsid w:val="00693ABC"/>
    <w:rsid w:val="00693D52"/>
    <w:rsid w:val="00694B59"/>
    <w:rsid w:val="00694B9D"/>
    <w:rsid w:val="006951D1"/>
    <w:rsid w:val="0069588D"/>
    <w:rsid w:val="00695E90"/>
    <w:rsid w:val="00695FD1"/>
    <w:rsid w:val="006962FB"/>
    <w:rsid w:val="0069685D"/>
    <w:rsid w:val="0069690E"/>
    <w:rsid w:val="00696F2E"/>
    <w:rsid w:val="00697152"/>
    <w:rsid w:val="0069745F"/>
    <w:rsid w:val="00697998"/>
    <w:rsid w:val="00697A38"/>
    <w:rsid w:val="00697F10"/>
    <w:rsid w:val="006A0766"/>
    <w:rsid w:val="006A0DA3"/>
    <w:rsid w:val="006A163D"/>
    <w:rsid w:val="006A193B"/>
    <w:rsid w:val="006A1986"/>
    <w:rsid w:val="006A19FA"/>
    <w:rsid w:val="006A1C0A"/>
    <w:rsid w:val="006A2513"/>
    <w:rsid w:val="006A27AC"/>
    <w:rsid w:val="006A27EE"/>
    <w:rsid w:val="006A2BA7"/>
    <w:rsid w:val="006A2BC6"/>
    <w:rsid w:val="006A3AA2"/>
    <w:rsid w:val="006A4152"/>
    <w:rsid w:val="006A4279"/>
    <w:rsid w:val="006A524C"/>
    <w:rsid w:val="006A5C0C"/>
    <w:rsid w:val="006A6448"/>
    <w:rsid w:val="006A6771"/>
    <w:rsid w:val="006A6A36"/>
    <w:rsid w:val="006A6D8F"/>
    <w:rsid w:val="006A72A1"/>
    <w:rsid w:val="006A761D"/>
    <w:rsid w:val="006A7ACF"/>
    <w:rsid w:val="006A7C45"/>
    <w:rsid w:val="006B1025"/>
    <w:rsid w:val="006B1843"/>
    <w:rsid w:val="006B1B0C"/>
    <w:rsid w:val="006B214C"/>
    <w:rsid w:val="006B2650"/>
    <w:rsid w:val="006B2999"/>
    <w:rsid w:val="006B3A01"/>
    <w:rsid w:val="006B3BE0"/>
    <w:rsid w:val="006B3FA1"/>
    <w:rsid w:val="006B405B"/>
    <w:rsid w:val="006B40D1"/>
    <w:rsid w:val="006B433C"/>
    <w:rsid w:val="006B4A9F"/>
    <w:rsid w:val="006B51BB"/>
    <w:rsid w:val="006B52FF"/>
    <w:rsid w:val="006B571B"/>
    <w:rsid w:val="006B5E92"/>
    <w:rsid w:val="006B62E0"/>
    <w:rsid w:val="006B7286"/>
    <w:rsid w:val="006B7AC6"/>
    <w:rsid w:val="006C029C"/>
    <w:rsid w:val="006C076D"/>
    <w:rsid w:val="006C17BE"/>
    <w:rsid w:val="006C1964"/>
    <w:rsid w:val="006C1CF6"/>
    <w:rsid w:val="006C1E2B"/>
    <w:rsid w:val="006C25D5"/>
    <w:rsid w:val="006C262C"/>
    <w:rsid w:val="006C2867"/>
    <w:rsid w:val="006C2A25"/>
    <w:rsid w:val="006C2EE7"/>
    <w:rsid w:val="006C30F2"/>
    <w:rsid w:val="006C3282"/>
    <w:rsid w:val="006C3629"/>
    <w:rsid w:val="006C381C"/>
    <w:rsid w:val="006C3868"/>
    <w:rsid w:val="006C3AAA"/>
    <w:rsid w:val="006C4532"/>
    <w:rsid w:val="006C47A8"/>
    <w:rsid w:val="006C4C63"/>
    <w:rsid w:val="006C60FA"/>
    <w:rsid w:val="006C63E5"/>
    <w:rsid w:val="006C68EC"/>
    <w:rsid w:val="006C6ABA"/>
    <w:rsid w:val="006C72CB"/>
    <w:rsid w:val="006C72EA"/>
    <w:rsid w:val="006D0203"/>
    <w:rsid w:val="006D0318"/>
    <w:rsid w:val="006D086B"/>
    <w:rsid w:val="006D087A"/>
    <w:rsid w:val="006D14B8"/>
    <w:rsid w:val="006D150E"/>
    <w:rsid w:val="006D1535"/>
    <w:rsid w:val="006D1618"/>
    <w:rsid w:val="006D20C8"/>
    <w:rsid w:val="006D2AFB"/>
    <w:rsid w:val="006D2F30"/>
    <w:rsid w:val="006D39DC"/>
    <w:rsid w:val="006D3D9D"/>
    <w:rsid w:val="006D44DE"/>
    <w:rsid w:val="006D4B1C"/>
    <w:rsid w:val="006D5D50"/>
    <w:rsid w:val="006D608F"/>
    <w:rsid w:val="006D6307"/>
    <w:rsid w:val="006D73C2"/>
    <w:rsid w:val="006D7BD8"/>
    <w:rsid w:val="006D7ED4"/>
    <w:rsid w:val="006D7FE2"/>
    <w:rsid w:val="006E008D"/>
    <w:rsid w:val="006E0391"/>
    <w:rsid w:val="006E0DBB"/>
    <w:rsid w:val="006E13C6"/>
    <w:rsid w:val="006E1463"/>
    <w:rsid w:val="006E155E"/>
    <w:rsid w:val="006E15A1"/>
    <w:rsid w:val="006E1B6A"/>
    <w:rsid w:val="006E2069"/>
    <w:rsid w:val="006E27FC"/>
    <w:rsid w:val="006E2813"/>
    <w:rsid w:val="006E2895"/>
    <w:rsid w:val="006E34A1"/>
    <w:rsid w:val="006E3931"/>
    <w:rsid w:val="006E3D00"/>
    <w:rsid w:val="006E40D8"/>
    <w:rsid w:val="006E435C"/>
    <w:rsid w:val="006E43CC"/>
    <w:rsid w:val="006E4695"/>
    <w:rsid w:val="006E4698"/>
    <w:rsid w:val="006E48DD"/>
    <w:rsid w:val="006E5558"/>
    <w:rsid w:val="006E5742"/>
    <w:rsid w:val="006E66D8"/>
    <w:rsid w:val="006E705D"/>
    <w:rsid w:val="006E7716"/>
    <w:rsid w:val="006E7788"/>
    <w:rsid w:val="006E790C"/>
    <w:rsid w:val="006E7ADB"/>
    <w:rsid w:val="006E7D05"/>
    <w:rsid w:val="006E7DEC"/>
    <w:rsid w:val="006F014F"/>
    <w:rsid w:val="006F0796"/>
    <w:rsid w:val="006F0E0A"/>
    <w:rsid w:val="006F0EAB"/>
    <w:rsid w:val="006F1208"/>
    <w:rsid w:val="006F14BB"/>
    <w:rsid w:val="006F183E"/>
    <w:rsid w:val="006F19B6"/>
    <w:rsid w:val="006F1C72"/>
    <w:rsid w:val="006F1EA7"/>
    <w:rsid w:val="006F26FD"/>
    <w:rsid w:val="006F2D59"/>
    <w:rsid w:val="006F3603"/>
    <w:rsid w:val="006F3A63"/>
    <w:rsid w:val="006F3C64"/>
    <w:rsid w:val="006F3F3C"/>
    <w:rsid w:val="006F4EEE"/>
    <w:rsid w:val="006F4F9D"/>
    <w:rsid w:val="006F4FF0"/>
    <w:rsid w:val="006F51FD"/>
    <w:rsid w:val="006F5474"/>
    <w:rsid w:val="006F55FB"/>
    <w:rsid w:val="006F5897"/>
    <w:rsid w:val="006F5A20"/>
    <w:rsid w:val="006F61EC"/>
    <w:rsid w:val="006F6400"/>
    <w:rsid w:val="006F6743"/>
    <w:rsid w:val="006F6A77"/>
    <w:rsid w:val="006F6E91"/>
    <w:rsid w:val="006F718C"/>
    <w:rsid w:val="006F72E8"/>
    <w:rsid w:val="006F7BA0"/>
    <w:rsid w:val="006F7DB5"/>
    <w:rsid w:val="00700A3C"/>
    <w:rsid w:val="00700F9E"/>
    <w:rsid w:val="007016D4"/>
    <w:rsid w:val="0070184B"/>
    <w:rsid w:val="007019AF"/>
    <w:rsid w:val="0070331E"/>
    <w:rsid w:val="007033AB"/>
    <w:rsid w:val="0070549D"/>
    <w:rsid w:val="00705512"/>
    <w:rsid w:val="00705EA7"/>
    <w:rsid w:val="00705EB8"/>
    <w:rsid w:val="0070610D"/>
    <w:rsid w:val="0070619F"/>
    <w:rsid w:val="0070682A"/>
    <w:rsid w:val="007068ED"/>
    <w:rsid w:val="00707147"/>
    <w:rsid w:val="007075AC"/>
    <w:rsid w:val="007078C2"/>
    <w:rsid w:val="007078DE"/>
    <w:rsid w:val="00707BC0"/>
    <w:rsid w:val="00710BE1"/>
    <w:rsid w:val="00711024"/>
    <w:rsid w:val="007117E9"/>
    <w:rsid w:val="00711E12"/>
    <w:rsid w:val="00711E64"/>
    <w:rsid w:val="00711FC0"/>
    <w:rsid w:val="00712182"/>
    <w:rsid w:val="00712F00"/>
    <w:rsid w:val="00713036"/>
    <w:rsid w:val="00713B94"/>
    <w:rsid w:val="00714921"/>
    <w:rsid w:val="007151F6"/>
    <w:rsid w:val="00715BC5"/>
    <w:rsid w:val="00716380"/>
    <w:rsid w:val="00716821"/>
    <w:rsid w:val="00717562"/>
    <w:rsid w:val="00717AB4"/>
    <w:rsid w:val="00717F2E"/>
    <w:rsid w:val="007200DC"/>
    <w:rsid w:val="00720942"/>
    <w:rsid w:val="00720B73"/>
    <w:rsid w:val="00720FC4"/>
    <w:rsid w:val="00721065"/>
    <w:rsid w:val="007210DF"/>
    <w:rsid w:val="00722652"/>
    <w:rsid w:val="00722748"/>
    <w:rsid w:val="0072288B"/>
    <w:rsid w:val="00722E1A"/>
    <w:rsid w:val="00722E30"/>
    <w:rsid w:val="00723513"/>
    <w:rsid w:val="007238CF"/>
    <w:rsid w:val="0072395C"/>
    <w:rsid w:val="00723AA5"/>
    <w:rsid w:val="00723CE0"/>
    <w:rsid w:val="007244FD"/>
    <w:rsid w:val="00724FE2"/>
    <w:rsid w:val="00724FE7"/>
    <w:rsid w:val="00725033"/>
    <w:rsid w:val="007253BD"/>
    <w:rsid w:val="00725442"/>
    <w:rsid w:val="00725658"/>
    <w:rsid w:val="007259EF"/>
    <w:rsid w:val="00725B7E"/>
    <w:rsid w:val="00725CFD"/>
    <w:rsid w:val="007260C8"/>
    <w:rsid w:val="007268F9"/>
    <w:rsid w:val="00726BA9"/>
    <w:rsid w:val="00726BF6"/>
    <w:rsid w:val="00727736"/>
    <w:rsid w:val="00727A20"/>
    <w:rsid w:val="0073022C"/>
    <w:rsid w:val="007306D9"/>
    <w:rsid w:val="00730F5B"/>
    <w:rsid w:val="00731737"/>
    <w:rsid w:val="00731894"/>
    <w:rsid w:val="00731A4B"/>
    <w:rsid w:val="00731A84"/>
    <w:rsid w:val="00731AD7"/>
    <w:rsid w:val="00731B08"/>
    <w:rsid w:val="00731DD1"/>
    <w:rsid w:val="00732804"/>
    <w:rsid w:val="00732D48"/>
    <w:rsid w:val="00732F5A"/>
    <w:rsid w:val="00732FC2"/>
    <w:rsid w:val="00733283"/>
    <w:rsid w:val="007339E3"/>
    <w:rsid w:val="00734814"/>
    <w:rsid w:val="00734B7A"/>
    <w:rsid w:val="00734C2C"/>
    <w:rsid w:val="007354F2"/>
    <w:rsid w:val="007356F3"/>
    <w:rsid w:val="007357FF"/>
    <w:rsid w:val="00735EFF"/>
    <w:rsid w:val="00736571"/>
    <w:rsid w:val="0073657B"/>
    <w:rsid w:val="007366D6"/>
    <w:rsid w:val="00736A03"/>
    <w:rsid w:val="00736F58"/>
    <w:rsid w:val="00737420"/>
    <w:rsid w:val="00737D22"/>
    <w:rsid w:val="00740141"/>
    <w:rsid w:val="00740446"/>
    <w:rsid w:val="0074075A"/>
    <w:rsid w:val="007409D0"/>
    <w:rsid w:val="00741685"/>
    <w:rsid w:val="00741943"/>
    <w:rsid w:val="007419DD"/>
    <w:rsid w:val="00741D17"/>
    <w:rsid w:val="00742175"/>
    <w:rsid w:val="007422AF"/>
    <w:rsid w:val="007423EF"/>
    <w:rsid w:val="0074241A"/>
    <w:rsid w:val="00742BFA"/>
    <w:rsid w:val="00742DC3"/>
    <w:rsid w:val="00743563"/>
    <w:rsid w:val="00743600"/>
    <w:rsid w:val="0074380A"/>
    <w:rsid w:val="0074386B"/>
    <w:rsid w:val="00743920"/>
    <w:rsid w:val="0074393A"/>
    <w:rsid w:val="00743A0C"/>
    <w:rsid w:val="00743A22"/>
    <w:rsid w:val="00743B53"/>
    <w:rsid w:val="00743EBB"/>
    <w:rsid w:val="00743F59"/>
    <w:rsid w:val="00744110"/>
    <w:rsid w:val="0074450A"/>
    <w:rsid w:val="0074450F"/>
    <w:rsid w:val="00744840"/>
    <w:rsid w:val="00744A73"/>
    <w:rsid w:val="0074514D"/>
    <w:rsid w:val="0074526D"/>
    <w:rsid w:val="0074529C"/>
    <w:rsid w:val="007457EA"/>
    <w:rsid w:val="00745D2D"/>
    <w:rsid w:val="00745DCE"/>
    <w:rsid w:val="00746525"/>
    <w:rsid w:val="00746A38"/>
    <w:rsid w:val="00746FC5"/>
    <w:rsid w:val="00747867"/>
    <w:rsid w:val="00747911"/>
    <w:rsid w:val="00747A6D"/>
    <w:rsid w:val="00747C7A"/>
    <w:rsid w:val="00747DA6"/>
    <w:rsid w:val="00750226"/>
    <w:rsid w:val="0075089D"/>
    <w:rsid w:val="00750AF2"/>
    <w:rsid w:val="0075171E"/>
    <w:rsid w:val="0075177B"/>
    <w:rsid w:val="00751D44"/>
    <w:rsid w:val="007521D0"/>
    <w:rsid w:val="00752A9F"/>
    <w:rsid w:val="00752D01"/>
    <w:rsid w:val="0075307B"/>
    <w:rsid w:val="00755427"/>
    <w:rsid w:val="00755AF1"/>
    <w:rsid w:val="00755C49"/>
    <w:rsid w:val="007560DB"/>
    <w:rsid w:val="007565A9"/>
    <w:rsid w:val="00757364"/>
    <w:rsid w:val="007575BB"/>
    <w:rsid w:val="007576ED"/>
    <w:rsid w:val="0075792D"/>
    <w:rsid w:val="007612D0"/>
    <w:rsid w:val="00761452"/>
    <w:rsid w:val="007616D3"/>
    <w:rsid w:val="007619DB"/>
    <w:rsid w:val="00761C29"/>
    <w:rsid w:val="00761CDE"/>
    <w:rsid w:val="00762871"/>
    <w:rsid w:val="00762A33"/>
    <w:rsid w:val="00762E16"/>
    <w:rsid w:val="00762F05"/>
    <w:rsid w:val="007637C6"/>
    <w:rsid w:val="00763DBD"/>
    <w:rsid w:val="00763E42"/>
    <w:rsid w:val="007651C4"/>
    <w:rsid w:val="007655C8"/>
    <w:rsid w:val="007657EC"/>
    <w:rsid w:val="00765EFB"/>
    <w:rsid w:val="00766722"/>
    <w:rsid w:val="0076687E"/>
    <w:rsid w:val="007672A5"/>
    <w:rsid w:val="0076738E"/>
    <w:rsid w:val="00767E1D"/>
    <w:rsid w:val="00770075"/>
    <w:rsid w:val="0077013F"/>
    <w:rsid w:val="00770248"/>
    <w:rsid w:val="00770CAD"/>
    <w:rsid w:val="00770F42"/>
    <w:rsid w:val="0077123B"/>
    <w:rsid w:val="00771593"/>
    <w:rsid w:val="007716CF"/>
    <w:rsid w:val="00771747"/>
    <w:rsid w:val="00771D72"/>
    <w:rsid w:val="007720D6"/>
    <w:rsid w:val="0077255F"/>
    <w:rsid w:val="007727CB"/>
    <w:rsid w:val="00773BF3"/>
    <w:rsid w:val="00773F7C"/>
    <w:rsid w:val="00774039"/>
    <w:rsid w:val="00774582"/>
    <w:rsid w:val="00775170"/>
    <w:rsid w:val="00775366"/>
    <w:rsid w:val="00775693"/>
    <w:rsid w:val="0077574D"/>
    <w:rsid w:val="00775B5B"/>
    <w:rsid w:val="0077614F"/>
    <w:rsid w:val="007761F9"/>
    <w:rsid w:val="00776393"/>
    <w:rsid w:val="00776E14"/>
    <w:rsid w:val="007770D5"/>
    <w:rsid w:val="00777117"/>
    <w:rsid w:val="007773D9"/>
    <w:rsid w:val="00777487"/>
    <w:rsid w:val="00777C40"/>
    <w:rsid w:val="00777C48"/>
    <w:rsid w:val="00780204"/>
    <w:rsid w:val="007808AC"/>
    <w:rsid w:val="00780ADA"/>
    <w:rsid w:val="00780B2E"/>
    <w:rsid w:val="00780D7D"/>
    <w:rsid w:val="00781735"/>
    <w:rsid w:val="0078194A"/>
    <w:rsid w:val="007819E1"/>
    <w:rsid w:val="0078226B"/>
    <w:rsid w:val="00782975"/>
    <w:rsid w:val="00782C0D"/>
    <w:rsid w:val="0078365D"/>
    <w:rsid w:val="00783666"/>
    <w:rsid w:val="00784E2D"/>
    <w:rsid w:val="007850F9"/>
    <w:rsid w:val="007860C1"/>
    <w:rsid w:val="00786D85"/>
    <w:rsid w:val="00786DF8"/>
    <w:rsid w:val="00786E4F"/>
    <w:rsid w:val="007874E0"/>
    <w:rsid w:val="007879CC"/>
    <w:rsid w:val="00787FC3"/>
    <w:rsid w:val="007905B3"/>
    <w:rsid w:val="00790CC7"/>
    <w:rsid w:val="00790D03"/>
    <w:rsid w:val="007916A2"/>
    <w:rsid w:val="00791892"/>
    <w:rsid w:val="007919B9"/>
    <w:rsid w:val="00791E6B"/>
    <w:rsid w:val="00791F76"/>
    <w:rsid w:val="007926A0"/>
    <w:rsid w:val="007927BE"/>
    <w:rsid w:val="00792883"/>
    <w:rsid w:val="00792E81"/>
    <w:rsid w:val="00792EB3"/>
    <w:rsid w:val="00793468"/>
    <w:rsid w:val="007937B2"/>
    <w:rsid w:val="00794437"/>
    <w:rsid w:val="00794A19"/>
    <w:rsid w:val="00795B38"/>
    <w:rsid w:val="00795E5C"/>
    <w:rsid w:val="00796253"/>
    <w:rsid w:val="00796466"/>
    <w:rsid w:val="00796A96"/>
    <w:rsid w:val="00796AA6"/>
    <w:rsid w:val="00796ABF"/>
    <w:rsid w:val="00797980"/>
    <w:rsid w:val="00797F0C"/>
    <w:rsid w:val="007A03F2"/>
    <w:rsid w:val="007A0592"/>
    <w:rsid w:val="007A05A3"/>
    <w:rsid w:val="007A06B3"/>
    <w:rsid w:val="007A08D4"/>
    <w:rsid w:val="007A1985"/>
    <w:rsid w:val="007A1BBE"/>
    <w:rsid w:val="007A1C48"/>
    <w:rsid w:val="007A1E74"/>
    <w:rsid w:val="007A286A"/>
    <w:rsid w:val="007A2BF6"/>
    <w:rsid w:val="007A2E63"/>
    <w:rsid w:val="007A33B4"/>
    <w:rsid w:val="007A35F0"/>
    <w:rsid w:val="007A3810"/>
    <w:rsid w:val="007A3E87"/>
    <w:rsid w:val="007A3F7A"/>
    <w:rsid w:val="007A411D"/>
    <w:rsid w:val="007A4EAB"/>
    <w:rsid w:val="007A5665"/>
    <w:rsid w:val="007A5807"/>
    <w:rsid w:val="007A5BC8"/>
    <w:rsid w:val="007A5E7B"/>
    <w:rsid w:val="007A619E"/>
    <w:rsid w:val="007A640A"/>
    <w:rsid w:val="007A6484"/>
    <w:rsid w:val="007A6B8F"/>
    <w:rsid w:val="007A7A1C"/>
    <w:rsid w:val="007B00BE"/>
    <w:rsid w:val="007B0423"/>
    <w:rsid w:val="007B0A16"/>
    <w:rsid w:val="007B0BE2"/>
    <w:rsid w:val="007B0D54"/>
    <w:rsid w:val="007B1131"/>
    <w:rsid w:val="007B1B3E"/>
    <w:rsid w:val="007B1C28"/>
    <w:rsid w:val="007B1C69"/>
    <w:rsid w:val="007B1D05"/>
    <w:rsid w:val="007B1FF6"/>
    <w:rsid w:val="007B2226"/>
    <w:rsid w:val="007B2B93"/>
    <w:rsid w:val="007B2BD2"/>
    <w:rsid w:val="007B30CB"/>
    <w:rsid w:val="007B3202"/>
    <w:rsid w:val="007B333C"/>
    <w:rsid w:val="007B37CA"/>
    <w:rsid w:val="007B3C4C"/>
    <w:rsid w:val="007B4A53"/>
    <w:rsid w:val="007B4FBC"/>
    <w:rsid w:val="007B5D0C"/>
    <w:rsid w:val="007B61E2"/>
    <w:rsid w:val="007B6A43"/>
    <w:rsid w:val="007B6E48"/>
    <w:rsid w:val="007B7B0B"/>
    <w:rsid w:val="007C047E"/>
    <w:rsid w:val="007C06B0"/>
    <w:rsid w:val="007C1410"/>
    <w:rsid w:val="007C1424"/>
    <w:rsid w:val="007C16D2"/>
    <w:rsid w:val="007C19BE"/>
    <w:rsid w:val="007C1ABA"/>
    <w:rsid w:val="007C1B9D"/>
    <w:rsid w:val="007C1D2B"/>
    <w:rsid w:val="007C28B4"/>
    <w:rsid w:val="007C28E2"/>
    <w:rsid w:val="007C2926"/>
    <w:rsid w:val="007C2A29"/>
    <w:rsid w:val="007C3B6C"/>
    <w:rsid w:val="007C3BD0"/>
    <w:rsid w:val="007C45A2"/>
    <w:rsid w:val="007C4707"/>
    <w:rsid w:val="007C479D"/>
    <w:rsid w:val="007C5839"/>
    <w:rsid w:val="007C6076"/>
    <w:rsid w:val="007C6383"/>
    <w:rsid w:val="007C6B20"/>
    <w:rsid w:val="007C73BA"/>
    <w:rsid w:val="007C74AD"/>
    <w:rsid w:val="007C75ED"/>
    <w:rsid w:val="007C7840"/>
    <w:rsid w:val="007C7A04"/>
    <w:rsid w:val="007D0175"/>
    <w:rsid w:val="007D0286"/>
    <w:rsid w:val="007D0CD9"/>
    <w:rsid w:val="007D127A"/>
    <w:rsid w:val="007D12A8"/>
    <w:rsid w:val="007D17A9"/>
    <w:rsid w:val="007D1B90"/>
    <w:rsid w:val="007D25C0"/>
    <w:rsid w:val="007D2993"/>
    <w:rsid w:val="007D2CCB"/>
    <w:rsid w:val="007D2E04"/>
    <w:rsid w:val="007D32D5"/>
    <w:rsid w:val="007D45DA"/>
    <w:rsid w:val="007D4888"/>
    <w:rsid w:val="007D4ABC"/>
    <w:rsid w:val="007D4C8A"/>
    <w:rsid w:val="007D4D67"/>
    <w:rsid w:val="007D5240"/>
    <w:rsid w:val="007D58AF"/>
    <w:rsid w:val="007D6849"/>
    <w:rsid w:val="007D69E1"/>
    <w:rsid w:val="007D7328"/>
    <w:rsid w:val="007D77C7"/>
    <w:rsid w:val="007D7B43"/>
    <w:rsid w:val="007E04FC"/>
    <w:rsid w:val="007E0972"/>
    <w:rsid w:val="007E0D91"/>
    <w:rsid w:val="007E10FC"/>
    <w:rsid w:val="007E18C1"/>
    <w:rsid w:val="007E19FE"/>
    <w:rsid w:val="007E1E64"/>
    <w:rsid w:val="007E2555"/>
    <w:rsid w:val="007E26CD"/>
    <w:rsid w:val="007E2767"/>
    <w:rsid w:val="007E298C"/>
    <w:rsid w:val="007E2A6A"/>
    <w:rsid w:val="007E2C13"/>
    <w:rsid w:val="007E36F0"/>
    <w:rsid w:val="007E3C52"/>
    <w:rsid w:val="007E3DDB"/>
    <w:rsid w:val="007E4326"/>
    <w:rsid w:val="007E4AE1"/>
    <w:rsid w:val="007E4D32"/>
    <w:rsid w:val="007E5001"/>
    <w:rsid w:val="007E5059"/>
    <w:rsid w:val="007E5501"/>
    <w:rsid w:val="007E55C9"/>
    <w:rsid w:val="007E689A"/>
    <w:rsid w:val="007E6E48"/>
    <w:rsid w:val="007E7069"/>
    <w:rsid w:val="007E780A"/>
    <w:rsid w:val="007E7BE1"/>
    <w:rsid w:val="007E7D02"/>
    <w:rsid w:val="007E7DE2"/>
    <w:rsid w:val="007F068E"/>
    <w:rsid w:val="007F0996"/>
    <w:rsid w:val="007F0A6E"/>
    <w:rsid w:val="007F0C15"/>
    <w:rsid w:val="007F0E0E"/>
    <w:rsid w:val="007F1040"/>
    <w:rsid w:val="007F1761"/>
    <w:rsid w:val="007F1864"/>
    <w:rsid w:val="007F1866"/>
    <w:rsid w:val="007F1AD4"/>
    <w:rsid w:val="007F1E15"/>
    <w:rsid w:val="007F2542"/>
    <w:rsid w:val="007F25C5"/>
    <w:rsid w:val="007F27AC"/>
    <w:rsid w:val="007F2ED8"/>
    <w:rsid w:val="007F3970"/>
    <w:rsid w:val="007F3CF8"/>
    <w:rsid w:val="007F4036"/>
    <w:rsid w:val="007F41BA"/>
    <w:rsid w:val="007F486A"/>
    <w:rsid w:val="007F4928"/>
    <w:rsid w:val="007F4EA3"/>
    <w:rsid w:val="007F50E1"/>
    <w:rsid w:val="007F5A4E"/>
    <w:rsid w:val="007F5AD6"/>
    <w:rsid w:val="007F5AE1"/>
    <w:rsid w:val="007F5F86"/>
    <w:rsid w:val="007F6199"/>
    <w:rsid w:val="007F68B9"/>
    <w:rsid w:val="007F695A"/>
    <w:rsid w:val="007F6DBE"/>
    <w:rsid w:val="007F730C"/>
    <w:rsid w:val="007F7568"/>
    <w:rsid w:val="007F7726"/>
    <w:rsid w:val="007F78D7"/>
    <w:rsid w:val="007F7A73"/>
    <w:rsid w:val="007F7C08"/>
    <w:rsid w:val="0080002B"/>
    <w:rsid w:val="00800226"/>
    <w:rsid w:val="008004D0"/>
    <w:rsid w:val="00800A04"/>
    <w:rsid w:val="00800EC7"/>
    <w:rsid w:val="008013D6"/>
    <w:rsid w:val="00801A25"/>
    <w:rsid w:val="008022DA"/>
    <w:rsid w:val="008027BC"/>
    <w:rsid w:val="008028EB"/>
    <w:rsid w:val="00802991"/>
    <w:rsid w:val="00803B4B"/>
    <w:rsid w:val="00803C1A"/>
    <w:rsid w:val="008041C5"/>
    <w:rsid w:val="00804230"/>
    <w:rsid w:val="0080496D"/>
    <w:rsid w:val="00804ABC"/>
    <w:rsid w:val="00804E6D"/>
    <w:rsid w:val="008054C7"/>
    <w:rsid w:val="008058EE"/>
    <w:rsid w:val="00806309"/>
    <w:rsid w:val="008066CF"/>
    <w:rsid w:val="00806C15"/>
    <w:rsid w:val="00806CAC"/>
    <w:rsid w:val="00806E52"/>
    <w:rsid w:val="00806ED4"/>
    <w:rsid w:val="00807493"/>
    <w:rsid w:val="00807B5A"/>
    <w:rsid w:val="00807D6F"/>
    <w:rsid w:val="008100E2"/>
    <w:rsid w:val="00810107"/>
    <w:rsid w:val="00810500"/>
    <w:rsid w:val="00810AB7"/>
    <w:rsid w:val="00811382"/>
    <w:rsid w:val="008113C8"/>
    <w:rsid w:val="00811C2B"/>
    <w:rsid w:val="00811C74"/>
    <w:rsid w:val="00812D17"/>
    <w:rsid w:val="008138A6"/>
    <w:rsid w:val="00813B20"/>
    <w:rsid w:val="00814613"/>
    <w:rsid w:val="00815009"/>
    <w:rsid w:val="008151B5"/>
    <w:rsid w:val="00815725"/>
    <w:rsid w:val="008160ED"/>
    <w:rsid w:val="008163CF"/>
    <w:rsid w:val="008167C0"/>
    <w:rsid w:val="00816830"/>
    <w:rsid w:val="00816CAE"/>
    <w:rsid w:val="008170A7"/>
    <w:rsid w:val="0081737A"/>
    <w:rsid w:val="008176EE"/>
    <w:rsid w:val="00817F0C"/>
    <w:rsid w:val="008202B9"/>
    <w:rsid w:val="00821414"/>
    <w:rsid w:val="00821571"/>
    <w:rsid w:val="00822894"/>
    <w:rsid w:val="00822A0F"/>
    <w:rsid w:val="00822F24"/>
    <w:rsid w:val="00823110"/>
    <w:rsid w:val="008231CB"/>
    <w:rsid w:val="0082324F"/>
    <w:rsid w:val="008232C4"/>
    <w:rsid w:val="008238A5"/>
    <w:rsid w:val="00824554"/>
    <w:rsid w:val="00824760"/>
    <w:rsid w:val="00824A25"/>
    <w:rsid w:val="008252D6"/>
    <w:rsid w:val="008252EA"/>
    <w:rsid w:val="008255EC"/>
    <w:rsid w:val="0082566E"/>
    <w:rsid w:val="0082587A"/>
    <w:rsid w:val="00825906"/>
    <w:rsid w:val="00825A1B"/>
    <w:rsid w:val="00825AE1"/>
    <w:rsid w:val="00825E34"/>
    <w:rsid w:val="00826674"/>
    <w:rsid w:val="008266AE"/>
    <w:rsid w:val="0082792B"/>
    <w:rsid w:val="00827A64"/>
    <w:rsid w:val="00830169"/>
    <w:rsid w:val="0083091D"/>
    <w:rsid w:val="00831471"/>
    <w:rsid w:val="00831CCC"/>
    <w:rsid w:val="00832B84"/>
    <w:rsid w:val="00832CBB"/>
    <w:rsid w:val="00832E7E"/>
    <w:rsid w:val="00833575"/>
    <w:rsid w:val="00833F35"/>
    <w:rsid w:val="00834923"/>
    <w:rsid w:val="008351B7"/>
    <w:rsid w:val="00835AE0"/>
    <w:rsid w:val="00835FA3"/>
    <w:rsid w:val="00836016"/>
    <w:rsid w:val="008364E9"/>
    <w:rsid w:val="00836611"/>
    <w:rsid w:val="00836B09"/>
    <w:rsid w:val="00836BA4"/>
    <w:rsid w:val="00836D8A"/>
    <w:rsid w:val="0083708E"/>
    <w:rsid w:val="00837387"/>
    <w:rsid w:val="00837498"/>
    <w:rsid w:val="008379C1"/>
    <w:rsid w:val="00840016"/>
    <w:rsid w:val="008401F8"/>
    <w:rsid w:val="00840786"/>
    <w:rsid w:val="00840C72"/>
    <w:rsid w:val="008417D2"/>
    <w:rsid w:val="00841EF5"/>
    <w:rsid w:val="00841F6C"/>
    <w:rsid w:val="00842145"/>
    <w:rsid w:val="0084264C"/>
    <w:rsid w:val="0084288B"/>
    <w:rsid w:val="00842C5C"/>
    <w:rsid w:val="00843149"/>
    <w:rsid w:val="00843A09"/>
    <w:rsid w:val="00843AE0"/>
    <w:rsid w:val="00843E21"/>
    <w:rsid w:val="008442D2"/>
    <w:rsid w:val="0084486B"/>
    <w:rsid w:val="00844966"/>
    <w:rsid w:val="00844C91"/>
    <w:rsid w:val="00844EA0"/>
    <w:rsid w:val="008450AD"/>
    <w:rsid w:val="0084515D"/>
    <w:rsid w:val="008456BC"/>
    <w:rsid w:val="00845CDD"/>
    <w:rsid w:val="00846125"/>
    <w:rsid w:val="0084624F"/>
    <w:rsid w:val="00846A78"/>
    <w:rsid w:val="00846F59"/>
    <w:rsid w:val="00847348"/>
    <w:rsid w:val="008474FF"/>
    <w:rsid w:val="00847D12"/>
    <w:rsid w:val="0085064A"/>
    <w:rsid w:val="00850EFC"/>
    <w:rsid w:val="00850F5D"/>
    <w:rsid w:val="008510E0"/>
    <w:rsid w:val="0085118E"/>
    <w:rsid w:val="0085138B"/>
    <w:rsid w:val="008513D2"/>
    <w:rsid w:val="00851615"/>
    <w:rsid w:val="008521A1"/>
    <w:rsid w:val="008527C8"/>
    <w:rsid w:val="008529ED"/>
    <w:rsid w:val="00852CB6"/>
    <w:rsid w:val="00852EA7"/>
    <w:rsid w:val="00853028"/>
    <w:rsid w:val="008530FC"/>
    <w:rsid w:val="008533FE"/>
    <w:rsid w:val="00853F3A"/>
    <w:rsid w:val="00853F5F"/>
    <w:rsid w:val="00854001"/>
    <w:rsid w:val="00854A06"/>
    <w:rsid w:val="0085520D"/>
    <w:rsid w:val="008553A1"/>
    <w:rsid w:val="008554C2"/>
    <w:rsid w:val="00855CE9"/>
    <w:rsid w:val="008560E7"/>
    <w:rsid w:val="00856FCE"/>
    <w:rsid w:val="008575E9"/>
    <w:rsid w:val="00857678"/>
    <w:rsid w:val="008577A8"/>
    <w:rsid w:val="008578D6"/>
    <w:rsid w:val="00857902"/>
    <w:rsid w:val="00857AB3"/>
    <w:rsid w:val="00860411"/>
    <w:rsid w:val="00860768"/>
    <w:rsid w:val="00860862"/>
    <w:rsid w:val="00861C6E"/>
    <w:rsid w:val="00861FEE"/>
    <w:rsid w:val="008625E0"/>
    <w:rsid w:val="00862C49"/>
    <w:rsid w:val="008630A5"/>
    <w:rsid w:val="00863136"/>
    <w:rsid w:val="008631FA"/>
    <w:rsid w:val="00863294"/>
    <w:rsid w:val="008632F9"/>
    <w:rsid w:val="00863BC8"/>
    <w:rsid w:val="00864468"/>
    <w:rsid w:val="00864590"/>
    <w:rsid w:val="008645FD"/>
    <w:rsid w:val="00864ABB"/>
    <w:rsid w:val="00864D91"/>
    <w:rsid w:val="00864DF4"/>
    <w:rsid w:val="00865070"/>
    <w:rsid w:val="008650BB"/>
    <w:rsid w:val="0086511F"/>
    <w:rsid w:val="008653DC"/>
    <w:rsid w:val="0086617D"/>
    <w:rsid w:val="00866587"/>
    <w:rsid w:val="00866C44"/>
    <w:rsid w:val="0086792C"/>
    <w:rsid w:val="0087037C"/>
    <w:rsid w:val="00870732"/>
    <w:rsid w:val="00870738"/>
    <w:rsid w:val="00870786"/>
    <w:rsid w:val="00871019"/>
    <w:rsid w:val="008714A5"/>
    <w:rsid w:val="00871AF3"/>
    <w:rsid w:val="0087258F"/>
    <w:rsid w:val="008725CE"/>
    <w:rsid w:val="00872BCB"/>
    <w:rsid w:val="00873367"/>
    <w:rsid w:val="00873419"/>
    <w:rsid w:val="008737A6"/>
    <w:rsid w:val="008737DC"/>
    <w:rsid w:val="008740CB"/>
    <w:rsid w:val="00874195"/>
    <w:rsid w:val="00874772"/>
    <w:rsid w:val="00874F93"/>
    <w:rsid w:val="0087551A"/>
    <w:rsid w:val="0087566E"/>
    <w:rsid w:val="00875D1E"/>
    <w:rsid w:val="00875F85"/>
    <w:rsid w:val="008761DD"/>
    <w:rsid w:val="00876C85"/>
    <w:rsid w:val="00876EE9"/>
    <w:rsid w:val="0087769F"/>
    <w:rsid w:val="00877BB1"/>
    <w:rsid w:val="00877F0D"/>
    <w:rsid w:val="00880187"/>
    <w:rsid w:val="00880F81"/>
    <w:rsid w:val="0088129F"/>
    <w:rsid w:val="008818F9"/>
    <w:rsid w:val="0088258D"/>
    <w:rsid w:val="008825B6"/>
    <w:rsid w:val="00882843"/>
    <w:rsid w:val="00882BDC"/>
    <w:rsid w:val="008835F2"/>
    <w:rsid w:val="00884130"/>
    <w:rsid w:val="008848AC"/>
    <w:rsid w:val="00884CA1"/>
    <w:rsid w:val="00884CB9"/>
    <w:rsid w:val="00884FB3"/>
    <w:rsid w:val="00885389"/>
    <w:rsid w:val="0088567D"/>
    <w:rsid w:val="0088583F"/>
    <w:rsid w:val="008858A8"/>
    <w:rsid w:val="0088601E"/>
    <w:rsid w:val="008869B8"/>
    <w:rsid w:val="00887639"/>
    <w:rsid w:val="008900FA"/>
    <w:rsid w:val="0089011F"/>
    <w:rsid w:val="00890D6C"/>
    <w:rsid w:val="00891404"/>
    <w:rsid w:val="00891AA2"/>
    <w:rsid w:val="00891BDA"/>
    <w:rsid w:val="00892664"/>
    <w:rsid w:val="008927A5"/>
    <w:rsid w:val="00892840"/>
    <w:rsid w:val="008928DB"/>
    <w:rsid w:val="008929EB"/>
    <w:rsid w:val="00892D02"/>
    <w:rsid w:val="00892ED1"/>
    <w:rsid w:val="0089300B"/>
    <w:rsid w:val="008932B3"/>
    <w:rsid w:val="008932EE"/>
    <w:rsid w:val="00893903"/>
    <w:rsid w:val="00893D3F"/>
    <w:rsid w:val="00893E76"/>
    <w:rsid w:val="008948E3"/>
    <w:rsid w:val="00894DBC"/>
    <w:rsid w:val="0089545D"/>
    <w:rsid w:val="00895CD5"/>
    <w:rsid w:val="008964CD"/>
    <w:rsid w:val="008969B1"/>
    <w:rsid w:val="00896BA3"/>
    <w:rsid w:val="00897191"/>
    <w:rsid w:val="00897452"/>
    <w:rsid w:val="00897502"/>
    <w:rsid w:val="00897C34"/>
    <w:rsid w:val="00897F40"/>
    <w:rsid w:val="008A038E"/>
    <w:rsid w:val="008A08C2"/>
    <w:rsid w:val="008A08EE"/>
    <w:rsid w:val="008A0972"/>
    <w:rsid w:val="008A0E5B"/>
    <w:rsid w:val="008A13DC"/>
    <w:rsid w:val="008A159E"/>
    <w:rsid w:val="008A1654"/>
    <w:rsid w:val="008A1783"/>
    <w:rsid w:val="008A190A"/>
    <w:rsid w:val="008A1945"/>
    <w:rsid w:val="008A1F24"/>
    <w:rsid w:val="008A1F60"/>
    <w:rsid w:val="008A2B7C"/>
    <w:rsid w:val="008A2D2A"/>
    <w:rsid w:val="008A2E4B"/>
    <w:rsid w:val="008A2E4F"/>
    <w:rsid w:val="008A2F6C"/>
    <w:rsid w:val="008A3468"/>
    <w:rsid w:val="008A36DE"/>
    <w:rsid w:val="008A3AF4"/>
    <w:rsid w:val="008A415F"/>
    <w:rsid w:val="008A4C5E"/>
    <w:rsid w:val="008A4FE2"/>
    <w:rsid w:val="008A563B"/>
    <w:rsid w:val="008A5A8D"/>
    <w:rsid w:val="008A5B8A"/>
    <w:rsid w:val="008A5DCE"/>
    <w:rsid w:val="008A601F"/>
    <w:rsid w:val="008A61E4"/>
    <w:rsid w:val="008A65FD"/>
    <w:rsid w:val="008A68B2"/>
    <w:rsid w:val="008A6B9C"/>
    <w:rsid w:val="008A6C3D"/>
    <w:rsid w:val="008A7477"/>
    <w:rsid w:val="008A7CA2"/>
    <w:rsid w:val="008A7E97"/>
    <w:rsid w:val="008A7EB0"/>
    <w:rsid w:val="008B002B"/>
    <w:rsid w:val="008B0DBF"/>
    <w:rsid w:val="008B170F"/>
    <w:rsid w:val="008B1970"/>
    <w:rsid w:val="008B1AC1"/>
    <w:rsid w:val="008B1F78"/>
    <w:rsid w:val="008B2357"/>
    <w:rsid w:val="008B2668"/>
    <w:rsid w:val="008B2ABB"/>
    <w:rsid w:val="008B2B4C"/>
    <w:rsid w:val="008B2C3B"/>
    <w:rsid w:val="008B365A"/>
    <w:rsid w:val="008B37E1"/>
    <w:rsid w:val="008B3CC3"/>
    <w:rsid w:val="008B3ED6"/>
    <w:rsid w:val="008B47A5"/>
    <w:rsid w:val="008B4810"/>
    <w:rsid w:val="008B4832"/>
    <w:rsid w:val="008B48CE"/>
    <w:rsid w:val="008B5083"/>
    <w:rsid w:val="008B59F7"/>
    <w:rsid w:val="008B59F8"/>
    <w:rsid w:val="008B5E23"/>
    <w:rsid w:val="008B60AF"/>
    <w:rsid w:val="008B63F4"/>
    <w:rsid w:val="008B65A8"/>
    <w:rsid w:val="008B6950"/>
    <w:rsid w:val="008B6964"/>
    <w:rsid w:val="008B7B03"/>
    <w:rsid w:val="008B7E90"/>
    <w:rsid w:val="008C04A5"/>
    <w:rsid w:val="008C20E3"/>
    <w:rsid w:val="008C2287"/>
    <w:rsid w:val="008C29B6"/>
    <w:rsid w:val="008C306A"/>
    <w:rsid w:val="008C34FC"/>
    <w:rsid w:val="008C3D20"/>
    <w:rsid w:val="008C448F"/>
    <w:rsid w:val="008C496A"/>
    <w:rsid w:val="008C4C99"/>
    <w:rsid w:val="008C521B"/>
    <w:rsid w:val="008C53E6"/>
    <w:rsid w:val="008C5AE4"/>
    <w:rsid w:val="008C5F3F"/>
    <w:rsid w:val="008C6187"/>
    <w:rsid w:val="008C6557"/>
    <w:rsid w:val="008C66BE"/>
    <w:rsid w:val="008C6FB6"/>
    <w:rsid w:val="008C7652"/>
    <w:rsid w:val="008C7825"/>
    <w:rsid w:val="008C7898"/>
    <w:rsid w:val="008C7A97"/>
    <w:rsid w:val="008C7BAC"/>
    <w:rsid w:val="008D016A"/>
    <w:rsid w:val="008D080B"/>
    <w:rsid w:val="008D0FC3"/>
    <w:rsid w:val="008D176E"/>
    <w:rsid w:val="008D1D9F"/>
    <w:rsid w:val="008D1F63"/>
    <w:rsid w:val="008D2591"/>
    <w:rsid w:val="008D2789"/>
    <w:rsid w:val="008D2963"/>
    <w:rsid w:val="008D3386"/>
    <w:rsid w:val="008D3485"/>
    <w:rsid w:val="008D389F"/>
    <w:rsid w:val="008D3FD3"/>
    <w:rsid w:val="008D437E"/>
    <w:rsid w:val="008D465A"/>
    <w:rsid w:val="008D4979"/>
    <w:rsid w:val="008D4DD0"/>
    <w:rsid w:val="008D5E00"/>
    <w:rsid w:val="008D6130"/>
    <w:rsid w:val="008D61E8"/>
    <w:rsid w:val="008D6395"/>
    <w:rsid w:val="008D696F"/>
    <w:rsid w:val="008D6B0F"/>
    <w:rsid w:val="008D6C3E"/>
    <w:rsid w:val="008D716D"/>
    <w:rsid w:val="008D7745"/>
    <w:rsid w:val="008E0433"/>
    <w:rsid w:val="008E0B0D"/>
    <w:rsid w:val="008E0EC1"/>
    <w:rsid w:val="008E1297"/>
    <w:rsid w:val="008E1416"/>
    <w:rsid w:val="008E1431"/>
    <w:rsid w:val="008E17A4"/>
    <w:rsid w:val="008E1BBC"/>
    <w:rsid w:val="008E2049"/>
    <w:rsid w:val="008E222C"/>
    <w:rsid w:val="008E3345"/>
    <w:rsid w:val="008E398E"/>
    <w:rsid w:val="008E3D61"/>
    <w:rsid w:val="008E483C"/>
    <w:rsid w:val="008E49D4"/>
    <w:rsid w:val="008E4B3B"/>
    <w:rsid w:val="008E50DB"/>
    <w:rsid w:val="008E610E"/>
    <w:rsid w:val="008E61CF"/>
    <w:rsid w:val="008E6EBA"/>
    <w:rsid w:val="008E78CF"/>
    <w:rsid w:val="008E7916"/>
    <w:rsid w:val="008E7A68"/>
    <w:rsid w:val="008E7D4E"/>
    <w:rsid w:val="008F020C"/>
    <w:rsid w:val="008F09B3"/>
    <w:rsid w:val="008F0CB4"/>
    <w:rsid w:val="008F14C0"/>
    <w:rsid w:val="008F1F7A"/>
    <w:rsid w:val="008F240B"/>
    <w:rsid w:val="008F269B"/>
    <w:rsid w:val="008F2C39"/>
    <w:rsid w:val="008F3F45"/>
    <w:rsid w:val="008F432F"/>
    <w:rsid w:val="008F464A"/>
    <w:rsid w:val="008F48FB"/>
    <w:rsid w:val="008F52F1"/>
    <w:rsid w:val="008F6875"/>
    <w:rsid w:val="008F6AC2"/>
    <w:rsid w:val="008F6D1A"/>
    <w:rsid w:val="008F7073"/>
    <w:rsid w:val="008F764B"/>
    <w:rsid w:val="008F7816"/>
    <w:rsid w:val="008F7A4F"/>
    <w:rsid w:val="009007BD"/>
    <w:rsid w:val="00900E6B"/>
    <w:rsid w:val="009014B1"/>
    <w:rsid w:val="009015CC"/>
    <w:rsid w:val="0090191B"/>
    <w:rsid w:val="009020F2"/>
    <w:rsid w:val="00902492"/>
    <w:rsid w:val="0090276D"/>
    <w:rsid w:val="0090277C"/>
    <w:rsid w:val="00902B8D"/>
    <w:rsid w:val="009031F9"/>
    <w:rsid w:val="0090347C"/>
    <w:rsid w:val="00903866"/>
    <w:rsid w:val="0090396F"/>
    <w:rsid w:val="00903F37"/>
    <w:rsid w:val="00904053"/>
    <w:rsid w:val="0090473F"/>
    <w:rsid w:val="00904ECF"/>
    <w:rsid w:val="00905010"/>
    <w:rsid w:val="00905585"/>
    <w:rsid w:val="00905982"/>
    <w:rsid w:val="00905BCE"/>
    <w:rsid w:val="00905F22"/>
    <w:rsid w:val="00907026"/>
    <w:rsid w:val="009101C9"/>
    <w:rsid w:val="00910AC3"/>
    <w:rsid w:val="009112C4"/>
    <w:rsid w:val="009117CD"/>
    <w:rsid w:val="00912499"/>
    <w:rsid w:val="009137A6"/>
    <w:rsid w:val="009157D7"/>
    <w:rsid w:val="0091586A"/>
    <w:rsid w:val="00916126"/>
    <w:rsid w:val="009169EB"/>
    <w:rsid w:val="009171DB"/>
    <w:rsid w:val="00917446"/>
    <w:rsid w:val="00917BC0"/>
    <w:rsid w:val="00920662"/>
    <w:rsid w:val="009207E7"/>
    <w:rsid w:val="009209BB"/>
    <w:rsid w:val="00920B15"/>
    <w:rsid w:val="00920C91"/>
    <w:rsid w:val="00920D64"/>
    <w:rsid w:val="009210F0"/>
    <w:rsid w:val="00921120"/>
    <w:rsid w:val="00921B79"/>
    <w:rsid w:val="00922003"/>
    <w:rsid w:val="0092209B"/>
    <w:rsid w:val="0092210C"/>
    <w:rsid w:val="00922325"/>
    <w:rsid w:val="0092289B"/>
    <w:rsid w:val="00922D0E"/>
    <w:rsid w:val="00923367"/>
    <w:rsid w:val="00923929"/>
    <w:rsid w:val="00923C3F"/>
    <w:rsid w:val="00923E89"/>
    <w:rsid w:val="00924085"/>
    <w:rsid w:val="00925B28"/>
    <w:rsid w:val="00925E3B"/>
    <w:rsid w:val="00926061"/>
    <w:rsid w:val="0092618F"/>
    <w:rsid w:val="00926856"/>
    <w:rsid w:val="00926EFF"/>
    <w:rsid w:val="00927138"/>
    <w:rsid w:val="0092752A"/>
    <w:rsid w:val="0092782E"/>
    <w:rsid w:val="00927ED4"/>
    <w:rsid w:val="00930012"/>
    <w:rsid w:val="00930047"/>
    <w:rsid w:val="009306E5"/>
    <w:rsid w:val="009307E5"/>
    <w:rsid w:val="009309D1"/>
    <w:rsid w:val="00930ABF"/>
    <w:rsid w:val="00930ECC"/>
    <w:rsid w:val="0093173D"/>
    <w:rsid w:val="00931E27"/>
    <w:rsid w:val="00932427"/>
    <w:rsid w:val="0093286C"/>
    <w:rsid w:val="00932AA9"/>
    <w:rsid w:val="00932BFC"/>
    <w:rsid w:val="00933896"/>
    <w:rsid w:val="00934F57"/>
    <w:rsid w:val="0093518E"/>
    <w:rsid w:val="009351B8"/>
    <w:rsid w:val="0093527F"/>
    <w:rsid w:val="00935394"/>
    <w:rsid w:val="00935DBB"/>
    <w:rsid w:val="00935E32"/>
    <w:rsid w:val="0093785F"/>
    <w:rsid w:val="00937D51"/>
    <w:rsid w:val="0094022E"/>
    <w:rsid w:val="0094031F"/>
    <w:rsid w:val="009405CE"/>
    <w:rsid w:val="009409D3"/>
    <w:rsid w:val="00940FDD"/>
    <w:rsid w:val="00941AE6"/>
    <w:rsid w:val="00942192"/>
    <w:rsid w:val="00942447"/>
    <w:rsid w:val="009424E5"/>
    <w:rsid w:val="00942796"/>
    <w:rsid w:val="009428A0"/>
    <w:rsid w:val="00942C2E"/>
    <w:rsid w:val="00942FCF"/>
    <w:rsid w:val="0094338B"/>
    <w:rsid w:val="00943587"/>
    <w:rsid w:val="009437F1"/>
    <w:rsid w:val="00943868"/>
    <w:rsid w:val="00944373"/>
    <w:rsid w:val="009443A5"/>
    <w:rsid w:val="00944908"/>
    <w:rsid w:val="00944A00"/>
    <w:rsid w:val="00944A03"/>
    <w:rsid w:val="00944AA5"/>
    <w:rsid w:val="00944DF6"/>
    <w:rsid w:val="00945348"/>
    <w:rsid w:val="00945718"/>
    <w:rsid w:val="00945827"/>
    <w:rsid w:val="00945912"/>
    <w:rsid w:val="00945DEE"/>
    <w:rsid w:val="00945EE7"/>
    <w:rsid w:val="00945F8B"/>
    <w:rsid w:val="0094604C"/>
    <w:rsid w:val="00946089"/>
    <w:rsid w:val="00946A6B"/>
    <w:rsid w:val="00946E02"/>
    <w:rsid w:val="00947108"/>
    <w:rsid w:val="00950271"/>
    <w:rsid w:val="0095097F"/>
    <w:rsid w:val="0095099E"/>
    <w:rsid w:val="00950BEB"/>
    <w:rsid w:val="00950D65"/>
    <w:rsid w:val="009513ED"/>
    <w:rsid w:val="00951413"/>
    <w:rsid w:val="009518C5"/>
    <w:rsid w:val="009519E2"/>
    <w:rsid w:val="00951D71"/>
    <w:rsid w:val="00951D78"/>
    <w:rsid w:val="009522D3"/>
    <w:rsid w:val="009523FA"/>
    <w:rsid w:val="00952679"/>
    <w:rsid w:val="00952808"/>
    <w:rsid w:val="00952A77"/>
    <w:rsid w:val="00952BB0"/>
    <w:rsid w:val="00952F37"/>
    <w:rsid w:val="009539B2"/>
    <w:rsid w:val="009539BC"/>
    <w:rsid w:val="00953C63"/>
    <w:rsid w:val="00953E74"/>
    <w:rsid w:val="00954243"/>
    <w:rsid w:val="0095487D"/>
    <w:rsid w:val="009553EE"/>
    <w:rsid w:val="009555EC"/>
    <w:rsid w:val="00955610"/>
    <w:rsid w:val="009556D3"/>
    <w:rsid w:val="00955729"/>
    <w:rsid w:val="00955E50"/>
    <w:rsid w:val="00956503"/>
    <w:rsid w:val="00956632"/>
    <w:rsid w:val="009568D6"/>
    <w:rsid w:val="0095691F"/>
    <w:rsid w:val="00956AE2"/>
    <w:rsid w:val="00956B06"/>
    <w:rsid w:val="00956B90"/>
    <w:rsid w:val="00956F88"/>
    <w:rsid w:val="00957259"/>
    <w:rsid w:val="00957607"/>
    <w:rsid w:val="00957675"/>
    <w:rsid w:val="00957C8A"/>
    <w:rsid w:val="00961057"/>
    <w:rsid w:val="00961266"/>
    <w:rsid w:val="00961F67"/>
    <w:rsid w:val="0096264F"/>
    <w:rsid w:val="00962D87"/>
    <w:rsid w:val="00963103"/>
    <w:rsid w:val="009634B1"/>
    <w:rsid w:val="009638C7"/>
    <w:rsid w:val="00963A61"/>
    <w:rsid w:val="00963E59"/>
    <w:rsid w:val="0096416C"/>
    <w:rsid w:val="00964931"/>
    <w:rsid w:val="00964DE0"/>
    <w:rsid w:val="0096533F"/>
    <w:rsid w:val="00967984"/>
    <w:rsid w:val="00967ABB"/>
    <w:rsid w:val="00967D30"/>
    <w:rsid w:val="00967EE5"/>
    <w:rsid w:val="0097040A"/>
    <w:rsid w:val="00970CB0"/>
    <w:rsid w:val="00970E92"/>
    <w:rsid w:val="00970EBA"/>
    <w:rsid w:val="0097159B"/>
    <w:rsid w:val="00971B74"/>
    <w:rsid w:val="00971E22"/>
    <w:rsid w:val="00971F0D"/>
    <w:rsid w:val="0097211B"/>
    <w:rsid w:val="00972196"/>
    <w:rsid w:val="009727A1"/>
    <w:rsid w:val="00973762"/>
    <w:rsid w:val="009738A1"/>
    <w:rsid w:val="00974893"/>
    <w:rsid w:val="00974F01"/>
    <w:rsid w:val="009754FF"/>
    <w:rsid w:val="00976114"/>
    <w:rsid w:val="0097627D"/>
    <w:rsid w:val="009765AA"/>
    <w:rsid w:val="009765B3"/>
    <w:rsid w:val="00977147"/>
    <w:rsid w:val="00977CD5"/>
    <w:rsid w:val="009803D1"/>
    <w:rsid w:val="0098079F"/>
    <w:rsid w:val="0098278E"/>
    <w:rsid w:val="00982986"/>
    <w:rsid w:val="00982A17"/>
    <w:rsid w:val="00983A33"/>
    <w:rsid w:val="00984196"/>
    <w:rsid w:val="009842BD"/>
    <w:rsid w:val="0098434F"/>
    <w:rsid w:val="00985116"/>
    <w:rsid w:val="009852EE"/>
    <w:rsid w:val="00985467"/>
    <w:rsid w:val="009854F1"/>
    <w:rsid w:val="00985CD7"/>
    <w:rsid w:val="00985E20"/>
    <w:rsid w:val="009872CC"/>
    <w:rsid w:val="009878B8"/>
    <w:rsid w:val="009878F3"/>
    <w:rsid w:val="00987AD3"/>
    <w:rsid w:val="00987BD4"/>
    <w:rsid w:val="00987D5A"/>
    <w:rsid w:val="00987F32"/>
    <w:rsid w:val="009901D6"/>
    <w:rsid w:val="00990F60"/>
    <w:rsid w:val="00991174"/>
    <w:rsid w:val="0099131A"/>
    <w:rsid w:val="009915A4"/>
    <w:rsid w:val="00991761"/>
    <w:rsid w:val="00991BBF"/>
    <w:rsid w:val="00992149"/>
    <w:rsid w:val="00992D2A"/>
    <w:rsid w:val="00993531"/>
    <w:rsid w:val="00993A5D"/>
    <w:rsid w:val="00993CE2"/>
    <w:rsid w:val="00994035"/>
    <w:rsid w:val="00994C01"/>
    <w:rsid w:val="00995C13"/>
    <w:rsid w:val="00995D15"/>
    <w:rsid w:val="0099651A"/>
    <w:rsid w:val="00996979"/>
    <w:rsid w:val="009972B4"/>
    <w:rsid w:val="009A04E2"/>
    <w:rsid w:val="009A07CF"/>
    <w:rsid w:val="009A081F"/>
    <w:rsid w:val="009A09A7"/>
    <w:rsid w:val="009A0A35"/>
    <w:rsid w:val="009A0B10"/>
    <w:rsid w:val="009A1736"/>
    <w:rsid w:val="009A1A2A"/>
    <w:rsid w:val="009A1E73"/>
    <w:rsid w:val="009A1E8F"/>
    <w:rsid w:val="009A1FD4"/>
    <w:rsid w:val="009A2082"/>
    <w:rsid w:val="009A216B"/>
    <w:rsid w:val="009A21AC"/>
    <w:rsid w:val="009A26D0"/>
    <w:rsid w:val="009A27E4"/>
    <w:rsid w:val="009A2A5B"/>
    <w:rsid w:val="009A3011"/>
    <w:rsid w:val="009A3994"/>
    <w:rsid w:val="009A43A3"/>
    <w:rsid w:val="009A4470"/>
    <w:rsid w:val="009A44F5"/>
    <w:rsid w:val="009A4754"/>
    <w:rsid w:val="009A4934"/>
    <w:rsid w:val="009A49E9"/>
    <w:rsid w:val="009A4A95"/>
    <w:rsid w:val="009A4C92"/>
    <w:rsid w:val="009A4CA1"/>
    <w:rsid w:val="009A507B"/>
    <w:rsid w:val="009A5312"/>
    <w:rsid w:val="009A592B"/>
    <w:rsid w:val="009A5E0E"/>
    <w:rsid w:val="009A6D16"/>
    <w:rsid w:val="009A780D"/>
    <w:rsid w:val="009A7852"/>
    <w:rsid w:val="009A7892"/>
    <w:rsid w:val="009B01F4"/>
    <w:rsid w:val="009B05D5"/>
    <w:rsid w:val="009B06CF"/>
    <w:rsid w:val="009B12CE"/>
    <w:rsid w:val="009B13C3"/>
    <w:rsid w:val="009B18C3"/>
    <w:rsid w:val="009B1D6B"/>
    <w:rsid w:val="009B28B3"/>
    <w:rsid w:val="009B2C56"/>
    <w:rsid w:val="009B37A1"/>
    <w:rsid w:val="009B397D"/>
    <w:rsid w:val="009B3FE5"/>
    <w:rsid w:val="009B40EF"/>
    <w:rsid w:val="009B46B7"/>
    <w:rsid w:val="009B46C9"/>
    <w:rsid w:val="009B5377"/>
    <w:rsid w:val="009B53AD"/>
    <w:rsid w:val="009B5485"/>
    <w:rsid w:val="009B558F"/>
    <w:rsid w:val="009B5C17"/>
    <w:rsid w:val="009B5C49"/>
    <w:rsid w:val="009B612C"/>
    <w:rsid w:val="009B6247"/>
    <w:rsid w:val="009B6D47"/>
    <w:rsid w:val="009B6DC5"/>
    <w:rsid w:val="009B705B"/>
    <w:rsid w:val="009B709C"/>
    <w:rsid w:val="009B73AB"/>
    <w:rsid w:val="009B7545"/>
    <w:rsid w:val="009C0502"/>
    <w:rsid w:val="009C099C"/>
    <w:rsid w:val="009C0C05"/>
    <w:rsid w:val="009C0E68"/>
    <w:rsid w:val="009C0F9F"/>
    <w:rsid w:val="009C102C"/>
    <w:rsid w:val="009C1098"/>
    <w:rsid w:val="009C1794"/>
    <w:rsid w:val="009C1CC3"/>
    <w:rsid w:val="009C2E65"/>
    <w:rsid w:val="009C3333"/>
    <w:rsid w:val="009C3C0D"/>
    <w:rsid w:val="009C4201"/>
    <w:rsid w:val="009C4B0D"/>
    <w:rsid w:val="009C4B1C"/>
    <w:rsid w:val="009C4EAF"/>
    <w:rsid w:val="009C5A51"/>
    <w:rsid w:val="009C5D00"/>
    <w:rsid w:val="009C65A4"/>
    <w:rsid w:val="009C683B"/>
    <w:rsid w:val="009C6BC0"/>
    <w:rsid w:val="009C6BEF"/>
    <w:rsid w:val="009C6EB8"/>
    <w:rsid w:val="009C6FF2"/>
    <w:rsid w:val="009C74BE"/>
    <w:rsid w:val="009C7AE1"/>
    <w:rsid w:val="009C7B79"/>
    <w:rsid w:val="009D0A0E"/>
    <w:rsid w:val="009D19EC"/>
    <w:rsid w:val="009D1B7B"/>
    <w:rsid w:val="009D1DD3"/>
    <w:rsid w:val="009D1FBA"/>
    <w:rsid w:val="009D212B"/>
    <w:rsid w:val="009D23D3"/>
    <w:rsid w:val="009D2E42"/>
    <w:rsid w:val="009D36BE"/>
    <w:rsid w:val="009D3B25"/>
    <w:rsid w:val="009D42F3"/>
    <w:rsid w:val="009D47DE"/>
    <w:rsid w:val="009D4D4B"/>
    <w:rsid w:val="009D4DC7"/>
    <w:rsid w:val="009D58DD"/>
    <w:rsid w:val="009D5907"/>
    <w:rsid w:val="009D593B"/>
    <w:rsid w:val="009D5A83"/>
    <w:rsid w:val="009D6292"/>
    <w:rsid w:val="009D664E"/>
    <w:rsid w:val="009D76B0"/>
    <w:rsid w:val="009D7A47"/>
    <w:rsid w:val="009D7D5D"/>
    <w:rsid w:val="009E0713"/>
    <w:rsid w:val="009E09A9"/>
    <w:rsid w:val="009E0BCD"/>
    <w:rsid w:val="009E0EC3"/>
    <w:rsid w:val="009E14E0"/>
    <w:rsid w:val="009E1EBA"/>
    <w:rsid w:val="009E23DA"/>
    <w:rsid w:val="009E24FB"/>
    <w:rsid w:val="009E2829"/>
    <w:rsid w:val="009E287D"/>
    <w:rsid w:val="009E2E7B"/>
    <w:rsid w:val="009E43AE"/>
    <w:rsid w:val="009E4438"/>
    <w:rsid w:val="009E501F"/>
    <w:rsid w:val="009E58AD"/>
    <w:rsid w:val="009E5AC9"/>
    <w:rsid w:val="009E5EFC"/>
    <w:rsid w:val="009E622F"/>
    <w:rsid w:val="009E627F"/>
    <w:rsid w:val="009E62C1"/>
    <w:rsid w:val="009E6583"/>
    <w:rsid w:val="009E6731"/>
    <w:rsid w:val="009E6983"/>
    <w:rsid w:val="009E70E3"/>
    <w:rsid w:val="009E720A"/>
    <w:rsid w:val="009E7C63"/>
    <w:rsid w:val="009F014D"/>
    <w:rsid w:val="009F0299"/>
    <w:rsid w:val="009F0653"/>
    <w:rsid w:val="009F0775"/>
    <w:rsid w:val="009F0DE3"/>
    <w:rsid w:val="009F15E8"/>
    <w:rsid w:val="009F1666"/>
    <w:rsid w:val="009F18F1"/>
    <w:rsid w:val="009F1E3C"/>
    <w:rsid w:val="009F269E"/>
    <w:rsid w:val="009F26D2"/>
    <w:rsid w:val="009F2BAA"/>
    <w:rsid w:val="009F30AB"/>
    <w:rsid w:val="009F3BC2"/>
    <w:rsid w:val="009F45FC"/>
    <w:rsid w:val="009F4959"/>
    <w:rsid w:val="009F4DE5"/>
    <w:rsid w:val="009F4E62"/>
    <w:rsid w:val="009F53FC"/>
    <w:rsid w:val="009F544B"/>
    <w:rsid w:val="009F5A7C"/>
    <w:rsid w:val="009F5CC1"/>
    <w:rsid w:val="009F65A8"/>
    <w:rsid w:val="009F6EE2"/>
    <w:rsid w:val="009F7319"/>
    <w:rsid w:val="009F7796"/>
    <w:rsid w:val="00A000E6"/>
    <w:rsid w:val="00A00B66"/>
    <w:rsid w:val="00A01312"/>
    <w:rsid w:val="00A019F2"/>
    <w:rsid w:val="00A01BB6"/>
    <w:rsid w:val="00A01E07"/>
    <w:rsid w:val="00A0234F"/>
    <w:rsid w:val="00A028A4"/>
    <w:rsid w:val="00A03189"/>
    <w:rsid w:val="00A03690"/>
    <w:rsid w:val="00A03929"/>
    <w:rsid w:val="00A03ACE"/>
    <w:rsid w:val="00A03CC3"/>
    <w:rsid w:val="00A03DC7"/>
    <w:rsid w:val="00A03E1F"/>
    <w:rsid w:val="00A04495"/>
    <w:rsid w:val="00A04AE0"/>
    <w:rsid w:val="00A04ECC"/>
    <w:rsid w:val="00A04FD3"/>
    <w:rsid w:val="00A05068"/>
    <w:rsid w:val="00A05084"/>
    <w:rsid w:val="00A05BE0"/>
    <w:rsid w:val="00A05FC8"/>
    <w:rsid w:val="00A060FC"/>
    <w:rsid w:val="00A0618B"/>
    <w:rsid w:val="00A079A7"/>
    <w:rsid w:val="00A10028"/>
    <w:rsid w:val="00A1023F"/>
    <w:rsid w:val="00A1034C"/>
    <w:rsid w:val="00A10A62"/>
    <w:rsid w:val="00A111CF"/>
    <w:rsid w:val="00A11425"/>
    <w:rsid w:val="00A115F9"/>
    <w:rsid w:val="00A11BA2"/>
    <w:rsid w:val="00A12258"/>
    <w:rsid w:val="00A12953"/>
    <w:rsid w:val="00A129DA"/>
    <w:rsid w:val="00A12BFA"/>
    <w:rsid w:val="00A12F30"/>
    <w:rsid w:val="00A1315D"/>
    <w:rsid w:val="00A13663"/>
    <w:rsid w:val="00A140D4"/>
    <w:rsid w:val="00A1423B"/>
    <w:rsid w:val="00A144F9"/>
    <w:rsid w:val="00A14A50"/>
    <w:rsid w:val="00A14AD0"/>
    <w:rsid w:val="00A14D3B"/>
    <w:rsid w:val="00A15019"/>
    <w:rsid w:val="00A15375"/>
    <w:rsid w:val="00A1577E"/>
    <w:rsid w:val="00A15BB4"/>
    <w:rsid w:val="00A160FA"/>
    <w:rsid w:val="00A161E1"/>
    <w:rsid w:val="00A162F8"/>
    <w:rsid w:val="00A16363"/>
    <w:rsid w:val="00A165AB"/>
    <w:rsid w:val="00A171A1"/>
    <w:rsid w:val="00A17325"/>
    <w:rsid w:val="00A17C3E"/>
    <w:rsid w:val="00A20343"/>
    <w:rsid w:val="00A20B22"/>
    <w:rsid w:val="00A210B3"/>
    <w:rsid w:val="00A2159F"/>
    <w:rsid w:val="00A21D0C"/>
    <w:rsid w:val="00A221CD"/>
    <w:rsid w:val="00A2251E"/>
    <w:rsid w:val="00A22E87"/>
    <w:rsid w:val="00A22EFC"/>
    <w:rsid w:val="00A2309E"/>
    <w:rsid w:val="00A23214"/>
    <w:rsid w:val="00A23CA0"/>
    <w:rsid w:val="00A23F04"/>
    <w:rsid w:val="00A2406C"/>
    <w:rsid w:val="00A2492D"/>
    <w:rsid w:val="00A250C1"/>
    <w:rsid w:val="00A25522"/>
    <w:rsid w:val="00A262D0"/>
    <w:rsid w:val="00A26302"/>
    <w:rsid w:val="00A26C92"/>
    <w:rsid w:val="00A2713B"/>
    <w:rsid w:val="00A273BC"/>
    <w:rsid w:val="00A3132C"/>
    <w:rsid w:val="00A314B5"/>
    <w:rsid w:val="00A31B6D"/>
    <w:rsid w:val="00A321D9"/>
    <w:rsid w:val="00A32900"/>
    <w:rsid w:val="00A32D14"/>
    <w:rsid w:val="00A332C0"/>
    <w:rsid w:val="00A3419B"/>
    <w:rsid w:val="00A35195"/>
    <w:rsid w:val="00A355B6"/>
    <w:rsid w:val="00A35A3E"/>
    <w:rsid w:val="00A35E1C"/>
    <w:rsid w:val="00A3616D"/>
    <w:rsid w:val="00A367C2"/>
    <w:rsid w:val="00A3689A"/>
    <w:rsid w:val="00A36CC8"/>
    <w:rsid w:val="00A36CFB"/>
    <w:rsid w:val="00A36EC1"/>
    <w:rsid w:val="00A37A63"/>
    <w:rsid w:val="00A37E43"/>
    <w:rsid w:val="00A37EC0"/>
    <w:rsid w:val="00A37EFD"/>
    <w:rsid w:val="00A37FBA"/>
    <w:rsid w:val="00A401D8"/>
    <w:rsid w:val="00A40D53"/>
    <w:rsid w:val="00A40F3C"/>
    <w:rsid w:val="00A417C0"/>
    <w:rsid w:val="00A41B52"/>
    <w:rsid w:val="00A41B63"/>
    <w:rsid w:val="00A42075"/>
    <w:rsid w:val="00A4280B"/>
    <w:rsid w:val="00A428D0"/>
    <w:rsid w:val="00A43351"/>
    <w:rsid w:val="00A434B9"/>
    <w:rsid w:val="00A43708"/>
    <w:rsid w:val="00A4427D"/>
    <w:rsid w:val="00A446EF"/>
    <w:rsid w:val="00A44A66"/>
    <w:rsid w:val="00A44D22"/>
    <w:rsid w:val="00A45428"/>
    <w:rsid w:val="00A4562C"/>
    <w:rsid w:val="00A45E7C"/>
    <w:rsid w:val="00A47B08"/>
    <w:rsid w:val="00A47D2F"/>
    <w:rsid w:val="00A5013B"/>
    <w:rsid w:val="00A503D3"/>
    <w:rsid w:val="00A50403"/>
    <w:rsid w:val="00A50730"/>
    <w:rsid w:val="00A50A6B"/>
    <w:rsid w:val="00A50E09"/>
    <w:rsid w:val="00A514ED"/>
    <w:rsid w:val="00A52BA5"/>
    <w:rsid w:val="00A532D5"/>
    <w:rsid w:val="00A537CB"/>
    <w:rsid w:val="00A53821"/>
    <w:rsid w:val="00A54040"/>
    <w:rsid w:val="00A54164"/>
    <w:rsid w:val="00A54446"/>
    <w:rsid w:val="00A54EB3"/>
    <w:rsid w:val="00A54F38"/>
    <w:rsid w:val="00A54F3A"/>
    <w:rsid w:val="00A55102"/>
    <w:rsid w:val="00A5542C"/>
    <w:rsid w:val="00A554C6"/>
    <w:rsid w:val="00A55F37"/>
    <w:rsid w:val="00A56373"/>
    <w:rsid w:val="00A5668A"/>
    <w:rsid w:val="00A5673F"/>
    <w:rsid w:val="00A56888"/>
    <w:rsid w:val="00A57CAC"/>
    <w:rsid w:val="00A57F1D"/>
    <w:rsid w:val="00A600D9"/>
    <w:rsid w:val="00A600F9"/>
    <w:rsid w:val="00A60371"/>
    <w:rsid w:val="00A603A9"/>
    <w:rsid w:val="00A603B4"/>
    <w:rsid w:val="00A60696"/>
    <w:rsid w:val="00A61B58"/>
    <w:rsid w:val="00A61CAA"/>
    <w:rsid w:val="00A61F31"/>
    <w:rsid w:val="00A6213E"/>
    <w:rsid w:val="00A62253"/>
    <w:rsid w:val="00A6225F"/>
    <w:rsid w:val="00A62A22"/>
    <w:rsid w:val="00A62C85"/>
    <w:rsid w:val="00A62ECD"/>
    <w:rsid w:val="00A632B0"/>
    <w:rsid w:val="00A63995"/>
    <w:rsid w:val="00A6419B"/>
    <w:rsid w:val="00A647AA"/>
    <w:rsid w:val="00A64F63"/>
    <w:rsid w:val="00A65EAE"/>
    <w:rsid w:val="00A6649A"/>
    <w:rsid w:val="00A667F6"/>
    <w:rsid w:val="00A66887"/>
    <w:rsid w:val="00A668BA"/>
    <w:rsid w:val="00A66BF0"/>
    <w:rsid w:val="00A66C02"/>
    <w:rsid w:val="00A66E05"/>
    <w:rsid w:val="00A67076"/>
    <w:rsid w:val="00A675F0"/>
    <w:rsid w:val="00A677BA"/>
    <w:rsid w:val="00A70705"/>
    <w:rsid w:val="00A70963"/>
    <w:rsid w:val="00A70B85"/>
    <w:rsid w:val="00A7193F"/>
    <w:rsid w:val="00A71B25"/>
    <w:rsid w:val="00A72535"/>
    <w:rsid w:val="00A72CB8"/>
    <w:rsid w:val="00A72F9A"/>
    <w:rsid w:val="00A73339"/>
    <w:rsid w:val="00A7354F"/>
    <w:rsid w:val="00A7402D"/>
    <w:rsid w:val="00A74C26"/>
    <w:rsid w:val="00A74F3C"/>
    <w:rsid w:val="00A7597B"/>
    <w:rsid w:val="00A766AD"/>
    <w:rsid w:val="00A769D0"/>
    <w:rsid w:val="00A769DC"/>
    <w:rsid w:val="00A76C63"/>
    <w:rsid w:val="00A77F7B"/>
    <w:rsid w:val="00A8030C"/>
    <w:rsid w:val="00A8048E"/>
    <w:rsid w:val="00A80AFA"/>
    <w:rsid w:val="00A80B97"/>
    <w:rsid w:val="00A80BBD"/>
    <w:rsid w:val="00A80DD0"/>
    <w:rsid w:val="00A81992"/>
    <w:rsid w:val="00A82079"/>
    <w:rsid w:val="00A82211"/>
    <w:rsid w:val="00A82CCE"/>
    <w:rsid w:val="00A830E4"/>
    <w:rsid w:val="00A83735"/>
    <w:rsid w:val="00A83C89"/>
    <w:rsid w:val="00A83CEE"/>
    <w:rsid w:val="00A83DE9"/>
    <w:rsid w:val="00A84284"/>
    <w:rsid w:val="00A84C4B"/>
    <w:rsid w:val="00A854AF"/>
    <w:rsid w:val="00A85611"/>
    <w:rsid w:val="00A85984"/>
    <w:rsid w:val="00A859A0"/>
    <w:rsid w:val="00A86175"/>
    <w:rsid w:val="00A8688A"/>
    <w:rsid w:val="00A86A8A"/>
    <w:rsid w:val="00A86F52"/>
    <w:rsid w:val="00A87B45"/>
    <w:rsid w:val="00A90359"/>
    <w:rsid w:val="00A908B4"/>
    <w:rsid w:val="00A90A55"/>
    <w:rsid w:val="00A91195"/>
    <w:rsid w:val="00A912BB"/>
    <w:rsid w:val="00A91372"/>
    <w:rsid w:val="00A91917"/>
    <w:rsid w:val="00A919F1"/>
    <w:rsid w:val="00A92D0C"/>
    <w:rsid w:val="00A92D56"/>
    <w:rsid w:val="00A93C50"/>
    <w:rsid w:val="00A94334"/>
    <w:rsid w:val="00A9445C"/>
    <w:rsid w:val="00A94956"/>
    <w:rsid w:val="00A94A92"/>
    <w:rsid w:val="00A9559C"/>
    <w:rsid w:val="00A958E4"/>
    <w:rsid w:val="00A95B2E"/>
    <w:rsid w:val="00A95B52"/>
    <w:rsid w:val="00A95D23"/>
    <w:rsid w:val="00A96067"/>
    <w:rsid w:val="00A96115"/>
    <w:rsid w:val="00A962D2"/>
    <w:rsid w:val="00A964AB"/>
    <w:rsid w:val="00A96693"/>
    <w:rsid w:val="00A9679F"/>
    <w:rsid w:val="00A96837"/>
    <w:rsid w:val="00A96B9D"/>
    <w:rsid w:val="00A96D39"/>
    <w:rsid w:val="00A96E57"/>
    <w:rsid w:val="00A96FF1"/>
    <w:rsid w:val="00A978F9"/>
    <w:rsid w:val="00A97B91"/>
    <w:rsid w:val="00AA041D"/>
    <w:rsid w:val="00AA0BC0"/>
    <w:rsid w:val="00AA0BC1"/>
    <w:rsid w:val="00AA138E"/>
    <w:rsid w:val="00AA14B6"/>
    <w:rsid w:val="00AA1874"/>
    <w:rsid w:val="00AA1A31"/>
    <w:rsid w:val="00AA256D"/>
    <w:rsid w:val="00AA26EF"/>
    <w:rsid w:val="00AA2BD2"/>
    <w:rsid w:val="00AA2EF6"/>
    <w:rsid w:val="00AA36C9"/>
    <w:rsid w:val="00AA412F"/>
    <w:rsid w:val="00AA4875"/>
    <w:rsid w:val="00AA4D34"/>
    <w:rsid w:val="00AA5173"/>
    <w:rsid w:val="00AA576F"/>
    <w:rsid w:val="00AA5948"/>
    <w:rsid w:val="00AA5A7F"/>
    <w:rsid w:val="00AA5E20"/>
    <w:rsid w:val="00AA632C"/>
    <w:rsid w:val="00AA6B0B"/>
    <w:rsid w:val="00AA6BA2"/>
    <w:rsid w:val="00AA6EB0"/>
    <w:rsid w:val="00AA7021"/>
    <w:rsid w:val="00AA74BD"/>
    <w:rsid w:val="00AA78E1"/>
    <w:rsid w:val="00AA7AA2"/>
    <w:rsid w:val="00AA7C78"/>
    <w:rsid w:val="00AB0639"/>
    <w:rsid w:val="00AB07B8"/>
    <w:rsid w:val="00AB0800"/>
    <w:rsid w:val="00AB14A0"/>
    <w:rsid w:val="00AB328B"/>
    <w:rsid w:val="00AB3313"/>
    <w:rsid w:val="00AB3504"/>
    <w:rsid w:val="00AB354D"/>
    <w:rsid w:val="00AB3BD7"/>
    <w:rsid w:val="00AB45A5"/>
    <w:rsid w:val="00AB4887"/>
    <w:rsid w:val="00AB595F"/>
    <w:rsid w:val="00AB5F23"/>
    <w:rsid w:val="00AB6D88"/>
    <w:rsid w:val="00AB705E"/>
    <w:rsid w:val="00AB7861"/>
    <w:rsid w:val="00AB7C9B"/>
    <w:rsid w:val="00AB7FF6"/>
    <w:rsid w:val="00AC0738"/>
    <w:rsid w:val="00AC080B"/>
    <w:rsid w:val="00AC0F78"/>
    <w:rsid w:val="00AC1969"/>
    <w:rsid w:val="00AC1B9D"/>
    <w:rsid w:val="00AC2418"/>
    <w:rsid w:val="00AC258A"/>
    <w:rsid w:val="00AC26E6"/>
    <w:rsid w:val="00AC3590"/>
    <w:rsid w:val="00AC3D65"/>
    <w:rsid w:val="00AC4875"/>
    <w:rsid w:val="00AC492A"/>
    <w:rsid w:val="00AC4C18"/>
    <w:rsid w:val="00AC4EDA"/>
    <w:rsid w:val="00AC5147"/>
    <w:rsid w:val="00AC580C"/>
    <w:rsid w:val="00AC5B92"/>
    <w:rsid w:val="00AC757E"/>
    <w:rsid w:val="00AC7A09"/>
    <w:rsid w:val="00AC7EF4"/>
    <w:rsid w:val="00AD0254"/>
    <w:rsid w:val="00AD07C1"/>
    <w:rsid w:val="00AD0917"/>
    <w:rsid w:val="00AD0A54"/>
    <w:rsid w:val="00AD190D"/>
    <w:rsid w:val="00AD1914"/>
    <w:rsid w:val="00AD1AF9"/>
    <w:rsid w:val="00AD251E"/>
    <w:rsid w:val="00AD285C"/>
    <w:rsid w:val="00AD297D"/>
    <w:rsid w:val="00AD2B6F"/>
    <w:rsid w:val="00AD2DF7"/>
    <w:rsid w:val="00AD335C"/>
    <w:rsid w:val="00AD3403"/>
    <w:rsid w:val="00AD3445"/>
    <w:rsid w:val="00AD3D1A"/>
    <w:rsid w:val="00AD4153"/>
    <w:rsid w:val="00AD4E8A"/>
    <w:rsid w:val="00AD4F81"/>
    <w:rsid w:val="00AD52E0"/>
    <w:rsid w:val="00AD5533"/>
    <w:rsid w:val="00AD574C"/>
    <w:rsid w:val="00AD6C90"/>
    <w:rsid w:val="00AD6CBD"/>
    <w:rsid w:val="00AD6E73"/>
    <w:rsid w:val="00AD719C"/>
    <w:rsid w:val="00AD7451"/>
    <w:rsid w:val="00AD7C12"/>
    <w:rsid w:val="00AD7C15"/>
    <w:rsid w:val="00AD7C70"/>
    <w:rsid w:val="00AD7CFC"/>
    <w:rsid w:val="00AD7F77"/>
    <w:rsid w:val="00AE044F"/>
    <w:rsid w:val="00AE0B72"/>
    <w:rsid w:val="00AE0EAD"/>
    <w:rsid w:val="00AE14CD"/>
    <w:rsid w:val="00AE1996"/>
    <w:rsid w:val="00AE1D46"/>
    <w:rsid w:val="00AE2204"/>
    <w:rsid w:val="00AE2474"/>
    <w:rsid w:val="00AE27AE"/>
    <w:rsid w:val="00AE27BB"/>
    <w:rsid w:val="00AE2856"/>
    <w:rsid w:val="00AE3014"/>
    <w:rsid w:val="00AE3198"/>
    <w:rsid w:val="00AE33E0"/>
    <w:rsid w:val="00AE3507"/>
    <w:rsid w:val="00AE3A9C"/>
    <w:rsid w:val="00AE3CCF"/>
    <w:rsid w:val="00AE3FE6"/>
    <w:rsid w:val="00AE4E58"/>
    <w:rsid w:val="00AE4EA3"/>
    <w:rsid w:val="00AE59DF"/>
    <w:rsid w:val="00AE5D85"/>
    <w:rsid w:val="00AE5F12"/>
    <w:rsid w:val="00AE6615"/>
    <w:rsid w:val="00AE661B"/>
    <w:rsid w:val="00AE66D3"/>
    <w:rsid w:val="00AE6B42"/>
    <w:rsid w:val="00AE6BDB"/>
    <w:rsid w:val="00AE6EF1"/>
    <w:rsid w:val="00AE703C"/>
    <w:rsid w:val="00AE73CE"/>
    <w:rsid w:val="00AE76CE"/>
    <w:rsid w:val="00AE7C86"/>
    <w:rsid w:val="00AE7FEB"/>
    <w:rsid w:val="00AF0358"/>
    <w:rsid w:val="00AF088B"/>
    <w:rsid w:val="00AF178C"/>
    <w:rsid w:val="00AF2702"/>
    <w:rsid w:val="00AF298A"/>
    <w:rsid w:val="00AF2C9E"/>
    <w:rsid w:val="00AF2E53"/>
    <w:rsid w:val="00AF360F"/>
    <w:rsid w:val="00AF39B3"/>
    <w:rsid w:val="00AF3F65"/>
    <w:rsid w:val="00AF3FB8"/>
    <w:rsid w:val="00AF4264"/>
    <w:rsid w:val="00AF4594"/>
    <w:rsid w:val="00AF4AA8"/>
    <w:rsid w:val="00AF59AE"/>
    <w:rsid w:val="00AF622E"/>
    <w:rsid w:val="00AF65DD"/>
    <w:rsid w:val="00AF69B5"/>
    <w:rsid w:val="00AF6EAD"/>
    <w:rsid w:val="00AF7673"/>
    <w:rsid w:val="00AF7C04"/>
    <w:rsid w:val="00AF7C79"/>
    <w:rsid w:val="00B0019E"/>
    <w:rsid w:val="00B00984"/>
    <w:rsid w:val="00B00A0C"/>
    <w:rsid w:val="00B00F56"/>
    <w:rsid w:val="00B012C0"/>
    <w:rsid w:val="00B013B6"/>
    <w:rsid w:val="00B0165A"/>
    <w:rsid w:val="00B01817"/>
    <w:rsid w:val="00B01973"/>
    <w:rsid w:val="00B01AEC"/>
    <w:rsid w:val="00B024DB"/>
    <w:rsid w:val="00B02860"/>
    <w:rsid w:val="00B02A6A"/>
    <w:rsid w:val="00B02AC0"/>
    <w:rsid w:val="00B02C05"/>
    <w:rsid w:val="00B02F46"/>
    <w:rsid w:val="00B039CA"/>
    <w:rsid w:val="00B03E1C"/>
    <w:rsid w:val="00B04100"/>
    <w:rsid w:val="00B0433E"/>
    <w:rsid w:val="00B044DC"/>
    <w:rsid w:val="00B04DF1"/>
    <w:rsid w:val="00B0515E"/>
    <w:rsid w:val="00B054BB"/>
    <w:rsid w:val="00B055B5"/>
    <w:rsid w:val="00B0560A"/>
    <w:rsid w:val="00B05C9D"/>
    <w:rsid w:val="00B05D73"/>
    <w:rsid w:val="00B070D6"/>
    <w:rsid w:val="00B07175"/>
    <w:rsid w:val="00B07A2F"/>
    <w:rsid w:val="00B104E4"/>
    <w:rsid w:val="00B10568"/>
    <w:rsid w:val="00B107D5"/>
    <w:rsid w:val="00B10821"/>
    <w:rsid w:val="00B10BB6"/>
    <w:rsid w:val="00B11EAB"/>
    <w:rsid w:val="00B11FC7"/>
    <w:rsid w:val="00B12EC3"/>
    <w:rsid w:val="00B138C3"/>
    <w:rsid w:val="00B13B34"/>
    <w:rsid w:val="00B13BE8"/>
    <w:rsid w:val="00B13D6C"/>
    <w:rsid w:val="00B13D80"/>
    <w:rsid w:val="00B14F3A"/>
    <w:rsid w:val="00B15154"/>
    <w:rsid w:val="00B15596"/>
    <w:rsid w:val="00B15DE3"/>
    <w:rsid w:val="00B15F02"/>
    <w:rsid w:val="00B1688B"/>
    <w:rsid w:val="00B17810"/>
    <w:rsid w:val="00B17DD8"/>
    <w:rsid w:val="00B2062A"/>
    <w:rsid w:val="00B208D0"/>
    <w:rsid w:val="00B209AE"/>
    <w:rsid w:val="00B21086"/>
    <w:rsid w:val="00B2112F"/>
    <w:rsid w:val="00B2141A"/>
    <w:rsid w:val="00B21624"/>
    <w:rsid w:val="00B21FD3"/>
    <w:rsid w:val="00B2279A"/>
    <w:rsid w:val="00B22F5A"/>
    <w:rsid w:val="00B234BC"/>
    <w:rsid w:val="00B23547"/>
    <w:rsid w:val="00B23C6A"/>
    <w:rsid w:val="00B24A8A"/>
    <w:rsid w:val="00B24B70"/>
    <w:rsid w:val="00B25970"/>
    <w:rsid w:val="00B25D94"/>
    <w:rsid w:val="00B25EA9"/>
    <w:rsid w:val="00B25F3D"/>
    <w:rsid w:val="00B26065"/>
    <w:rsid w:val="00B2627A"/>
    <w:rsid w:val="00B26427"/>
    <w:rsid w:val="00B2696B"/>
    <w:rsid w:val="00B272FD"/>
    <w:rsid w:val="00B27564"/>
    <w:rsid w:val="00B27BCE"/>
    <w:rsid w:val="00B30003"/>
    <w:rsid w:val="00B30085"/>
    <w:rsid w:val="00B3073E"/>
    <w:rsid w:val="00B308A9"/>
    <w:rsid w:val="00B30CA1"/>
    <w:rsid w:val="00B3100C"/>
    <w:rsid w:val="00B31261"/>
    <w:rsid w:val="00B31388"/>
    <w:rsid w:val="00B315BE"/>
    <w:rsid w:val="00B317FF"/>
    <w:rsid w:val="00B31AAE"/>
    <w:rsid w:val="00B322BC"/>
    <w:rsid w:val="00B32438"/>
    <w:rsid w:val="00B328E1"/>
    <w:rsid w:val="00B3322E"/>
    <w:rsid w:val="00B33EB5"/>
    <w:rsid w:val="00B3495A"/>
    <w:rsid w:val="00B34ED5"/>
    <w:rsid w:val="00B350CB"/>
    <w:rsid w:val="00B3526D"/>
    <w:rsid w:val="00B3540F"/>
    <w:rsid w:val="00B35444"/>
    <w:rsid w:val="00B35CC1"/>
    <w:rsid w:val="00B35F5B"/>
    <w:rsid w:val="00B35F6F"/>
    <w:rsid w:val="00B36143"/>
    <w:rsid w:val="00B3636A"/>
    <w:rsid w:val="00B363BC"/>
    <w:rsid w:val="00B365BF"/>
    <w:rsid w:val="00B36C06"/>
    <w:rsid w:val="00B3738A"/>
    <w:rsid w:val="00B374B8"/>
    <w:rsid w:val="00B37E04"/>
    <w:rsid w:val="00B404A4"/>
    <w:rsid w:val="00B40B4E"/>
    <w:rsid w:val="00B40D0F"/>
    <w:rsid w:val="00B40E6E"/>
    <w:rsid w:val="00B41109"/>
    <w:rsid w:val="00B41146"/>
    <w:rsid w:val="00B41602"/>
    <w:rsid w:val="00B429FB"/>
    <w:rsid w:val="00B42DD4"/>
    <w:rsid w:val="00B432F1"/>
    <w:rsid w:val="00B43C62"/>
    <w:rsid w:val="00B43E0F"/>
    <w:rsid w:val="00B44052"/>
    <w:rsid w:val="00B4424B"/>
    <w:rsid w:val="00B44326"/>
    <w:rsid w:val="00B444EE"/>
    <w:rsid w:val="00B44736"/>
    <w:rsid w:val="00B44932"/>
    <w:rsid w:val="00B449FF"/>
    <w:rsid w:val="00B44B77"/>
    <w:rsid w:val="00B44E73"/>
    <w:rsid w:val="00B45221"/>
    <w:rsid w:val="00B4538B"/>
    <w:rsid w:val="00B45732"/>
    <w:rsid w:val="00B461E7"/>
    <w:rsid w:val="00B461EE"/>
    <w:rsid w:val="00B46448"/>
    <w:rsid w:val="00B46A28"/>
    <w:rsid w:val="00B46B2A"/>
    <w:rsid w:val="00B472F2"/>
    <w:rsid w:val="00B4755B"/>
    <w:rsid w:val="00B475EA"/>
    <w:rsid w:val="00B47631"/>
    <w:rsid w:val="00B47896"/>
    <w:rsid w:val="00B47DF8"/>
    <w:rsid w:val="00B47EB3"/>
    <w:rsid w:val="00B502D5"/>
    <w:rsid w:val="00B505A5"/>
    <w:rsid w:val="00B505BA"/>
    <w:rsid w:val="00B50ADE"/>
    <w:rsid w:val="00B50CEB"/>
    <w:rsid w:val="00B51D35"/>
    <w:rsid w:val="00B52887"/>
    <w:rsid w:val="00B52D2F"/>
    <w:rsid w:val="00B52E28"/>
    <w:rsid w:val="00B530AC"/>
    <w:rsid w:val="00B532BA"/>
    <w:rsid w:val="00B536B5"/>
    <w:rsid w:val="00B5392A"/>
    <w:rsid w:val="00B53A2E"/>
    <w:rsid w:val="00B53C07"/>
    <w:rsid w:val="00B53CD4"/>
    <w:rsid w:val="00B54638"/>
    <w:rsid w:val="00B5473D"/>
    <w:rsid w:val="00B5474B"/>
    <w:rsid w:val="00B551C9"/>
    <w:rsid w:val="00B55289"/>
    <w:rsid w:val="00B5558F"/>
    <w:rsid w:val="00B55872"/>
    <w:rsid w:val="00B55EA0"/>
    <w:rsid w:val="00B55F3E"/>
    <w:rsid w:val="00B56269"/>
    <w:rsid w:val="00B56AC1"/>
    <w:rsid w:val="00B56AD0"/>
    <w:rsid w:val="00B56BA6"/>
    <w:rsid w:val="00B56C25"/>
    <w:rsid w:val="00B56E3D"/>
    <w:rsid w:val="00B5788E"/>
    <w:rsid w:val="00B57BD0"/>
    <w:rsid w:val="00B57D32"/>
    <w:rsid w:val="00B57DDE"/>
    <w:rsid w:val="00B57FE8"/>
    <w:rsid w:val="00B60157"/>
    <w:rsid w:val="00B60197"/>
    <w:rsid w:val="00B6065C"/>
    <w:rsid w:val="00B60C4E"/>
    <w:rsid w:val="00B6102D"/>
    <w:rsid w:val="00B610BA"/>
    <w:rsid w:val="00B612D5"/>
    <w:rsid w:val="00B61714"/>
    <w:rsid w:val="00B618E8"/>
    <w:rsid w:val="00B619CA"/>
    <w:rsid w:val="00B61B3D"/>
    <w:rsid w:val="00B62244"/>
    <w:rsid w:val="00B62683"/>
    <w:rsid w:val="00B62A65"/>
    <w:rsid w:val="00B62B53"/>
    <w:rsid w:val="00B62EE5"/>
    <w:rsid w:val="00B631F2"/>
    <w:rsid w:val="00B63D14"/>
    <w:rsid w:val="00B63D3B"/>
    <w:rsid w:val="00B6420F"/>
    <w:rsid w:val="00B646D6"/>
    <w:rsid w:val="00B64977"/>
    <w:rsid w:val="00B64B6F"/>
    <w:rsid w:val="00B65048"/>
    <w:rsid w:val="00B651E5"/>
    <w:rsid w:val="00B65AF0"/>
    <w:rsid w:val="00B660D9"/>
    <w:rsid w:val="00B669D1"/>
    <w:rsid w:val="00B67BE8"/>
    <w:rsid w:val="00B67D34"/>
    <w:rsid w:val="00B702E7"/>
    <w:rsid w:val="00B70488"/>
    <w:rsid w:val="00B70744"/>
    <w:rsid w:val="00B70B1C"/>
    <w:rsid w:val="00B70BC7"/>
    <w:rsid w:val="00B7135B"/>
    <w:rsid w:val="00B713DA"/>
    <w:rsid w:val="00B71804"/>
    <w:rsid w:val="00B71BDD"/>
    <w:rsid w:val="00B71BE3"/>
    <w:rsid w:val="00B729E6"/>
    <w:rsid w:val="00B72E3F"/>
    <w:rsid w:val="00B7329E"/>
    <w:rsid w:val="00B739EE"/>
    <w:rsid w:val="00B73D23"/>
    <w:rsid w:val="00B73FC9"/>
    <w:rsid w:val="00B74608"/>
    <w:rsid w:val="00B74637"/>
    <w:rsid w:val="00B748D0"/>
    <w:rsid w:val="00B74FB7"/>
    <w:rsid w:val="00B754FD"/>
    <w:rsid w:val="00B75AA1"/>
    <w:rsid w:val="00B75CA5"/>
    <w:rsid w:val="00B75CCE"/>
    <w:rsid w:val="00B75EF8"/>
    <w:rsid w:val="00B76056"/>
    <w:rsid w:val="00B76368"/>
    <w:rsid w:val="00B76856"/>
    <w:rsid w:val="00B76DA6"/>
    <w:rsid w:val="00B77ADA"/>
    <w:rsid w:val="00B804B8"/>
    <w:rsid w:val="00B80803"/>
    <w:rsid w:val="00B80971"/>
    <w:rsid w:val="00B80A12"/>
    <w:rsid w:val="00B80EF7"/>
    <w:rsid w:val="00B80F70"/>
    <w:rsid w:val="00B81894"/>
    <w:rsid w:val="00B81A26"/>
    <w:rsid w:val="00B81CF2"/>
    <w:rsid w:val="00B821AF"/>
    <w:rsid w:val="00B82A2E"/>
    <w:rsid w:val="00B82CDE"/>
    <w:rsid w:val="00B82CFE"/>
    <w:rsid w:val="00B82FAB"/>
    <w:rsid w:val="00B83744"/>
    <w:rsid w:val="00B839EF"/>
    <w:rsid w:val="00B83CF0"/>
    <w:rsid w:val="00B83FA4"/>
    <w:rsid w:val="00B84061"/>
    <w:rsid w:val="00B8415F"/>
    <w:rsid w:val="00B8466D"/>
    <w:rsid w:val="00B84738"/>
    <w:rsid w:val="00B858CE"/>
    <w:rsid w:val="00B85D3C"/>
    <w:rsid w:val="00B8608A"/>
    <w:rsid w:val="00B860BD"/>
    <w:rsid w:val="00B86265"/>
    <w:rsid w:val="00B862C6"/>
    <w:rsid w:val="00B863E5"/>
    <w:rsid w:val="00B86E3D"/>
    <w:rsid w:val="00B87496"/>
    <w:rsid w:val="00B87A38"/>
    <w:rsid w:val="00B87D7F"/>
    <w:rsid w:val="00B90068"/>
    <w:rsid w:val="00B9064C"/>
    <w:rsid w:val="00B90F03"/>
    <w:rsid w:val="00B9126B"/>
    <w:rsid w:val="00B91B6B"/>
    <w:rsid w:val="00B9222D"/>
    <w:rsid w:val="00B922F6"/>
    <w:rsid w:val="00B92451"/>
    <w:rsid w:val="00B92C81"/>
    <w:rsid w:val="00B92E7E"/>
    <w:rsid w:val="00B934B9"/>
    <w:rsid w:val="00B93F08"/>
    <w:rsid w:val="00B93FF5"/>
    <w:rsid w:val="00B94395"/>
    <w:rsid w:val="00B953BA"/>
    <w:rsid w:val="00B95424"/>
    <w:rsid w:val="00B9566F"/>
    <w:rsid w:val="00B95B6E"/>
    <w:rsid w:val="00B95E19"/>
    <w:rsid w:val="00B95E4E"/>
    <w:rsid w:val="00B95F60"/>
    <w:rsid w:val="00B9602C"/>
    <w:rsid w:val="00B9633C"/>
    <w:rsid w:val="00B96DB1"/>
    <w:rsid w:val="00B96EC6"/>
    <w:rsid w:val="00B97054"/>
    <w:rsid w:val="00B9708D"/>
    <w:rsid w:val="00B9731A"/>
    <w:rsid w:val="00B97502"/>
    <w:rsid w:val="00B97EE1"/>
    <w:rsid w:val="00BA0D6F"/>
    <w:rsid w:val="00BA0FAF"/>
    <w:rsid w:val="00BA13DD"/>
    <w:rsid w:val="00BA1BC9"/>
    <w:rsid w:val="00BA1D66"/>
    <w:rsid w:val="00BA1F3D"/>
    <w:rsid w:val="00BA20CC"/>
    <w:rsid w:val="00BA22E6"/>
    <w:rsid w:val="00BA254D"/>
    <w:rsid w:val="00BA25BE"/>
    <w:rsid w:val="00BA295D"/>
    <w:rsid w:val="00BA2A51"/>
    <w:rsid w:val="00BA32E8"/>
    <w:rsid w:val="00BA3C0E"/>
    <w:rsid w:val="00BA3CC3"/>
    <w:rsid w:val="00BA4738"/>
    <w:rsid w:val="00BA4DE0"/>
    <w:rsid w:val="00BA4EFB"/>
    <w:rsid w:val="00BA50F8"/>
    <w:rsid w:val="00BA5679"/>
    <w:rsid w:val="00BA5744"/>
    <w:rsid w:val="00BA59CC"/>
    <w:rsid w:val="00BA5B61"/>
    <w:rsid w:val="00BA5E8F"/>
    <w:rsid w:val="00BA5F83"/>
    <w:rsid w:val="00BA7A18"/>
    <w:rsid w:val="00BA7E9F"/>
    <w:rsid w:val="00BA7F59"/>
    <w:rsid w:val="00BB0425"/>
    <w:rsid w:val="00BB069C"/>
    <w:rsid w:val="00BB0C57"/>
    <w:rsid w:val="00BB0D8A"/>
    <w:rsid w:val="00BB1083"/>
    <w:rsid w:val="00BB115E"/>
    <w:rsid w:val="00BB14AC"/>
    <w:rsid w:val="00BB15D6"/>
    <w:rsid w:val="00BB1D7C"/>
    <w:rsid w:val="00BB2022"/>
    <w:rsid w:val="00BB226F"/>
    <w:rsid w:val="00BB25C2"/>
    <w:rsid w:val="00BB2ADD"/>
    <w:rsid w:val="00BB2C2E"/>
    <w:rsid w:val="00BB35EE"/>
    <w:rsid w:val="00BB3641"/>
    <w:rsid w:val="00BB3BB3"/>
    <w:rsid w:val="00BB3D7F"/>
    <w:rsid w:val="00BB4887"/>
    <w:rsid w:val="00BB51BB"/>
    <w:rsid w:val="00BB529A"/>
    <w:rsid w:val="00BB533C"/>
    <w:rsid w:val="00BB5696"/>
    <w:rsid w:val="00BB5EE5"/>
    <w:rsid w:val="00BB5EF2"/>
    <w:rsid w:val="00BB619B"/>
    <w:rsid w:val="00BB61FE"/>
    <w:rsid w:val="00BB6504"/>
    <w:rsid w:val="00BB683F"/>
    <w:rsid w:val="00BB7798"/>
    <w:rsid w:val="00BB7914"/>
    <w:rsid w:val="00BB792C"/>
    <w:rsid w:val="00BB7B75"/>
    <w:rsid w:val="00BB7E3C"/>
    <w:rsid w:val="00BB7E44"/>
    <w:rsid w:val="00BC0117"/>
    <w:rsid w:val="00BC0346"/>
    <w:rsid w:val="00BC0384"/>
    <w:rsid w:val="00BC0611"/>
    <w:rsid w:val="00BC078B"/>
    <w:rsid w:val="00BC085E"/>
    <w:rsid w:val="00BC0C1B"/>
    <w:rsid w:val="00BC0CD9"/>
    <w:rsid w:val="00BC1798"/>
    <w:rsid w:val="00BC1920"/>
    <w:rsid w:val="00BC2691"/>
    <w:rsid w:val="00BC2B04"/>
    <w:rsid w:val="00BC3AD6"/>
    <w:rsid w:val="00BC471F"/>
    <w:rsid w:val="00BC4906"/>
    <w:rsid w:val="00BC4ACC"/>
    <w:rsid w:val="00BC4DD5"/>
    <w:rsid w:val="00BC529A"/>
    <w:rsid w:val="00BC5443"/>
    <w:rsid w:val="00BC54A9"/>
    <w:rsid w:val="00BC56DB"/>
    <w:rsid w:val="00BC57CC"/>
    <w:rsid w:val="00BC5F62"/>
    <w:rsid w:val="00BC6E87"/>
    <w:rsid w:val="00BC6EB5"/>
    <w:rsid w:val="00BC7829"/>
    <w:rsid w:val="00BC79C0"/>
    <w:rsid w:val="00BC7A9B"/>
    <w:rsid w:val="00BD0289"/>
    <w:rsid w:val="00BD0414"/>
    <w:rsid w:val="00BD0753"/>
    <w:rsid w:val="00BD07F3"/>
    <w:rsid w:val="00BD0B66"/>
    <w:rsid w:val="00BD127C"/>
    <w:rsid w:val="00BD14EA"/>
    <w:rsid w:val="00BD1673"/>
    <w:rsid w:val="00BD1F09"/>
    <w:rsid w:val="00BD289A"/>
    <w:rsid w:val="00BD2B41"/>
    <w:rsid w:val="00BD2DDE"/>
    <w:rsid w:val="00BD2E4B"/>
    <w:rsid w:val="00BD2E73"/>
    <w:rsid w:val="00BD2F97"/>
    <w:rsid w:val="00BD354C"/>
    <w:rsid w:val="00BD39B4"/>
    <w:rsid w:val="00BD3EA0"/>
    <w:rsid w:val="00BD3FA3"/>
    <w:rsid w:val="00BD49AD"/>
    <w:rsid w:val="00BD4A61"/>
    <w:rsid w:val="00BD4CDD"/>
    <w:rsid w:val="00BD516F"/>
    <w:rsid w:val="00BD546D"/>
    <w:rsid w:val="00BD5A90"/>
    <w:rsid w:val="00BD5AD3"/>
    <w:rsid w:val="00BD5B5C"/>
    <w:rsid w:val="00BD5CB5"/>
    <w:rsid w:val="00BD5CFD"/>
    <w:rsid w:val="00BD603A"/>
    <w:rsid w:val="00BD627A"/>
    <w:rsid w:val="00BD6D2F"/>
    <w:rsid w:val="00BD703A"/>
    <w:rsid w:val="00BD7713"/>
    <w:rsid w:val="00BD7BFE"/>
    <w:rsid w:val="00BD7D28"/>
    <w:rsid w:val="00BE0131"/>
    <w:rsid w:val="00BE0CBA"/>
    <w:rsid w:val="00BE11C9"/>
    <w:rsid w:val="00BE1D7A"/>
    <w:rsid w:val="00BE1DFB"/>
    <w:rsid w:val="00BE1F13"/>
    <w:rsid w:val="00BE20B6"/>
    <w:rsid w:val="00BE23BC"/>
    <w:rsid w:val="00BE266D"/>
    <w:rsid w:val="00BE2699"/>
    <w:rsid w:val="00BE2720"/>
    <w:rsid w:val="00BE29BE"/>
    <w:rsid w:val="00BE3F8C"/>
    <w:rsid w:val="00BE409E"/>
    <w:rsid w:val="00BE484A"/>
    <w:rsid w:val="00BE624E"/>
    <w:rsid w:val="00BE62D7"/>
    <w:rsid w:val="00BE6708"/>
    <w:rsid w:val="00BE689B"/>
    <w:rsid w:val="00BE6BB2"/>
    <w:rsid w:val="00BE6E41"/>
    <w:rsid w:val="00BE7300"/>
    <w:rsid w:val="00BE7331"/>
    <w:rsid w:val="00BE7EE1"/>
    <w:rsid w:val="00BE7F04"/>
    <w:rsid w:val="00BF00AC"/>
    <w:rsid w:val="00BF08E0"/>
    <w:rsid w:val="00BF0FDA"/>
    <w:rsid w:val="00BF14E1"/>
    <w:rsid w:val="00BF190E"/>
    <w:rsid w:val="00BF2996"/>
    <w:rsid w:val="00BF2AE6"/>
    <w:rsid w:val="00BF3261"/>
    <w:rsid w:val="00BF3778"/>
    <w:rsid w:val="00BF3961"/>
    <w:rsid w:val="00BF4262"/>
    <w:rsid w:val="00BF4763"/>
    <w:rsid w:val="00BF4F06"/>
    <w:rsid w:val="00BF52D2"/>
    <w:rsid w:val="00BF7252"/>
    <w:rsid w:val="00BF7416"/>
    <w:rsid w:val="00BF75E9"/>
    <w:rsid w:val="00BF763B"/>
    <w:rsid w:val="00BF77EE"/>
    <w:rsid w:val="00BF7E87"/>
    <w:rsid w:val="00C00166"/>
    <w:rsid w:val="00C003C4"/>
    <w:rsid w:val="00C0066C"/>
    <w:rsid w:val="00C00A51"/>
    <w:rsid w:val="00C00B80"/>
    <w:rsid w:val="00C010F4"/>
    <w:rsid w:val="00C011AC"/>
    <w:rsid w:val="00C018EB"/>
    <w:rsid w:val="00C01ADE"/>
    <w:rsid w:val="00C020BD"/>
    <w:rsid w:val="00C0264F"/>
    <w:rsid w:val="00C02884"/>
    <w:rsid w:val="00C02F3F"/>
    <w:rsid w:val="00C0328C"/>
    <w:rsid w:val="00C032AC"/>
    <w:rsid w:val="00C0359A"/>
    <w:rsid w:val="00C03ADB"/>
    <w:rsid w:val="00C03B10"/>
    <w:rsid w:val="00C03B6E"/>
    <w:rsid w:val="00C03C79"/>
    <w:rsid w:val="00C03CE8"/>
    <w:rsid w:val="00C04499"/>
    <w:rsid w:val="00C04C65"/>
    <w:rsid w:val="00C054E2"/>
    <w:rsid w:val="00C05A0E"/>
    <w:rsid w:val="00C05B04"/>
    <w:rsid w:val="00C05DAD"/>
    <w:rsid w:val="00C0622F"/>
    <w:rsid w:val="00C06CC0"/>
    <w:rsid w:val="00C07622"/>
    <w:rsid w:val="00C10070"/>
    <w:rsid w:val="00C10A7F"/>
    <w:rsid w:val="00C112CF"/>
    <w:rsid w:val="00C1174E"/>
    <w:rsid w:val="00C11DE9"/>
    <w:rsid w:val="00C1207D"/>
    <w:rsid w:val="00C121A7"/>
    <w:rsid w:val="00C12218"/>
    <w:rsid w:val="00C122FF"/>
    <w:rsid w:val="00C12939"/>
    <w:rsid w:val="00C12A03"/>
    <w:rsid w:val="00C13174"/>
    <w:rsid w:val="00C135CB"/>
    <w:rsid w:val="00C1399F"/>
    <w:rsid w:val="00C13A03"/>
    <w:rsid w:val="00C13D10"/>
    <w:rsid w:val="00C13ED4"/>
    <w:rsid w:val="00C13F1A"/>
    <w:rsid w:val="00C14882"/>
    <w:rsid w:val="00C14895"/>
    <w:rsid w:val="00C14961"/>
    <w:rsid w:val="00C14BCC"/>
    <w:rsid w:val="00C14DCC"/>
    <w:rsid w:val="00C14E54"/>
    <w:rsid w:val="00C1533C"/>
    <w:rsid w:val="00C1536D"/>
    <w:rsid w:val="00C15515"/>
    <w:rsid w:val="00C15619"/>
    <w:rsid w:val="00C1562C"/>
    <w:rsid w:val="00C15AB6"/>
    <w:rsid w:val="00C15B44"/>
    <w:rsid w:val="00C16916"/>
    <w:rsid w:val="00C16976"/>
    <w:rsid w:val="00C16C4D"/>
    <w:rsid w:val="00C17158"/>
    <w:rsid w:val="00C17A28"/>
    <w:rsid w:val="00C17C8B"/>
    <w:rsid w:val="00C17D6B"/>
    <w:rsid w:val="00C20517"/>
    <w:rsid w:val="00C207E9"/>
    <w:rsid w:val="00C210D4"/>
    <w:rsid w:val="00C213E6"/>
    <w:rsid w:val="00C214F4"/>
    <w:rsid w:val="00C21B07"/>
    <w:rsid w:val="00C21D11"/>
    <w:rsid w:val="00C21F03"/>
    <w:rsid w:val="00C2241E"/>
    <w:rsid w:val="00C22835"/>
    <w:rsid w:val="00C22A46"/>
    <w:rsid w:val="00C22ACA"/>
    <w:rsid w:val="00C22F1F"/>
    <w:rsid w:val="00C23998"/>
    <w:rsid w:val="00C23D0C"/>
    <w:rsid w:val="00C23D12"/>
    <w:rsid w:val="00C248A4"/>
    <w:rsid w:val="00C24A87"/>
    <w:rsid w:val="00C24FA4"/>
    <w:rsid w:val="00C256AD"/>
    <w:rsid w:val="00C256E2"/>
    <w:rsid w:val="00C2578C"/>
    <w:rsid w:val="00C257C3"/>
    <w:rsid w:val="00C25917"/>
    <w:rsid w:val="00C2600D"/>
    <w:rsid w:val="00C26741"/>
    <w:rsid w:val="00C26838"/>
    <w:rsid w:val="00C26907"/>
    <w:rsid w:val="00C26B7B"/>
    <w:rsid w:val="00C26DA8"/>
    <w:rsid w:val="00C27092"/>
    <w:rsid w:val="00C276E2"/>
    <w:rsid w:val="00C278BB"/>
    <w:rsid w:val="00C27BE9"/>
    <w:rsid w:val="00C30B56"/>
    <w:rsid w:val="00C31483"/>
    <w:rsid w:val="00C31D22"/>
    <w:rsid w:val="00C31E38"/>
    <w:rsid w:val="00C32100"/>
    <w:rsid w:val="00C32210"/>
    <w:rsid w:val="00C323B2"/>
    <w:rsid w:val="00C32E82"/>
    <w:rsid w:val="00C33392"/>
    <w:rsid w:val="00C3368B"/>
    <w:rsid w:val="00C33DC6"/>
    <w:rsid w:val="00C33EC0"/>
    <w:rsid w:val="00C340E3"/>
    <w:rsid w:val="00C34B83"/>
    <w:rsid w:val="00C35DF2"/>
    <w:rsid w:val="00C35E70"/>
    <w:rsid w:val="00C35F4B"/>
    <w:rsid w:val="00C36336"/>
    <w:rsid w:val="00C3639D"/>
    <w:rsid w:val="00C36899"/>
    <w:rsid w:val="00C3702F"/>
    <w:rsid w:val="00C37511"/>
    <w:rsid w:val="00C375F8"/>
    <w:rsid w:val="00C37CE2"/>
    <w:rsid w:val="00C401BF"/>
    <w:rsid w:val="00C40476"/>
    <w:rsid w:val="00C4052A"/>
    <w:rsid w:val="00C4095F"/>
    <w:rsid w:val="00C413E6"/>
    <w:rsid w:val="00C41E2F"/>
    <w:rsid w:val="00C41F44"/>
    <w:rsid w:val="00C42729"/>
    <w:rsid w:val="00C42957"/>
    <w:rsid w:val="00C42A75"/>
    <w:rsid w:val="00C42BCE"/>
    <w:rsid w:val="00C42E5F"/>
    <w:rsid w:val="00C42F39"/>
    <w:rsid w:val="00C43F08"/>
    <w:rsid w:val="00C44C21"/>
    <w:rsid w:val="00C45200"/>
    <w:rsid w:val="00C4550C"/>
    <w:rsid w:val="00C458AA"/>
    <w:rsid w:val="00C45B7E"/>
    <w:rsid w:val="00C45C77"/>
    <w:rsid w:val="00C45EE4"/>
    <w:rsid w:val="00C468B9"/>
    <w:rsid w:val="00C46ADE"/>
    <w:rsid w:val="00C4702E"/>
    <w:rsid w:val="00C471EF"/>
    <w:rsid w:val="00C4776F"/>
    <w:rsid w:val="00C478AF"/>
    <w:rsid w:val="00C47961"/>
    <w:rsid w:val="00C505A7"/>
    <w:rsid w:val="00C50D10"/>
    <w:rsid w:val="00C50D82"/>
    <w:rsid w:val="00C512D3"/>
    <w:rsid w:val="00C528EF"/>
    <w:rsid w:val="00C53076"/>
    <w:rsid w:val="00C5377B"/>
    <w:rsid w:val="00C537D2"/>
    <w:rsid w:val="00C5392D"/>
    <w:rsid w:val="00C541EE"/>
    <w:rsid w:val="00C54572"/>
    <w:rsid w:val="00C54CD0"/>
    <w:rsid w:val="00C55FCB"/>
    <w:rsid w:val="00C57313"/>
    <w:rsid w:val="00C608B7"/>
    <w:rsid w:val="00C60DA5"/>
    <w:rsid w:val="00C61323"/>
    <w:rsid w:val="00C62A2F"/>
    <w:rsid w:val="00C62A81"/>
    <w:rsid w:val="00C62BB7"/>
    <w:rsid w:val="00C62BEB"/>
    <w:rsid w:val="00C62C9D"/>
    <w:rsid w:val="00C638AF"/>
    <w:rsid w:val="00C63C85"/>
    <w:rsid w:val="00C63CB1"/>
    <w:rsid w:val="00C64039"/>
    <w:rsid w:val="00C646DA"/>
    <w:rsid w:val="00C64A66"/>
    <w:rsid w:val="00C64FE3"/>
    <w:rsid w:val="00C6574E"/>
    <w:rsid w:val="00C65998"/>
    <w:rsid w:val="00C65A9D"/>
    <w:rsid w:val="00C65B11"/>
    <w:rsid w:val="00C65EE5"/>
    <w:rsid w:val="00C660C7"/>
    <w:rsid w:val="00C66660"/>
    <w:rsid w:val="00C66978"/>
    <w:rsid w:val="00C669BC"/>
    <w:rsid w:val="00C66A1D"/>
    <w:rsid w:val="00C6724C"/>
    <w:rsid w:val="00C676B9"/>
    <w:rsid w:val="00C6797B"/>
    <w:rsid w:val="00C67ED2"/>
    <w:rsid w:val="00C70751"/>
    <w:rsid w:val="00C71E26"/>
    <w:rsid w:val="00C71F15"/>
    <w:rsid w:val="00C722DD"/>
    <w:rsid w:val="00C725BB"/>
    <w:rsid w:val="00C72685"/>
    <w:rsid w:val="00C72B93"/>
    <w:rsid w:val="00C72BD1"/>
    <w:rsid w:val="00C72D46"/>
    <w:rsid w:val="00C72DF9"/>
    <w:rsid w:val="00C72FE9"/>
    <w:rsid w:val="00C73961"/>
    <w:rsid w:val="00C74167"/>
    <w:rsid w:val="00C75411"/>
    <w:rsid w:val="00C754E6"/>
    <w:rsid w:val="00C7555D"/>
    <w:rsid w:val="00C769F7"/>
    <w:rsid w:val="00C76BCE"/>
    <w:rsid w:val="00C76C35"/>
    <w:rsid w:val="00C76C57"/>
    <w:rsid w:val="00C7700A"/>
    <w:rsid w:val="00C773C3"/>
    <w:rsid w:val="00C77424"/>
    <w:rsid w:val="00C7763A"/>
    <w:rsid w:val="00C77858"/>
    <w:rsid w:val="00C803BB"/>
    <w:rsid w:val="00C803FC"/>
    <w:rsid w:val="00C80E9D"/>
    <w:rsid w:val="00C81408"/>
    <w:rsid w:val="00C81E39"/>
    <w:rsid w:val="00C82584"/>
    <w:rsid w:val="00C82C8E"/>
    <w:rsid w:val="00C82F56"/>
    <w:rsid w:val="00C8397C"/>
    <w:rsid w:val="00C83C4B"/>
    <w:rsid w:val="00C83C95"/>
    <w:rsid w:val="00C8400E"/>
    <w:rsid w:val="00C848B8"/>
    <w:rsid w:val="00C84CF0"/>
    <w:rsid w:val="00C84F6C"/>
    <w:rsid w:val="00C8506B"/>
    <w:rsid w:val="00C85470"/>
    <w:rsid w:val="00C85528"/>
    <w:rsid w:val="00C857DA"/>
    <w:rsid w:val="00C85BBA"/>
    <w:rsid w:val="00C85D65"/>
    <w:rsid w:val="00C861DD"/>
    <w:rsid w:val="00C867A4"/>
    <w:rsid w:val="00C86C06"/>
    <w:rsid w:val="00C86F3F"/>
    <w:rsid w:val="00C86FEF"/>
    <w:rsid w:val="00C87581"/>
    <w:rsid w:val="00C8783B"/>
    <w:rsid w:val="00C87A7F"/>
    <w:rsid w:val="00C90CB6"/>
    <w:rsid w:val="00C90CEB"/>
    <w:rsid w:val="00C91185"/>
    <w:rsid w:val="00C9120C"/>
    <w:rsid w:val="00C91C1D"/>
    <w:rsid w:val="00C9200F"/>
    <w:rsid w:val="00C920AC"/>
    <w:rsid w:val="00C92738"/>
    <w:rsid w:val="00C9298C"/>
    <w:rsid w:val="00C9326F"/>
    <w:rsid w:val="00C936FF"/>
    <w:rsid w:val="00C93AC6"/>
    <w:rsid w:val="00C93EE9"/>
    <w:rsid w:val="00C93FD1"/>
    <w:rsid w:val="00C940AC"/>
    <w:rsid w:val="00C948AF"/>
    <w:rsid w:val="00C94AF0"/>
    <w:rsid w:val="00C95344"/>
    <w:rsid w:val="00C9578C"/>
    <w:rsid w:val="00C95F16"/>
    <w:rsid w:val="00C96117"/>
    <w:rsid w:val="00C9673B"/>
    <w:rsid w:val="00C96821"/>
    <w:rsid w:val="00C96957"/>
    <w:rsid w:val="00C97644"/>
    <w:rsid w:val="00CA027B"/>
    <w:rsid w:val="00CA02DE"/>
    <w:rsid w:val="00CA100E"/>
    <w:rsid w:val="00CA1639"/>
    <w:rsid w:val="00CA1D60"/>
    <w:rsid w:val="00CA23EA"/>
    <w:rsid w:val="00CA25BE"/>
    <w:rsid w:val="00CA2B9C"/>
    <w:rsid w:val="00CA2C42"/>
    <w:rsid w:val="00CA2F5E"/>
    <w:rsid w:val="00CA3289"/>
    <w:rsid w:val="00CA3824"/>
    <w:rsid w:val="00CA4369"/>
    <w:rsid w:val="00CA4FD1"/>
    <w:rsid w:val="00CA507E"/>
    <w:rsid w:val="00CA53F6"/>
    <w:rsid w:val="00CA5784"/>
    <w:rsid w:val="00CA5CBD"/>
    <w:rsid w:val="00CA6050"/>
    <w:rsid w:val="00CA625C"/>
    <w:rsid w:val="00CA64A5"/>
    <w:rsid w:val="00CA655F"/>
    <w:rsid w:val="00CA662F"/>
    <w:rsid w:val="00CA6716"/>
    <w:rsid w:val="00CA688A"/>
    <w:rsid w:val="00CA71F3"/>
    <w:rsid w:val="00CA7DEF"/>
    <w:rsid w:val="00CA7F95"/>
    <w:rsid w:val="00CB00E6"/>
    <w:rsid w:val="00CB029C"/>
    <w:rsid w:val="00CB0C60"/>
    <w:rsid w:val="00CB1C4A"/>
    <w:rsid w:val="00CB1F15"/>
    <w:rsid w:val="00CB23DA"/>
    <w:rsid w:val="00CB27AD"/>
    <w:rsid w:val="00CB296B"/>
    <w:rsid w:val="00CB29B9"/>
    <w:rsid w:val="00CB2FB4"/>
    <w:rsid w:val="00CB39D3"/>
    <w:rsid w:val="00CB3B16"/>
    <w:rsid w:val="00CB45C0"/>
    <w:rsid w:val="00CB4838"/>
    <w:rsid w:val="00CB4BA2"/>
    <w:rsid w:val="00CB4F25"/>
    <w:rsid w:val="00CB54F8"/>
    <w:rsid w:val="00CB5540"/>
    <w:rsid w:val="00CB568E"/>
    <w:rsid w:val="00CB581D"/>
    <w:rsid w:val="00CB6064"/>
    <w:rsid w:val="00CB61B1"/>
    <w:rsid w:val="00CB637C"/>
    <w:rsid w:val="00CB6768"/>
    <w:rsid w:val="00CB6A80"/>
    <w:rsid w:val="00CB6F1C"/>
    <w:rsid w:val="00CC05C5"/>
    <w:rsid w:val="00CC1612"/>
    <w:rsid w:val="00CC1915"/>
    <w:rsid w:val="00CC27E0"/>
    <w:rsid w:val="00CC2A85"/>
    <w:rsid w:val="00CC2B50"/>
    <w:rsid w:val="00CC2D46"/>
    <w:rsid w:val="00CC302F"/>
    <w:rsid w:val="00CC3201"/>
    <w:rsid w:val="00CC438B"/>
    <w:rsid w:val="00CC4735"/>
    <w:rsid w:val="00CC5104"/>
    <w:rsid w:val="00CC564A"/>
    <w:rsid w:val="00CC5A40"/>
    <w:rsid w:val="00CC61D3"/>
    <w:rsid w:val="00CC7729"/>
    <w:rsid w:val="00CC7791"/>
    <w:rsid w:val="00CC7938"/>
    <w:rsid w:val="00CC7B78"/>
    <w:rsid w:val="00CD0DCA"/>
    <w:rsid w:val="00CD0E63"/>
    <w:rsid w:val="00CD1086"/>
    <w:rsid w:val="00CD12A9"/>
    <w:rsid w:val="00CD1400"/>
    <w:rsid w:val="00CD185B"/>
    <w:rsid w:val="00CD18C5"/>
    <w:rsid w:val="00CD238B"/>
    <w:rsid w:val="00CD256F"/>
    <w:rsid w:val="00CD3054"/>
    <w:rsid w:val="00CD3757"/>
    <w:rsid w:val="00CD3B7E"/>
    <w:rsid w:val="00CD3E87"/>
    <w:rsid w:val="00CD3EA1"/>
    <w:rsid w:val="00CD4523"/>
    <w:rsid w:val="00CD45F3"/>
    <w:rsid w:val="00CD4CE7"/>
    <w:rsid w:val="00CD521C"/>
    <w:rsid w:val="00CD584D"/>
    <w:rsid w:val="00CD5D9F"/>
    <w:rsid w:val="00CD63C5"/>
    <w:rsid w:val="00CD7241"/>
    <w:rsid w:val="00CD73D6"/>
    <w:rsid w:val="00CD7703"/>
    <w:rsid w:val="00CD7FD1"/>
    <w:rsid w:val="00CE0A88"/>
    <w:rsid w:val="00CE308D"/>
    <w:rsid w:val="00CE3414"/>
    <w:rsid w:val="00CE3488"/>
    <w:rsid w:val="00CE392B"/>
    <w:rsid w:val="00CE3A6E"/>
    <w:rsid w:val="00CE4476"/>
    <w:rsid w:val="00CE47A6"/>
    <w:rsid w:val="00CE48C5"/>
    <w:rsid w:val="00CE4BF8"/>
    <w:rsid w:val="00CE4F7A"/>
    <w:rsid w:val="00CE4FFD"/>
    <w:rsid w:val="00CE52FD"/>
    <w:rsid w:val="00CE53E2"/>
    <w:rsid w:val="00CE5AAA"/>
    <w:rsid w:val="00CE5C4C"/>
    <w:rsid w:val="00CE5E9D"/>
    <w:rsid w:val="00CE5F8D"/>
    <w:rsid w:val="00CE6B29"/>
    <w:rsid w:val="00CE6CE3"/>
    <w:rsid w:val="00CE7267"/>
    <w:rsid w:val="00CE73C7"/>
    <w:rsid w:val="00CE78EE"/>
    <w:rsid w:val="00CF0B63"/>
    <w:rsid w:val="00CF0E50"/>
    <w:rsid w:val="00CF16E2"/>
    <w:rsid w:val="00CF17E9"/>
    <w:rsid w:val="00CF1976"/>
    <w:rsid w:val="00CF1AB3"/>
    <w:rsid w:val="00CF1EBD"/>
    <w:rsid w:val="00CF208F"/>
    <w:rsid w:val="00CF2CA5"/>
    <w:rsid w:val="00CF2E85"/>
    <w:rsid w:val="00CF2EF1"/>
    <w:rsid w:val="00CF385D"/>
    <w:rsid w:val="00CF447C"/>
    <w:rsid w:val="00CF4859"/>
    <w:rsid w:val="00CF4A36"/>
    <w:rsid w:val="00CF4C8B"/>
    <w:rsid w:val="00CF52A9"/>
    <w:rsid w:val="00CF56B2"/>
    <w:rsid w:val="00CF5760"/>
    <w:rsid w:val="00CF58E8"/>
    <w:rsid w:val="00CF5D90"/>
    <w:rsid w:val="00CF5DFB"/>
    <w:rsid w:val="00CF5E7A"/>
    <w:rsid w:val="00CF6BA9"/>
    <w:rsid w:val="00CF6EEA"/>
    <w:rsid w:val="00CF791E"/>
    <w:rsid w:val="00CF7B4B"/>
    <w:rsid w:val="00CF7FC1"/>
    <w:rsid w:val="00D00813"/>
    <w:rsid w:val="00D00977"/>
    <w:rsid w:val="00D00AE6"/>
    <w:rsid w:val="00D00C88"/>
    <w:rsid w:val="00D00CCE"/>
    <w:rsid w:val="00D00D49"/>
    <w:rsid w:val="00D00E25"/>
    <w:rsid w:val="00D017D4"/>
    <w:rsid w:val="00D01F64"/>
    <w:rsid w:val="00D01FA3"/>
    <w:rsid w:val="00D02251"/>
    <w:rsid w:val="00D022F4"/>
    <w:rsid w:val="00D0237B"/>
    <w:rsid w:val="00D02A5B"/>
    <w:rsid w:val="00D02B2F"/>
    <w:rsid w:val="00D0364D"/>
    <w:rsid w:val="00D03991"/>
    <w:rsid w:val="00D03C7A"/>
    <w:rsid w:val="00D040DB"/>
    <w:rsid w:val="00D0423F"/>
    <w:rsid w:val="00D04CD5"/>
    <w:rsid w:val="00D050AB"/>
    <w:rsid w:val="00D051F1"/>
    <w:rsid w:val="00D0546A"/>
    <w:rsid w:val="00D05659"/>
    <w:rsid w:val="00D058D3"/>
    <w:rsid w:val="00D05B9A"/>
    <w:rsid w:val="00D0650D"/>
    <w:rsid w:val="00D07748"/>
    <w:rsid w:val="00D106E0"/>
    <w:rsid w:val="00D10763"/>
    <w:rsid w:val="00D1077C"/>
    <w:rsid w:val="00D116CD"/>
    <w:rsid w:val="00D11E2B"/>
    <w:rsid w:val="00D11F3A"/>
    <w:rsid w:val="00D1200B"/>
    <w:rsid w:val="00D12206"/>
    <w:rsid w:val="00D130ED"/>
    <w:rsid w:val="00D1366C"/>
    <w:rsid w:val="00D139DC"/>
    <w:rsid w:val="00D14221"/>
    <w:rsid w:val="00D14831"/>
    <w:rsid w:val="00D14C18"/>
    <w:rsid w:val="00D15199"/>
    <w:rsid w:val="00D152C5"/>
    <w:rsid w:val="00D1544A"/>
    <w:rsid w:val="00D15456"/>
    <w:rsid w:val="00D15DA7"/>
    <w:rsid w:val="00D160E0"/>
    <w:rsid w:val="00D16228"/>
    <w:rsid w:val="00D16B76"/>
    <w:rsid w:val="00D16CCB"/>
    <w:rsid w:val="00D16E31"/>
    <w:rsid w:val="00D172DB"/>
    <w:rsid w:val="00D175AB"/>
    <w:rsid w:val="00D17806"/>
    <w:rsid w:val="00D17A0D"/>
    <w:rsid w:val="00D202E9"/>
    <w:rsid w:val="00D20500"/>
    <w:rsid w:val="00D21505"/>
    <w:rsid w:val="00D216D7"/>
    <w:rsid w:val="00D216EE"/>
    <w:rsid w:val="00D21F46"/>
    <w:rsid w:val="00D22359"/>
    <w:rsid w:val="00D225B7"/>
    <w:rsid w:val="00D22711"/>
    <w:rsid w:val="00D23196"/>
    <w:rsid w:val="00D23643"/>
    <w:rsid w:val="00D23A8E"/>
    <w:rsid w:val="00D23C1B"/>
    <w:rsid w:val="00D23CCC"/>
    <w:rsid w:val="00D23EB6"/>
    <w:rsid w:val="00D2446D"/>
    <w:rsid w:val="00D24759"/>
    <w:rsid w:val="00D24918"/>
    <w:rsid w:val="00D25109"/>
    <w:rsid w:val="00D25B01"/>
    <w:rsid w:val="00D26563"/>
    <w:rsid w:val="00D26810"/>
    <w:rsid w:val="00D26A80"/>
    <w:rsid w:val="00D27648"/>
    <w:rsid w:val="00D27890"/>
    <w:rsid w:val="00D27B7D"/>
    <w:rsid w:val="00D27BBA"/>
    <w:rsid w:val="00D27CBA"/>
    <w:rsid w:val="00D27FFE"/>
    <w:rsid w:val="00D3078D"/>
    <w:rsid w:val="00D3086D"/>
    <w:rsid w:val="00D30F60"/>
    <w:rsid w:val="00D315BA"/>
    <w:rsid w:val="00D31998"/>
    <w:rsid w:val="00D31ADE"/>
    <w:rsid w:val="00D32918"/>
    <w:rsid w:val="00D32B75"/>
    <w:rsid w:val="00D33E9F"/>
    <w:rsid w:val="00D343DF"/>
    <w:rsid w:val="00D344B3"/>
    <w:rsid w:val="00D34513"/>
    <w:rsid w:val="00D34800"/>
    <w:rsid w:val="00D3499D"/>
    <w:rsid w:val="00D34D25"/>
    <w:rsid w:val="00D34F29"/>
    <w:rsid w:val="00D34F76"/>
    <w:rsid w:val="00D353DB"/>
    <w:rsid w:val="00D359BC"/>
    <w:rsid w:val="00D35BC0"/>
    <w:rsid w:val="00D35C36"/>
    <w:rsid w:val="00D36905"/>
    <w:rsid w:val="00D37555"/>
    <w:rsid w:val="00D375F0"/>
    <w:rsid w:val="00D37A64"/>
    <w:rsid w:val="00D37BBF"/>
    <w:rsid w:val="00D37C58"/>
    <w:rsid w:val="00D37DB8"/>
    <w:rsid w:val="00D37E63"/>
    <w:rsid w:val="00D37FF9"/>
    <w:rsid w:val="00D41A20"/>
    <w:rsid w:val="00D41D1F"/>
    <w:rsid w:val="00D4232F"/>
    <w:rsid w:val="00D427EF"/>
    <w:rsid w:val="00D4317E"/>
    <w:rsid w:val="00D43607"/>
    <w:rsid w:val="00D4368B"/>
    <w:rsid w:val="00D44556"/>
    <w:rsid w:val="00D449A8"/>
    <w:rsid w:val="00D449DB"/>
    <w:rsid w:val="00D44B5A"/>
    <w:rsid w:val="00D44E0F"/>
    <w:rsid w:val="00D4539B"/>
    <w:rsid w:val="00D455B1"/>
    <w:rsid w:val="00D4592C"/>
    <w:rsid w:val="00D45BB0"/>
    <w:rsid w:val="00D465F2"/>
    <w:rsid w:val="00D4661F"/>
    <w:rsid w:val="00D4675A"/>
    <w:rsid w:val="00D4692E"/>
    <w:rsid w:val="00D477CB"/>
    <w:rsid w:val="00D478D8"/>
    <w:rsid w:val="00D500F5"/>
    <w:rsid w:val="00D502FF"/>
    <w:rsid w:val="00D506AB"/>
    <w:rsid w:val="00D506F6"/>
    <w:rsid w:val="00D50B33"/>
    <w:rsid w:val="00D50E6C"/>
    <w:rsid w:val="00D51A98"/>
    <w:rsid w:val="00D51B02"/>
    <w:rsid w:val="00D5207A"/>
    <w:rsid w:val="00D52689"/>
    <w:rsid w:val="00D52894"/>
    <w:rsid w:val="00D52C54"/>
    <w:rsid w:val="00D53130"/>
    <w:rsid w:val="00D535E9"/>
    <w:rsid w:val="00D5373F"/>
    <w:rsid w:val="00D539E4"/>
    <w:rsid w:val="00D53FC7"/>
    <w:rsid w:val="00D543EB"/>
    <w:rsid w:val="00D5447B"/>
    <w:rsid w:val="00D548E8"/>
    <w:rsid w:val="00D54B0E"/>
    <w:rsid w:val="00D54B66"/>
    <w:rsid w:val="00D552E0"/>
    <w:rsid w:val="00D552E4"/>
    <w:rsid w:val="00D553A8"/>
    <w:rsid w:val="00D556E3"/>
    <w:rsid w:val="00D5644A"/>
    <w:rsid w:val="00D5656D"/>
    <w:rsid w:val="00D56B33"/>
    <w:rsid w:val="00D56E2A"/>
    <w:rsid w:val="00D56FB0"/>
    <w:rsid w:val="00D6010E"/>
    <w:rsid w:val="00D60C78"/>
    <w:rsid w:val="00D6118D"/>
    <w:rsid w:val="00D6125E"/>
    <w:rsid w:val="00D614F7"/>
    <w:rsid w:val="00D61CAE"/>
    <w:rsid w:val="00D61DD4"/>
    <w:rsid w:val="00D6234D"/>
    <w:rsid w:val="00D624AE"/>
    <w:rsid w:val="00D62903"/>
    <w:rsid w:val="00D63BBF"/>
    <w:rsid w:val="00D6425A"/>
    <w:rsid w:val="00D64367"/>
    <w:rsid w:val="00D64FBF"/>
    <w:rsid w:val="00D65672"/>
    <w:rsid w:val="00D660EE"/>
    <w:rsid w:val="00D66172"/>
    <w:rsid w:val="00D6661F"/>
    <w:rsid w:val="00D66AE8"/>
    <w:rsid w:val="00D66BE3"/>
    <w:rsid w:val="00D66C93"/>
    <w:rsid w:val="00D66D40"/>
    <w:rsid w:val="00D66DC2"/>
    <w:rsid w:val="00D677A6"/>
    <w:rsid w:val="00D678E6"/>
    <w:rsid w:val="00D67B36"/>
    <w:rsid w:val="00D67BA0"/>
    <w:rsid w:val="00D67EEA"/>
    <w:rsid w:val="00D67F9E"/>
    <w:rsid w:val="00D700D8"/>
    <w:rsid w:val="00D703E9"/>
    <w:rsid w:val="00D70C82"/>
    <w:rsid w:val="00D70FE5"/>
    <w:rsid w:val="00D7149A"/>
    <w:rsid w:val="00D718B1"/>
    <w:rsid w:val="00D71C14"/>
    <w:rsid w:val="00D72D3F"/>
    <w:rsid w:val="00D733C1"/>
    <w:rsid w:val="00D7374C"/>
    <w:rsid w:val="00D737E6"/>
    <w:rsid w:val="00D73F6B"/>
    <w:rsid w:val="00D7441F"/>
    <w:rsid w:val="00D7479B"/>
    <w:rsid w:val="00D74E18"/>
    <w:rsid w:val="00D75FB2"/>
    <w:rsid w:val="00D7602B"/>
    <w:rsid w:val="00D767C0"/>
    <w:rsid w:val="00D778B1"/>
    <w:rsid w:val="00D77B7A"/>
    <w:rsid w:val="00D77CDD"/>
    <w:rsid w:val="00D804CF"/>
    <w:rsid w:val="00D80793"/>
    <w:rsid w:val="00D809B9"/>
    <w:rsid w:val="00D80A52"/>
    <w:rsid w:val="00D80F3D"/>
    <w:rsid w:val="00D80FCE"/>
    <w:rsid w:val="00D812CC"/>
    <w:rsid w:val="00D8150B"/>
    <w:rsid w:val="00D81B61"/>
    <w:rsid w:val="00D81B71"/>
    <w:rsid w:val="00D81FA6"/>
    <w:rsid w:val="00D82064"/>
    <w:rsid w:val="00D8242D"/>
    <w:rsid w:val="00D825ED"/>
    <w:rsid w:val="00D82B42"/>
    <w:rsid w:val="00D82E79"/>
    <w:rsid w:val="00D830F5"/>
    <w:rsid w:val="00D8322E"/>
    <w:rsid w:val="00D832AA"/>
    <w:rsid w:val="00D83614"/>
    <w:rsid w:val="00D85197"/>
    <w:rsid w:val="00D85658"/>
    <w:rsid w:val="00D85CAF"/>
    <w:rsid w:val="00D860E2"/>
    <w:rsid w:val="00D861B6"/>
    <w:rsid w:val="00D861E5"/>
    <w:rsid w:val="00D86317"/>
    <w:rsid w:val="00D8663A"/>
    <w:rsid w:val="00D86EA2"/>
    <w:rsid w:val="00D877EE"/>
    <w:rsid w:val="00D878A5"/>
    <w:rsid w:val="00D87B83"/>
    <w:rsid w:val="00D9020D"/>
    <w:rsid w:val="00D903C9"/>
    <w:rsid w:val="00D90F3C"/>
    <w:rsid w:val="00D91253"/>
    <w:rsid w:val="00D91323"/>
    <w:rsid w:val="00D91854"/>
    <w:rsid w:val="00D91AB1"/>
    <w:rsid w:val="00D91CB7"/>
    <w:rsid w:val="00D91ED6"/>
    <w:rsid w:val="00D920D4"/>
    <w:rsid w:val="00D921A5"/>
    <w:rsid w:val="00D93225"/>
    <w:rsid w:val="00D93A19"/>
    <w:rsid w:val="00D93A90"/>
    <w:rsid w:val="00D93D38"/>
    <w:rsid w:val="00D93DDD"/>
    <w:rsid w:val="00D94388"/>
    <w:rsid w:val="00D94558"/>
    <w:rsid w:val="00D94628"/>
    <w:rsid w:val="00D94960"/>
    <w:rsid w:val="00D94B41"/>
    <w:rsid w:val="00D95692"/>
    <w:rsid w:val="00D95C05"/>
    <w:rsid w:val="00D95E28"/>
    <w:rsid w:val="00D95FEA"/>
    <w:rsid w:val="00D960E5"/>
    <w:rsid w:val="00D963EA"/>
    <w:rsid w:val="00D963ED"/>
    <w:rsid w:val="00D9662E"/>
    <w:rsid w:val="00D967AE"/>
    <w:rsid w:val="00D967EE"/>
    <w:rsid w:val="00D96949"/>
    <w:rsid w:val="00D96A86"/>
    <w:rsid w:val="00D96DB9"/>
    <w:rsid w:val="00D970EB"/>
    <w:rsid w:val="00D97193"/>
    <w:rsid w:val="00D97FB7"/>
    <w:rsid w:val="00DA0514"/>
    <w:rsid w:val="00DA08BC"/>
    <w:rsid w:val="00DA0EC4"/>
    <w:rsid w:val="00DA10E0"/>
    <w:rsid w:val="00DA12EA"/>
    <w:rsid w:val="00DA1473"/>
    <w:rsid w:val="00DA163D"/>
    <w:rsid w:val="00DA1E6F"/>
    <w:rsid w:val="00DA20EE"/>
    <w:rsid w:val="00DA20F3"/>
    <w:rsid w:val="00DA2F46"/>
    <w:rsid w:val="00DA35AA"/>
    <w:rsid w:val="00DA3618"/>
    <w:rsid w:val="00DA3CA0"/>
    <w:rsid w:val="00DA3E2F"/>
    <w:rsid w:val="00DA419F"/>
    <w:rsid w:val="00DA4702"/>
    <w:rsid w:val="00DA4B29"/>
    <w:rsid w:val="00DA51E4"/>
    <w:rsid w:val="00DA566A"/>
    <w:rsid w:val="00DA5928"/>
    <w:rsid w:val="00DA5D79"/>
    <w:rsid w:val="00DA6188"/>
    <w:rsid w:val="00DA618F"/>
    <w:rsid w:val="00DA63B4"/>
    <w:rsid w:val="00DA6685"/>
    <w:rsid w:val="00DA6A7F"/>
    <w:rsid w:val="00DA6B0F"/>
    <w:rsid w:val="00DA769F"/>
    <w:rsid w:val="00DB033E"/>
    <w:rsid w:val="00DB081D"/>
    <w:rsid w:val="00DB0E95"/>
    <w:rsid w:val="00DB0FE6"/>
    <w:rsid w:val="00DB17ED"/>
    <w:rsid w:val="00DB1933"/>
    <w:rsid w:val="00DB2231"/>
    <w:rsid w:val="00DB225A"/>
    <w:rsid w:val="00DB22AB"/>
    <w:rsid w:val="00DB22B8"/>
    <w:rsid w:val="00DB28B9"/>
    <w:rsid w:val="00DB2914"/>
    <w:rsid w:val="00DB2C03"/>
    <w:rsid w:val="00DB2D75"/>
    <w:rsid w:val="00DB3773"/>
    <w:rsid w:val="00DB3B68"/>
    <w:rsid w:val="00DB3D2E"/>
    <w:rsid w:val="00DB463A"/>
    <w:rsid w:val="00DB4B15"/>
    <w:rsid w:val="00DB53B6"/>
    <w:rsid w:val="00DB5589"/>
    <w:rsid w:val="00DB5DAD"/>
    <w:rsid w:val="00DB6287"/>
    <w:rsid w:val="00DB6442"/>
    <w:rsid w:val="00DB6532"/>
    <w:rsid w:val="00DB684E"/>
    <w:rsid w:val="00DB686F"/>
    <w:rsid w:val="00DB6C04"/>
    <w:rsid w:val="00DB6E61"/>
    <w:rsid w:val="00DB6EE3"/>
    <w:rsid w:val="00DB74CA"/>
    <w:rsid w:val="00DB75AF"/>
    <w:rsid w:val="00DB76D8"/>
    <w:rsid w:val="00DC0964"/>
    <w:rsid w:val="00DC18D6"/>
    <w:rsid w:val="00DC1A05"/>
    <w:rsid w:val="00DC239D"/>
    <w:rsid w:val="00DC255E"/>
    <w:rsid w:val="00DC29C8"/>
    <w:rsid w:val="00DC36E2"/>
    <w:rsid w:val="00DC3DD6"/>
    <w:rsid w:val="00DC3FDA"/>
    <w:rsid w:val="00DC408B"/>
    <w:rsid w:val="00DC4269"/>
    <w:rsid w:val="00DC428E"/>
    <w:rsid w:val="00DC4A8E"/>
    <w:rsid w:val="00DC4D5D"/>
    <w:rsid w:val="00DC5250"/>
    <w:rsid w:val="00DC555B"/>
    <w:rsid w:val="00DC6586"/>
    <w:rsid w:val="00DC66A8"/>
    <w:rsid w:val="00DC6BEA"/>
    <w:rsid w:val="00DC71C4"/>
    <w:rsid w:val="00DC72BD"/>
    <w:rsid w:val="00DC7507"/>
    <w:rsid w:val="00DC7F19"/>
    <w:rsid w:val="00DD009D"/>
    <w:rsid w:val="00DD03CA"/>
    <w:rsid w:val="00DD12EC"/>
    <w:rsid w:val="00DD132D"/>
    <w:rsid w:val="00DD15DF"/>
    <w:rsid w:val="00DD1751"/>
    <w:rsid w:val="00DD1E85"/>
    <w:rsid w:val="00DD250D"/>
    <w:rsid w:val="00DD275D"/>
    <w:rsid w:val="00DD2DCC"/>
    <w:rsid w:val="00DD2FED"/>
    <w:rsid w:val="00DD3D6F"/>
    <w:rsid w:val="00DD3F5F"/>
    <w:rsid w:val="00DD448C"/>
    <w:rsid w:val="00DD4802"/>
    <w:rsid w:val="00DD5627"/>
    <w:rsid w:val="00DD5A23"/>
    <w:rsid w:val="00DD620D"/>
    <w:rsid w:val="00DD638D"/>
    <w:rsid w:val="00DD6819"/>
    <w:rsid w:val="00DD74A2"/>
    <w:rsid w:val="00DD7772"/>
    <w:rsid w:val="00DD7D5B"/>
    <w:rsid w:val="00DE01BE"/>
    <w:rsid w:val="00DE0384"/>
    <w:rsid w:val="00DE0424"/>
    <w:rsid w:val="00DE09C0"/>
    <w:rsid w:val="00DE0C78"/>
    <w:rsid w:val="00DE0F32"/>
    <w:rsid w:val="00DE278F"/>
    <w:rsid w:val="00DE3555"/>
    <w:rsid w:val="00DE3842"/>
    <w:rsid w:val="00DE3D8A"/>
    <w:rsid w:val="00DE4339"/>
    <w:rsid w:val="00DE4DB4"/>
    <w:rsid w:val="00DE50A1"/>
    <w:rsid w:val="00DE5322"/>
    <w:rsid w:val="00DE57C8"/>
    <w:rsid w:val="00DE5A90"/>
    <w:rsid w:val="00DE5BE8"/>
    <w:rsid w:val="00DE6EB1"/>
    <w:rsid w:val="00DE7D54"/>
    <w:rsid w:val="00DF0357"/>
    <w:rsid w:val="00DF09CB"/>
    <w:rsid w:val="00DF0A87"/>
    <w:rsid w:val="00DF0E0C"/>
    <w:rsid w:val="00DF1396"/>
    <w:rsid w:val="00DF1828"/>
    <w:rsid w:val="00DF1BF6"/>
    <w:rsid w:val="00DF1FA9"/>
    <w:rsid w:val="00DF2528"/>
    <w:rsid w:val="00DF2554"/>
    <w:rsid w:val="00DF25C4"/>
    <w:rsid w:val="00DF31A1"/>
    <w:rsid w:val="00DF3452"/>
    <w:rsid w:val="00DF365C"/>
    <w:rsid w:val="00DF3947"/>
    <w:rsid w:val="00DF3C6D"/>
    <w:rsid w:val="00DF3C80"/>
    <w:rsid w:val="00DF44AD"/>
    <w:rsid w:val="00DF4C6E"/>
    <w:rsid w:val="00DF4D18"/>
    <w:rsid w:val="00DF5082"/>
    <w:rsid w:val="00DF55CE"/>
    <w:rsid w:val="00DF5E0C"/>
    <w:rsid w:val="00DF5F76"/>
    <w:rsid w:val="00DF60DF"/>
    <w:rsid w:val="00DF6687"/>
    <w:rsid w:val="00DF6C25"/>
    <w:rsid w:val="00DF7164"/>
    <w:rsid w:val="00DF7E2A"/>
    <w:rsid w:val="00E00059"/>
    <w:rsid w:val="00E00139"/>
    <w:rsid w:val="00E004D5"/>
    <w:rsid w:val="00E009B1"/>
    <w:rsid w:val="00E0127A"/>
    <w:rsid w:val="00E01C23"/>
    <w:rsid w:val="00E01C69"/>
    <w:rsid w:val="00E01CBC"/>
    <w:rsid w:val="00E01D71"/>
    <w:rsid w:val="00E01F6B"/>
    <w:rsid w:val="00E02444"/>
    <w:rsid w:val="00E02E91"/>
    <w:rsid w:val="00E039AB"/>
    <w:rsid w:val="00E0402E"/>
    <w:rsid w:val="00E04202"/>
    <w:rsid w:val="00E04216"/>
    <w:rsid w:val="00E0438A"/>
    <w:rsid w:val="00E04409"/>
    <w:rsid w:val="00E04910"/>
    <w:rsid w:val="00E051C4"/>
    <w:rsid w:val="00E05392"/>
    <w:rsid w:val="00E0577E"/>
    <w:rsid w:val="00E057A5"/>
    <w:rsid w:val="00E05B82"/>
    <w:rsid w:val="00E05C2D"/>
    <w:rsid w:val="00E05CFF"/>
    <w:rsid w:val="00E05F55"/>
    <w:rsid w:val="00E062E8"/>
    <w:rsid w:val="00E06823"/>
    <w:rsid w:val="00E06B5A"/>
    <w:rsid w:val="00E06BE4"/>
    <w:rsid w:val="00E06CDA"/>
    <w:rsid w:val="00E06E0F"/>
    <w:rsid w:val="00E10061"/>
    <w:rsid w:val="00E10A86"/>
    <w:rsid w:val="00E10C2B"/>
    <w:rsid w:val="00E11550"/>
    <w:rsid w:val="00E118E1"/>
    <w:rsid w:val="00E11DE0"/>
    <w:rsid w:val="00E1349F"/>
    <w:rsid w:val="00E13925"/>
    <w:rsid w:val="00E13EAB"/>
    <w:rsid w:val="00E14428"/>
    <w:rsid w:val="00E1470F"/>
    <w:rsid w:val="00E14783"/>
    <w:rsid w:val="00E14979"/>
    <w:rsid w:val="00E1553E"/>
    <w:rsid w:val="00E15579"/>
    <w:rsid w:val="00E15589"/>
    <w:rsid w:val="00E15947"/>
    <w:rsid w:val="00E15D74"/>
    <w:rsid w:val="00E1640D"/>
    <w:rsid w:val="00E16C70"/>
    <w:rsid w:val="00E1781A"/>
    <w:rsid w:val="00E17825"/>
    <w:rsid w:val="00E20906"/>
    <w:rsid w:val="00E22757"/>
    <w:rsid w:val="00E229FE"/>
    <w:rsid w:val="00E22A97"/>
    <w:rsid w:val="00E22F6C"/>
    <w:rsid w:val="00E23031"/>
    <w:rsid w:val="00E237FA"/>
    <w:rsid w:val="00E23B05"/>
    <w:rsid w:val="00E23BA5"/>
    <w:rsid w:val="00E24189"/>
    <w:rsid w:val="00E24792"/>
    <w:rsid w:val="00E24ABA"/>
    <w:rsid w:val="00E24DE1"/>
    <w:rsid w:val="00E25597"/>
    <w:rsid w:val="00E255F8"/>
    <w:rsid w:val="00E25722"/>
    <w:rsid w:val="00E260C9"/>
    <w:rsid w:val="00E263C7"/>
    <w:rsid w:val="00E26AC4"/>
    <w:rsid w:val="00E26BCA"/>
    <w:rsid w:val="00E27315"/>
    <w:rsid w:val="00E27717"/>
    <w:rsid w:val="00E278CF"/>
    <w:rsid w:val="00E27D8F"/>
    <w:rsid w:val="00E27F2E"/>
    <w:rsid w:val="00E27F6B"/>
    <w:rsid w:val="00E3007D"/>
    <w:rsid w:val="00E30687"/>
    <w:rsid w:val="00E3083C"/>
    <w:rsid w:val="00E308BC"/>
    <w:rsid w:val="00E30F05"/>
    <w:rsid w:val="00E31545"/>
    <w:rsid w:val="00E31A15"/>
    <w:rsid w:val="00E3216A"/>
    <w:rsid w:val="00E32485"/>
    <w:rsid w:val="00E324E7"/>
    <w:rsid w:val="00E327FD"/>
    <w:rsid w:val="00E3360C"/>
    <w:rsid w:val="00E336F9"/>
    <w:rsid w:val="00E33B91"/>
    <w:rsid w:val="00E33C1C"/>
    <w:rsid w:val="00E348F8"/>
    <w:rsid w:val="00E348F9"/>
    <w:rsid w:val="00E3539D"/>
    <w:rsid w:val="00E35719"/>
    <w:rsid w:val="00E35E8E"/>
    <w:rsid w:val="00E363A3"/>
    <w:rsid w:val="00E36831"/>
    <w:rsid w:val="00E368E6"/>
    <w:rsid w:val="00E36E7B"/>
    <w:rsid w:val="00E36EF5"/>
    <w:rsid w:val="00E37682"/>
    <w:rsid w:val="00E37765"/>
    <w:rsid w:val="00E3790A"/>
    <w:rsid w:val="00E410E8"/>
    <w:rsid w:val="00E4128D"/>
    <w:rsid w:val="00E41443"/>
    <w:rsid w:val="00E4195F"/>
    <w:rsid w:val="00E41F4F"/>
    <w:rsid w:val="00E42154"/>
    <w:rsid w:val="00E422E1"/>
    <w:rsid w:val="00E42FB1"/>
    <w:rsid w:val="00E43B82"/>
    <w:rsid w:val="00E43D77"/>
    <w:rsid w:val="00E44555"/>
    <w:rsid w:val="00E452AF"/>
    <w:rsid w:val="00E454A2"/>
    <w:rsid w:val="00E45B46"/>
    <w:rsid w:val="00E45C6B"/>
    <w:rsid w:val="00E466E2"/>
    <w:rsid w:val="00E467C0"/>
    <w:rsid w:val="00E4688D"/>
    <w:rsid w:val="00E4728F"/>
    <w:rsid w:val="00E47344"/>
    <w:rsid w:val="00E474B1"/>
    <w:rsid w:val="00E475E2"/>
    <w:rsid w:val="00E4783C"/>
    <w:rsid w:val="00E4795E"/>
    <w:rsid w:val="00E47997"/>
    <w:rsid w:val="00E501F8"/>
    <w:rsid w:val="00E506DE"/>
    <w:rsid w:val="00E5089F"/>
    <w:rsid w:val="00E509F3"/>
    <w:rsid w:val="00E50BCF"/>
    <w:rsid w:val="00E50D14"/>
    <w:rsid w:val="00E5122E"/>
    <w:rsid w:val="00E518E1"/>
    <w:rsid w:val="00E51BB6"/>
    <w:rsid w:val="00E51C0C"/>
    <w:rsid w:val="00E51C16"/>
    <w:rsid w:val="00E51D8E"/>
    <w:rsid w:val="00E522DE"/>
    <w:rsid w:val="00E52A49"/>
    <w:rsid w:val="00E538F5"/>
    <w:rsid w:val="00E54227"/>
    <w:rsid w:val="00E542CE"/>
    <w:rsid w:val="00E547DE"/>
    <w:rsid w:val="00E54B52"/>
    <w:rsid w:val="00E54BAD"/>
    <w:rsid w:val="00E54F58"/>
    <w:rsid w:val="00E55A8B"/>
    <w:rsid w:val="00E55C2E"/>
    <w:rsid w:val="00E55CC7"/>
    <w:rsid w:val="00E55D93"/>
    <w:rsid w:val="00E5605D"/>
    <w:rsid w:val="00E56294"/>
    <w:rsid w:val="00E56361"/>
    <w:rsid w:val="00E56EFE"/>
    <w:rsid w:val="00E6089F"/>
    <w:rsid w:val="00E610E0"/>
    <w:rsid w:val="00E611B9"/>
    <w:rsid w:val="00E6151C"/>
    <w:rsid w:val="00E61541"/>
    <w:rsid w:val="00E62122"/>
    <w:rsid w:val="00E6273F"/>
    <w:rsid w:val="00E62CD8"/>
    <w:rsid w:val="00E62D97"/>
    <w:rsid w:val="00E635DE"/>
    <w:rsid w:val="00E639D1"/>
    <w:rsid w:val="00E63A3E"/>
    <w:rsid w:val="00E63B6D"/>
    <w:rsid w:val="00E63B7D"/>
    <w:rsid w:val="00E646F7"/>
    <w:rsid w:val="00E64BBA"/>
    <w:rsid w:val="00E64C54"/>
    <w:rsid w:val="00E64EF8"/>
    <w:rsid w:val="00E65073"/>
    <w:rsid w:val="00E6532E"/>
    <w:rsid w:val="00E6546A"/>
    <w:rsid w:val="00E6591A"/>
    <w:rsid w:val="00E66093"/>
    <w:rsid w:val="00E66211"/>
    <w:rsid w:val="00E66AB3"/>
    <w:rsid w:val="00E66B39"/>
    <w:rsid w:val="00E66B79"/>
    <w:rsid w:val="00E66ECC"/>
    <w:rsid w:val="00E674B9"/>
    <w:rsid w:val="00E6793E"/>
    <w:rsid w:val="00E67ECA"/>
    <w:rsid w:val="00E70055"/>
    <w:rsid w:val="00E7036C"/>
    <w:rsid w:val="00E705FD"/>
    <w:rsid w:val="00E707EA"/>
    <w:rsid w:val="00E708DC"/>
    <w:rsid w:val="00E70906"/>
    <w:rsid w:val="00E713B6"/>
    <w:rsid w:val="00E7172A"/>
    <w:rsid w:val="00E71941"/>
    <w:rsid w:val="00E719DD"/>
    <w:rsid w:val="00E71C82"/>
    <w:rsid w:val="00E71DCC"/>
    <w:rsid w:val="00E72754"/>
    <w:rsid w:val="00E72C08"/>
    <w:rsid w:val="00E73DC7"/>
    <w:rsid w:val="00E73ED2"/>
    <w:rsid w:val="00E741BF"/>
    <w:rsid w:val="00E74383"/>
    <w:rsid w:val="00E74483"/>
    <w:rsid w:val="00E74A87"/>
    <w:rsid w:val="00E751F1"/>
    <w:rsid w:val="00E753CD"/>
    <w:rsid w:val="00E757B0"/>
    <w:rsid w:val="00E7583A"/>
    <w:rsid w:val="00E759A2"/>
    <w:rsid w:val="00E759FB"/>
    <w:rsid w:val="00E75EFA"/>
    <w:rsid w:val="00E75FD3"/>
    <w:rsid w:val="00E76033"/>
    <w:rsid w:val="00E766BF"/>
    <w:rsid w:val="00E76DE7"/>
    <w:rsid w:val="00E771E0"/>
    <w:rsid w:val="00E77672"/>
    <w:rsid w:val="00E80508"/>
    <w:rsid w:val="00E805F9"/>
    <w:rsid w:val="00E807BE"/>
    <w:rsid w:val="00E80B72"/>
    <w:rsid w:val="00E80E37"/>
    <w:rsid w:val="00E80EE3"/>
    <w:rsid w:val="00E80EEE"/>
    <w:rsid w:val="00E814CC"/>
    <w:rsid w:val="00E818D4"/>
    <w:rsid w:val="00E81A6A"/>
    <w:rsid w:val="00E82666"/>
    <w:rsid w:val="00E837EA"/>
    <w:rsid w:val="00E839E5"/>
    <w:rsid w:val="00E84847"/>
    <w:rsid w:val="00E84D96"/>
    <w:rsid w:val="00E8594F"/>
    <w:rsid w:val="00E85B13"/>
    <w:rsid w:val="00E86580"/>
    <w:rsid w:val="00E86CE8"/>
    <w:rsid w:val="00E87241"/>
    <w:rsid w:val="00E87516"/>
    <w:rsid w:val="00E875FD"/>
    <w:rsid w:val="00E87F0E"/>
    <w:rsid w:val="00E9002C"/>
    <w:rsid w:val="00E90032"/>
    <w:rsid w:val="00E909B8"/>
    <w:rsid w:val="00E90ACD"/>
    <w:rsid w:val="00E90D7E"/>
    <w:rsid w:val="00E9124E"/>
    <w:rsid w:val="00E9188A"/>
    <w:rsid w:val="00E918C9"/>
    <w:rsid w:val="00E91C91"/>
    <w:rsid w:val="00E92058"/>
    <w:rsid w:val="00E927C3"/>
    <w:rsid w:val="00E92C53"/>
    <w:rsid w:val="00E9343F"/>
    <w:rsid w:val="00E93E8A"/>
    <w:rsid w:val="00E93F03"/>
    <w:rsid w:val="00E93F31"/>
    <w:rsid w:val="00E93FE5"/>
    <w:rsid w:val="00E94925"/>
    <w:rsid w:val="00E94DFA"/>
    <w:rsid w:val="00E95367"/>
    <w:rsid w:val="00E954F9"/>
    <w:rsid w:val="00E9667F"/>
    <w:rsid w:val="00E97305"/>
    <w:rsid w:val="00E97CAC"/>
    <w:rsid w:val="00EA0C6F"/>
    <w:rsid w:val="00EA1593"/>
    <w:rsid w:val="00EA17A3"/>
    <w:rsid w:val="00EA1EBD"/>
    <w:rsid w:val="00EA1F62"/>
    <w:rsid w:val="00EA261A"/>
    <w:rsid w:val="00EA2970"/>
    <w:rsid w:val="00EA2D23"/>
    <w:rsid w:val="00EA2E22"/>
    <w:rsid w:val="00EA3B84"/>
    <w:rsid w:val="00EA3C75"/>
    <w:rsid w:val="00EA4619"/>
    <w:rsid w:val="00EA4622"/>
    <w:rsid w:val="00EA4AC3"/>
    <w:rsid w:val="00EA58D7"/>
    <w:rsid w:val="00EA6544"/>
    <w:rsid w:val="00EA6CFF"/>
    <w:rsid w:val="00EA6F9B"/>
    <w:rsid w:val="00EA7165"/>
    <w:rsid w:val="00EA757F"/>
    <w:rsid w:val="00EA75EE"/>
    <w:rsid w:val="00EA7A20"/>
    <w:rsid w:val="00EB087D"/>
    <w:rsid w:val="00EB09E7"/>
    <w:rsid w:val="00EB0AAF"/>
    <w:rsid w:val="00EB0ABF"/>
    <w:rsid w:val="00EB155B"/>
    <w:rsid w:val="00EB1E05"/>
    <w:rsid w:val="00EB27FB"/>
    <w:rsid w:val="00EB2B78"/>
    <w:rsid w:val="00EB2D05"/>
    <w:rsid w:val="00EB3632"/>
    <w:rsid w:val="00EB3B15"/>
    <w:rsid w:val="00EB4031"/>
    <w:rsid w:val="00EB42F4"/>
    <w:rsid w:val="00EB4462"/>
    <w:rsid w:val="00EB4709"/>
    <w:rsid w:val="00EB48AF"/>
    <w:rsid w:val="00EB4D04"/>
    <w:rsid w:val="00EB4E12"/>
    <w:rsid w:val="00EB5466"/>
    <w:rsid w:val="00EB57B6"/>
    <w:rsid w:val="00EB5AFE"/>
    <w:rsid w:val="00EB6057"/>
    <w:rsid w:val="00EB676B"/>
    <w:rsid w:val="00EB6783"/>
    <w:rsid w:val="00EB682D"/>
    <w:rsid w:val="00EB6ECE"/>
    <w:rsid w:val="00EB7953"/>
    <w:rsid w:val="00EB7AF4"/>
    <w:rsid w:val="00EB7E66"/>
    <w:rsid w:val="00EC00B8"/>
    <w:rsid w:val="00EC018C"/>
    <w:rsid w:val="00EC0B2F"/>
    <w:rsid w:val="00EC0C9E"/>
    <w:rsid w:val="00EC0D0B"/>
    <w:rsid w:val="00EC0D86"/>
    <w:rsid w:val="00EC1221"/>
    <w:rsid w:val="00EC2327"/>
    <w:rsid w:val="00EC2A3F"/>
    <w:rsid w:val="00EC2B6C"/>
    <w:rsid w:val="00EC2EEE"/>
    <w:rsid w:val="00EC310E"/>
    <w:rsid w:val="00EC31B8"/>
    <w:rsid w:val="00EC339A"/>
    <w:rsid w:val="00EC487F"/>
    <w:rsid w:val="00EC4AB8"/>
    <w:rsid w:val="00EC4AE9"/>
    <w:rsid w:val="00EC4DD1"/>
    <w:rsid w:val="00EC6706"/>
    <w:rsid w:val="00EC70E2"/>
    <w:rsid w:val="00ED015D"/>
    <w:rsid w:val="00ED0381"/>
    <w:rsid w:val="00ED067C"/>
    <w:rsid w:val="00ED0846"/>
    <w:rsid w:val="00ED0AF9"/>
    <w:rsid w:val="00ED0C3F"/>
    <w:rsid w:val="00ED0D35"/>
    <w:rsid w:val="00ED10D4"/>
    <w:rsid w:val="00ED10DC"/>
    <w:rsid w:val="00ED1F8F"/>
    <w:rsid w:val="00ED20BE"/>
    <w:rsid w:val="00ED2D81"/>
    <w:rsid w:val="00ED2F09"/>
    <w:rsid w:val="00ED2F38"/>
    <w:rsid w:val="00ED30C3"/>
    <w:rsid w:val="00ED35B4"/>
    <w:rsid w:val="00ED3C0C"/>
    <w:rsid w:val="00ED4183"/>
    <w:rsid w:val="00ED424A"/>
    <w:rsid w:val="00ED46ED"/>
    <w:rsid w:val="00ED49AC"/>
    <w:rsid w:val="00ED5635"/>
    <w:rsid w:val="00ED65D0"/>
    <w:rsid w:val="00ED673F"/>
    <w:rsid w:val="00ED6F46"/>
    <w:rsid w:val="00ED7312"/>
    <w:rsid w:val="00ED7449"/>
    <w:rsid w:val="00ED7825"/>
    <w:rsid w:val="00EE0047"/>
    <w:rsid w:val="00EE083D"/>
    <w:rsid w:val="00EE0CCD"/>
    <w:rsid w:val="00EE104B"/>
    <w:rsid w:val="00EE1064"/>
    <w:rsid w:val="00EE13A8"/>
    <w:rsid w:val="00EE1510"/>
    <w:rsid w:val="00EE18CD"/>
    <w:rsid w:val="00EE1CC6"/>
    <w:rsid w:val="00EE2362"/>
    <w:rsid w:val="00EE26A0"/>
    <w:rsid w:val="00EE29F9"/>
    <w:rsid w:val="00EE2F1D"/>
    <w:rsid w:val="00EE2FEE"/>
    <w:rsid w:val="00EE3101"/>
    <w:rsid w:val="00EE31E4"/>
    <w:rsid w:val="00EE338F"/>
    <w:rsid w:val="00EE342C"/>
    <w:rsid w:val="00EE3815"/>
    <w:rsid w:val="00EE4361"/>
    <w:rsid w:val="00EE4A2A"/>
    <w:rsid w:val="00EE4BB0"/>
    <w:rsid w:val="00EE5142"/>
    <w:rsid w:val="00EE5309"/>
    <w:rsid w:val="00EE5711"/>
    <w:rsid w:val="00EE6309"/>
    <w:rsid w:val="00EE68FA"/>
    <w:rsid w:val="00EE6B4C"/>
    <w:rsid w:val="00EE6E97"/>
    <w:rsid w:val="00EE735C"/>
    <w:rsid w:val="00EE755A"/>
    <w:rsid w:val="00EE76D6"/>
    <w:rsid w:val="00EE7E01"/>
    <w:rsid w:val="00EE7EF6"/>
    <w:rsid w:val="00EE7F38"/>
    <w:rsid w:val="00EF07E8"/>
    <w:rsid w:val="00EF0F38"/>
    <w:rsid w:val="00EF1313"/>
    <w:rsid w:val="00EF1868"/>
    <w:rsid w:val="00EF18E0"/>
    <w:rsid w:val="00EF18F6"/>
    <w:rsid w:val="00EF1E44"/>
    <w:rsid w:val="00EF2B5D"/>
    <w:rsid w:val="00EF409F"/>
    <w:rsid w:val="00EF41E6"/>
    <w:rsid w:val="00EF46F9"/>
    <w:rsid w:val="00EF4A35"/>
    <w:rsid w:val="00EF553A"/>
    <w:rsid w:val="00EF594A"/>
    <w:rsid w:val="00EF5BD0"/>
    <w:rsid w:val="00EF5D76"/>
    <w:rsid w:val="00EF5F60"/>
    <w:rsid w:val="00EF63DC"/>
    <w:rsid w:val="00EF6508"/>
    <w:rsid w:val="00EF6A3F"/>
    <w:rsid w:val="00EF6B48"/>
    <w:rsid w:val="00EF7613"/>
    <w:rsid w:val="00EF7ADA"/>
    <w:rsid w:val="00F0066E"/>
    <w:rsid w:val="00F00726"/>
    <w:rsid w:val="00F00C48"/>
    <w:rsid w:val="00F01066"/>
    <w:rsid w:val="00F010F7"/>
    <w:rsid w:val="00F01193"/>
    <w:rsid w:val="00F0156B"/>
    <w:rsid w:val="00F01A81"/>
    <w:rsid w:val="00F01B57"/>
    <w:rsid w:val="00F01F7B"/>
    <w:rsid w:val="00F02025"/>
    <w:rsid w:val="00F022AF"/>
    <w:rsid w:val="00F028C6"/>
    <w:rsid w:val="00F02C5B"/>
    <w:rsid w:val="00F03121"/>
    <w:rsid w:val="00F031A2"/>
    <w:rsid w:val="00F03524"/>
    <w:rsid w:val="00F03927"/>
    <w:rsid w:val="00F03AF3"/>
    <w:rsid w:val="00F03C92"/>
    <w:rsid w:val="00F040BE"/>
    <w:rsid w:val="00F04421"/>
    <w:rsid w:val="00F0466E"/>
    <w:rsid w:val="00F04688"/>
    <w:rsid w:val="00F046AF"/>
    <w:rsid w:val="00F04ABA"/>
    <w:rsid w:val="00F04D96"/>
    <w:rsid w:val="00F04F61"/>
    <w:rsid w:val="00F05004"/>
    <w:rsid w:val="00F05B5D"/>
    <w:rsid w:val="00F05D27"/>
    <w:rsid w:val="00F06637"/>
    <w:rsid w:val="00F0664F"/>
    <w:rsid w:val="00F06778"/>
    <w:rsid w:val="00F0694D"/>
    <w:rsid w:val="00F06E57"/>
    <w:rsid w:val="00F071A7"/>
    <w:rsid w:val="00F07796"/>
    <w:rsid w:val="00F07EA8"/>
    <w:rsid w:val="00F07FB5"/>
    <w:rsid w:val="00F10065"/>
    <w:rsid w:val="00F100FF"/>
    <w:rsid w:val="00F10AE5"/>
    <w:rsid w:val="00F10D5F"/>
    <w:rsid w:val="00F10FBD"/>
    <w:rsid w:val="00F10FC6"/>
    <w:rsid w:val="00F11FC4"/>
    <w:rsid w:val="00F12AC0"/>
    <w:rsid w:val="00F13023"/>
    <w:rsid w:val="00F13AA7"/>
    <w:rsid w:val="00F140BD"/>
    <w:rsid w:val="00F14AD0"/>
    <w:rsid w:val="00F15091"/>
    <w:rsid w:val="00F15763"/>
    <w:rsid w:val="00F1597C"/>
    <w:rsid w:val="00F15AEF"/>
    <w:rsid w:val="00F15C4C"/>
    <w:rsid w:val="00F16013"/>
    <w:rsid w:val="00F16595"/>
    <w:rsid w:val="00F16709"/>
    <w:rsid w:val="00F1675F"/>
    <w:rsid w:val="00F168A1"/>
    <w:rsid w:val="00F16B59"/>
    <w:rsid w:val="00F16F09"/>
    <w:rsid w:val="00F174E4"/>
    <w:rsid w:val="00F17641"/>
    <w:rsid w:val="00F179DD"/>
    <w:rsid w:val="00F20356"/>
    <w:rsid w:val="00F203A5"/>
    <w:rsid w:val="00F21560"/>
    <w:rsid w:val="00F215DA"/>
    <w:rsid w:val="00F21ADA"/>
    <w:rsid w:val="00F21FEB"/>
    <w:rsid w:val="00F229E4"/>
    <w:rsid w:val="00F229EF"/>
    <w:rsid w:val="00F22BF5"/>
    <w:rsid w:val="00F23169"/>
    <w:rsid w:val="00F23221"/>
    <w:rsid w:val="00F23696"/>
    <w:rsid w:val="00F239AA"/>
    <w:rsid w:val="00F23CFC"/>
    <w:rsid w:val="00F23E8B"/>
    <w:rsid w:val="00F23FB0"/>
    <w:rsid w:val="00F24228"/>
    <w:rsid w:val="00F24310"/>
    <w:rsid w:val="00F24898"/>
    <w:rsid w:val="00F2553C"/>
    <w:rsid w:val="00F25CFE"/>
    <w:rsid w:val="00F26228"/>
    <w:rsid w:val="00F26326"/>
    <w:rsid w:val="00F26EA4"/>
    <w:rsid w:val="00F2728A"/>
    <w:rsid w:val="00F27C55"/>
    <w:rsid w:val="00F27D6B"/>
    <w:rsid w:val="00F30712"/>
    <w:rsid w:val="00F30ADB"/>
    <w:rsid w:val="00F30DF1"/>
    <w:rsid w:val="00F30E34"/>
    <w:rsid w:val="00F3108E"/>
    <w:rsid w:val="00F31A17"/>
    <w:rsid w:val="00F31B91"/>
    <w:rsid w:val="00F3245A"/>
    <w:rsid w:val="00F32DD7"/>
    <w:rsid w:val="00F32F23"/>
    <w:rsid w:val="00F33315"/>
    <w:rsid w:val="00F33482"/>
    <w:rsid w:val="00F33B8E"/>
    <w:rsid w:val="00F33BD2"/>
    <w:rsid w:val="00F34236"/>
    <w:rsid w:val="00F3443C"/>
    <w:rsid w:val="00F347AE"/>
    <w:rsid w:val="00F3486C"/>
    <w:rsid w:val="00F34C8C"/>
    <w:rsid w:val="00F35127"/>
    <w:rsid w:val="00F35BF2"/>
    <w:rsid w:val="00F35C42"/>
    <w:rsid w:val="00F35F56"/>
    <w:rsid w:val="00F3648F"/>
    <w:rsid w:val="00F364AB"/>
    <w:rsid w:val="00F364C2"/>
    <w:rsid w:val="00F364E5"/>
    <w:rsid w:val="00F36FF8"/>
    <w:rsid w:val="00F37555"/>
    <w:rsid w:val="00F37C0D"/>
    <w:rsid w:val="00F37FA2"/>
    <w:rsid w:val="00F410AE"/>
    <w:rsid w:val="00F41347"/>
    <w:rsid w:val="00F413FB"/>
    <w:rsid w:val="00F41A12"/>
    <w:rsid w:val="00F420AF"/>
    <w:rsid w:val="00F420DA"/>
    <w:rsid w:val="00F4210E"/>
    <w:rsid w:val="00F43BD6"/>
    <w:rsid w:val="00F43EBC"/>
    <w:rsid w:val="00F440A8"/>
    <w:rsid w:val="00F44224"/>
    <w:rsid w:val="00F44B09"/>
    <w:rsid w:val="00F450C7"/>
    <w:rsid w:val="00F452CD"/>
    <w:rsid w:val="00F452E4"/>
    <w:rsid w:val="00F45834"/>
    <w:rsid w:val="00F45B25"/>
    <w:rsid w:val="00F45D8F"/>
    <w:rsid w:val="00F45E06"/>
    <w:rsid w:val="00F4647E"/>
    <w:rsid w:val="00F46CB7"/>
    <w:rsid w:val="00F4740C"/>
    <w:rsid w:val="00F474BE"/>
    <w:rsid w:val="00F4759F"/>
    <w:rsid w:val="00F476C9"/>
    <w:rsid w:val="00F47C10"/>
    <w:rsid w:val="00F47C69"/>
    <w:rsid w:val="00F5056D"/>
    <w:rsid w:val="00F50C8A"/>
    <w:rsid w:val="00F51067"/>
    <w:rsid w:val="00F51633"/>
    <w:rsid w:val="00F51BF1"/>
    <w:rsid w:val="00F51C00"/>
    <w:rsid w:val="00F52098"/>
    <w:rsid w:val="00F52983"/>
    <w:rsid w:val="00F52E77"/>
    <w:rsid w:val="00F52EC9"/>
    <w:rsid w:val="00F53095"/>
    <w:rsid w:val="00F536E7"/>
    <w:rsid w:val="00F53720"/>
    <w:rsid w:val="00F53837"/>
    <w:rsid w:val="00F53C6E"/>
    <w:rsid w:val="00F54239"/>
    <w:rsid w:val="00F5451C"/>
    <w:rsid w:val="00F549D5"/>
    <w:rsid w:val="00F54AC2"/>
    <w:rsid w:val="00F55798"/>
    <w:rsid w:val="00F557D3"/>
    <w:rsid w:val="00F55862"/>
    <w:rsid w:val="00F5619D"/>
    <w:rsid w:val="00F563CA"/>
    <w:rsid w:val="00F56539"/>
    <w:rsid w:val="00F56549"/>
    <w:rsid w:val="00F5692D"/>
    <w:rsid w:val="00F569CD"/>
    <w:rsid w:val="00F56E92"/>
    <w:rsid w:val="00F574FF"/>
    <w:rsid w:val="00F57B38"/>
    <w:rsid w:val="00F57BAF"/>
    <w:rsid w:val="00F57BDC"/>
    <w:rsid w:val="00F60770"/>
    <w:rsid w:val="00F6089A"/>
    <w:rsid w:val="00F60951"/>
    <w:rsid w:val="00F61261"/>
    <w:rsid w:val="00F6137A"/>
    <w:rsid w:val="00F61795"/>
    <w:rsid w:val="00F61D06"/>
    <w:rsid w:val="00F62193"/>
    <w:rsid w:val="00F62243"/>
    <w:rsid w:val="00F62826"/>
    <w:rsid w:val="00F62A57"/>
    <w:rsid w:val="00F62A99"/>
    <w:rsid w:val="00F62C99"/>
    <w:rsid w:val="00F62E52"/>
    <w:rsid w:val="00F63229"/>
    <w:rsid w:val="00F63458"/>
    <w:rsid w:val="00F634B5"/>
    <w:rsid w:val="00F63940"/>
    <w:rsid w:val="00F6394D"/>
    <w:rsid w:val="00F64030"/>
    <w:rsid w:val="00F6407E"/>
    <w:rsid w:val="00F64363"/>
    <w:rsid w:val="00F647E2"/>
    <w:rsid w:val="00F64BB8"/>
    <w:rsid w:val="00F64E5D"/>
    <w:rsid w:val="00F65521"/>
    <w:rsid w:val="00F655A8"/>
    <w:rsid w:val="00F6635C"/>
    <w:rsid w:val="00F66907"/>
    <w:rsid w:val="00F66D1B"/>
    <w:rsid w:val="00F66DA6"/>
    <w:rsid w:val="00F675BE"/>
    <w:rsid w:val="00F6772C"/>
    <w:rsid w:val="00F67A2D"/>
    <w:rsid w:val="00F7059B"/>
    <w:rsid w:val="00F7090A"/>
    <w:rsid w:val="00F709AB"/>
    <w:rsid w:val="00F713ED"/>
    <w:rsid w:val="00F71443"/>
    <w:rsid w:val="00F71CAB"/>
    <w:rsid w:val="00F71F34"/>
    <w:rsid w:val="00F72C01"/>
    <w:rsid w:val="00F72C46"/>
    <w:rsid w:val="00F72E8C"/>
    <w:rsid w:val="00F730CB"/>
    <w:rsid w:val="00F734B4"/>
    <w:rsid w:val="00F734FD"/>
    <w:rsid w:val="00F7377A"/>
    <w:rsid w:val="00F7448E"/>
    <w:rsid w:val="00F744F3"/>
    <w:rsid w:val="00F745F5"/>
    <w:rsid w:val="00F74BFB"/>
    <w:rsid w:val="00F74C62"/>
    <w:rsid w:val="00F751DC"/>
    <w:rsid w:val="00F75241"/>
    <w:rsid w:val="00F7539C"/>
    <w:rsid w:val="00F7582F"/>
    <w:rsid w:val="00F75E27"/>
    <w:rsid w:val="00F76FAF"/>
    <w:rsid w:val="00F7727D"/>
    <w:rsid w:val="00F778E2"/>
    <w:rsid w:val="00F8023E"/>
    <w:rsid w:val="00F806EA"/>
    <w:rsid w:val="00F80945"/>
    <w:rsid w:val="00F80CD5"/>
    <w:rsid w:val="00F80D35"/>
    <w:rsid w:val="00F817C1"/>
    <w:rsid w:val="00F81C41"/>
    <w:rsid w:val="00F81D9E"/>
    <w:rsid w:val="00F82295"/>
    <w:rsid w:val="00F8238D"/>
    <w:rsid w:val="00F82779"/>
    <w:rsid w:val="00F82B99"/>
    <w:rsid w:val="00F83030"/>
    <w:rsid w:val="00F83197"/>
    <w:rsid w:val="00F84260"/>
    <w:rsid w:val="00F8450B"/>
    <w:rsid w:val="00F84CCA"/>
    <w:rsid w:val="00F84FA3"/>
    <w:rsid w:val="00F85230"/>
    <w:rsid w:val="00F8532F"/>
    <w:rsid w:val="00F8562E"/>
    <w:rsid w:val="00F8575C"/>
    <w:rsid w:val="00F85C23"/>
    <w:rsid w:val="00F85D25"/>
    <w:rsid w:val="00F85F34"/>
    <w:rsid w:val="00F86086"/>
    <w:rsid w:val="00F86491"/>
    <w:rsid w:val="00F86C81"/>
    <w:rsid w:val="00F87055"/>
    <w:rsid w:val="00F872C7"/>
    <w:rsid w:val="00F8742D"/>
    <w:rsid w:val="00F87585"/>
    <w:rsid w:val="00F87F23"/>
    <w:rsid w:val="00F87F81"/>
    <w:rsid w:val="00F90311"/>
    <w:rsid w:val="00F915A7"/>
    <w:rsid w:val="00F919D0"/>
    <w:rsid w:val="00F91FA9"/>
    <w:rsid w:val="00F9254B"/>
    <w:rsid w:val="00F92CE1"/>
    <w:rsid w:val="00F9320D"/>
    <w:rsid w:val="00F935F9"/>
    <w:rsid w:val="00F935FA"/>
    <w:rsid w:val="00F936FC"/>
    <w:rsid w:val="00F93704"/>
    <w:rsid w:val="00F9395A"/>
    <w:rsid w:val="00F942B1"/>
    <w:rsid w:val="00F94504"/>
    <w:rsid w:val="00F94643"/>
    <w:rsid w:val="00F94905"/>
    <w:rsid w:val="00F949B1"/>
    <w:rsid w:val="00F949C0"/>
    <w:rsid w:val="00F94C83"/>
    <w:rsid w:val="00F95567"/>
    <w:rsid w:val="00F957E8"/>
    <w:rsid w:val="00F95878"/>
    <w:rsid w:val="00F96613"/>
    <w:rsid w:val="00F96C1E"/>
    <w:rsid w:val="00F96E5D"/>
    <w:rsid w:val="00F9719E"/>
    <w:rsid w:val="00F9719F"/>
    <w:rsid w:val="00F976A7"/>
    <w:rsid w:val="00F977D6"/>
    <w:rsid w:val="00F97A04"/>
    <w:rsid w:val="00F97C1C"/>
    <w:rsid w:val="00FA0251"/>
    <w:rsid w:val="00FA12CC"/>
    <w:rsid w:val="00FA1B25"/>
    <w:rsid w:val="00FA24FB"/>
    <w:rsid w:val="00FA2649"/>
    <w:rsid w:val="00FA289B"/>
    <w:rsid w:val="00FA28E0"/>
    <w:rsid w:val="00FA29AB"/>
    <w:rsid w:val="00FA2B49"/>
    <w:rsid w:val="00FA303A"/>
    <w:rsid w:val="00FA406C"/>
    <w:rsid w:val="00FA4C41"/>
    <w:rsid w:val="00FA4DC6"/>
    <w:rsid w:val="00FA50E8"/>
    <w:rsid w:val="00FA548E"/>
    <w:rsid w:val="00FA554D"/>
    <w:rsid w:val="00FA591F"/>
    <w:rsid w:val="00FA5998"/>
    <w:rsid w:val="00FA67C6"/>
    <w:rsid w:val="00FA7056"/>
    <w:rsid w:val="00FA7432"/>
    <w:rsid w:val="00FA7FAC"/>
    <w:rsid w:val="00FB0722"/>
    <w:rsid w:val="00FB0949"/>
    <w:rsid w:val="00FB0E45"/>
    <w:rsid w:val="00FB11AD"/>
    <w:rsid w:val="00FB196A"/>
    <w:rsid w:val="00FB2EE6"/>
    <w:rsid w:val="00FB3088"/>
    <w:rsid w:val="00FB30AC"/>
    <w:rsid w:val="00FB360B"/>
    <w:rsid w:val="00FB3926"/>
    <w:rsid w:val="00FB41F7"/>
    <w:rsid w:val="00FB428E"/>
    <w:rsid w:val="00FB44E6"/>
    <w:rsid w:val="00FB4570"/>
    <w:rsid w:val="00FB4792"/>
    <w:rsid w:val="00FB48DD"/>
    <w:rsid w:val="00FB5191"/>
    <w:rsid w:val="00FB51C4"/>
    <w:rsid w:val="00FB5344"/>
    <w:rsid w:val="00FB57A6"/>
    <w:rsid w:val="00FB5A83"/>
    <w:rsid w:val="00FB5C55"/>
    <w:rsid w:val="00FB5C6E"/>
    <w:rsid w:val="00FB5CDA"/>
    <w:rsid w:val="00FB5CF9"/>
    <w:rsid w:val="00FB712E"/>
    <w:rsid w:val="00FB735F"/>
    <w:rsid w:val="00FB74BC"/>
    <w:rsid w:val="00FB74DB"/>
    <w:rsid w:val="00FC0861"/>
    <w:rsid w:val="00FC0C70"/>
    <w:rsid w:val="00FC0E98"/>
    <w:rsid w:val="00FC15A7"/>
    <w:rsid w:val="00FC1B40"/>
    <w:rsid w:val="00FC20CC"/>
    <w:rsid w:val="00FC2111"/>
    <w:rsid w:val="00FC29DF"/>
    <w:rsid w:val="00FC2A84"/>
    <w:rsid w:val="00FC2AF1"/>
    <w:rsid w:val="00FC2C32"/>
    <w:rsid w:val="00FC2DE4"/>
    <w:rsid w:val="00FC3037"/>
    <w:rsid w:val="00FC3052"/>
    <w:rsid w:val="00FC3120"/>
    <w:rsid w:val="00FC387D"/>
    <w:rsid w:val="00FC3907"/>
    <w:rsid w:val="00FC391E"/>
    <w:rsid w:val="00FC39FB"/>
    <w:rsid w:val="00FC41B6"/>
    <w:rsid w:val="00FC4760"/>
    <w:rsid w:val="00FC4D5F"/>
    <w:rsid w:val="00FC53C5"/>
    <w:rsid w:val="00FC5623"/>
    <w:rsid w:val="00FC5B55"/>
    <w:rsid w:val="00FC5DA2"/>
    <w:rsid w:val="00FC5EA9"/>
    <w:rsid w:val="00FC6252"/>
    <w:rsid w:val="00FC659F"/>
    <w:rsid w:val="00FC7833"/>
    <w:rsid w:val="00FC7FA4"/>
    <w:rsid w:val="00FD00A0"/>
    <w:rsid w:val="00FD02CE"/>
    <w:rsid w:val="00FD08FC"/>
    <w:rsid w:val="00FD0D33"/>
    <w:rsid w:val="00FD1140"/>
    <w:rsid w:val="00FD15B5"/>
    <w:rsid w:val="00FD1B72"/>
    <w:rsid w:val="00FD1F6F"/>
    <w:rsid w:val="00FD21A7"/>
    <w:rsid w:val="00FD23B5"/>
    <w:rsid w:val="00FD2898"/>
    <w:rsid w:val="00FD2A00"/>
    <w:rsid w:val="00FD3174"/>
    <w:rsid w:val="00FD343E"/>
    <w:rsid w:val="00FD43F4"/>
    <w:rsid w:val="00FD4BB4"/>
    <w:rsid w:val="00FD4F8C"/>
    <w:rsid w:val="00FD5463"/>
    <w:rsid w:val="00FD5907"/>
    <w:rsid w:val="00FD5E7D"/>
    <w:rsid w:val="00FD63D3"/>
    <w:rsid w:val="00FD6862"/>
    <w:rsid w:val="00FD6CBE"/>
    <w:rsid w:val="00FD6F53"/>
    <w:rsid w:val="00FD74A8"/>
    <w:rsid w:val="00FD79CF"/>
    <w:rsid w:val="00FD7F15"/>
    <w:rsid w:val="00FE0366"/>
    <w:rsid w:val="00FE0631"/>
    <w:rsid w:val="00FE0740"/>
    <w:rsid w:val="00FE0C98"/>
    <w:rsid w:val="00FE0FD7"/>
    <w:rsid w:val="00FE1A31"/>
    <w:rsid w:val="00FE21B1"/>
    <w:rsid w:val="00FE2349"/>
    <w:rsid w:val="00FE2791"/>
    <w:rsid w:val="00FE27DF"/>
    <w:rsid w:val="00FE2C9A"/>
    <w:rsid w:val="00FE2DD7"/>
    <w:rsid w:val="00FE348A"/>
    <w:rsid w:val="00FE361D"/>
    <w:rsid w:val="00FE3BBB"/>
    <w:rsid w:val="00FE3F51"/>
    <w:rsid w:val="00FE5ABF"/>
    <w:rsid w:val="00FE64BD"/>
    <w:rsid w:val="00FE6C62"/>
    <w:rsid w:val="00FE6E74"/>
    <w:rsid w:val="00FE6F62"/>
    <w:rsid w:val="00FE73E4"/>
    <w:rsid w:val="00FE7932"/>
    <w:rsid w:val="00FE7C26"/>
    <w:rsid w:val="00FE7E2B"/>
    <w:rsid w:val="00FF0C1E"/>
    <w:rsid w:val="00FF0C9B"/>
    <w:rsid w:val="00FF1389"/>
    <w:rsid w:val="00FF1A7E"/>
    <w:rsid w:val="00FF1F4D"/>
    <w:rsid w:val="00FF1F88"/>
    <w:rsid w:val="00FF25B0"/>
    <w:rsid w:val="00FF2734"/>
    <w:rsid w:val="00FF2753"/>
    <w:rsid w:val="00FF29E9"/>
    <w:rsid w:val="00FF2BE3"/>
    <w:rsid w:val="00FF362A"/>
    <w:rsid w:val="00FF3D96"/>
    <w:rsid w:val="00FF3ECA"/>
    <w:rsid w:val="00FF4908"/>
    <w:rsid w:val="00FF4B15"/>
    <w:rsid w:val="00FF56EA"/>
    <w:rsid w:val="00FF5CB9"/>
    <w:rsid w:val="00FF6625"/>
    <w:rsid w:val="00FF67A7"/>
    <w:rsid w:val="00FF6A67"/>
    <w:rsid w:val="00FF6F5C"/>
    <w:rsid w:val="00FF6F7C"/>
    <w:rsid w:val="00FF7611"/>
    <w:rsid w:val="00FF76A2"/>
    <w:rsid w:val="00FF7FE6"/>
  </w:rsids>
  <m:mathPr>
    <m:mathFont m:val="Cambria Math"/>
    <m:brkBin m:val="before"/>
    <m:brkBinSub m:val="--"/>
    <m:smallFrac m:val="0"/>
    <m:dispDef/>
    <m:lMargin m:val="0"/>
    <m:rMargin m:val="0"/>
    <m:defJc m:val="centerGroup"/>
    <m:wrapIndent m:val="1440"/>
    <m:intLim m:val="subSup"/>
    <m:naryLim m:val="undOvr"/>
  </m:mathPr>
  <w:themeFontLang w:val="sq-AL"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9373194"/>
  <w15:docId w15:val="{F02CBAFE-13C1-4C53-97AC-DC405ADFB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29"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DF1828"/>
    <w:pPr>
      <w:widowControl w:val="0"/>
      <w:ind w:left="1380"/>
      <w:outlineLvl w:val="0"/>
    </w:pPr>
    <w:rPr>
      <w:rFonts w:ascii="Times New Roman" w:eastAsia="Times New Roman" w:hAnsi="Times New Roman"/>
      <w:b/>
      <w:bCs/>
    </w:rPr>
  </w:style>
  <w:style w:type="paragraph" w:styleId="Heading2">
    <w:name w:val="heading 2"/>
    <w:basedOn w:val="Normal"/>
    <w:link w:val="Heading2Char"/>
    <w:uiPriority w:val="9"/>
    <w:qFormat/>
    <w:rsid w:val="00DF1828"/>
    <w:pPr>
      <w:widowControl w:val="0"/>
      <w:ind w:left="1380"/>
      <w:outlineLvl w:val="1"/>
    </w:pPr>
    <w:rPr>
      <w:rFonts w:ascii="Times New Roman" w:eastAsia="Times New Roman" w:hAnsi="Times New Roman"/>
    </w:rPr>
  </w:style>
  <w:style w:type="paragraph" w:styleId="Heading3">
    <w:name w:val="heading 3"/>
    <w:basedOn w:val="Normal"/>
    <w:link w:val="Heading3Char"/>
    <w:uiPriority w:val="1"/>
    <w:qFormat/>
    <w:rsid w:val="00DF1828"/>
    <w:pPr>
      <w:widowControl w:val="0"/>
      <w:ind w:left="20"/>
      <w:outlineLvl w:val="2"/>
    </w:pPr>
    <w:rPr>
      <w:sz w:val="23"/>
      <w:szCs w:val="23"/>
    </w:rPr>
  </w:style>
  <w:style w:type="paragraph" w:styleId="Heading4">
    <w:name w:val="heading 4"/>
    <w:basedOn w:val="Normal"/>
    <w:link w:val="Heading4Char"/>
    <w:uiPriority w:val="9"/>
    <w:qFormat/>
    <w:rsid w:val="00DF1828"/>
    <w:pPr>
      <w:widowControl w:val="0"/>
      <w:ind w:left="1380"/>
      <w:outlineLvl w:val="3"/>
    </w:pPr>
    <w:rPr>
      <w:rFonts w:ascii="Arial Narrow" w:eastAsia="Arial Narrow" w:hAnsi="Arial Narrow"/>
      <w:b/>
      <w:bCs/>
      <w:sz w:val="22"/>
      <w:szCs w:val="22"/>
    </w:rPr>
  </w:style>
  <w:style w:type="paragraph" w:styleId="Heading5">
    <w:name w:val="heading 5"/>
    <w:basedOn w:val="Normal"/>
    <w:link w:val="Heading5Char"/>
    <w:uiPriority w:val="9"/>
    <w:qFormat/>
    <w:rsid w:val="00DF1828"/>
    <w:pPr>
      <w:widowControl w:val="0"/>
      <w:ind w:left="1379"/>
      <w:outlineLvl w:val="4"/>
    </w:pPr>
    <w:rPr>
      <w:rFonts w:ascii="Arial Narrow" w:eastAsia="Arial Narrow" w:hAnsi="Arial Narrow"/>
      <w:b/>
      <w:bCs/>
      <w:i/>
      <w:sz w:val="22"/>
      <w:szCs w:val="22"/>
    </w:rPr>
  </w:style>
  <w:style w:type="paragraph" w:styleId="Heading6">
    <w:name w:val="heading 6"/>
    <w:basedOn w:val="Normal"/>
    <w:next w:val="Normal"/>
    <w:link w:val="Heading6Char"/>
    <w:uiPriority w:val="9"/>
    <w:qFormat/>
    <w:rsid w:val="005D5609"/>
    <w:pPr>
      <w:numPr>
        <w:numId w:val="6"/>
      </w:numPr>
      <w:jc w:val="both"/>
      <w:outlineLvl w:val="5"/>
    </w:pPr>
    <w:rPr>
      <w:rFonts w:ascii="Times New Roman" w:eastAsia="Times New Roman" w:hAnsi="Times New Roman"/>
      <w:i/>
      <w:u w:val="single"/>
      <w:lang w:val="x-none" w:eastAsia="x-none"/>
    </w:rPr>
  </w:style>
  <w:style w:type="paragraph" w:styleId="Heading7">
    <w:name w:val="heading 7"/>
    <w:basedOn w:val="Normal"/>
    <w:next w:val="Normal"/>
    <w:link w:val="Heading7Char"/>
    <w:uiPriority w:val="99"/>
    <w:qFormat/>
    <w:rsid w:val="00DF1828"/>
    <w:pPr>
      <w:tabs>
        <w:tab w:val="num" w:pos="360"/>
      </w:tabs>
      <w:spacing w:before="240" w:after="60"/>
      <w:ind w:left="360" w:hanging="360"/>
      <w:jc w:val="both"/>
      <w:outlineLvl w:val="6"/>
    </w:pPr>
    <w:rPr>
      <w:rFonts w:ascii="Arial" w:eastAsia="Times New Roman" w:hAnsi="Arial"/>
      <w:sz w:val="20"/>
      <w:szCs w:val="20"/>
      <w:lang w:val="x-none" w:eastAsia="x-none"/>
    </w:rPr>
  </w:style>
  <w:style w:type="paragraph" w:styleId="Heading8">
    <w:name w:val="heading 8"/>
    <w:basedOn w:val="Normal"/>
    <w:next w:val="Normal"/>
    <w:link w:val="Heading8Char"/>
    <w:uiPriority w:val="99"/>
    <w:qFormat/>
    <w:rsid w:val="00DF1828"/>
    <w:pPr>
      <w:tabs>
        <w:tab w:val="num" w:pos="360"/>
      </w:tabs>
      <w:spacing w:before="240" w:after="60"/>
      <w:ind w:left="360" w:hanging="360"/>
      <w:jc w:val="both"/>
      <w:outlineLvl w:val="7"/>
    </w:pPr>
    <w:rPr>
      <w:rFonts w:ascii="Arial" w:eastAsia="Times New Roman" w:hAnsi="Arial"/>
      <w:i/>
      <w:sz w:val="20"/>
      <w:szCs w:val="20"/>
      <w:lang w:val="x-none" w:eastAsia="x-none"/>
    </w:rPr>
  </w:style>
  <w:style w:type="paragraph" w:styleId="Heading9">
    <w:name w:val="heading 9"/>
    <w:basedOn w:val="Normal"/>
    <w:next w:val="Normal"/>
    <w:link w:val="Heading9Char"/>
    <w:uiPriority w:val="99"/>
    <w:qFormat/>
    <w:rsid w:val="00DF1828"/>
    <w:pPr>
      <w:tabs>
        <w:tab w:val="num" w:pos="360"/>
      </w:tabs>
      <w:spacing w:before="240" w:after="60"/>
      <w:ind w:left="360" w:hanging="360"/>
      <w:jc w:val="both"/>
      <w:outlineLvl w:val="8"/>
    </w:pPr>
    <w:rPr>
      <w:rFonts w:ascii="Arial" w:eastAsia="Times New Roman" w:hAnsi="Arial"/>
      <w:i/>
      <w:sz w:val="1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1828"/>
    <w:rPr>
      <w:rFonts w:ascii="Times New Roman" w:eastAsia="Times New Roman" w:hAnsi="Times New Roman"/>
      <w:b/>
      <w:bCs/>
      <w:lang w:val="en-GB"/>
    </w:rPr>
  </w:style>
  <w:style w:type="character" w:customStyle="1" w:styleId="Heading2Char">
    <w:name w:val="Heading 2 Char"/>
    <w:link w:val="Heading2"/>
    <w:uiPriority w:val="9"/>
    <w:rsid w:val="00DF1828"/>
    <w:rPr>
      <w:rFonts w:ascii="Times New Roman" w:eastAsia="Times New Roman" w:hAnsi="Times New Roman"/>
      <w:lang w:val="en-GB"/>
    </w:rPr>
  </w:style>
  <w:style w:type="character" w:customStyle="1" w:styleId="Heading3Char">
    <w:name w:val="Heading 3 Char"/>
    <w:link w:val="Heading3"/>
    <w:uiPriority w:val="1"/>
    <w:rsid w:val="00DF1828"/>
    <w:rPr>
      <w:rFonts w:ascii="Calibri" w:eastAsia="Calibri" w:hAnsi="Calibri"/>
      <w:sz w:val="23"/>
      <w:szCs w:val="23"/>
      <w:lang w:val="en-GB"/>
    </w:rPr>
  </w:style>
  <w:style w:type="character" w:customStyle="1" w:styleId="Heading4Char">
    <w:name w:val="Heading 4 Char"/>
    <w:link w:val="Heading4"/>
    <w:uiPriority w:val="9"/>
    <w:rsid w:val="00DF1828"/>
    <w:rPr>
      <w:rFonts w:ascii="Arial Narrow" w:eastAsia="Arial Narrow" w:hAnsi="Arial Narrow"/>
      <w:b/>
      <w:bCs/>
      <w:sz w:val="22"/>
      <w:szCs w:val="22"/>
      <w:lang w:val="en-GB"/>
    </w:rPr>
  </w:style>
  <w:style w:type="character" w:customStyle="1" w:styleId="Heading5Char">
    <w:name w:val="Heading 5 Char"/>
    <w:link w:val="Heading5"/>
    <w:uiPriority w:val="9"/>
    <w:rsid w:val="00DF1828"/>
    <w:rPr>
      <w:rFonts w:ascii="Arial Narrow" w:eastAsia="Arial Narrow" w:hAnsi="Arial Narrow"/>
      <w:b/>
      <w:bCs/>
      <w:i/>
      <w:sz w:val="22"/>
      <w:szCs w:val="22"/>
      <w:lang w:val="en-GB"/>
    </w:rPr>
  </w:style>
  <w:style w:type="character" w:customStyle="1" w:styleId="Heading6Char">
    <w:name w:val="Heading 6 Char"/>
    <w:link w:val="Heading6"/>
    <w:uiPriority w:val="9"/>
    <w:rsid w:val="005D5609"/>
    <w:rPr>
      <w:rFonts w:ascii="Times New Roman" w:eastAsia="Times New Roman" w:hAnsi="Times New Roman"/>
      <w:i/>
      <w:sz w:val="24"/>
      <w:szCs w:val="24"/>
      <w:u w:val="single"/>
      <w:lang w:val="x-none" w:eastAsia="x-none"/>
    </w:rPr>
  </w:style>
  <w:style w:type="character" w:customStyle="1" w:styleId="Heading7Char">
    <w:name w:val="Heading 7 Char"/>
    <w:link w:val="Heading7"/>
    <w:uiPriority w:val="99"/>
    <w:rsid w:val="00DF1828"/>
    <w:rPr>
      <w:rFonts w:ascii="Arial" w:eastAsia="Times New Roman" w:hAnsi="Arial" w:cs="Times New Roman"/>
      <w:sz w:val="20"/>
      <w:szCs w:val="20"/>
      <w:lang w:val="x-none" w:eastAsia="x-none"/>
    </w:rPr>
  </w:style>
  <w:style w:type="character" w:customStyle="1" w:styleId="Heading8Char">
    <w:name w:val="Heading 8 Char"/>
    <w:link w:val="Heading8"/>
    <w:uiPriority w:val="99"/>
    <w:rsid w:val="00DF1828"/>
    <w:rPr>
      <w:rFonts w:ascii="Arial" w:eastAsia="Times New Roman" w:hAnsi="Arial" w:cs="Times New Roman"/>
      <w:i/>
      <w:sz w:val="20"/>
      <w:szCs w:val="20"/>
      <w:lang w:val="x-none" w:eastAsia="x-none"/>
    </w:rPr>
  </w:style>
  <w:style w:type="character" w:customStyle="1" w:styleId="Heading9Char">
    <w:name w:val="Heading 9 Char"/>
    <w:link w:val="Heading9"/>
    <w:uiPriority w:val="99"/>
    <w:rsid w:val="00DF1828"/>
    <w:rPr>
      <w:rFonts w:ascii="Arial" w:eastAsia="Times New Roman" w:hAnsi="Arial" w:cs="Times New Roman"/>
      <w:i/>
      <w:sz w:val="18"/>
      <w:szCs w:val="20"/>
      <w:lang w:val="x-none" w:eastAsia="x-none"/>
    </w:rPr>
  </w:style>
  <w:style w:type="paragraph" w:styleId="BodyText">
    <w:name w:val="Body Text"/>
    <w:basedOn w:val="Normal"/>
    <w:link w:val="BodyTextChar"/>
    <w:uiPriority w:val="1"/>
    <w:qFormat/>
    <w:rsid w:val="00DF1828"/>
    <w:pPr>
      <w:widowControl w:val="0"/>
      <w:ind w:left="1380"/>
    </w:pPr>
    <w:rPr>
      <w:rFonts w:ascii="Arial Narrow" w:eastAsia="Arial Narrow" w:hAnsi="Arial Narrow"/>
      <w:sz w:val="22"/>
      <w:szCs w:val="22"/>
    </w:rPr>
  </w:style>
  <w:style w:type="character" w:customStyle="1" w:styleId="BodyTextChar">
    <w:name w:val="Body Text Char"/>
    <w:link w:val="BodyText"/>
    <w:uiPriority w:val="1"/>
    <w:rsid w:val="00DF1828"/>
    <w:rPr>
      <w:rFonts w:ascii="Arial Narrow" w:eastAsia="Arial Narrow" w:hAnsi="Arial Narrow"/>
      <w:sz w:val="22"/>
      <w:szCs w:val="22"/>
      <w:lang w:val="en-GB"/>
    </w:rPr>
  </w:style>
  <w:style w:type="paragraph" w:customStyle="1" w:styleId="ColorfulList-Accent11">
    <w:name w:val="Colorful List - Accent 11"/>
    <w:aliases w:val="List Paragraph (numbered (a)),Normal 1,List Paragraph 1,Akapit z listą BS,Bullets,List Paragraph1,Bullet1,NumberedParas,Dot pt,F5 List Paragraph,List Paragraph Char Char Char,Indicator Text,Numbered Para 1,Bullet 1"/>
    <w:basedOn w:val="Normal"/>
    <w:link w:val="ColorfulList-Accent1Char"/>
    <w:uiPriority w:val="34"/>
    <w:qFormat/>
    <w:rsid w:val="00DF1828"/>
    <w:pPr>
      <w:widowControl w:val="0"/>
    </w:pPr>
    <w:rPr>
      <w:sz w:val="22"/>
      <w:szCs w:val="22"/>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DF1828"/>
    <w:rPr>
      <w:sz w:val="22"/>
      <w:szCs w:val="22"/>
      <w:lang w:val="en-GB"/>
    </w:rPr>
  </w:style>
  <w:style w:type="paragraph" w:customStyle="1" w:styleId="TableParagraph">
    <w:name w:val="Table Paragraph"/>
    <w:basedOn w:val="Normal"/>
    <w:uiPriority w:val="1"/>
    <w:qFormat/>
    <w:rsid w:val="00DF1828"/>
    <w:pPr>
      <w:widowControl w:val="0"/>
    </w:pPr>
    <w:rPr>
      <w:sz w:val="22"/>
      <w:szCs w:val="22"/>
    </w:rPr>
  </w:style>
  <w:style w:type="paragraph" w:styleId="Header">
    <w:name w:val="header"/>
    <w:basedOn w:val="Normal"/>
    <w:link w:val="HeaderChar"/>
    <w:uiPriority w:val="99"/>
    <w:unhideWhenUsed/>
    <w:rsid w:val="00DF1828"/>
    <w:pPr>
      <w:widowControl w:val="0"/>
      <w:tabs>
        <w:tab w:val="center" w:pos="4513"/>
        <w:tab w:val="right" w:pos="9026"/>
      </w:tabs>
    </w:pPr>
    <w:rPr>
      <w:sz w:val="22"/>
      <w:szCs w:val="22"/>
    </w:rPr>
  </w:style>
  <w:style w:type="character" w:customStyle="1" w:styleId="HeaderChar">
    <w:name w:val="Header Char"/>
    <w:link w:val="Header"/>
    <w:uiPriority w:val="99"/>
    <w:rsid w:val="00DF1828"/>
    <w:rPr>
      <w:sz w:val="22"/>
      <w:szCs w:val="22"/>
      <w:lang w:val="en-GB"/>
    </w:rPr>
  </w:style>
  <w:style w:type="paragraph" w:styleId="Footer">
    <w:name w:val="footer"/>
    <w:basedOn w:val="Normal"/>
    <w:link w:val="FooterChar"/>
    <w:uiPriority w:val="99"/>
    <w:unhideWhenUsed/>
    <w:rsid w:val="00DF1828"/>
    <w:pPr>
      <w:widowControl w:val="0"/>
      <w:tabs>
        <w:tab w:val="center" w:pos="4513"/>
        <w:tab w:val="right" w:pos="9026"/>
      </w:tabs>
    </w:pPr>
    <w:rPr>
      <w:sz w:val="22"/>
      <w:szCs w:val="22"/>
    </w:rPr>
  </w:style>
  <w:style w:type="character" w:customStyle="1" w:styleId="FooterChar">
    <w:name w:val="Footer Char"/>
    <w:link w:val="Footer"/>
    <w:uiPriority w:val="99"/>
    <w:rsid w:val="00DF1828"/>
    <w:rPr>
      <w:sz w:val="22"/>
      <w:szCs w:val="22"/>
      <w:lang w:val="en-GB"/>
    </w:rPr>
  </w:style>
  <w:style w:type="paragraph" w:styleId="BalloonText">
    <w:name w:val="Balloon Text"/>
    <w:basedOn w:val="Normal"/>
    <w:link w:val="BalloonTextChar"/>
    <w:uiPriority w:val="99"/>
    <w:semiHidden/>
    <w:unhideWhenUsed/>
    <w:rsid w:val="00DF1828"/>
    <w:pPr>
      <w:widowControl w:val="0"/>
    </w:pPr>
    <w:rPr>
      <w:rFonts w:ascii="Tahoma" w:hAnsi="Tahoma" w:cs="Tahoma"/>
      <w:sz w:val="16"/>
      <w:szCs w:val="16"/>
    </w:rPr>
  </w:style>
  <w:style w:type="character" w:customStyle="1" w:styleId="BalloonTextChar">
    <w:name w:val="Balloon Text Char"/>
    <w:link w:val="BalloonText"/>
    <w:uiPriority w:val="99"/>
    <w:semiHidden/>
    <w:rsid w:val="00DF1828"/>
    <w:rPr>
      <w:rFonts w:ascii="Tahoma" w:hAnsi="Tahoma" w:cs="Tahoma"/>
      <w:sz w:val="16"/>
      <w:szCs w:val="16"/>
      <w:lang w:val="en-GB"/>
    </w:rPr>
  </w:style>
  <w:style w:type="table" w:styleId="TableGrid">
    <w:name w:val="Table Grid"/>
    <w:basedOn w:val="TableNormal"/>
    <w:uiPriority w:val="59"/>
    <w:rsid w:val="00DF1828"/>
    <w:pPr>
      <w:widowControl w:val="0"/>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Heading1">
    <w:name w:val="TOC Heading1"/>
    <w:basedOn w:val="Heading1"/>
    <w:next w:val="Normal"/>
    <w:uiPriority w:val="39"/>
    <w:semiHidden/>
    <w:unhideWhenUsed/>
    <w:qFormat/>
    <w:rsid w:val="00DF1828"/>
    <w:pPr>
      <w:keepNext/>
      <w:keepLines/>
      <w:widowControl/>
      <w:spacing w:before="480" w:line="276" w:lineRule="auto"/>
      <w:ind w:left="0"/>
      <w:outlineLvl w:val="9"/>
    </w:pPr>
    <w:rPr>
      <w:rFonts w:ascii="Calibri Light" w:hAnsi="Calibri Light"/>
      <w:color w:val="2E74B5"/>
      <w:sz w:val="28"/>
      <w:szCs w:val="28"/>
      <w:lang w:eastAsia="ja-JP"/>
    </w:rPr>
  </w:style>
  <w:style w:type="paragraph" w:styleId="TOC1">
    <w:name w:val="toc 1"/>
    <w:basedOn w:val="Normal"/>
    <w:next w:val="Normal"/>
    <w:autoRedefine/>
    <w:uiPriority w:val="39"/>
    <w:unhideWhenUsed/>
    <w:qFormat/>
    <w:rsid w:val="00DF1828"/>
    <w:pPr>
      <w:widowControl w:val="0"/>
      <w:spacing w:after="100"/>
    </w:pPr>
    <w:rPr>
      <w:sz w:val="22"/>
      <w:szCs w:val="22"/>
    </w:rPr>
  </w:style>
  <w:style w:type="paragraph" w:styleId="TOC2">
    <w:name w:val="toc 2"/>
    <w:basedOn w:val="Normal"/>
    <w:next w:val="Normal"/>
    <w:autoRedefine/>
    <w:uiPriority w:val="39"/>
    <w:unhideWhenUsed/>
    <w:qFormat/>
    <w:rsid w:val="00DF1828"/>
    <w:pPr>
      <w:widowControl w:val="0"/>
      <w:spacing w:after="100"/>
      <w:ind w:left="220"/>
    </w:pPr>
    <w:rPr>
      <w:sz w:val="22"/>
      <w:szCs w:val="22"/>
    </w:rPr>
  </w:style>
  <w:style w:type="paragraph" w:styleId="TOC3">
    <w:name w:val="toc 3"/>
    <w:basedOn w:val="Normal"/>
    <w:next w:val="Normal"/>
    <w:autoRedefine/>
    <w:uiPriority w:val="39"/>
    <w:unhideWhenUsed/>
    <w:qFormat/>
    <w:rsid w:val="004D12D9"/>
    <w:pPr>
      <w:widowControl w:val="0"/>
      <w:tabs>
        <w:tab w:val="left" w:pos="1134"/>
        <w:tab w:val="right" w:leader="dot" w:pos="9632"/>
      </w:tabs>
      <w:spacing w:after="100"/>
      <w:ind w:left="567"/>
      <w:jc w:val="both"/>
    </w:pPr>
    <w:rPr>
      <w:sz w:val="22"/>
      <w:szCs w:val="22"/>
    </w:rPr>
  </w:style>
  <w:style w:type="character" w:styleId="Hyperlink">
    <w:name w:val="Hyperlink"/>
    <w:uiPriority w:val="99"/>
    <w:unhideWhenUsed/>
    <w:rsid w:val="00DF1828"/>
    <w:rPr>
      <w:color w:val="0563C1"/>
      <w:u w:val="single"/>
    </w:rPr>
  </w:style>
  <w:style w:type="paragraph" w:styleId="Caption">
    <w:name w:val="caption"/>
    <w:basedOn w:val="Normal"/>
    <w:next w:val="Normal"/>
    <w:uiPriority w:val="35"/>
    <w:qFormat/>
    <w:rsid w:val="00DF1828"/>
    <w:pPr>
      <w:widowControl w:val="0"/>
      <w:spacing w:after="200"/>
    </w:pPr>
    <w:rPr>
      <w:b/>
      <w:bCs/>
      <w:color w:val="5B9BD5"/>
      <w:sz w:val="18"/>
      <w:szCs w:val="18"/>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DF1828"/>
    <w:pPr>
      <w:widowControl w:val="0"/>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link w:val="FootnoteText"/>
    <w:uiPriority w:val="99"/>
    <w:qFormat/>
    <w:rsid w:val="00DF1828"/>
    <w:rPr>
      <w:sz w:val="20"/>
      <w:szCs w:val="20"/>
      <w:lang w:val="en-GB"/>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DF1828"/>
    <w:rPr>
      <w:vertAlign w:val="superscript"/>
    </w:rPr>
  </w:style>
  <w:style w:type="paragraph" w:customStyle="1" w:styleId="BVIfnrCarCarCarCarChar">
    <w:name w:val="BVI fnr Car Car Car Car Char"/>
    <w:basedOn w:val="Normal"/>
    <w:link w:val="FootnoteReference"/>
    <w:uiPriority w:val="99"/>
    <w:qFormat/>
    <w:rsid w:val="00763DBD"/>
    <w:pPr>
      <w:spacing w:after="160" w:line="240" w:lineRule="exact"/>
    </w:pPr>
    <w:rPr>
      <w:sz w:val="20"/>
      <w:szCs w:val="20"/>
      <w:vertAlign w:val="superscript"/>
      <w:lang w:eastAsia="sq-AL"/>
    </w:rPr>
  </w:style>
  <w:style w:type="paragraph" w:styleId="DocumentMap">
    <w:name w:val="Document Map"/>
    <w:basedOn w:val="Normal"/>
    <w:link w:val="DocumentMapChar"/>
    <w:uiPriority w:val="99"/>
    <w:semiHidden/>
    <w:unhideWhenUsed/>
    <w:rsid w:val="00DF1828"/>
    <w:pPr>
      <w:widowControl w:val="0"/>
    </w:pPr>
    <w:rPr>
      <w:rFonts w:ascii="Times New Roman" w:hAnsi="Times New Roman"/>
    </w:rPr>
  </w:style>
  <w:style w:type="character" w:customStyle="1" w:styleId="DocumentMapChar">
    <w:name w:val="Document Map Char"/>
    <w:link w:val="DocumentMap"/>
    <w:uiPriority w:val="99"/>
    <w:semiHidden/>
    <w:rsid w:val="00DF1828"/>
    <w:rPr>
      <w:rFonts w:ascii="Times New Roman" w:hAnsi="Times New Roman" w:cs="Times New Roman"/>
      <w:lang w:val="en-GB"/>
    </w:rPr>
  </w:style>
  <w:style w:type="character" w:styleId="PageNumber">
    <w:name w:val="page number"/>
    <w:uiPriority w:val="99"/>
    <w:semiHidden/>
    <w:unhideWhenUsed/>
    <w:rsid w:val="00DF1828"/>
  </w:style>
  <w:style w:type="character" w:customStyle="1" w:styleId="Notedebasdepage">
    <w:name w:val="Note de bas de page_"/>
    <w:link w:val="Notedebasdepage0"/>
    <w:uiPriority w:val="99"/>
    <w:rsid w:val="00DF1828"/>
    <w:rPr>
      <w:sz w:val="17"/>
      <w:szCs w:val="17"/>
      <w:shd w:val="clear" w:color="auto" w:fill="FFFFFF"/>
    </w:rPr>
  </w:style>
  <w:style w:type="paragraph" w:customStyle="1" w:styleId="Notedebasdepage0">
    <w:name w:val="Note de bas de page"/>
    <w:basedOn w:val="Normal"/>
    <w:link w:val="Notedebasdepage"/>
    <w:uiPriority w:val="99"/>
    <w:rsid w:val="00DF1828"/>
    <w:pPr>
      <w:widowControl w:val="0"/>
      <w:shd w:val="clear" w:color="auto" w:fill="FFFFFF"/>
      <w:spacing w:line="206" w:lineRule="exact"/>
      <w:ind w:hanging="180"/>
      <w:jc w:val="both"/>
    </w:pPr>
    <w:rPr>
      <w:sz w:val="17"/>
      <w:szCs w:val="17"/>
      <w:lang w:val="en-US"/>
    </w:rPr>
  </w:style>
  <w:style w:type="character" w:customStyle="1" w:styleId="Corpsdutexte2">
    <w:name w:val="Corps du texte (2)_"/>
    <w:link w:val="Corpsdutexte21"/>
    <w:uiPriority w:val="99"/>
    <w:rsid w:val="00DF1828"/>
    <w:rPr>
      <w:rFonts w:ascii="Arial" w:hAnsi="Arial" w:cs="Arial"/>
      <w:sz w:val="16"/>
      <w:szCs w:val="16"/>
      <w:shd w:val="clear" w:color="auto" w:fill="FFFFFF"/>
    </w:rPr>
  </w:style>
  <w:style w:type="paragraph" w:customStyle="1" w:styleId="Corpsdutexte21">
    <w:name w:val="Corps du texte (2)1"/>
    <w:basedOn w:val="Normal"/>
    <w:link w:val="Corpsdutexte2"/>
    <w:uiPriority w:val="99"/>
    <w:rsid w:val="00DF1828"/>
    <w:pPr>
      <w:widowControl w:val="0"/>
      <w:shd w:val="clear" w:color="auto" w:fill="FFFFFF"/>
      <w:spacing w:after="720" w:line="240" w:lineRule="atLeast"/>
      <w:jc w:val="right"/>
    </w:pPr>
    <w:rPr>
      <w:rFonts w:ascii="Arial" w:hAnsi="Arial" w:cs="Arial"/>
      <w:sz w:val="16"/>
      <w:szCs w:val="16"/>
      <w:lang w:val="en-US"/>
    </w:rPr>
  </w:style>
  <w:style w:type="character" w:customStyle="1" w:styleId="Corpsdutexte20">
    <w:name w:val="Corps du texte (2)"/>
    <w:uiPriority w:val="99"/>
    <w:rsid w:val="00DF1828"/>
    <w:rPr>
      <w:rFonts w:ascii="Arial" w:hAnsi="Arial" w:cs="Arial"/>
      <w:color w:val="000096"/>
      <w:sz w:val="16"/>
      <w:szCs w:val="16"/>
      <w:u w:val="none"/>
      <w:lang w:val="bg-BG" w:eastAsia="bg-BG"/>
    </w:rPr>
  </w:style>
  <w:style w:type="character" w:customStyle="1" w:styleId="Corpsdutexte24">
    <w:name w:val="Corps du texte (2)4"/>
    <w:uiPriority w:val="99"/>
    <w:rsid w:val="00DF1828"/>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DF1828"/>
    <w:rPr>
      <w:rFonts w:ascii="Arial" w:hAnsi="Arial" w:cs="Arial"/>
      <w:shd w:val="clear" w:color="auto" w:fill="FFFFFF"/>
      <w:lang w:val="fi-FI" w:eastAsia="fi-FI"/>
    </w:rPr>
  </w:style>
  <w:style w:type="paragraph" w:customStyle="1" w:styleId="Corpsdutexte30">
    <w:name w:val="Corps du texte (3)"/>
    <w:basedOn w:val="Normal"/>
    <w:link w:val="Corpsdutexte3"/>
    <w:uiPriority w:val="99"/>
    <w:rsid w:val="00DF1828"/>
    <w:pPr>
      <w:widowControl w:val="0"/>
      <w:shd w:val="clear" w:color="auto" w:fill="FFFFFF"/>
      <w:spacing w:before="720" w:after="60" w:line="240" w:lineRule="atLeast"/>
    </w:pPr>
    <w:rPr>
      <w:rFonts w:ascii="Arial" w:hAnsi="Arial" w:cs="Arial"/>
      <w:lang w:val="fi-FI" w:eastAsia="fi-FI"/>
    </w:rPr>
  </w:style>
  <w:style w:type="character" w:customStyle="1" w:styleId="Corpsdutexte4">
    <w:name w:val="Corps du texte (4)_"/>
    <w:link w:val="Corpsdutexte40"/>
    <w:uiPriority w:val="99"/>
    <w:rsid w:val="00DF1828"/>
    <w:rPr>
      <w:rFonts w:ascii="Arial" w:hAnsi="Arial" w:cs="Arial"/>
      <w:sz w:val="14"/>
      <w:szCs w:val="14"/>
      <w:shd w:val="clear" w:color="auto" w:fill="FFFFFF"/>
    </w:rPr>
  </w:style>
  <w:style w:type="paragraph" w:customStyle="1" w:styleId="Corpsdutexte40">
    <w:name w:val="Corps du texte (4)"/>
    <w:basedOn w:val="Normal"/>
    <w:link w:val="Corpsdutexte4"/>
    <w:uiPriority w:val="99"/>
    <w:rsid w:val="00DF1828"/>
    <w:pPr>
      <w:widowControl w:val="0"/>
      <w:shd w:val="clear" w:color="auto" w:fill="FFFFFF"/>
      <w:spacing w:before="60" w:after="5340" w:line="240" w:lineRule="atLeast"/>
    </w:pPr>
    <w:rPr>
      <w:rFonts w:ascii="Arial" w:hAnsi="Arial" w:cs="Arial"/>
      <w:sz w:val="14"/>
      <w:szCs w:val="14"/>
      <w:lang w:val="en-US"/>
    </w:rPr>
  </w:style>
  <w:style w:type="character" w:customStyle="1" w:styleId="Corpsdutexte5">
    <w:name w:val="Corps du texte (5)_"/>
    <w:link w:val="Corpsdutexte50"/>
    <w:uiPriority w:val="99"/>
    <w:rsid w:val="00DF1828"/>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rsid w:val="00DF1828"/>
    <w:pPr>
      <w:widowControl w:val="0"/>
      <w:shd w:val="clear" w:color="auto" w:fill="FFFFFF"/>
      <w:spacing w:before="5340" w:after="1800" w:line="370" w:lineRule="exact"/>
    </w:pPr>
    <w:rPr>
      <w:rFonts w:ascii="Times New Roman" w:hAnsi="Times New Roman"/>
      <w:b/>
      <w:bCs/>
      <w:sz w:val="31"/>
      <w:szCs w:val="31"/>
      <w:lang w:val="de-DE" w:eastAsia="de-DE"/>
    </w:rPr>
  </w:style>
  <w:style w:type="character" w:customStyle="1" w:styleId="Corpsdutexte6">
    <w:name w:val="Corps du texte (6)_"/>
    <w:link w:val="Corpsdutexte60"/>
    <w:uiPriority w:val="99"/>
    <w:rsid w:val="00DF1828"/>
    <w:rPr>
      <w:sz w:val="31"/>
      <w:szCs w:val="31"/>
      <w:shd w:val="clear" w:color="auto" w:fill="FFFFFF"/>
    </w:rPr>
  </w:style>
  <w:style w:type="paragraph" w:customStyle="1" w:styleId="Corpsdutexte60">
    <w:name w:val="Corps du texte (6)"/>
    <w:basedOn w:val="Normal"/>
    <w:link w:val="Corpsdutexte6"/>
    <w:uiPriority w:val="99"/>
    <w:rsid w:val="00DF1828"/>
    <w:pPr>
      <w:widowControl w:val="0"/>
      <w:shd w:val="clear" w:color="auto" w:fill="FFFFFF"/>
      <w:spacing w:before="1800" w:line="240" w:lineRule="atLeast"/>
    </w:pPr>
    <w:rPr>
      <w:sz w:val="31"/>
      <w:szCs w:val="31"/>
      <w:lang w:val="en-US"/>
    </w:rPr>
  </w:style>
  <w:style w:type="character" w:customStyle="1" w:styleId="Corpsdutexte">
    <w:name w:val="Corps du texte_"/>
    <w:link w:val="Corpsdutexte1"/>
    <w:uiPriority w:val="99"/>
    <w:rsid w:val="00DF1828"/>
    <w:rPr>
      <w:sz w:val="23"/>
      <w:szCs w:val="23"/>
      <w:shd w:val="clear" w:color="auto" w:fill="FFFFFF"/>
    </w:rPr>
  </w:style>
  <w:style w:type="paragraph" w:customStyle="1" w:styleId="Corpsdutexte1">
    <w:name w:val="Corps du texte1"/>
    <w:basedOn w:val="Normal"/>
    <w:link w:val="Corpsdutexte"/>
    <w:uiPriority w:val="99"/>
    <w:rsid w:val="00DF1828"/>
    <w:pPr>
      <w:widowControl w:val="0"/>
      <w:shd w:val="clear" w:color="auto" w:fill="FFFFFF"/>
      <w:spacing w:after="300" w:line="240" w:lineRule="atLeast"/>
      <w:jc w:val="both"/>
    </w:pPr>
    <w:rPr>
      <w:sz w:val="23"/>
      <w:szCs w:val="23"/>
      <w:lang w:val="en-US"/>
    </w:rPr>
  </w:style>
  <w:style w:type="character" w:customStyle="1" w:styleId="Corpsdutexte0">
    <w:name w:val="Corps du texte"/>
    <w:rsid w:val="00DF1828"/>
    <w:rPr>
      <w:sz w:val="23"/>
      <w:szCs w:val="23"/>
      <w:u w:val="single"/>
    </w:rPr>
  </w:style>
  <w:style w:type="character" w:customStyle="1" w:styleId="En-tteoupieddepage">
    <w:name w:val="En-tête ou pied de page_"/>
    <w:link w:val="En-tteoupieddepage0"/>
    <w:uiPriority w:val="99"/>
    <w:rsid w:val="00DF1828"/>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rsid w:val="00DF1828"/>
    <w:pPr>
      <w:widowControl w:val="0"/>
      <w:shd w:val="clear" w:color="auto" w:fill="FFFFFF"/>
    </w:pPr>
    <w:rPr>
      <w:rFonts w:ascii="Times New Roman" w:hAnsi="Times New Roman"/>
      <w:noProof/>
      <w:sz w:val="20"/>
      <w:szCs w:val="20"/>
      <w:lang w:val="en-US"/>
    </w:rPr>
  </w:style>
  <w:style w:type="character" w:customStyle="1" w:styleId="En-tteoupieddepage11pt">
    <w:name w:val="En-tête ou pied de page + 11 pt"/>
    <w:uiPriority w:val="99"/>
    <w:rsid w:val="00DF1828"/>
    <w:rPr>
      <w:rFonts w:ascii="Times New Roman" w:hAnsi="Times New Roman" w:cs="Times New Roman"/>
      <w:noProof/>
      <w:sz w:val="22"/>
      <w:szCs w:val="22"/>
      <w:u w:val="none"/>
    </w:rPr>
  </w:style>
  <w:style w:type="character" w:customStyle="1" w:styleId="CorpsdutexteItalique">
    <w:name w:val="Corps du texte + Italique"/>
    <w:uiPriority w:val="99"/>
    <w:rsid w:val="00DF1828"/>
    <w:rPr>
      <w:i/>
      <w:iCs/>
      <w:sz w:val="23"/>
      <w:szCs w:val="23"/>
      <w:u w:val="none"/>
    </w:rPr>
  </w:style>
  <w:style w:type="character" w:customStyle="1" w:styleId="Corpsdutexte31">
    <w:name w:val="Corps du texte3"/>
    <w:uiPriority w:val="99"/>
    <w:rsid w:val="00DF1828"/>
    <w:rPr>
      <w:sz w:val="23"/>
      <w:szCs w:val="23"/>
      <w:u w:val="none"/>
    </w:rPr>
  </w:style>
  <w:style w:type="character" w:customStyle="1" w:styleId="CorpsdutexteGras">
    <w:name w:val="Corps du texte + Gras"/>
    <w:uiPriority w:val="99"/>
    <w:rsid w:val="00DF1828"/>
    <w:rPr>
      <w:rFonts w:ascii="Times New Roman" w:hAnsi="Times New Roman" w:cs="Times New Roman"/>
      <w:b/>
      <w:bCs/>
      <w:noProof/>
      <w:sz w:val="23"/>
      <w:szCs w:val="23"/>
      <w:u w:val="none"/>
    </w:rPr>
  </w:style>
  <w:style w:type="character" w:customStyle="1" w:styleId="CorpsdutexteGras4">
    <w:name w:val="Corps du texte + Gras4"/>
    <w:uiPriority w:val="99"/>
    <w:rsid w:val="00DF1828"/>
    <w:rPr>
      <w:b/>
      <w:bCs/>
      <w:sz w:val="23"/>
      <w:szCs w:val="23"/>
      <w:u w:val="single"/>
    </w:rPr>
  </w:style>
  <w:style w:type="character" w:customStyle="1" w:styleId="Corpsdutexte10pt">
    <w:name w:val="Corps du texte + 10 pt"/>
    <w:uiPriority w:val="99"/>
    <w:rsid w:val="00DF1828"/>
    <w:rPr>
      <w:color w:val="0000FF"/>
      <w:sz w:val="20"/>
      <w:szCs w:val="20"/>
      <w:u w:val="single"/>
    </w:rPr>
  </w:style>
  <w:style w:type="character" w:customStyle="1" w:styleId="Corpsdutexte7">
    <w:name w:val="Corps du texte (7)_"/>
    <w:link w:val="Corpsdutexte71"/>
    <w:uiPriority w:val="99"/>
    <w:rsid w:val="00DF1828"/>
    <w:rPr>
      <w:b/>
      <w:bCs/>
      <w:sz w:val="23"/>
      <w:szCs w:val="23"/>
      <w:shd w:val="clear" w:color="auto" w:fill="FFFFFF"/>
    </w:rPr>
  </w:style>
  <w:style w:type="paragraph" w:customStyle="1" w:styleId="Corpsdutexte71">
    <w:name w:val="Corps du texte (7)1"/>
    <w:basedOn w:val="Normal"/>
    <w:link w:val="Corpsdutexte7"/>
    <w:uiPriority w:val="99"/>
    <w:rsid w:val="00DF1828"/>
    <w:pPr>
      <w:widowControl w:val="0"/>
      <w:shd w:val="clear" w:color="auto" w:fill="FFFFFF"/>
      <w:spacing w:after="540" w:line="240" w:lineRule="atLeast"/>
      <w:jc w:val="center"/>
    </w:pPr>
    <w:rPr>
      <w:b/>
      <w:bCs/>
      <w:sz w:val="23"/>
      <w:szCs w:val="23"/>
      <w:lang w:val="en-US"/>
    </w:rPr>
  </w:style>
  <w:style w:type="character" w:customStyle="1" w:styleId="Corpsdutexte70">
    <w:name w:val="Corps du texte (7)"/>
    <w:uiPriority w:val="99"/>
    <w:rsid w:val="00DF1828"/>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DF1828"/>
    <w:rPr>
      <w:b/>
      <w:bCs/>
      <w:sz w:val="20"/>
      <w:szCs w:val="20"/>
      <w:u w:val="none"/>
    </w:rPr>
  </w:style>
  <w:style w:type="character" w:customStyle="1" w:styleId="Corpsdutexte8">
    <w:name w:val="Corps du texte (8)_"/>
    <w:link w:val="Corpsdutexte80"/>
    <w:uiPriority w:val="99"/>
    <w:rsid w:val="00DF1828"/>
    <w:rPr>
      <w:i/>
      <w:iCs/>
      <w:sz w:val="21"/>
      <w:szCs w:val="21"/>
      <w:shd w:val="clear" w:color="auto" w:fill="FFFFFF"/>
    </w:rPr>
  </w:style>
  <w:style w:type="paragraph" w:customStyle="1" w:styleId="Corpsdutexte80">
    <w:name w:val="Corps du texte (8)"/>
    <w:basedOn w:val="Normal"/>
    <w:link w:val="Corpsdutexte8"/>
    <w:uiPriority w:val="99"/>
    <w:rsid w:val="00DF1828"/>
    <w:pPr>
      <w:widowControl w:val="0"/>
      <w:shd w:val="clear" w:color="auto" w:fill="FFFFFF"/>
      <w:spacing w:before="180" w:after="180" w:line="240" w:lineRule="atLeast"/>
      <w:ind w:hanging="340"/>
      <w:jc w:val="both"/>
    </w:pPr>
    <w:rPr>
      <w:i/>
      <w:iCs/>
      <w:sz w:val="21"/>
      <w:szCs w:val="21"/>
      <w:lang w:val="en-US"/>
    </w:rPr>
  </w:style>
  <w:style w:type="character" w:customStyle="1" w:styleId="Corpsdutexte8NonItalique">
    <w:name w:val="Corps du texte (8) + Non Italique"/>
    <w:uiPriority w:val="99"/>
    <w:rsid w:val="00DF1828"/>
    <w:rPr>
      <w:i/>
      <w:iCs/>
      <w:sz w:val="21"/>
      <w:szCs w:val="21"/>
      <w:u w:val="none"/>
    </w:rPr>
  </w:style>
  <w:style w:type="character" w:customStyle="1" w:styleId="Corpsdutexte710pt5">
    <w:name w:val="Corps du texte (7) + 10 pt5"/>
    <w:aliases w:val="Italique,Espacement 1 pt"/>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DF1828"/>
    <w:rPr>
      <w:b/>
      <w:bCs/>
      <w:i/>
      <w:iCs/>
      <w:sz w:val="21"/>
      <w:szCs w:val="21"/>
      <w:shd w:val="clear" w:color="auto" w:fill="FFFFFF"/>
    </w:rPr>
  </w:style>
  <w:style w:type="paragraph" w:customStyle="1" w:styleId="Corpsdutexte90">
    <w:name w:val="Corps du texte (9)"/>
    <w:basedOn w:val="Normal"/>
    <w:link w:val="Corpsdutexte9"/>
    <w:uiPriority w:val="99"/>
    <w:rsid w:val="00DF1828"/>
    <w:pPr>
      <w:widowControl w:val="0"/>
      <w:shd w:val="clear" w:color="auto" w:fill="FFFFFF"/>
      <w:spacing w:before="300" w:after="300" w:line="240" w:lineRule="atLeast"/>
      <w:jc w:val="both"/>
    </w:pPr>
    <w:rPr>
      <w:b/>
      <w:bCs/>
      <w:i/>
      <w:iCs/>
      <w:sz w:val="21"/>
      <w:szCs w:val="21"/>
      <w:lang w:val="en-US"/>
    </w:rPr>
  </w:style>
  <w:style w:type="character" w:customStyle="1" w:styleId="Corpsdutexte710pt4">
    <w:name w:val="Corps du texte (7) + 10 pt4"/>
    <w:aliases w:val="Non Gras2"/>
    <w:uiPriority w:val="99"/>
    <w:rsid w:val="00DF1828"/>
    <w:rPr>
      <w:b/>
      <w:bCs/>
      <w:sz w:val="20"/>
      <w:szCs w:val="20"/>
      <w:u w:val="none"/>
    </w:rPr>
  </w:style>
  <w:style w:type="character" w:customStyle="1" w:styleId="Corpsdutexte8NonItalique3">
    <w:name w:val="Corps du texte (8) + Non Italique3"/>
    <w:uiPriority w:val="99"/>
    <w:rsid w:val="00DF1828"/>
    <w:rPr>
      <w:i/>
      <w:iCs/>
      <w:sz w:val="21"/>
      <w:szCs w:val="21"/>
      <w:u w:val="none"/>
    </w:rPr>
  </w:style>
  <w:style w:type="character" w:customStyle="1" w:styleId="Corpsdutexte710pt3">
    <w:name w:val="Corps du texte (7) + 10 pt3"/>
    <w:aliases w:val="Italique2,Espacement 1 pt2"/>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DF1828"/>
    <w:rPr>
      <w:i/>
      <w:iCs/>
      <w:sz w:val="21"/>
      <w:szCs w:val="21"/>
      <w:u w:val="none"/>
    </w:rPr>
  </w:style>
  <w:style w:type="character" w:customStyle="1" w:styleId="Corpsdutexte710pt2">
    <w:name w:val="Corps du texte (7) + 10 pt2"/>
    <w:aliases w:val="Italique1,Espacement 1 pt1"/>
    <w:uiPriority w:val="99"/>
    <w:rsid w:val="00DF1828"/>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DF1828"/>
    <w:rPr>
      <w:b/>
      <w:bCs/>
      <w:sz w:val="20"/>
      <w:szCs w:val="20"/>
      <w:u w:val="none"/>
    </w:rPr>
  </w:style>
  <w:style w:type="character" w:customStyle="1" w:styleId="Corpsdutexte8NonItalique1">
    <w:name w:val="Corps du texte (8) + Non Italique1"/>
    <w:uiPriority w:val="99"/>
    <w:rsid w:val="00DF1828"/>
    <w:rPr>
      <w:i/>
      <w:iCs/>
      <w:sz w:val="21"/>
      <w:szCs w:val="21"/>
      <w:u w:val="none"/>
    </w:rPr>
  </w:style>
  <w:style w:type="character" w:customStyle="1" w:styleId="En-tte1">
    <w:name w:val="En-tête #1_"/>
    <w:link w:val="En-tte11"/>
    <w:uiPriority w:val="99"/>
    <w:rsid w:val="00DF1828"/>
    <w:rPr>
      <w:b/>
      <w:bCs/>
      <w:sz w:val="23"/>
      <w:szCs w:val="23"/>
      <w:shd w:val="clear" w:color="auto" w:fill="FFFFFF"/>
    </w:rPr>
  </w:style>
  <w:style w:type="paragraph" w:customStyle="1" w:styleId="En-tte11">
    <w:name w:val="En-tête #11"/>
    <w:basedOn w:val="Normal"/>
    <w:link w:val="En-tte1"/>
    <w:uiPriority w:val="99"/>
    <w:rsid w:val="00DF1828"/>
    <w:pPr>
      <w:widowControl w:val="0"/>
      <w:shd w:val="clear" w:color="auto" w:fill="FFFFFF"/>
      <w:spacing w:after="600" w:line="240" w:lineRule="atLeast"/>
      <w:ind w:hanging="360"/>
      <w:jc w:val="center"/>
      <w:outlineLvl w:val="0"/>
    </w:pPr>
    <w:rPr>
      <w:b/>
      <w:bCs/>
      <w:sz w:val="23"/>
      <w:szCs w:val="23"/>
      <w:lang w:val="en-US"/>
    </w:rPr>
  </w:style>
  <w:style w:type="character" w:customStyle="1" w:styleId="En-tte10">
    <w:name w:val="En-tête #1"/>
    <w:uiPriority w:val="99"/>
    <w:rsid w:val="00DF1828"/>
    <w:rPr>
      <w:b/>
      <w:bCs/>
      <w:sz w:val="23"/>
      <w:szCs w:val="23"/>
      <w:u w:val="single"/>
    </w:rPr>
  </w:style>
  <w:style w:type="character" w:customStyle="1" w:styleId="Corpsdutexte12">
    <w:name w:val="Corps du texte (12)_"/>
    <w:link w:val="Corpsdutexte120"/>
    <w:uiPriority w:val="99"/>
    <w:rsid w:val="00DF1828"/>
    <w:rPr>
      <w:i/>
      <w:iCs/>
      <w:sz w:val="23"/>
      <w:szCs w:val="23"/>
      <w:shd w:val="clear" w:color="auto" w:fill="FFFFFF"/>
    </w:rPr>
  </w:style>
  <w:style w:type="paragraph" w:customStyle="1" w:styleId="Corpsdutexte120">
    <w:name w:val="Corps du texte (12)"/>
    <w:basedOn w:val="Normal"/>
    <w:link w:val="Corpsdutexte12"/>
    <w:uiPriority w:val="99"/>
    <w:rsid w:val="00DF1828"/>
    <w:pPr>
      <w:widowControl w:val="0"/>
      <w:shd w:val="clear" w:color="auto" w:fill="FFFFFF"/>
      <w:spacing w:before="300" w:after="180" w:line="274" w:lineRule="exact"/>
      <w:ind w:hanging="360"/>
    </w:pPr>
    <w:rPr>
      <w:i/>
      <w:iCs/>
      <w:sz w:val="23"/>
      <w:szCs w:val="23"/>
      <w:lang w:val="en-US"/>
    </w:rPr>
  </w:style>
  <w:style w:type="character" w:customStyle="1" w:styleId="Corpsdutexte10">
    <w:name w:val="Corps du texte (10)_"/>
    <w:link w:val="Corpsdutexte101"/>
    <w:uiPriority w:val="99"/>
    <w:rsid w:val="00DF1828"/>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rsid w:val="00DF1828"/>
    <w:pPr>
      <w:widowControl w:val="0"/>
      <w:shd w:val="clear" w:color="auto" w:fill="FFFFFF"/>
      <w:spacing w:line="240" w:lineRule="atLeast"/>
    </w:pPr>
    <w:rPr>
      <w:rFonts w:ascii="Arial" w:hAnsi="Arial" w:cs="Arial"/>
      <w:b/>
      <w:bCs/>
      <w:sz w:val="17"/>
      <w:szCs w:val="17"/>
      <w:lang w:val="en-US"/>
    </w:rPr>
  </w:style>
  <w:style w:type="character" w:customStyle="1" w:styleId="Corpsdutexte100">
    <w:name w:val="Corps du texte (10)"/>
    <w:uiPriority w:val="99"/>
    <w:rsid w:val="00DF1828"/>
    <w:rPr>
      <w:rFonts w:ascii="Arial" w:hAnsi="Arial" w:cs="Arial"/>
      <w:b/>
      <w:bCs/>
      <w:color w:val="FF0000"/>
      <w:sz w:val="17"/>
      <w:szCs w:val="17"/>
      <w:u w:val="none"/>
    </w:rPr>
  </w:style>
  <w:style w:type="character" w:customStyle="1" w:styleId="Corpsdutexte23">
    <w:name w:val="Corps du texte (2)3"/>
    <w:uiPriority w:val="99"/>
    <w:rsid w:val="00DF1828"/>
    <w:rPr>
      <w:rFonts w:ascii="Arial" w:hAnsi="Arial" w:cs="Arial"/>
      <w:color w:val="FF0000"/>
      <w:sz w:val="16"/>
      <w:szCs w:val="16"/>
      <w:u w:val="none"/>
    </w:rPr>
  </w:style>
  <w:style w:type="character" w:customStyle="1" w:styleId="Corpsdutexte22">
    <w:name w:val="Corps du texte (2)2"/>
    <w:uiPriority w:val="99"/>
    <w:rsid w:val="00DF1828"/>
    <w:rPr>
      <w:rFonts w:ascii="Arial" w:hAnsi="Arial" w:cs="Arial"/>
      <w:color w:val="FF0000"/>
      <w:sz w:val="16"/>
      <w:szCs w:val="16"/>
      <w:u w:val="none"/>
    </w:rPr>
  </w:style>
  <w:style w:type="character" w:customStyle="1" w:styleId="Corpsdutexte2Exact">
    <w:name w:val="Corps du texte (2) Exact"/>
    <w:uiPriority w:val="99"/>
    <w:rsid w:val="00DF1828"/>
    <w:rPr>
      <w:rFonts w:ascii="Arial" w:hAnsi="Arial" w:cs="Arial"/>
      <w:spacing w:val="5"/>
      <w:sz w:val="15"/>
      <w:szCs w:val="15"/>
      <w:u w:val="none"/>
    </w:rPr>
  </w:style>
  <w:style w:type="character" w:customStyle="1" w:styleId="Corpsdutexte13">
    <w:name w:val="Corps du texte (13)_"/>
    <w:link w:val="Corpsdutexte130"/>
    <w:uiPriority w:val="99"/>
    <w:rsid w:val="00DF1828"/>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rsid w:val="00DF1828"/>
    <w:pPr>
      <w:widowControl w:val="0"/>
      <w:shd w:val="clear" w:color="auto" w:fill="FFFFFF"/>
      <w:spacing w:line="240" w:lineRule="atLeast"/>
      <w:jc w:val="right"/>
    </w:pPr>
    <w:rPr>
      <w:rFonts w:ascii="Times New Roman" w:hAnsi="Times New Roman"/>
      <w:sz w:val="17"/>
      <w:szCs w:val="17"/>
      <w:lang w:val="sk-SK" w:eastAsia="sk-SK"/>
    </w:rPr>
  </w:style>
  <w:style w:type="character" w:customStyle="1" w:styleId="CorpsdutexteGras3">
    <w:name w:val="Corps du texte + Gras3"/>
    <w:uiPriority w:val="99"/>
    <w:rsid w:val="00DF1828"/>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DF1828"/>
    <w:rPr>
      <w:rFonts w:ascii="Times New Roman" w:hAnsi="Times New Roman" w:cs="Times New Roman"/>
      <w:b/>
      <w:bCs/>
      <w:sz w:val="23"/>
      <w:szCs w:val="23"/>
      <w:u w:val="none"/>
      <w:lang w:val="sl-SI" w:eastAsia="sl-SI"/>
    </w:rPr>
  </w:style>
  <w:style w:type="character" w:customStyle="1" w:styleId="Corpsdutexte25">
    <w:name w:val="Corps du texte2"/>
    <w:uiPriority w:val="99"/>
    <w:rsid w:val="00DF1828"/>
    <w:rPr>
      <w:sz w:val="23"/>
      <w:szCs w:val="23"/>
      <w:u w:val="none"/>
    </w:rPr>
  </w:style>
  <w:style w:type="character" w:customStyle="1" w:styleId="CorpsdutexteItalique2">
    <w:name w:val="Corps du texte + Italique2"/>
    <w:uiPriority w:val="99"/>
    <w:rsid w:val="00DF1828"/>
    <w:rPr>
      <w:i/>
      <w:iCs/>
      <w:sz w:val="23"/>
      <w:szCs w:val="23"/>
      <w:u w:val="none"/>
    </w:rPr>
  </w:style>
  <w:style w:type="character" w:customStyle="1" w:styleId="CorpsdutexteItalique1">
    <w:name w:val="Corps du texte + Italique1"/>
    <w:uiPriority w:val="99"/>
    <w:rsid w:val="00DF1828"/>
    <w:rPr>
      <w:i/>
      <w:iCs/>
      <w:sz w:val="23"/>
      <w:szCs w:val="23"/>
      <w:u w:val="none"/>
    </w:rPr>
  </w:style>
  <w:style w:type="character" w:customStyle="1" w:styleId="Corpsdutexte11Exact">
    <w:name w:val="Corps du texte (11) Exact"/>
    <w:link w:val="Corpsdutexte11"/>
    <w:uiPriority w:val="99"/>
    <w:rsid w:val="00DF1828"/>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rsid w:val="00DF1828"/>
    <w:pPr>
      <w:widowControl w:val="0"/>
      <w:shd w:val="clear" w:color="auto" w:fill="FFFFFF"/>
      <w:spacing w:line="240" w:lineRule="atLeast"/>
    </w:pPr>
    <w:rPr>
      <w:rFonts w:ascii="Times New Roman" w:hAnsi="Times New Roman"/>
      <w:sz w:val="20"/>
      <w:szCs w:val="20"/>
      <w:lang w:val="bg-BG" w:eastAsia="bg-BG"/>
    </w:rPr>
  </w:style>
  <w:style w:type="character" w:customStyle="1" w:styleId="CorpsdutexteGras1">
    <w:name w:val="Corps du texte + Gras1"/>
    <w:uiPriority w:val="99"/>
    <w:rsid w:val="00DF1828"/>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DF1828"/>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rsid w:val="00DF1828"/>
    <w:pPr>
      <w:widowControl w:val="0"/>
      <w:shd w:val="clear" w:color="auto" w:fill="FFFFFF"/>
      <w:spacing w:line="240" w:lineRule="atLeast"/>
      <w:jc w:val="center"/>
    </w:pPr>
    <w:rPr>
      <w:rFonts w:ascii="Arial" w:hAnsi="Arial" w:cs="Arial"/>
      <w:b/>
      <w:bCs/>
      <w:i/>
      <w:iCs/>
      <w:sz w:val="17"/>
      <w:szCs w:val="17"/>
      <w:lang w:val="en-US"/>
    </w:rPr>
  </w:style>
  <w:style w:type="character" w:customStyle="1" w:styleId="En-tte12">
    <w:name w:val="En-tête #12"/>
    <w:uiPriority w:val="99"/>
    <w:rsid w:val="00DF1828"/>
    <w:rPr>
      <w:rFonts w:ascii="Times New Roman" w:hAnsi="Times New Roman" w:cs="Times New Roman"/>
      <w:b/>
      <w:bCs/>
      <w:noProof/>
      <w:sz w:val="23"/>
      <w:szCs w:val="23"/>
      <w:u w:val="single"/>
    </w:rPr>
  </w:style>
  <w:style w:type="character" w:styleId="CommentReference">
    <w:name w:val="annotation reference"/>
    <w:uiPriority w:val="99"/>
    <w:unhideWhenUsed/>
    <w:qFormat/>
    <w:rsid w:val="00DF1828"/>
    <w:rPr>
      <w:sz w:val="16"/>
      <w:szCs w:val="16"/>
    </w:rPr>
  </w:style>
  <w:style w:type="paragraph" w:styleId="CommentText">
    <w:name w:val="annotation text"/>
    <w:basedOn w:val="Normal"/>
    <w:link w:val="CommentTextChar"/>
    <w:uiPriority w:val="99"/>
    <w:unhideWhenUsed/>
    <w:qFormat/>
    <w:rsid w:val="00DF1828"/>
    <w:pPr>
      <w:widowControl w:val="0"/>
    </w:pPr>
    <w:rPr>
      <w:rFonts w:ascii="Times New Roman" w:eastAsia="Times New Roman" w:hAnsi="Times New Roman"/>
      <w:color w:val="000000"/>
      <w:sz w:val="20"/>
      <w:szCs w:val="20"/>
    </w:rPr>
  </w:style>
  <w:style w:type="character" w:customStyle="1" w:styleId="CommentTextChar">
    <w:name w:val="Comment Text Char"/>
    <w:link w:val="CommentText"/>
    <w:uiPriority w:val="99"/>
    <w:qFormat/>
    <w:rsid w:val="00DF1828"/>
    <w:rPr>
      <w:rFonts w:ascii="Times New Roman" w:eastAsia="Times New Roman" w:hAnsi="Times New Roman" w:cs="Times New Roman"/>
      <w:color w:val="000000"/>
      <w:sz w:val="20"/>
      <w:szCs w:val="20"/>
      <w:lang w:val="en-GB"/>
    </w:rPr>
  </w:style>
  <w:style w:type="character" w:customStyle="1" w:styleId="CommentSubjectChar">
    <w:name w:val="Comment Subject Char"/>
    <w:link w:val="CommentSubject"/>
    <w:uiPriority w:val="99"/>
    <w:semiHidden/>
    <w:rsid w:val="00DF1828"/>
    <w:rPr>
      <w:rFonts w:ascii="Times New Roman" w:eastAsia="Times New Roman" w:hAnsi="Times New Roman" w:cs="Times New Roman"/>
      <w:b/>
      <w:bCs/>
      <w:color w:val="000000"/>
      <w:sz w:val="20"/>
      <w:szCs w:val="20"/>
      <w:lang w:val="en-GB"/>
    </w:rPr>
  </w:style>
  <w:style w:type="paragraph" w:styleId="CommentSubject">
    <w:name w:val="annotation subject"/>
    <w:basedOn w:val="CommentText"/>
    <w:next w:val="CommentText"/>
    <w:link w:val="CommentSubjectChar"/>
    <w:uiPriority w:val="99"/>
    <w:semiHidden/>
    <w:unhideWhenUsed/>
    <w:rsid w:val="00DF1828"/>
    <w:rPr>
      <w:b/>
      <w:bCs/>
    </w:rPr>
  </w:style>
  <w:style w:type="paragraph" w:customStyle="1" w:styleId="Logo">
    <w:name w:val="Logo"/>
    <w:basedOn w:val="Normal"/>
    <w:uiPriority w:val="99"/>
    <w:rsid w:val="00DF1828"/>
    <w:rPr>
      <w:rFonts w:ascii="Arial" w:eastAsia="Times New Roman" w:hAnsi="Arial"/>
      <w:sz w:val="26"/>
      <w:szCs w:val="20"/>
      <w:lang w:eastAsia="en-GB"/>
    </w:rPr>
  </w:style>
  <w:style w:type="paragraph" w:customStyle="1" w:styleId="ZDG">
    <w:name w:val="Z_DG"/>
    <w:basedOn w:val="Logo"/>
    <w:uiPriority w:val="99"/>
    <w:rsid w:val="00DF1828"/>
    <w:rPr>
      <w:sz w:val="16"/>
      <w:lang w:val="fr-FR"/>
    </w:rPr>
  </w:style>
  <w:style w:type="paragraph" w:customStyle="1" w:styleId="ZD">
    <w:name w:val="Z_D"/>
    <w:basedOn w:val="Logo"/>
    <w:uiPriority w:val="99"/>
    <w:rsid w:val="00DF1828"/>
    <w:rPr>
      <w:sz w:val="16"/>
      <w:lang w:val="fr-FR"/>
    </w:rPr>
  </w:style>
  <w:style w:type="paragraph" w:customStyle="1" w:styleId="ListBullet1">
    <w:name w:val="List Bullet 1"/>
    <w:basedOn w:val="Normal"/>
    <w:uiPriority w:val="99"/>
    <w:rsid w:val="00DF1828"/>
    <w:pPr>
      <w:numPr>
        <w:numId w:val="2"/>
      </w:numPr>
      <w:spacing w:after="240"/>
      <w:jc w:val="both"/>
    </w:pPr>
    <w:rPr>
      <w:rFonts w:ascii="Times New Roman" w:eastAsia="Times New Roman" w:hAnsi="Times New Roman"/>
      <w:szCs w:val="20"/>
    </w:rPr>
  </w:style>
  <w:style w:type="paragraph" w:styleId="TOC4">
    <w:name w:val="toc 4"/>
    <w:basedOn w:val="Normal"/>
    <w:next w:val="Normal"/>
    <w:autoRedefine/>
    <w:uiPriority w:val="39"/>
    <w:rsid w:val="00DF1828"/>
    <w:pPr>
      <w:ind w:left="720"/>
    </w:pPr>
    <w:rPr>
      <w:rFonts w:ascii="Times New Roman" w:eastAsia="Times New Roman" w:hAnsi="Times New Roman"/>
      <w:szCs w:val="20"/>
      <w:lang w:val="fr-FR" w:eastAsia="en-GB"/>
    </w:rPr>
  </w:style>
  <w:style w:type="paragraph" w:customStyle="1" w:styleId="Normal8pt">
    <w:name w:val="Normal + 8 pt"/>
    <w:aliases w:val="Before:  12 pt"/>
    <w:basedOn w:val="Normal"/>
    <w:uiPriority w:val="99"/>
    <w:rsid w:val="00DF1828"/>
    <w:pPr>
      <w:spacing w:before="240" w:after="180"/>
    </w:pPr>
    <w:rPr>
      <w:rFonts w:ascii="Times New Roman" w:eastAsia="Times New Roman" w:hAnsi="Times New Roman"/>
      <w:sz w:val="16"/>
      <w:szCs w:val="16"/>
      <w:lang w:eastAsia="en-GB"/>
    </w:rPr>
  </w:style>
  <w:style w:type="character" w:styleId="FollowedHyperlink">
    <w:name w:val="FollowedHyperlink"/>
    <w:rsid w:val="00DF1828"/>
    <w:rPr>
      <w:color w:val="800080"/>
      <w:u w:val="single"/>
    </w:rPr>
  </w:style>
  <w:style w:type="paragraph" w:customStyle="1" w:styleId="ZCom">
    <w:name w:val="Z_Com"/>
    <w:basedOn w:val="Normal"/>
    <w:next w:val="ZDGName"/>
    <w:uiPriority w:val="99"/>
    <w:rsid w:val="00DF1828"/>
    <w:pPr>
      <w:widowControl w:val="0"/>
      <w:autoSpaceDE w:val="0"/>
      <w:autoSpaceDN w:val="0"/>
      <w:ind w:right="85"/>
      <w:jc w:val="both"/>
    </w:pPr>
    <w:rPr>
      <w:rFonts w:ascii="Arial" w:eastAsia="Times New Roman" w:hAnsi="Arial" w:cs="Arial"/>
      <w:lang w:eastAsia="en-GB"/>
    </w:rPr>
  </w:style>
  <w:style w:type="paragraph" w:customStyle="1" w:styleId="ZDGName">
    <w:name w:val="Z_DGName"/>
    <w:basedOn w:val="Normal"/>
    <w:uiPriority w:val="99"/>
    <w:rsid w:val="00DF1828"/>
    <w:pPr>
      <w:widowControl w:val="0"/>
      <w:autoSpaceDE w:val="0"/>
      <w:autoSpaceDN w:val="0"/>
      <w:ind w:right="85"/>
    </w:pPr>
    <w:rPr>
      <w:rFonts w:ascii="Arial" w:eastAsia="Times New Roman" w:hAnsi="Arial" w:cs="Arial"/>
      <w:sz w:val="16"/>
      <w:szCs w:val="16"/>
      <w:lang w:eastAsia="en-GB"/>
    </w:rPr>
  </w:style>
  <w:style w:type="paragraph" w:customStyle="1" w:styleId="Heading4a">
    <w:name w:val="Heading 4a"/>
    <w:basedOn w:val="Heading3"/>
    <w:uiPriority w:val="99"/>
    <w:rsid w:val="00DF1828"/>
    <w:pPr>
      <w:keepNext/>
      <w:widowControl/>
      <w:tabs>
        <w:tab w:val="left" w:pos="510"/>
        <w:tab w:val="num" w:pos="851"/>
      </w:tabs>
      <w:spacing w:before="300" w:after="60"/>
      <w:ind w:left="851" w:hanging="567"/>
      <w:jc w:val="both"/>
    </w:pPr>
    <w:rPr>
      <w:rFonts w:ascii="Times New Roman Bold" w:eastAsia="Times New Roman" w:hAnsi="Times New Roman Bold"/>
      <w:b/>
      <w:lang w:val="x-none" w:eastAsia="x-none"/>
    </w:rPr>
  </w:style>
  <w:style w:type="character" w:customStyle="1" w:styleId="hps">
    <w:name w:val="hps"/>
    <w:rsid w:val="00DF1828"/>
  </w:style>
  <w:style w:type="paragraph" w:styleId="NormalWeb">
    <w:name w:val="Normal (Web)"/>
    <w:basedOn w:val="Normal"/>
    <w:uiPriority w:val="99"/>
    <w:unhideWhenUsed/>
    <w:rsid w:val="00DF1828"/>
    <w:pPr>
      <w:spacing w:before="100" w:beforeAutospacing="1" w:after="100" w:afterAutospacing="1"/>
    </w:pPr>
    <w:rPr>
      <w:rFonts w:ascii="Times New Roman" w:eastAsia="Times New Roman" w:hAnsi="Times New Roman"/>
    </w:rPr>
  </w:style>
  <w:style w:type="paragraph" w:customStyle="1" w:styleId="Default">
    <w:name w:val="Default"/>
    <w:uiPriority w:val="99"/>
    <w:rsid w:val="00DF1828"/>
    <w:pPr>
      <w:autoSpaceDE w:val="0"/>
      <w:autoSpaceDN w:val="0"/>
      <w:adjustRightInd w:val="0"/>
    </w:pPr>
    <w:rPr>
      <w:rFonts w:ascii="Times New Roman" w:hAnsi="Times New Roman"/>
      <w:color w:val="000000"/>
      <w:sz w:val="24"/>
      <w:szCs w:val="24"/>
      <w:lang w:val="en-US" w:eastAsia="en-US"/>
    </w:rPr>
  </w:style>
  <w:style w:type="paragraph" w:customStyle="1" w:styleId="MediumGrid21">
    <w:name w:val="Medium Grid 21"/>
    <w:link w:val="MediumGrid2Char"/>
    <w:uiPriority w:val="1"/>
    <w:qFormat/>
    <w:rsid w:val="00DF1828"/>
    <w:rPr>
      <w:rFonts w:ascii="Arial" w:hAnsi="Arial"/>
      <w:szCs w:val="22"/>
      <w:lang w:val="en-AU"/>
    </w:rPr>
  </w:style>
  <w:style w:type="character" w:customStyle="1" w:styleId="MediumGrid2Char">
    <w:name w:val="Medium Grid 2 Char"/>
    <w:link w:val="MediumGrid21"/>
    <w:uiPriority w:val="1"/>
    <w:rsid w:val="00DF1828"/>
    <w:rPr>
      <w:rFonts w:ascii="Arial" w:eastAsia="Calibri" w:hAnsi="Arial" w:cs="Times New Roman"/>
      <w:sz w:val="20"/>
      <w:szCs w:val="22"/>
      <w:lang w:val="en-AU" w:eastAsia="sq-AL"/>
    </w:rPr>
  </w:style>
  <w:style w:type="paragraph" w:customStyle="1" w:styleId="Body">
    <w:name w:val="Body"/>
    <w:uiPriority w:val="99"/>
    <w:rsid w:val="00DF1828"/>
    <w:pPr>
      <w:pBdr>
        <w:top w:val="nil"/>
        <w:left w:val="nil"/>
        <w:bottom w:val="nil"/>
        <w:right w:val="nil"/>
        <w:between w:val="nil"/>
        <w:bar w:val="nil"/>
      </w:pBdr>
      <w:spacing w:after="200" w:line="276" w:lineRule="auto"/>
    </w:pPr>
    <w:rPr>
      <w:rFonts w:cs="Calibri"/>
      <w:color w:val="000000"/>
      <w:sz w:val="22"/>
      <w:szCs w:val="22"/>
      <w:u w:color="000000"/>
      <w:bdr w:val="nil"/>
      <w:lang w:val="en-US" w:eastAsia="en-US"/>
    </w:rPr>
  </w:style>
  <w:style w:type="character" w:customStyle="1" w:styleId="longtext">
    <w:name w:val="long_text"/>
    <w:rsid w:val="00DF1828"/>
  </w:style>
  <w:style w:type="paragraph" w:styleId="Title">
    <w:name w:val="Title"/>
    <w:basedOn w:val="Normal"/>
    <w:next w:val="Normal"/>
    <w:link w:val="TitleChar"/>
    <w:uiPriority w:val="99"/>
    <w:qFormat/>
    <w:rsid w:val="00DF1828"/>
    <w:pPr>
      <w:pBdr>
        <w:bottom w:val="single" w:sz="8" w:space="4" w:color="4F81BD"/>
      </w:pBdr>
      <w:spacing w:after="300"/>
      <w:contextualSpacing/>
    </w:pPr>
    <w:rPr>
      <w:rFonts w:ascii="Cambria" w:eastAsia="Times New Roman" w:hAnsi="Cambria"/>
      <w:color w:val="17365D"/>
      <w:spacing w:val="5"/>
      <w:kern w:val="28"/>
      <w:sz w:val="52"/>
      <w:szCs w:val="52"/>
      <w:lang w:eastAsia="en-GB"/>
    </w:rPr>
  </w:style>
  <w:style w:type="character" w:customStyle="1" w:styleId="TitleChar">
    <w:name w:val="Title Char"/>
    <w:link w:val="Title"/>
    <w:uiPriority w:val="99"/>
    <w:rsid w:val="00DF1828"/>
    <w:rPr>
      <w:rFonts w:ascii="Cambria" w:eastAsia="Times New Roman" w:hAnsi="Cambria" w:cs="Times New Roman"/>
      <w:color w:val="17365D"/>
      <w:spacing w:val="5"/>
      <w:kern w:val="28"/>
      <w:sz w:val="52"/>
      <w:szCs w:val="52"/>
      <w:lang w:val="en-GB" w:eastAsia="en-GB"/>
    </w:rPr>
  </w:style>
  <w:style w:type="character" w:customStyle="1" w:styleId="Bodytext0">
    <w:name w:val="Body text_"/>
    <w:link w:val="BodyText189"/>
    <w:locked/>
    <w:rsid w:val="00DF1828"/>
    <w:rPr>
      <w:sz w:val="25"/>
      <w:szCs w:val="25"/>
      <w:shd w:val="clear" w:color="auto" w:fill="FFFFFF"/>
    </w:rPr>
  </w:style>
  <w:style w:type="paragraph" w:customStyle="1" w:styleId="BodyText189">
    <w:name w:val="Body Text189"/>
    <w:basedOn w:val="Normal"/>
    <w:link w:val="Bodytext0"/>
    <w:rsid w:val="00DF1828"/>
    <w:pPr>
      <w:shd w:val="clear" w:color="auto" w:fill="FFFFFF"/>
      <w:spacing w:before="420" w:after="240" w:line="322" w:lineRule="exact"/>
      <w:ind w:hanging="1420"/>
      <w:jc w:val="center"/>
    </w:pPr>
    <w:rPr>
      <w:sz w:val="25"/>
      <w:szCs w:val="25"/>
      <w:lang w:val="en-US"/>
    </w:rPr>
  </w:style>
  <w:style w:type="character" w:customStyle="1" w:styleId="BodyText3">
    <w:name w:val="Body Text3"/>
    <w:rsid w:val="00DF1828"/>
  </w:style>
  <w:style w:type="character" w:customStyle="1" w:styleId="BodytextBold">
    <w:name w:val="Body text + Bold"/>
    <w:aliases w:val="Italic"/>
    <w:rsid w:val="00DF1828"/>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DF1828"/>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rsid w:val="00DF1828"/>
    <w:pPr>
      <w:shd w:val="clear" w:color="auto" w:fill="FFFFFF"/>
      <w:spacing w:after="660" w:line="240" w:lineRule="atLeast"/>
      <w:ind w:hanging="340"/>
    </w:pPr>
    <w:rPr>
      <w:rFonts w:ascii="Arial" w:eastAsia="Times New Roman" w:hAnsi="Arial" w:cs="Arial"/>
      <w:color w:val="000000"/>
      <w:sz w:val="22"/>
      <w:szCs w:val="22"/>
    </w:rPr>
  </w:style>
  <w:style w:type="character" w:customStyle="1" w:styleId="Heading1714">
    <w:name w:val="Heading #1714"/>
    <w:rsid w:val="00DF1828"/>
    <w:rPr>
      <w:sz w:val="35"/>
      <w:szCs w:val="35"/>
      <w:lang w:bidi="ar-SA"/>
    </w:rPr>
  </w:style>
  <w:style w:type="character" w:customStyle="1" w:styleId="Bodytext4">
    <w:name w:val="Body text (4)"/>
    <w:rsid w:val="00DF1828"/>
    <w:rPr>
      <w:sz w:val="23"/>
      <w:szCs w:val="23"/>
      <w:lang w:bidi="ar-SA"/>
    </w:rPr>
  </w:style>
  <w:style w:type="paragraph" w:customStyle="1" w:styleId="1">
    <w:name w:val="Абзац списка1"/>
    <w:basedOn w:val="Normal"/>
    <w:uiPriority w:val="99"/>
    <w:rsid w:val="00DF1828"/>
    <w:pPr>
      <w:suppressAutoHyphens/>
      <w:spacing w:after="200" w:line="276" w:lineRule="auto"/>
      <w:ind w:left="720" w:firstLine="360"/>
    </w:pPr>
    <w:rPr>
      <w:rFonts w:eastAsia="SimSun"/>
      <w:sz w:val="22"/>
      <w:szCs w:val="22"/>
      <w:lang w:eastAsia="ar-SA"/>
    </w:rPr>
  </w:style>
  <w:style w:type="character" w:customStyle="1" w:styleId="alt-edited">
    <w:name w:val="alt-edited"/>
    <w:rsid w:val="00DF1828"/>
  </w:style>
  <w:style w:type="paragraph" w:styleId="BodyTextIndent2">
    <w:name w:val="Body Text Indent 2"/>
    <w:basedOn w:val="Normal"/>
    <w:link w:val="BodyTextIndent2Char"/>
    <w:uiPriority w:val="99"/>
    <w:rsid w:val="00DF1828"/>
    <w:pPr>
      <w:spacing w:after="120" w:line="480" w:lineRule="auto"/>
      <w:ind w:left="360"/>
    </w:pPr>
    <w:rPr>
      <w:rFonts w:ascii="Times New Roman" w:eastAsia="MS Mincho" w:hAnsi="Times New Roman"/>
      <w:sz w:val="20"/>
      <w:szCs w:val="20"/>
      <w:lang w:val="x-none" w:eastAsia="x-none"/>
    </w:rPr>
  </w:style>
  <w:style w:type="character" w:customStyle="1" w:styleId="BodyTextIndent2Char">
    <w:name w:val="Body Text Indent 2 Char"/>
    <w:link w:val="BodyTextIndent2"/>
    <w:uiPriority w:val="99"/>
    <w:rsid w:val="00DF1828"/>
    <w:rPr>
      <w:rFonts w:ascii="Times New Roman" w:eastAsia="MS Mincho" w:hAnsi="Times New Roman" w:cs="Times New Roman"/>
      <w:sz w:val="20"/>
      <w:szCs w:val="20"/>
      <w:lang w:val="x-none" w:eastAsia="x-none"/>
    </w:rPr>
  </w:style>
  <w:style w:type="character" w:customStyle="1" w:styleId="atn">
    <w:name w:val="atn"/>
    <w:rsid w:val="00DF1828"/>
  </w:style>
  <w:style w:type="character" w:customStyle="1" w:styleId="shorttext">
    <w:name w:val="short_text"/>
    <w:uiPriority w:val="99"/>
    <w:rsid w:val="00DF1828"/>
  </w:style>
  <w:style w:type="character" w:customStyle="1" w:styleId="hpsatn">
    <w:name w:val="hps atn"/>
    <w:uiPriority w:val="99"/>
    <w:rsid w:val="00DF1828"/>
  </w:style>
  <w:style w:type="paragraph" w:styleId="List">
    <w:name w:val="List"/>
    <w:basedOn w:val="Normal"/>
    <w:uiPriority w:val="99"/>
    <w:rsid w:val="00DF1828"/>
    <w:pPr>
      <w:suppressAutoHyphens/>
      <w:ind w:left="360" w:hanging="360"/>
    </w:pPr>
    <w:rPr>
      <w:rFonts w:ascii="Times New Roman" w:eastAsia="Times New Roman" w:hAnsi="Times New Roman"/>
      <w:lang w:eastAsia="zh-CN"/>
    </w:rPr>
  </w:style>
  <w:style w:type="character" w:customStyle="1" w:styleId="st">
    <w:name w:val="st"/>
    <w:rsid w:val="00DF1828"/>
  </w:style>
  <w:style w:type="character" w:styleId="Emphasis">
    <w:name w:val="Emphasis"/>
    <w:uiPriority w:val="20"/>
    <w:qFormat/>
    <w:rsid w:val="00DF1828"/>
    <w:rPr>
      <w:i/>
      <w:iCs/>
    </w:rPr>
  </w:style>
  <w:style w:type="paragraph" w:customStyle="1" w:styleId="paragraph">
    <w:name w:val="paragraph"/>
    <w:basedOn w:val="ColorfulList-Accent11"/>
    <w:uiPriority w:val="99"/>
    <w:rsid w:val="00DF1828"/>
    <w:pPr>
      <w:keepNext/>
      <w:widowControl/>
      <w:spacing w:after="200" w:line="276" w:lineRule="auto"/>
      <w:contextualSpacing/>
    </w:pPr>
    <w:rPr>
      <w:rFonts w:eastAsia="Times New Roman"/>
      <w:b/>
      <w:lang w:val="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DF1828"/>
    <w:pPr>
      <w:tabs>
        <w:tab w:val="num" w:pos="720"/>
      </w:tabs>
      <w:spacing w:after="240" w:line="264" w:lineRule="auto"/>
      <w:ind w:left="720" w:hanging="720"/>
    </w:pPr>
    <w:rPr>
      <w:rFonts w:ascii="Times New Roman" w:hAnsi="Times New Roman"/>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DF1828"/>
    <w:rPr>
      <w:rFonts w:ascii="Times New Roman" w:hAnsi="Times New Roman"/>
      <w:sz w:val="24"/>
      <w:szCs w:val="24"/>
      <w:lang w:val="en-GB" w:eastAsia="en-US"/>
    </w:rPr>
  </w:style>
  <w:style w:type="paragraph" w:customStyle="1" w:styleId="LightGrid-Accent31">
    <w:name w:val="Light Grid - Accent 31"/>
    <w:basedOn w:val="Normal"/>
    <w:uiPriority w:val="34"/>
    <w:qFormat/>
    <w:rsid w:val="00DF1828"/>
    <w:pPr>
      <w:spacing w:after="200" w:line="276" w:lineRule="auto"/>
      <w:ind w:left="720"/>
      <w:contextualSpacing/>
      <w:jc w:val="both"/>
    </w:pPr>
    <w:rPr>
      <w:rFonts w:eastAsia="MS PGothic"/>
      <w:sz w:val="22"/>
      <w:szCs w:val="22"/>
      <w:lang w:eastAsia="zh-CN"/>
    </w:rPr>
  </w:style>
  <w:style w:type="paragraph" w:customStyle="1" w:styleId="BoxBullet">
    <w:name w:val="Box Bullet"/>
    <w:basedOn w:val="Normal"/>
    <w:uiPriority w:val="3"/>
    <w:qFormat/>
    <w:rsid w:val="00DF1828"/>
    <w:pPr>
      <w:spacing w:after="120"/>
      <w:ind w:left="720" w:hanging="360"/>
    </w:pPr>
    <w:rPr>
      <w:rFonts w:ascii="Segoe UI" w:eastAsia="MS Mincho" w:hAnsi="Segoe UI" w:cs="Segoe UI"/>
      <w:sz w:val="19"/>
      <w:szCs w:val="20"/>
      <w:lang w:val="en-US"/>
    </w:rPr>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uiPriority w:val="99"/>
    <w:qFormat/>
    <w:rsid w:val="00FF2753"/>
    <w:pPr>
      <w:widowControl w:val="0"/>
      <w:ind w:left="2100" w:hanging="360"/>
    </w:pPr>
    <w:rPr>
      <w:rFonts w:ascii="Arial Narrow" w:eastAsia="Arial Narrow" w:hAnsi="Arial Narrow" w:cs="Arial Narrow"/>
      <w:sz w:val="22"/>
      <w:szCs w:val="22"/>
      <w:lang w:val="en-US"/>
    </w:rPr>
  </w:style>
  <w:style w:type="character" w:customStyle="1" w:styleId="ListParagraphChar">
    <w:name w:val="List Paragraph Char"/>
    <w:aliases w:val="Bullet Points Char,Bullet Number Char,List Paragraph Char Char Char1,MAIN CONTENT Char,Párrafo de lista Char,Recommendation Char,List Paragraph2 Char,Graphic Char,Table/Figure Heading Char,Listeafsnit Char,Bullet List Char,列出段落 Char"/>
    <w:link w:val="ListParagraph"/>
    <w:uiPriority w:val="99"/>
    <w:qFormat/>
    <w:rsid w:val="0000324D"/>
    <w:rPr>
      <w:rFonts w:ascii="Arial Narrow" w:eastAsia="Arial Narrow" w:hAnsi="Arial Narrow" w:cs="Arial Narrow"/>
      <w:sz w:val="22"/>
      <w:szCs w:val="22"/>
      <w:lang w:val="en-US" w:eastAsia="en-US"/>
    </w:rPr>
  </w:style>
  <w:style w:type="paragraph" w:customStyle="1" w:styleId="Cell">
    <w:name w:val="Cell"/>
    <w:basedOn w:val="Normal"/>
    <w:uiPriority w:val="99"/>
    <w:qFormat/>
    <w:rsid w:val="00FF2753"/>
    <w:rPr>
      <w:rFonts w:ascii="Arial" w:eastAsia="Times New Roman" w:hAnsi="Arial" w:cs="Arial"/>
      <w:sz w:val="18"/>
      <w:szCs w:val="18"/>
      <w:lang w:eastAsia="zh-CN"/>
    </w:rPr>
  </w:style>
  <w:style w:type="paragraph" w:styleId="TOCHeading">
    <w:name w:val="TOC Heading"/>
    <w:basedOn w:val="Heading1"/>
    <w:next w:val="Normal"/>
    <w:uiPriority w:val="39"/>
    <w:unhideWhenUsed/>
    <w:qFormat/>
    <w:rsid w:val="005D1E34"/>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rPr>
  </w:style>
  <w:style w:type="character" w:styleId="Strong">
    <w:name w:val="Strong"/>
    <w:basedOn w:val="DefaultParagraphFont"/>
    <w:uiPriority w:val="22"/>
    <w:qFormat/>
    <w:rsid w:val="004B36BB"/>
    <w:rPr>
      <w:b/>
      <w:bCs/>
    </w:rPr>
  </w:style>
  <w:style w:type="paragraph" w:styleId="Revision">
    <w:name w:val="Revision"/>
    <w:hidden/>
    <w:uiPriority w:val="71"/>
    <w:semiHidden/>
    <w:rsid w:val="00D10763"/>
    <w:rPr>
      <w:sz w:val="24"/>
      <w:szCs w:val="24"/>
      <w:lang w:val="en-GB" w:eastAsia="en-US"/>
    </w:rPr>
  </w:style>
  <w:style w:type="paragraph" w:customStyle="1" w:styleId="BodyA">
    <w:name w:val="Body A"/>
    <w:uiPriority w:val="99"/>
    <w:rsid w:val="00950BEB"/>
    <w:pPr>
      <w:pBdr>
        <w:top w:val="nil"/>
        <w:left w:val="nil"/>
        <w:bottom w:val="nil"/>
        <w:right w:val="nil"/>
        <w:between w:val="nil"/>
        <w:bar w:val="nil"/>
      </w:pBdr>
      <w:spacing w:line="216" w:lineRule="auto"/>
      <w:jc w:val="both"/>
    </w:pPr>
    <w:rPr>
      <w:rFonts w:ascii="Times New Roman" w:eastAsia="Times New Roman" w:hAnsi="Times New Roman"/>
      <w:color w:val="000000"/>
      <w:sz w:val="24"/>
      <w:szCs w:val="24"/>
      <w:u w:color="000000"/>
      <w:bdr w:val="nil"/>
      <w:lang w:val="en-US" w:eastAsia="en-US"/>
    </w:rPr>
  </w:style>
  <w:style w:type="paragraph" w:customStyle="1" w:styleId="Pa22">
    <w:name w:val="Pa22"/>
    <w:basedOn w:val="Default"/>
    <w:next w:val="Default"/>
    <w:uiPriority w:val="99"/>
    <w:rsid w:val="005543C2"/>
    <w:pPr>
      <w:spacing w:line="241" w:lineRule="atLeast"/>
    </w:pPr>
    <w:rPr>
      <w:rFonts w:ascii="Times" w:eastAsiaTheme="minorHAnsi" w:hAnsi="Times" w:cs="Times"/>
      <w:color w:val="auto"/>
    </w:rPr>
  </w:style>
  <w:style w:type="table" w:customStyle="1" w:styleId="TableGrid1">
    <w:name w:val="Table Grid1"/>
    <w:basedOn w:val="TableNormal"/>
    <w:next w:val="TableGrid"/>
    <w:uiPriority w:val="39"/>
    <w:rsid w:val="001061C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A4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rsid w:val="00A41B52"/>
    <w:rPr>
      <w:rFonts w:ascii="Courier New" w:eastAsia="Times New Roman" w:hAnsi="Courier New" w:cs="Courier New"/>
    </w:rPr>
  </w:style>
  <w:style w:type="character" w:customStyle="1" w:styleId="table0020gridchar">
    <w:name w:val="table_0020grid__char"/>
    <w:basedOn w:val="DefaultParagraphFont"/>
    <w:rsid w:val="00743563"/>
  </w:style>
  <w:style w:type="paragraph" w:customStyle="1" w:styleId="OCtext">
    <w:name w:val="OC text"/>
    <w:basedOn w:val="Normal"/>
    <w:uiPriority w:val="99"/>
    <w:qFormat/>
    <w:rsid w:val="00CE308D"/>
    <w:pPr>
      <w:shd w:val="clear" w:color="auto" w:fill="FFFFFF"/>
      <w:spacing w:after="240"/>
      <w:jc w:val="both"/>
    </w:pPr>
    <w:rPr>
      <w:rFonts w:ascii="Times New Roman" w:eastAsia="Times New Roman" w:hAnsi="Times New Roman"/>
      <w:color w:val="000000"/>
      <w:sz w:val="20"/>
      <w:lang w:eastAsia="en-GB"/>
    </w:rPr>
  </w:style>
  <w:style w:type="paragraph" w:styleId="NoSpacing">
    <w:name w:val="No Spacing"/>
    <w:uiPriority w:val="1"/>
    <w:qFormat/>
    <w:rsid w:val="0057176B"/>
    <w:rPr>
      <w:sz w:val="22"/>
      <w:szCs w:val="22"/>
      <w:lang w:val="en-US" w:eastAsia="en-US"/>
    </w:rPr>
  </w:style>
  <w:style w:type="character" w:customStyle="1" w:styleId="tlid-translation">
    <w:name w:val="tlid-translation"/>
    <w:basedOn w:val="DefaultParagraphFont"/>
    <w:rsid w:val="000969D0"/>
  </w:style>
  <w:style w:type="table" w:customStyle="1" w:styleId="PlainTable31">
    <w:name w:val="Plain Table 31"/>
    <w:basedOn w:val="TableNormal"/>
    <w:uiPriority w:val="43"/>
    <w:rsid w:val="0095141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abletextChar">
    <w:name w:val="Table text Char"/>
    <w:link w:val="Tabletext"/>
    <w:rsid w:val="00C04499"/>
    <w:rPr>
      <w:rFonts w:cs="Arial"/>
      <w:color w:val="616264"/>
    </w:rPr>
  </w:style>
  <w:style w:type="paragraph" w:customStyle="1" w:styleId="Tabletext">
    <w:name w:val="Table text"/>
    <w:basedOn w:val="Normal"/>
    <w:link w:val="TabletextChar"/>
    <w:qFormat/>
    <w:rsid w:val="00C04499"/>
    <w:pPr>
      <w:jc w:val="center"/>
    </w:pPr>
    <w:rPr>
      <w:rFonts w:cs="Arial"/>
      <w:color w:val="616264"/>
      <w:sz w:val="20"/>
      <w:szCs w:val="20"/>
      <w:lang w:eastAsia="sq-AL"/>
    </w:rPr>
  </w:style>
  <w:style w:type="paragraph" w:customStyle="1" w:styleId="Char2">
    <w:name w:val="Char2"/>
    <w:basedOn w:val="Normal"/>
    <w:uiPriority w:val="99"/>
    <w:rsid w:val="0099131A"/>
    <w:pPr>
      <w:spacing w:after="160" w:line="240" w:lineRule="exact"/>
    </w:pPr>
    <w:rPr>
      <w:rFonts w:asciiTheme="minorHAnsi" w:eastAsiaTheme="minorHAnsi" w:hAnsiTheme="minorHAnsi" w:cstheme="minorBidi"/>
      <w:sz w:val="22"/>
      <w:szCs w:val="22"/>
      <w:vertAlign w:val="superscript"/>
      <w:lang w:val="en-US"/>
    </w:rPr>
  </w:style>
  <w:style w:type="character" w:customStyle="1" w:styleId="BulletedChar">
    <w:name w:val="Bulleted Char"/>
    <w:link w:val="Bulleted"/>
    <w:locked/>
    <w:rsid w:val="009A1A2A"/>
  </w:style>
  <w:style w:type="paragraph" w:customStyle="1" w:styleId="Bulleted">
    <w:name w:val="Bulleted"/>
    <w:basedOn w:val="Normal"/>
    <w:link w:val="BulletedChar"/>
    <w:qFormat/>
    <w:rsid w:val="009A1A2A"/>
    <w:rPr>
      <w:sz w:val="20"/>
      <w:szCs w:val="20"/>
      <w:lang w:eastAsia="sq-AL"/>
    </w:rPr>
  </w:style>
  <w:style w:type="character" w:customStyle="1" w:styleId="normalchar">
    <w:name w:val="normal__char"/>
    <w:basedOn w:val="DefaultParagraphFont"/>
    <w:rsid w:val="007200DC"/>
  </w:style>
  <w:style w:type="paragraph" w:customStyle="1" w:styleId="RowsHeading">
    <w:name w:val="Rows Heading"/>
    <w:basedOn w:val="Normal"/>
    <w:uiPriority w:val="99"/>
    <w:rsid w:val="000E44D7"/>
    <w:rPr>
      <w:rFonts w:ascii="Arial" w:hAnsi="Arial" w:cs="Arial"/>
      <w:sz w:val="18"/>
      <w:szCs w:val="18"/>
      <w:lang w:eastAsia="zh-CN"/>
    </w:rPr>
  </w:style>
  <w:style w:type="character" w:styleId="PlaceholderText">
    <w:name w:val="Placeholder Text"/>
    <w:basedOn w:val="DefaultParagraphFont"/>
    <w:uiPriority w:val="99"/>
    <w:unhideWhenUsed/>
    <w:rsid w:val="007D4888"/>
    <w:rPr>
      <w:color w:val="808080"/>
    </w:rPr>
  </w:style>
  <w:style w:type="table" w:customStyle="1" w:styleId="GridTable1Light1">
    <w:name w:val="Grid Table 1 Light1"/>
    <w:basedOn w:val="TableNormal"/>
    <w:uiPriority w:val="46"/>
    <w:rsid w:val="005E1631"/>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903866"/>
    <w:rPr>
      <w:rFonts w:asciiTheme="minorHAnsi" w:eastAsiaTheme="minorHAnsi" w:hAnsiTheme="minorHAnsi" w:cstheme="minorBidi"/>
      <w:sz w:val="22"/>
      <w:szCs w:val="22"/>
      <w:lang w:val="en-US"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03866"/>
    <w:rPr>
      <w:rFonts w:asciiTheme="minorHAnsi" w:eastAsiaTheme="minorHAnsi" w:hAnsiTheme="minorHAnsi" w:cstheme="minorBidi"/>
      <w:sz w:val="22"/>
      <w:szCs w:val="22"/>
      <w:lang w:val="en-US"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2">
    <w:name w:val="Pa2"/>
    <w:basedOn w:val="Normal"/>
    <w:next w:val="Normal"/>
    <w:uiPriority w:val="99"/>
    <w:rsid w:val="00364CA8"/>
    <w:pPr>
      <w:autoSpaceDE w:val="0"/>
      <w:autoSpaceDN w:val="0"/>
      <w:adjustRightInd w:val="0"/>
      <w:spacing w:line="241" w:lineRule="atLeast"/>
    </w:pPr>
    <w:rPr>
      <w:rFonts w:ascii="ARS Maquette Pro" w:eastAsiaTheme="minorHAnsi" w:hAnsi="ARS Maquette Pro" w:cstheme="minorBidi"/>
      <w:lang w:val="en-US"/>
    </w:rPr>
  </w:style>
  <w:style w:type="character" w:customStyle="1" w:styleId="A2">
    <w:name w:val="A2"/>
    <w:uiPriority w:val="99"/>
    <w:rsid w:val="00364CA8"/>
    <w:rPr>
      <w:rFonts w:cs="ARS Maquette Pro"/>
      <w:color w:val="000000"/>
      <w:sz w:val="22"/>
      <w:szCs w:val="22"/>
    </w:rPr>
  </w:style>
  <w:style w:type="character" w:customStyle="1" w:styleId="A10">
    <w:name w:val="A10"/>
    <w:uiPriority w:val="99"/>
    <w:rsid w:val="00364CA8"/>
    <w:rPr>
      <w:rFonts w:cs="ARS Maquette Pro"/>
      <w:color w:val="000000"/>
      <w:sz w:val="12"/>
      <w:szCs w:val="12"/>
    </w:rPr>
  </w:style>
  <w:style w:type="paragraph" w:customStyle="1" w:styleId="Text1">
    <w:name w:val="Text 1"/>
    <w:basedOn w:val="Normal"/>
    <w:qFormat/>
    <w:rsid w:val="00270CFE"/>
    <w:pPr>
      <w:suppressAutoHyphens/>
      <w:ind w:left="482"/>
    </w:pPr>
    <w:rPr>
      <w:rFonts w:ascii="Times New Roman" w:eastAsia="Times New Roman" w:hAnsi="Times New Roman"/>
      <w:lang w:eastAsia="en-GB"/>
    </w:rPr>
  </w:style>
  <w:style w:type="paragraph" w:styleId="EndnoteText">
    <w:name w:val="endnote text"/>
    <w:basedOn w:val="Normal"/>
    <w:link w:val="EndnoteTextChar"/>
    <w:uiPriority w:val="99"/>
    <w:semiHidden/>
    <w:unhideWhenUsed/>
    <w:rsid w:val="00762E16"/>
    <w:rPr>
      <w:sz w:val="20"/>
      <w:szCs w:val="20"/>
    </w:rPr>
  </w:style>
  <w:style w:type="character" w:customStyle="1" w:styleId="EndnoteTextChar">
    <w:name w:val="Endnote Text Char"/>
    <w:basedOn w:val="DefaultParagraphFont"/>
    <w:link w:val="EndnoteText"/>
    <w:uiPriority w:val="99"/>
    <w:semiHidden/>
    <w:rsid w:val="00762E16"/>
    <w:rPr>
      <w:lang w:val="en-GB" w:eastAsia="en-US"/>
    </w:rPr>
  </w:style>
  <w:style w:type="character" w:styleId="EndnoteReference">
    <w:name w:val="endnote reference"/>
    <w:basedOn w:val="DefaultParagraphFont"/>
    <w:uiPriority w:val="99"/>
    <w:semiHidden/>
    <w:unhideWhenUsed/>
    <w:rsid w:val="00762E16"/>
    <w:rPr>
      <w:vertAlign w:val="superscript"/>
    </w:rPr>
  </w:style>
  <w:style w:type="paragraph" w:customStyle="1" w:styleId="ECABullets">
    <w:name w:val="ECA Bullets"/>
    <w:basedOn w:val="Normal"/>
    <w:link w:val="ECABulletsChar"/>
    <w:qFormat/>
    <w:rsid w:val="002F736A"/>
    <w:pPr>
      <w:numPr>
        <w:numId w:val="9"/>
      </w:numPr>
      <w:spacing w:before="240" w:after="240"/>
    </w:pPr>
    <w:rPr>
      <w:rFonts w:ascii="Book Antiqua" w:eastAsia="Times New Roman" w:hAnsi="Book Antiqua"/>
      <w:sz w:val="22"/>
      <w:szCs w:val="20"/>
    </w:rPr>
  </w:style>
  <w:style w:type="character" w:customStyle="1" w:styleId="ECABulletsChar">
    <w:name w:val="ECA Bullets Char"/>
    <w:link w:val="ECABullets"/>
    <w:rsid w:val="002F736A"/>
    <w:rPr>
      <w:rFonts w:ascii="Book Antiqua" w:eastAsia="Times New Roman" w:hAnsi="Book Antiqua"/>
      <w:sz w:val="22"/>
      <w:lang w:val="en-GB" w:eastAsia="en-US"/>
    </w:rPr>
  </w:style>
  <w:style w:type="paragraph" w:customStyle="1" w:styleId="ECABulletsSub">
    <w:name w:val="ECA Bullets Sub"/>
    <w:basedOn w:val="Normal"/>
    <w:qFormat/>
    <w:rsid w:val="002F736A"/>
    <w:pPr>
      <w:numPr>
        <w:ilvl w:val="1"/>
        <w:numId w:val="9"/>
      </w:numPr>
      <w:spacing w:before="240" w:after="240"/>
    </w:pPr>
    <w:rPr>
      <w:rFonts w:ascii="Book Antiqua" w:eastAsia="Times New Roman" w:hAnsi="Book Antiqua"/>
      <w:sz w:val="22"/>
      <w:szCs w:val="20"/>
    </w:rPr>
  </w:style>
  <w:style w:type="paragraph" w:customStyle="1" w:styleId="ECABulletsSub-Sub">
    <w:name w:val="ECA Bullets Sub-Sub"/>
    <w:basedOn w:val="Normal"/>
    <w:autoRedefine/>
    <w:qFormat/>
    <w:rsid w:val="002F736A"/>
    <w:pPr>
      <w:tabs>
        <w:tab w:val="num" w:pos="2268"/>
      </w:tabs>
      <w:spacing w:after="240"/>
      <w:ind w:left="2268" w:hanging="567"/>
    </w:pPr>
    <w:rPr>
      <w:rFonts w:ascii="Book Antiqua" w:eastAsia="Times New Roman" w:hAnsi="Book Antiqua"/>
      <w:sz w:val="22"/>
      <w:szCs w:val="20"/>
    </w:rPr>
  </w:style>
  <w:style w:type="table" w:customStyle="1" w:styleId="GridTable1Light10">
    <w:name w:val="Grid Table 1 Light1"/>
    <w:basedOn w:val="TableNormal"/>
    <w:uiPriority w:val="46"/>
    <w:rsid w:val="0035214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352148"/>
  </w:style>
  <w:style w:type="character" w:customStyle="1" w:styleId="jlqj4b">
    <w:name w:val="jlqj4b"/>
    <w:basedOn w:val="DefaultParagraphFont"/>
    <w:rsid w:val="00352148"/>
  </w:style>
  <w:style w:type="paragraph" w:customStyle="1" w:styleId="xmsonormal">
    <w:name w:val="x_msonormal"/>
    <w:basedOn w:val="Normal"/>
    <w:rsid w:val="00D022F4"/>
    <w:pPr>
      <w:spacing w:before="100" w:beforeAutospacing="1" w:after="100" w:afterAutospacing="1"/>
    </w:pPr>
    <w:rPr>
      <w:rFonts w:ascii="Times New Roman" w:eastAsia="Times New Roman" w:hAnsi="Times New Roman"/>
      <w:lang w:val="en-US"/>
    </w:rPr>
  </w:style>
  <w:style w:type="table" w:customStyle="1" w:styleId="TableGrid2">
    <w:name w:val="Table Grid2"/>
    <w:basedOn w:val="TableNormal"/>
    <w:next w:val="TableGrid"/>
    <w:uiPriority w:val="59"/>
    <w:rsid w:val="008725CE"/>
    <w:pPr>
      <w:widowControl w:val="0"/>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rt0xe">
    <w:name w:val="trt0xe"/>
    <w:basedOn w:val="Normal"/>
    <w:rsid w:val="0092752A"/>
    <w:pPr>
      <w:spacing w:before="100" w:beforeAutospacing="1" w:after="100" w:afterAutospacing="1"/>
    </w:pPr>
    <w:rPr>
      <w:rFonts w:ascii="Times New Roman" w:eastAsia="Times New Roman" w:hAnsi="Times New Roman"/>
      <w:lang w:val="en-US"/>
    </w:rPr>
  </w:style>
  <w:style w:type="table" w:customStyle="1" w:styleId="TableGrid11">
    <w:name w:val="Table Grid11"/>
    <w:basedOn w:val="TableNormal"/>
    <w:next w:val="TableGrid"/>
    <w:uiPriority w:val="39"/>
    <w:rsid w:val="004F59F4"/>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Normal"/>
    <w:next w:val="FootnoteText"/>
    <w:uiPriority w:val="99"/>
    <w:unhideWhenUsed/>
    <w:qFormat/>
    <w:rsid w:val="00A86175"/>
    <w:rPr>
      <w:rFonts w:asciiTheme="minorHAnsi" w:eastAsiaTheme="minorHAnsi" w:hAnsiTheme="minorHAnsi" w:cstheme="minorBidi"/>
      <w:sz w:val="20"/>
      <w:szCs w:val="20"/>
      <w:lang w:val="en-US"/>
    </w:rPr>
  </w:style>
  <w:style w:type="character" w:customStyle="1" w:styleId="FootnoteTextChar1">
    <w:name w:val="Footnote Text Char1"/>
    <w:aliases w:val="Footnote Text Char Char Char Char1,Footnote Text Char Char Char2,Fußnote Char1,Testo nota a piè di pagina Carattere Char1,Geneva 9 Char1,Font: Geneva 9 Char1,Boston 10 Char1,f Char1,single space Char1,FOOTNOTES Char1,fn Char1,C Char1"/>
    <w:basedOn w:val="DefaultParagraphFont"/>
    <w:uiPriority w:val="99"/>
    <w:semiHidden/>
    <w:rsid w:val="00A86175"/>
    <w:rPr>
      <w:sz w:val="20"/>
      <w:szCs w:val="20"/>
    </w:rPr>
  </w:style>
  <w:style w:type="character" w:customStyle="1" w:styleId="y2iqfc">
    <w:name w:val="y2iqfc"/>
    <w:basedOn w:val="DefaultParagraphFont"/>
    <w:rsid w:val="00A72F9A"/>
  </w:style>
  <w:style w:type="table" w:customStyle="1" w:styleId="TableGrid31">
    <w:name w:val="Table Grid31"/>
    <w:basedOn w:val="TableNormal"/>
    <w:uiPriority w:val="39"/>
    <w:rsid w:val="00BC0117"/>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11">
    <w:name w:val="Grid Table 1 Light11"/>
    <w:basedOn w:val="TableNormal"/>
    <w:uiPriority w:val="46"/>
    <w:rsid w:val="00BC0117"/>
    <w:rPr>
      <w:rFonts w:asciiTheme="minorHAnsi" w:eastAsiaTheme="minorHAnsi" w:hAnsiTheme="minorHAnsi" w:cstheme="minorBidi"/>
      <w:sz w:val="22"/>
      <w:szCs w:val="22"/>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BC0117"/>
    <w:rPr>
      <w:rFonts w:asciiTheme="minorHAnsi" w:eastAsiaTheme="minorHAnsi" w:hAnsiTheme="minorHAnsi" w:cstheme="minorBidi"/>
      <w:sz w:val="22"/>
      <w:szCs w:val="22"/>
      <w:lang w:val="en-US" w:eastAsia="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1">
    <w:name w:val="Grid Table 4 - Accent 51"/>
    <w:basedOn w:val="TableNormal"/>
    <w:uiPriority w:val="49"/>
    <w:rsid w:val="00BC0117"/>
    <w:rPr>
      <w:rFonts w:asciiTheme="minorHAnsi" w:eastAsiaTheme="minorHAnsi" w:hAnsiTheme="minorHAnsi" w:cstheme="minorBidi"/>
      <w:sz w:val="22"/>
      <w:szCs w:val="22"/>
      <w:lang w:val="en-US" w:eastAsia="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32">
    <w:name w:val="Table Grid32"/>
    <w:basedOn w:val="TableNormal"/>
    <w:uiPriority w:val="39"/>
    <w:rsid w:val="00A65EAE"/>
    <w:pPr>
      <w:widowControl w:val="0"/>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39"/>
    <w:rsid w:val="00A65EAE"/>
    <w:pPr>
      <w:widowControl w:val="0"/>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094A26"/>
    <w:rPr>
      <w:rFonts w:ascii="Times New Roman" w:eastAsia="Times New Roman" w:hAnsi="Times New Roman"/>
      <w:i/>
      <w:iCs/>
      <w:color w:val="000000" w:themeColor="text1"/>
      <w:lang w:val="en-US"/>
    </w:rPr>
  </w:style>
  <w:style w:type="character" w:customStyle="1" w:styleId="QuoteChar">
    <w:name w:val="Quote Char"/>
    <w:basedOn w:val="DefaultParagraphFont"/>
    <w:link w:val="Quote"/>
    <w:uiPriority w:val="29"/>
    <w:rsid w:val="00094A26"/>
    <w:rPr>
      <w:rFonts w:ascii="Times New Roman" w:eastAsia="Times New Roman" w:hAnsi="Times New Roman"/>
      <w:i/>
      <w:iCs/>
      <w:color w:val="000000" w:themeColor="text1"/>
      <w:sz w:val="24"/>
      <w:szCs w:val="24"/>
      <w:lang w:val="en-US" w:eastAsia="en-US"/>
    </w:rPr>
  </w:style>
  <w:style w:type="paragraph" w:customStyle="1" w:styleId="AAAAAAATEXXXX">
    <w:name w:val="AAAAAAATEXXXX"/>
    <w:basedOn w:val="ListParagraph"/>
    <w:qFormat/>
    <w:rsid w:val="00DC72BD"/>
    <w:pPr>
      <w:tabs>
        <w:tab w:val="left" w:pos="720"/>
      </w:tabs>
      <w:ind w:left="0" w:firstLine="284"/>
      <w:jc w:val="both"/>
    </w:pPr>
    <w:rPr>
      <w:rFonts w:ascii="Garamond" w:hAnsi="Garamond" w:cs="Times New Roman"/>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59572">
      <w:bodyDiv w:val="1"/>
      <w:marLeft w:val="0"/>
      <w:marRight w:val="0"/>
      <w:marTop w:val="0"/>
      <w:marBottom w:val="0"/>
      <w:divBdr>
        <w:top w:val="none" w:sz="0" w:space="0" w:color="auto"/>
        <w:left w:val="none" w:sz="0" w:space="0" w:color="auto"/>
        <w:bottom w:val="none" w:sz="0" w:space="0" w:color="auto"/>
        <w:right w:val="none" w:sz="0" w:space="0" w:color="auto"/>
      </w:divBdr>
    </w:div>
    <w:div w:id="105125374">
      <w:bodyDiv w:val="1"/>
      <w:marLeft w:val="0"/>
      <w:marRight w:val="0"/>
      <w:marTop w:val="0"/>
      <w:marBottom w:val="0"/>
      <w:divBdr>
        <w:top w:val="none" w:sz="0" w:space="0" w:color="auto"/>
        <w:left w:val="none" w:sz="0" w:space="0" w:color="auto"/>
        <w:bottom w:val="none" w:sz="0" w:space="0" w:color="auto"/>
        <w:right w:val="none" w:sz="0" w:space="0" w:color="auto"/>
      </w:divBdr>
    </w:div>
    <w:div w:id="148139406">
      <w:bodyDiv w:val="1"/>
      <w:marLeft w:val="0"/>
      <w:marRight w:val="0"/>
      <w:marTop w:val="0"/>
      <w:marBottom w:val="0"/>
      <w:divBdr>
        <w:top w:val="none" w:sz="0" w:space="0" w:color="auto"/>
        <w:left w:val="none" w:sz="0" w:space="0" w:color="auto"/>
        <w:bottom w:val="none" w:sz="0" w:space="0" w:color="auto"/>
        <w:right w:val="none" w:sz="0" w:space="0" w:color="auto"/>
      </w:divBdr>
    </w:div>
    <w:div w:id="159741038">
      <w:bodyDiv w:val="1"/>
      <w:marLeft w:val="0"/>
      <w:marRight w:val="0"/>
      <w:marTop w:val="0"/>
      <w:marBottom w:val="0"/>
      <w:divBdr>
        <w:top w:val="none" w:sz="0" w:space="0" w:color="auto"/>
        <w:left w:val="none" w:sz="0" w:space="0" w:color="auto"/>
        <w:bottom w:val="none" w:sz="0" w:space="0" w:color="auto"/>
        <w:right w:val="none" w:sz="0" w:space="0" w:color="auto"/>
      </w:divBdr>
    </w:div>
    <w:div w:id="192503976">
      <w:bodyDiv w:val="1"/>
      <w:marLeft w:val="0"/>
      <w:marRight w:val="0"/>
      <w:marTop w:val="0"/>
      <w:marBottom w:val="0"/>
      <w:divBdr>
        <w:top w:val="none" w:sz="0" w:space="0" w:color="auto"/>
        <w:left w:val="none" w:sz="0" w:space="0" w:color="auto"/>
        <w:bottom w:val="none" w:sz="0" w:space="0" w:color="auto"/>
        <w:right w:val="none" w:sz="0" w:space="0" w:color="auto"/>
      </w:divBdr>
    </w:div>
    <w:div w:id="198932017">
      <w:bodyDiv w:val="1"/>
      <w:marLeft w:val="0"/>
      <w:marRight w:val="0"/>
      <w:marTop w:val="0"/>
      <w:marBottom w:val="0"/>
      <w:divBdr>
        <w:top w:val="none" w:sz="0" w:space="0" w:color="auto"/>
        <w:left w:val="none" w:sz="0" w:space="0" w:color="auto"/>
        <w:bottom w:val="none" w:sz="0" w:space="0" w:color="auto"/>
        <w:right w:val="none" w:sz="0" w:space="0" w:color="auto"/>
      </w:divBdr>
    </w:div>
    <w:div w:id="298533707">
      <w:bodyDiv w:val="1"/>
      <w:marLeft w:val="0"/>
      <w:marRight w:val="0"/>
      <w:marTop w:val="0"/>
      <w:marBottom w:val="0"/>
      <w:divBdr>
        <w:top w:val="none" w:sz="0" w:space="0" w:color="auto"/>
        <w:left w:val="none" w:sz="0" w:space="0" w:color="auto"/>
        <w:bottom w:val="none" w:sz="0" w:space="0" w:color="auto"/>
        <w:right w:val="none" w:sz="0" w:space="0" w:color="auto"/>
      </w:divBdr>
    </w:div>
    <w:div w:id="358354704">
      <w:bodyDiv w:val="1"/>
      <w:marLeft w:val="0"/>
      <w:marRight w:val="0"/>
      <w:marTop w:val="0"/>
      <w:marBottom w:val="0"/>
      <w:divBdr>
        <w:top w:val="none" w:sz="0" w:space="0" w:color="auto"/>
        <w:left w:val="none" w:sz="0" w:space="0" w:color="auto"/>
        <w:bottom w:val="none" w:sz="0" w:space="0" w:color="auto"/>
        <w:right w:val="none" w:sz="0" w:space="0" w:color="auto"/>
      </w:divBdr>
    </w:div>
    <w:div w:id="369956699">
      <w:bodyDiv w:val="1"/>
      <w:marLeft w:val="0"/>
      <w:marRight w:val="0"/>
      <w:marTop w:val="0"/>
      <w:marBottom w:val="0"/>
      <w:divBdr>
        <w:top w:val="none" w:sz="0" w:space="0" w:color="auto"/>
        <w:left w:val="none" w:sz="0" w:space="0" w:color="auto"/>
        <w:bottom w:val="none" w:sz="0" w:space="0" w:color="auto"/>
        <w:right w:val="none" w:sz="0" w:space="0" w:color="auto"/>
      </w:divBdr>
    </w:div>
    <w:div w:id="472798126">
      <w:bodyDiv w:val="1"/>
      <w:marLeft w:val="0"/>
      <w:marRight w:val="0"/>
      <w:marTop w:val="0"/>
      <w:marBottom w:val="0"/>
      <w:divBdr>
        <w:top w:val="none" w:sz="0" w:space="0" w:color="auto"/>
        <w:left w:val="none" w:sz="0" w:space="0" w:color="auto"/>
        <w:bottom w:val="none" w:sz="0" w:space="0" w:color="auto"/>
        <w:right w:val="none" w:sz="0" w:space="0" w:color="auto"/>
      </w:divBdr>
    </w:div>
    <w:div w:id="551037729">
      <w:bodyDiv w:val="1"/>
      <w:marLeft w:val="0"/>
      <w:marRight w:val="0"/>
      <w:marTop w:val="0"/>
      <w:marBottom w:val="0"/>
      <w:divBdr>
        <w:top w:val="none" w:sz="0" w:space="0" w:color="auto"/>
        <w:left w:val="none" w:sz="0" w:space="0" w:color="auto"/>
        <w:bottom w:val="none" w:sz="0" w:space="0" w:color="auto"/>
        <w:right w:val="none" w:sz="0" w:space="0" w:color="auto"/>
      </w:divBdr>
    </w:div>
    <w:div w:id="575211775">
      <w:bodyDiv w:val="1"/>
      <w:marLeft w:val="0"/>
      <w:marRight w:val="0"/>
      <w:marTop w:val="0"/>
      <w:marBottom w:val="0"/>
      <w:divBdr>
        <w:top w:val="none" w:sz="0" w:space="0" w:color="auto"/>
        <w:left w:val="none" w:sz="0" w:space="0" w:color="auto"/>
        <w:bottom w:val="none" w:sz="0" w:space="0" w:color="auto"/>
        <w:right w:val="none" w:sz="0" w:space="0" w:color="auto"/>
      </w:divBdr>
    </w:div>
    <w:div w:id="604776331">
      <w:bodyDiv w:val="1"/>
      <w:marLeft w:val="0"/>
      <w:marRight w:val="0"/>
      <w:marTop w:val="0"/>
      <w:marBottom w:val="0"/>
      <w:divBdr>
        <w:top w:val="none" w:sz="0" w:space="0" w:color="auto"/>
        <w:left w:val="none" w:sz="0" w:space="0" w:color="auto"/>
        <w:bottom w:val="none" w:sz="0" w:space="0" w:color="auto"/>
        <w:right w:val="none" w:sz="0" w:space="0" w:color="auto"/>
      </w:divBdr>
    </w:div>
    <w:div w:id="687490555">
      <w:bodyDiv w:val="1"/>
      <w:marLeft w:val="0"/>
      <w:marRight w:val="0"/>
      <w:marTop w:val="0"/>
      <w:marBottom w:val="0"/>
      <w:divBdr>
        <w:top w:val="none" w:sz="0" w:space="0" w:color="auto"/>
        <w:left w:val="none" w:sz="0" w:space="0" w:color="auto"/>
        <w:bottom w:val="none" w:sz="0" w:space="0" w:color="auto"/>
        <w:right w:val="none" w:sz="0" w:space="0" w:color="auto"/>
      </w:divBdr>
    </w:div>
    <w:div w:id="741484845">
      <w:bodyDiv w:val="1"/>
      <w:marLeft w:val="0"/>
      <w:marRight w:val="0"/>
      <w:marTop w:val="0"/>
      <w:marBottom w:val="0"/>
      <w:divBdr>
        <w:top w:val="none" w:sz="0" w:space="0" w:color="auto"/>
        <w:left w:val="none" w:sz="0" w:space="0" w:color="auto"/>
        <w:bottom w:val="none" w:sz="0" w:space="0" w:color="auto"/>
        <w:right w:val="none" w:sz="0" w:space="0" w:color="auto"/>
      </w:divBdr>
    </w:div>
    <w:div w:id="758406448">
      <w:bodyDiv w:val="1"/>
      <w:marLeft w:val="0"/>
      <w:marRight w:val="0"/>
      <w:marTop w:val="0"/>
      <w:marBottom w:val="0"/>
      <w:divBdr>
        <w:top w:val="none" w:sz="0" w:space="0" w:color="auto"/>
        <w:left w:val="none" w:sz="0" w:space="0" w:color="auto"/>
        <w:bottom w:val="none" w:sz="0" w:space="0" w:color="auto"/>
        <w:right w:val="none" w:sz="0" w:space="0" w:color="auto"/>
      </w:divBdr>
    </w:div>
    <w:div w:id="760377178">
      <w:bodyDiv w:val="1"/>
      <w:marLeft w:val="0"/>
      <w:marRight w:val="0"/>
      <w:marTop w:val="0"/>
      <w:marBottom w:val="0"/>
      <w:divBdr>
        <w:top w:val="none" w:sz="0" w:space="0" w:color="auto"/>
        <w:left w:val="none" w:sz="0" w:space="0" w:color="auto"/>
        <w:bottom w:val="none" w:sz="0" w:space="0" w:color="auto"/>
        <w:right w:val="none" w:sz="0" w:space="0" w:color="auto"/>
      </w:divBdr>
    </w:div>
    <w:div w:id="761684368">
      <w:bodyDiv w:val="1"/>
      <w:marLeft w:val="0"/>
      <w:marRight w:val="0"/>
      <w:marTop w:val="0"/>
      <w:marBottom w:val="0"/>
      <w:divBdr>
        <w:top w:val="none" w:sz="0" w:space="0" w:color="auto"/>
        <w:left w:val="none" w:sz="0" w:space="0" w:color="auto"/>
        <w:bottom w:val="none" w:sz="0" w:space="0" w:color="auto"/>
        <w:right w:val="none" w:sz="0" w:space="0" w:color="auto"/>
      </w:divBdr>
    </w:div>
    <w:div w:id="787507907">
      <w:bodyDiv w:val="1"/>
      <w:marLeft w:val="0"/>
      <w:marRight w:val="0"/>
      <w:marTop w:val="0"/>
      <w:marBottom w:val="0"/>
      <w:divBdr>
        <w:top w:val="none" w:sz="0" w:space="0" w:color="auto"/>
        <w:left w:val="none" w:sz="0" w:space="0" w:color="auto"/>
        <w:bottom w:val="none" w:sz="0" w:space="0" w:color="auto"/>
        <w:right w:val="none" w:sz="0" w:space="0" w:color="auto"/>
      </w:divBdr>
    </w:div>
    <w:div w:id="793905997">
      <w:bodyDiv w:val="1"/>
      <w:marLeft w:val="0"/>
      <w:marRight w:val="0"/>
      <w:marTop w:val="0"/>
      <w:marBottom w:val="0"/>
      <w:divBdr>
        <w:top w:val="none" w:sz="0" w:space="0" w:color="auto"/>
        <w:left w:val="none" w:sz="0" w:space="0" w:color="auto"/>
        <w:bottom w:val="none" w:sz="0" w:space="0" w:color="auto"/>
        <w:right w:val="none" w:sz="0" w:space="0" w:color="auto"/>
      </w:divBdr>
    </w:div>
    <w:div w:id="798499894">
      <w:bodyDiv w:val="1"/>
      <w:marLeft w:val="0"/>
      <w:marRight w:val="0"/>
      <w:marTop w:val="0"/>
      <w:marBottom w:val="0"/>
      <w:divBdr>
        <w:top w:val="none" w:sz="0" w:space="0" w:color="auto"/>
        <w:left w:val="none" w:sz="0" w:space="0" w:color="auto"/>
        <w:bottom w:val="none" w:sz="0" w:space="0" w:color="auto"/>
        <w:right w:val="none" w:sz="0" w:space="0" w:color="auto"/>
      </w:divBdr>
    </w:div>
    <w:div w:id="845746835">
      <w:bodyDiv w:val="1"/>
      <w:marLeft w:val="0"/>
      <w:marRight w:val="0"/>
      <w:marTop w:val="0"/>
      <w:marBottom w:val="0"/>
      <w:divBdr>
        <w:top w:val="none" w:sz="0" w:space="0" w:color="auto"/>
        <w:left w:val="none" w:sz="0" w:space="0" w:color="auto"/>
        <w:bottom w:val="none" w:sz="0" w:space="0" w:color="auto"/>
        <w:right w:val="none" w:sz="0" w:space="0" w:color="auto"/>
      </w:divBdr>
    </w:div>
    <w:div w:id="855196010">
      <w:bodyDiv w:val="1"/>
      <w:marLeft w:val="0"/>
      <w:marRight w:val="0"/>
      <w:marTop w:val="0"/>
      <w:marBottom w:val="0"/>
      <w:divBdr>
        <w:top w:val="none" w:sz="0" w:space="0" w:color="auto"/>
        <w:left w:val="none" w:sz="0" w:space="0" w:color="auto"/>
        <w:bottom w:val="none" w:sz="0" w:space="0" w:color="auto"/>
        <w:right w:val="none" w:sz="0" w:space="0" w:color="auto"/>
      </w:divBdr>
    </w:div>
    <w:div w:id="876426737">
      <w:bodyDiv w:val="1"/>
      <w:marLeft w:val="0"/>
      <w:marRight w:val="0"/>
      <w:marTop w:val="0"/>
      <w:marBottom w:val="0"/>
      <w:divBdr>
        <w:top w:val="none" w:sz="0" w:space="0" w:color="auto"/>
        <w:left w:val="none" w:sz="0" w:space="0" w:color="auto"/>
        <w:bottom w:val="none" w:sz="0" w:space="0" w:color="auto"/>
        <w:right w:val="none" w:sz="0" w:space="0" w:color="auto"/>
      </w:divBdr>
    </w:div>
    <w:div w:id="894311811">
      <w:bodyDiv w:val="1"/>
      <w:marLeft w:val="0"/>
      <w:marRight w:val="0"/>
      <w:marTop w:val="0"/>
      <w:marBottom w:val="0"/>
      <w:divBdr>
        <w:top w:val="none" w:sz="0" w:space="0" w:color="auto"/>
        <w:left w:val="none" w:sz="0" w:space="0" w:color="auto"/>
        <w:bottom w:val="none" w:sz="0" w:space="0" w:color="auto"/>
        <w:right w:val="none" w:sz="0" w:space="0" w:color="auto"/>
      </w:divBdr>
    </w:div>
    <w:div w:id="920678869">
      <w:bodyDiv w:val="1"/>
      <w:marLeft w:val="0"/>
      <w:marRight w:val="0"/>
      <w:marTop w:val="0"/>
      <w:marBottom w:val="0"/>
      <w:divBdr>
        <w:top w:val="none" w:sz="0" w:space="0" w:color="auto"/>
        <w:left w:val="none" w:sz="0" w:space="0" w:color="auto"/>
        <w:bottom w:val="none" w:sz="0" w:space="0" w:color="auto"/>
        <w:right w:val="none" w:sz="0" w:space="0" w:color="auto"/>
      </w:divBdr>
    </w:div>
    <w:div w:id="921371757">
      <w:bodyDiv w:val="1"/>
      <w:marLeft w:val="0"/>
      <w:marRight w:val="0"/>
      <w:marTop w:val="0"/>
      <w:marBottom w:val="0"/>
      <w:divBdr>
        <w:top w:val="none" w:sz="0" w:space="0" w:color="auto"/>
        <w:left w:val="none" w:sz="0" w:space="0" w:color="auto"/>
        <w:bottom w:val="none" w:sz="0" w:space="0" w:color="auto"/>
        <w:right w:val="none" w:sz="0" w:space="0" w:color="auto"/>
      </w:divBdr>
    </w:div>
    <w:div w:id="993141797">
      <w:bodyDiv w:val="1"/>
      <w:marLeft w:val="0"/>
      <w:marRight w:val="0"/>
      <w:marTop w:val="0"/>
      <w:marBottom w:val="0"/>
      <w:divBdr>
        <w:top w:val="none" w:sz="0" w:space="0" w:color="auto"/>
        <w:left w:val="none" w:sz="0" w:space="0" w:color="auto"/>
        <w:bottom w:val="none" w:sz="0" w:space="0" w:color="auto"/>
        <w:right w:val="none" w:sz="0" w:space="0" w:color="auto"/>
      </w:divBdr>
    </w:div>
    <w:div w:id="1005324193">
      <w:bodyDiv w:val="1"/>
      <w:marLeft w:val="0"/>
      <w:marRight w:val="0"/>
      <w:marTop w:val="0"/>
      <w:marBottom w:val="0"/>
      <w:divBdr>
        <w:top w:val="none" w:sz="0" w:space="0" w:color="auto"/>
        <w:left w:val="none" w:sz="0" w:space="0" w:color="auto"/>
        <w:bottom w:val="none" w:sz="0" w:space="0" w:color="auto"/>
        <w:right w:val="none" w:sz="0" w:space="0" w:color="auto"/>
      </w:divBdr>
    </w:div>
    <w:div w:id="1008754811">
      <w:bodyDiv w:val="1"/>
      <w:marLeft w:val="0"/>
      <w:marRight w:val="0"/>
      <w:marTop w:val="0"/>
      <w:marBottom w:val="0"/>
      <w:divBdr>
        <w:top w:val="none" w:sz="0" w:space="0" w:color="auto"/>
        <w:left w:val="none" w:sz="0" w:space="0" w:color="auto"/>
        <w:bottom w:val="none" w:sz="0" w:space="0" w:color="auto"/>
        <w:right w:val="none" w:sz="0" w:space="0" w:color="auto"/>
      </w:divBdr>
    </w:div>
    <w:div w:id="1018779713">
      <w:bodyDiv w:val="1"/>
      <w:marLeft w:val="0"/>
      <w:marRight w:val="0"/>
      <w:marTop w:val="0"/>
      <w:marBottom w:val="0"/>
      <w:divBdr>
        <w:top w:val="none" w:sz="0" w:space="0" w:color="auto"/>
        <w:left w:val="none" w:sz="0" w:space="0" w:color="auto"/>
        <w:bottom w:val="none" w:sz="0" w:space="0" w:color="auto"/>
        <w:right w:val="none" w:sz="0" w:space="0" w:color="auto"/>
      </w:divBdr>
    </w:div>
    <w:div w:id="1019434826">
      <w:bodyDiv w:val="1"/>
      <w:marLeft w:val="0"/>
      <w:marRight w:val="0"/>
      <w:marTop w:val="0"/>
      <w:marBottom w:val="0"/>
      <w:divBdr>
        <w:top w:val="none" w:sz="0" w:space="0" w:color="auto"/>
        <w:left w:val="none" w:sz="0" w:space="0" w:color="auto"/>
        <w:bottom w:val="none" w:sz="0" w:space="0" w:color="auto"/>
        <w:right w:val="none" w:sz="0" w:space="0" w:color="auto"/>
      </w:divBdr>
    </w:div>
    <w:div w:id="1135877592">
      <w:bodyDiv w:val="1"/>
      <w:marLeft w:val="0"/>
      <w:marRight w:val="0"/>
      <w:marTop w:val="0"/>
      <w:marBottom w:val="0"/>
      <w:divBdr>
        <w:top w:val="none" w:sz="0" w:space="0" w:color="auto"/>
        <w:left w:val="none" w:sz="0" w:space="0" w:color="auto"/>
        <w:bottom w:val="none" w:sz="0" w:space="0" w:color="auto"/>
        <w:right w:val="none" w:sz="0" w:space="0" w:color="auto"/>
      </w:divBdr>
    </w:div>
    <w:div w:id="1137263902">
      <w:bodyDiv w:val="1"/>
      <w:marLeft w:val="0"/>
      <w:marRight w:val="0"/>
      <w:marTop w:val="0"/>
      <w:marBottom w:val="0"/>
      <w:divBdr>
        <w:top w:val="none" w:sz="0" w:space="0" w:color="auto"/>
        <w:left w:val="none" w:sz="0" w:space="0" w:color="auto"/>
        <w:bottom w:val="none" w:sz="0" w:space="0" w:color="auto"/>
        <w:right w:val="none" w:sz="0" w:space="0" w:color="auto"/>
      </w:divBdr>
    </w:div>
    <w:div w:id="1173758429">
      <w:bodyDiv w:val="1"/>
      <w:marLeft w:val="0"/>
      <w:marRight w:val="0"/>
      <w:marTop w:val="0"/>
      <w:marBottom w:val="0"/>
      <w:divBdr>
        <w:top w:val="none" w:sz="0" w:space="0" w:color="auto"/>
        <w:left w:val="none" w:sz="0" w:space="0" w:color="auto"/>
        <w:bottom w:val="none" w:sz="0" w:space="0" w:color="auto"/>
        <w:right w:val="none" w:sz="0" w:space="0" w:color="auto"/>
      </w:divBdr>
    </w:div>
    <w:div w:id="1227106945">
      <w:bodyDiv w:val="1"/>
      <w:marLeft w:val="0"/>
      <w:marRight w:val="0"/>
      <w:marTop w:val="0"/>
      <w:marBottom w:val="0"/>
      <w:divBdr>
        <w:top w:val="none" w:sz="0" w:space="0" w:color="auto"/>
        <w:left w:val="none" w:sz="0" w:space="0" w:color="auto"/>
        <w:bottom w:val="none" w:sz="0" w:space="0" w:color="auto"/>
        <w:right w:val="none" w:sz="0" w:space="0" w:color="auto"/>
      </w:divBdr>
    </w:div>
    <w:div w:id="1328361048">
      <w:bodyDiv w:val="1"/>
      <w:marLeft w:val="0"/>
      <w:marRight w:val="0"/>
      <w:marTop w:val="0"/>
      <w:marBottom w:val="0"/>
      <w:divBdr>
        <w:top w:val="none" w:sz="0" w:space="0" w:color="auto"/>
        <w:left w:val="none" w:sz="0" w:space="0" w:color="auto"/>
        <w:bottom w:val="none" w:sz="0" w:space="0" w:color="auto"/>
        <w:right w:val="none" w:sz="0" w:space="0" w:color="auto"/>
      </w:divBdr>
    </w:div>
    <w:div w:id="1362366295">
      <w:bodyDiv w:val="1"/>
      <w:marLeft w:val="0"/>
      <w:marRight w:val="0"/>
      <w:marTop w:val="0"/>
      <w:marBottom w:val="0"/>
      <w:divBdr>
        <w:top w:val="none" w:sz="0" w:space="0" w:color="auto"/>
        <w:left w:val="none" w:sz="0" w:space="0" w:color="auto"/>
        <w:bottom w:val="none" w:sz="0" w:space="0" w:color="auto"/>
        <w:right w:val="none" w:sz="0" w:space="0" w:color="auto"/>
      </w:divBdr>
    </w:div>
    <w:div w:id="1413743916">
      <w:bodyDiv w:val="1"/>
      <w:marLeft w:val="0"/>
      <w:marRight w:val="0"/>
      <w:marTop w:val="0"/>
      <w:marBottom w:val="0"/>
      <w:divBdr>
        <w:top w:val="none" w:sz="0" w:space="0" w:color="auto"/>
        <w:left w:val="none" w:sz="0" w:space="0" w:color="auto"/>
        <w:bottom w:val="none" w:sz="0" w:space="0" w:color="auto"/>
        <w:right w:val="none" w:sz="0" w:space="0" w:color="auto"/>
      </w:divBdr>
    </w:div>
    <w:div w:id="1454976968">
      <w:bodyDiv w:val="1"/>
      <w:marLeft w:val="0"/>
      <w:marRight w:val="0"/>
      <w:marTop w:val="0"/>
      <w:marBottom w:val="0"/>
      <w:divBdr>
        <w:top w:val="none" w:sz="0" w:space="0" w:color="auto"/>
        <w:left w:val="none" w:sz="0" w:space="0" w:color="auto"/>
        <w:bottom w:val="none" w:sz="0" w:space="0" w:color="auto"/>
        <w:right w:val="none" w:sz="0" w:space="0" w:color="auto"/>
      </w:divBdr>
    </w:div>
    <w:div w:id="1646230620">
      <w:bodyDiv w:val="1"/>
      <w:marLeft w:val="0"/>
      <w:marRight w:val="0"/>
      <w:marTop w:val="0"/>
      <w:marBottom w:val="0"/>
      <w:divBdr>
        <w:top w:val="none" w:sz="0" w:space="0" w:color="auto"/>
        <w:left w:val="none" w:sz="0" w:space="0" w:color="auto"/>
        <w:bottom w:val="none" w:sz="0" w:space="0" w:color="auto"/>
        <w:right w:val="none" w:sz="0" w:space="0" w:color="auto"/>
      </w:divBdr>
    </w:div>
    <w:div w:id="1647510297">
      <w:bodyDiv w:val="1"/>
      <w:marLeft w:val="0"/>
      <w:marRight w:val="0"/>
      <w:marTop w:val="0"/>
      <w:marBottom w:val="0"/>
      <w:divBdr>
        <w:top w:val="none" w:sz="0" w:space="0" w:color="auto"/>
        <w:left w:val="none" w:sz="0" w:space="0" w:color="auto"/>
        <w:bottom w:val="none" w:sz="0" w:space="0" w:color="auto"/>
        <w:right w:val="none" w:sz="0" w:space="0" w:color="auto"/>
      </w:divBdr>
    </w:div>
    <w:div w:id="1756199493">
      <w:bodyDiv w:val="1"/>
      <w:marLeft w:val="0"/>
      <w:marRight w:val="0"/>
      <w:marTop w:val="0"/>
      <w:marBottom w:val="0"/>
      <w:divBdr>
        <w:top w:val="none" w:sz="0" w:space="0" w:color="auto"/>
        <w:left w:val="none" w:sz="0" w:space="0" w:color="auto"/>
        <w:bottom w:val="none" w:sz="0" w:space="0" w:color="auto"/>
        <w:right w:val="none" w:sz="0" w:space="0" w:color="auto"/>
      </w:divBdr>
    </w:div>
    <w:div w:id="1778941402">
      <w:bodyDiv w:val="1"/>
      <w:marLeft w:val="0"/>
      <w:marRight w:val="0"/>
      <w:marTop w:val="0"/>
      <w:marBottom w:val="0"/>
      <w:divBdr>
        <w:top w:val="none" w:sz="0" w:space="0" w:color="auto"/>
        <w:left w:val="none" w:sz="0" w:space="0" w:color="auto"/>
        <w:bottom w:val="none" w:sz="0" w:space="0" w:color="auto"/>
        <w:right w:val="none" w:sz="0" w:space="0" w:color="auto"/>
      </w:divBdr>
    </w:div>
    <w:div w:id="1793327579">
      <w:bodyDiv w:val="1"/>
      <w:marLeft w:val="0"/>
      <w:marRight w:val="0"/>
      <w:marTop w:val="0"/>
      <w:marBottom w:val="0"/>
      <w:divBdr>
        <w:top w:val="none" w:sz="0" w:space="0" w:color="auto"/>
        <w:left w:val="none" w:sz="0" w:space="0" w:color="auto"/>
        <w:bottom w:val="none" w:sz="0" w:space="0" w:color="auto"/>
        <w:right w:val="none" w:sz="0" w:space="0" w:color="auto"/>
      </w:divBdr>
    </w:div>
    <w:div w:id="1798721782">
      <w:bodyDiv w:val="1"/>
      <w:marLeft w:val="0"/>
      <w:marRight w:val="0"/>
      <w:marTop w:val="0"/>
      <w:marBottom w:val="0"/>
      <w:divBdr>
        <w:top w:val="none" w:sz="0" w:space="0" w:color="auto"/>
        <w:left w:val="none" w:sz="0" w:space="0" w:color="auto"/>
        <w:bottom w:val="none" w:sz="0" w:space="0" w:color="auto"/>
        <w:right w:val="none" w:sz="0" w:space="0" w:color="auto"/>
      </w:divBdr>
    </w:div>
    <w:div w:id="1800143794">
      <w:bodyDiv w:val="1"/>
      <w:marLeft w:val="0"/>
      <w:marRight w:val="0"/>
      <w:marTop w:val="0"/>
      <w:marBottom w:val="0"/>
      <w:divBdr>
        <w:top w:val="none" w:sz="0" w:space="0" w:color="auto"/>
        <w:left w:val="none" w:sz="0" w:space="0" w:color="auto"/>
        <w:bottom w:val="none" w:sz="0" w:space="0" w:color="auto"/>
        <w:right w:val="none" w:sz="0" w:space="0" w:color="auto"/>
      </w:divBdr>
    </w:div>
    <w:div w:id="1804733254">
      <w:bodyDiv w:val="1"/>
      <w:marLeft w:val="0"/>
      <w:marRight w:val="0"/>
      <w:marTop w:val="0"/>
      <w:marBottom w:val="0"/>
      <w:divBdr>
        <w:top w:val="none" w:sz="0" w:space="0" w:color="auto"/>
        <w:left w:val="none" w:sz="0" w:space="0" w:color="auto"/>
        <w:bottom w:val="none" w:sz="0" w:space="0" w:color="auto"/>
        <w:right w:val="none" w:sz="0" w:space="0" w:color="auto"/>
      </w:divBdr>
    </w:div>
    <w:div w:id="1858227373">
      <w:bodyDiv w:val="1"/>
      <w:marLeft w:val="0"/>
      <w:marRight w:val="0"/>
      <w:marTop w:val="0"/>
      <w:marBottom w:val="0"/>
      <w:divBdr>
        <w:top w:val="none" w:sz="0" w:space="0" w:color="auto"/>
        <w:left w:val="none" w:sz="0" w:space="0" w:color="auto"/>
        <w:bottom w:val="none" w:sz="0" w:space="0" w:color="auto"/>
        <w:right w:val="none" w:sz="0" w:space="0" w:color="auto"/>
      </w:divBdr>
    </w:div>
    <w:div w:id="1934194654">
      <w:bodyDiv w:val="1"/>
      <w:marLeft w:val="0"/>
      <w:marRight w:val="0"/>
      <w:marTop w:val="0"/>
      <w:marBottom w:val="0"/>
      <w:divBdr>
        <w:top w:val="none" w:sz="0" w:space="0" w:color="auto"/>
        <w:left w:val="none" w:sz="0" w:space="0" w:color="auto"/>
        <w:bottom w:val="none" w:sz="0" w:space="0" w:color="auto"/>
        <w:right w:val="none" w:sz="0" w:space="0" w:color="auto"/>
      </w:divBdr>
    </w:div>
    <w:div w:id="1935698707">
      <w:bodyDiv w:val="1"/>
      <w:marLeft w:val="0"/>
      <w:marRight w:val="0"/>
      <w:marTop w:val="0"/>
      <w:marBottom w:val="0"/>
      <w:divBdr>
        <w:top w:val="none" w:sz="0" w:space="0" w:color="auto"/>
        <w:left w:val="none" w:sz="0" w:space="0" w:color="auto"/>
        <w:bottom w:val="none" w:sz="0" w:space="0" w:color="auto"/>
        <w:right w:val="none" w:sz="0" w:space="0" w:color="auto"/>
      </w:divBdr>
    </w:div>
    <w:div w:id="2010476101">
      <w:bodyDiv w:val="1"/>
      <w:marLeft w:val="0"/>
      <w:marRight w:val="0"/>
      <w:marTop w:val="0"/>
      <w:marBottom w:val="0"/>
      <w:divBdr>
        <w:top w:val="none" w:sz="0" w:space="0" w:color="auto"/>
        <w:left w:val="none" w:sz="0" w:space="0" w:color="auto"/>
        <w:bottom w:val="none" w:sz="0" w:space="0" w:color="auto"/>
        <w:right w:val="none" w:sz="0" w:space="0" w:color="auto"/>
      </w:divBdr>
    </w:div>
    <w:div w:id="2055619343">
      <w:bodyDiv w:val="1"/>
      <w:marLeft w:val="0"/>
      <w:marRight w:val="0"/>
      <w:marTop w:val="0"/>
      <w:marBottom w:val="0"/>
      <w:divBdr>
        <w:top w:val="none" w:sz="0" w:space="0" w:color="auto"/>
        <w:left w:val="none" w:sz="0" w:space="0" w:color="auto"/>
        <w:bottom w:val="none" w:sz="0" w:space="0" w:color="auto"/>
        <w:right w:val="none" w:sz="0" w:space="0" w:color="auto"/>
      </w:divBdr>
    </w:div>
    <w:div w:id="2141143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emf"/><Relationship Id="rId42" Type="http://schemas.openxmlformats.org/officeDocument/2006/relationships/image" Target="media/image26.emf"/><Relationship Id="rId47" Type="http://schemas.openxmlformats.org/officeDocument/2006/relationships/image" Target="media/image30.emf"/><Relationship Id="rId63" Type="http://schemas.openxmlformats.org/officeDocument/2006/relationships/image" Target="media/image46.emf"/><Relationship Id="rId68" Type="http://schemas.openxmlformats.org/officeDocument/2006/relationships/image" Target="media/image51.emf"/><Relationship Id="rId16" Type="http://schemas.openxmlformats.org/officeDocument/2006/relationships/image" Target="media/image5.emf"/><Relationship Id="rId11" Type="http://schemas.openxmlformats.org/officeDocument/2006/relationships/hyperlink" Target="https://konsultimipublik"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chart" Target="charts/chart5.xml"/><Relationship Id="rId40" Type="http://schemas.openxmlformats.org/officeDocument/2006/relationships/image" Target="media/image24.png"/><Relationship Id="rId45" Type="http://schemas.openxmlformats.org/officeDocument/2006/relationships/image" Target="media/image28.emf"/><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emf"/><Relationship Id="rId74" Type="http://schemas.openxmlformats.org/officeDocument/2006/relationships/hyperlink" Target="file:///C:/Users/xx/Desktop/ERP%202021-2023/2021_ERP%20Annex%20tables_ALB_completed_9.01.2021.xlsx"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4.png"/><Relationship Id="rId19" Type="http://schemas.openxmlformats.org/officeDocument/2006/relationships/image" Target="media/image8.emf"/><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chart" Target="charts/chart3.xml"/><Relationship Id="rId43" Type="http://schemas.openxmlformats.org/officeDocument/2006/relationships/hyperlink" Target="https://www.tatime.gov.al/sq-al/Legjislacioni/COUNCIL_DECISIONS/Legjislacioni%20Tatimor/Tatimi%20mbi%20te%20Ardhurat/Ligji%20nr.%208438%20dt.%2028.12.1998.pdf" TargetMode="External"/><Relationship Id="rId48" Type="http://schemas.openxmlformats.org/officeDocument/2006/relationships/image" Target="media/image31.emf"/><Relationship Id="rId56" Type="http://schemas.openxmlformats.org/officeDocument/2006/relationships/image" Target="media/image39.png"/><Relationship Id="rId64" Type="http://schemas.openxmlformats.org/officeDocument/2006/relationships/image" Target="media/image47.emf"/><Relationship Id="rId69" Type="http://schemas.openxmlformats.org/officeDocument/2006/relationships/hyperlink" Target="https://www.financa.gov.al/programi-i-reformave-ekonomike/"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hyperlink" Target="file:///C:/Users/xx/Desktop/ERP%202021-2023/2021_ERP%20Annex%20tables_ALB_completed_9.01.2021.xlsx"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chart" Target="charts/chart1.xml"/><Relationship Id="rId38" Type="http://schemas.openxmlformats.org/officeDocument/2006/relationships/image" Target="media/image22.emf"/><Relationship Id="rId46" Type="http://schemas.openxmlformats.org/officeDocument/2006/relationships/image" Target="media/image29.emf"/><Relationship Id="rId59" Type="http://schemas.openxmlformats.org/officeDocument/2006/relationships/image" Target="media/image42.png"/><Relationship Id="rId67" Type="http://schemas.openxmlformats.org/officeDocument/2006/relationships/image" Target="media/image50.emf"/><Relationship Id="rId20" Type="http://schemas.openxmlformats.org/officeDocument/2006/relationships/image" Target="media/image9.emf"/><Relationship Id="rId41" Type="http://schemas.openxmlformats.org/officeDocument/2006/relationships/image" Target="media/image25.emf"/><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hyperlink" Target="http://konsultimipublik.gov.al/Konsultime/Detaje/439"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4.xml"/><Relationship Id="rId49" Type="http://schemas.openxmlformats.org/officeDocument/2006/relationships/image" Target="media/image32.png"/><Relationship Id="rId57" Type="http://schemas.openxmlformats.org/officeDocument/2006/relationships/image" Target="media/image40.emf"/><Relationship Id="rId10" Type="http://schemas.openxmlformats.org/officeDocument/2006/relationships/endnotes" Target="endnotes.xml"/><Relationship Id="rId31" Type="http://schemas.openxmlformats.org/officeDocument/2006/relationships/image" Target="media/image20.wmf"/><Relationship Id="rId44" Type="http://schemas.openxmlformats.org/officeDocument/2006/relationships/image" Target="media/image27.emf"/><Relationship Id="rId52" Type="http://schemas.openxmlformats.org/officeDocument/2006/relationships/image" Target="media/image35.emf"/><Relationship Id="rId60" Type="http://schemas.openxmlformats.org/officeDocument/2006/relationships/image" Target="media/image43.png"/><Relationship Id="rId65" Type="http://schemas.openxmlformats.org/officeDocument/2006/relationships/image" Target="media/image48.emf"/><Relationship Id="rId73" Type="http://schemas.openxmlformats.org/officeDocument/2006/relationships/hyperlink" Target="file:///C:/Users/xx/Desktop/ERP%202021-2023/2021_ERP%20Annex%20tables_ALB_completed_9.01.2021.xlsx" TargetMode="External"/><Relationship Id="rId78" Type="http://schemas.openxmlformats.org/officeDocument/2006/relationships/hyperlink" Target="https://www.financa.gov.al/programi-i-reformave-ekonomik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emf"/><Relationship Id="rId39" Type="http://schemas.openxmlformats.org/officeDocument/2006/relationships/image" Target="media/image23.png"/><Relationship Id="rId34" Type="http://schemas.openxmlformats.org/officeDocument/2006/relationships/chart" Target="charts/chart2.xml"/><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file:///C:/Users/xx/Desktop/ERP%202021-2023/2021_ERP%20Annex%20tables_ALB_completed_9.01.2021.xlsx" TargetMode="External"/><Relationship Id="rId2" Type="http://schemas.openxmlformats.org/officeDocument/2006/relationships/customXml" Target="../customXml/item2.xml"/><Relationship Id="rId29" Type="http://schemas.openxmlformats.org/officeDocument/2006/relationships/image" Target="media/image18.png"/></Relationships>
</file>

<file path=word/_rels/footnotes.xml.rels><?xml version="1.0" encoding="UTF-8" standalone="yes"?>
<Relationships xmlns="http://schemas.openxmlformats.org/package/2006/relationships"><Relationship Id="rId8" Type="http://schemas.openxmlformats.org/officeDocument/2006/relationships/hyperlink" Target="http://www.instat.gov.al/en/sdgs/quality-education/43-ensure-equal-access-for-all-women-and-men-to-affordable-and-quality-technical-vocational-and-tertiary-education-including-university/431-participation-rate-of-youth-and-adults-in-formal-and-non-formal-education-and-training-in-the-previous-12-months-by-sex/" TargetMode="External"/><Relationship Id="rId13" Type="http://schemas.openxmlformats.org/officeDocument/2006/relationships/hyperlink" Target="http://www.instat.gov.al/en/publications/books/2020/labour-market-2019/" TargetMode="External"/><Relationship Id="rId18" Type="http://schemas.openxmlformats.org/officeDocument/2006/relationships/hyperlink" Target="http://www.instat.gov.al/en/themes/economy-and-finance/national-accounts-gdp/" TargetMode="External"/><Relationship Id="rId3" Type="http://schemas.openxmlformats.org/officeDocument/2006/relationships/hyperlink" Target="https://www.bankofalbania.org/rc/doc/01_Government_payment_digitization_in_albania_NPC_15758.pptx" TargetMode="External"/><Relationship Id="rId21" Type="http://schemas.openxmlformats.org/officeDocument/2006/relationships/hyperlink" Target="http://www.instat.gov.al/en/themes/economy-and-finance/national-accounts-gdp/" TargetMode="External"/><Relationship Id="rId7" Type="http://schemas.openxmlformats.org/officeDocument/2006/relationships/hyperlink" Target="https://ec.europa.eu/neighbourhood-enlargement/sites/near/files/communication_on_wb_economic_and_investment_plan_october_2020_en.pdf" TargetMode="External"/><Relationship Id="rId12" Type="http://schemas.openxmlformats.org/officeDocument/2006/relationships/hyperlink" Target="http://www.instat.gov.al/en/publications/books/2020/labour-market-2019/" TargetMode="External"/><Relationship Id="rId17" Type="http://schemas.openxmlformats.org/officeDocument/2006/relationships/hyperlink" Target="https://ec.europa.eu/eurostat/databrowser/view/NAMA_10_A64__custom_1349853/default/table?lang=en" TargetMode="External"/><Relationship Id="rId2" Type="http://schemas.openxmlformats.org/officeDocument/2006/relationships/hyperlink" Target="https://www.bankofalbania.org/Pagesat/Komiteti_Kombetar_i_Sistemit_te_Pagesave/Mbledhja_e_Katert_Vjetore_e_" TargetMode="External"/><Relationship Id="rId16" Type="http://schemas.openxmlformats.org/officeDocument/2006/relationships/hyperlink" Target="http://www.instat.gov.al/en/publications/books/2020/labour-market-2019/" TargetMode="External"/><Relationship Id="rId20" Type="http://schemas.openxmlformats.org/officeDocument/2006/relationships/hyperlink" Target="https://ec.europa.eu/eurostat/databrowser/view/NAMA_10_A64__custom_1349853/default/table?lang=en" TargetMode="External"/><Relationship Id="rId1" Type="http://schemas.openxmlformats.org/officeDocument/2006/relationships/hyperlink" Target="http://go.worldbank.org/KQCHUD4JN0" TargetMode="External"/><Relationship Id="rId6" Type="http://schemas.openxmlformats.org/officeDocument/2006/relationships/hyperlink" Target="https://eeas.europa.eu/delegations/albania/83464/regional-broadband-infrastructure-development-albania-closing-workshop_en" TargetMode="External"/><Relationship Id="rId11" Type="http://schemas.openxmlformats.org/officeDocument/2006/relationships/hyperlink" Target="http://www.instat.gov.al/en/publications/books/2020/labour-market-2019/" TargetMode="External"/><Relationship Id="rId5" Type="http://schemas.openxmlformats.org/officeDocument/2006/relationships/hyperlink" Target="https://www.bankofalbania.org/Rreth_Bankes/Legjislacioni/Rregullore_Nr_36_Per_funksionimin_e_sistemit_te_pagesave_nderbankare_me_vlere_te_madhe-AIPS.html" TargetMode="External"/><Relationship Id="rId15" Type="http://schemas.openxmlformats.org/officeDocument/2006/relationships/hyperlink" Target="http://www.instat.gov.al/en/themes/economy-and-finance/national-accounts-gdp/" TargetMode="External"/><Relationship Id="rId10" Type="http://schemas.openxmlformats.org/officeDocument/2006/relationships/hyperlink" Target="http://www.instat.gov.al/en/publications/books/2020/labour-market-2019/" TargetMode="External"/><Relationship Id="rId19" Type="http://schemas.openxmlformats.org/officeDocument/2006/relationships/hyperlink" Target="http://www.instat.gov.al/en/publications/books/2020/labour-market-2019/" TargetMode="External"/><Relationship Id="rId4" Type="http://schemas.openxmlformats.org/officeDocument/2006/relationships/hyperlink" Target="https://www.bankofalbania.org/rc/doc/16_NRepishti_AKSHI_electronicpayments_e_Albania_18144.pdf" TargetMode="External"/><Relationship Id="rId9" Type="http://schemas.openxmlformats.org/officeDocument/2006/relationships/hyperlink" Target="http://www.instat.gov.al/en/sdgs/quality-education/43-ensure-equal-access-for-all-women-and-men-to-affordable-and-quality-technical-vocational-and-tertiary-education-including-university/431-participation-rate-of-youth-and-adults-in-formal-and-non-formal-education-and-training-in-the-previous-12-months-by-sex/" TargetMode="External"/><Relationship Id="rId14" Type="http://schemas.openxmlformats.org/officeDocument/2006/relationships/hyperlink" Target="https://ec.europa.eu/eurostat/databrowser/view/NAMA_10_A64__custom_1349853/default/table?lang=en" TargetMode="External"/><Relationship Id="rId22" Type="http://schemas.openxmlformats.org/officeDocument/2006/relationships/hyperlink" Target="http://www.instat.gov.al/en/publications/books/2020/labour-market-2019/"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054850747673741E-2"/>
          <c:y val="0.13271044194717063"/>
          <c:w val="0.90264146680373702"/>
          <c:h val="0.67624964250824493"/>
        </c:manualLayout>
      </c:layout>
      <c:lineChart>
        <c:grouping val="standard"/>
        <c:varyColors val="0"/>
        <c:ser>
          <c:idx val="0"/>
          <c:order val="0"/>
          <c:tx>
            <c:strRef>
              <c:f>'[Chart in Microsoft PowerPoint]S5 TVSH Bruto dhe Neto'!$C$3</c:f>
              <c:strCache>
                <c:ptCount val="1"/>
                <c:pt idx="0">
                  <c:v> Tvsh Bruto</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0070C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PowerPoint]S5 TVSH Bruto dhe Neto'!$B$4:$B$13</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'[Chart in Microsoft PowerPoint]S5 TVSH Bruto dhe Neto'!$C$4:$C$13</c:f>
              <c:numCache>
                <c:formatCode>_(* #,##0_);_(* \(#,##0\);_(* "-"??_);_(@_)</c:formatCode>
                <c:ptCount val="10"/>
                <c:pt idx="0">
                  <c:v>29388</c:v>
                </c:pt>
                <c:pt idx="1">
                  <c:v>28651</c:v>
                </c:pt>
                <c:pt idx="2">
                  <c:v>32519</c:v>
                </c:pt>
                <c:pt idx="3">
                  <c:v>34163</c:v>
                </c:pt>
                <c:pt idx="4">
                  <c:v>38742</c:v>
                </c:pt>
                <c:pt idx="5">
                  <c:v>44206</c:v>
                </c:pt>
                <c:pt idx="6">
                  <c:v>46633</c:v>
                </c:pt>
                <c:pt idx="7">
                  <c:v>44394</c:v>
                </c:pt>
                <c:pt idx="8">
                  <c:v>41976</c:v>
                </c:pt>
                <c:pt idx="9" formatCode="_-* #,##0_-;\-* #,##0_-;_-* &quot;-&quot;??_-;_-@_-">
                  <c:v>49815</c:v>
                </c:pt>
              </c:numCache>
            </c:numRef>
          </c:val>
          <c:smooth val="0"/>
          <c:extLst xmlns:c16r2="http://schemas.microsoft.com/office/drawing/2015/06/chart">
            <c:ext xmlns:c16="http://schemas.microsoft.com/office/drawing/2014/chart" uri="{C3380CC4-5D6E-409C-BE32-E72D297353CC}">
              <c16:uniqueId val="{00000000-A9E5-4A56-B296-ABEF1DCE439F}"/>
            </c:ext>
          </c:extLst>
        </c:ser>
        <c:ser>
          <c:idx val="1"/>
          <c:order val="1"/>
          <c:tx>
            <c:strRef>
              <c:f>'[Chart in Microsoft PowerPoint]S5 TVSH Bruto dhe Neto'!$D$3</c:f>
              <c:strCache>
                <c:ptCount val="1"/>
                <c:pt idx="0">
                  <c:v> Tvsh Neto</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dLbls>
            <c:dLbl>
              <c:idx val="0"/>
              <c:layout>
                <c:manualLayout>
                  <c:x val="-4.2128205997205875E-2"/>
                  <c:y val="5.258385691379084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9E5-4A56-B296-ABEF1DCE439F}"/>
                </c:ext>
                <c:ext xmlns:c15="http://schemas.microsoft.com/office/drawing/2012/chart" uri="{CE6537A1-D6FC-4f65-9D91-7224C49458BB}"/>
              </c:extLst>
            </c:dLbl>
            <c:dLbl>
              <c:idx val="1"/>
              <c:layout>
                <c:manualLayout>
                  <c:x val="-3.5853696193284337E-2"/>
                  <c:y val="5.647680035606638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9E5-4A56-B296-ABEF1DCE439F}"/>
                </c:ext>
                <c:ext xmlns:c15="http://schemas.microsoft.com/office/drawing/2012/chart" uri="{CE6537A1-D6FC-4f65-9D91-7224C49458BB}"/>
              </c:extLst>
            </c:dLbl>
            <c:dLbl>
              <c:idx val="2"/>
              <c:layout>
                <c:manualLayout>
                  <c:x val="-4.212820599720591E-2"/>
                  <c:y val="5.25838569137909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9E5-4A56-B296-ABEF1DCE439F}"/>
                </c:ext>
                <c:ext xmlns:c15="http://schemas.microsoft.com/office/drawing/2012/chart" uri="{CE6537A1-D6FC-4f65-9D91-7224C49458BB}"/>
              </c:extLst>
            </c:dLbl>
            <c:dLbl>
              <c:idx val="3"/>
              <c:layout>
                <c:manualLayout>
                  <c:x val="-4.0215245691132294E-2"/>
                  <c:y val="5.258385691379084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9E5-4A56-B296-ABEF1DCE439F}"/>
                </c:ext>
                <c:ext xmlns:c15="http://schemas.microsoft.com/office/drawing/2012/chart" uri="{CE6537A1-D6FC-4f65-9D91-7224C49458BB}"/>
              </c:extLst>
            </c:dLbl>
            <c:dLbl>
              <c:idx val="4"/>
              <c:layout>
                <c:manualLayout>
                  <c:x val="-3.4476364772911279E-2"/>
                  <c:y val="5.25838569137909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9E5-4A56-B296-ABEF1DCE439F}"/>
                </c:ext>
                <c:ext xmlns:c15="http://schemas.microsoft.com/office/drawing/2012/chart" uri="{CE6537A1-D6FC-4f65-9D91-7224C49458BB}"/>
              </c:extLst>
            </c:dLbl>
            <c:dLbl>
              <c:idx val="5"/>
              <c:layout>
                <c:manualLayout>
                  <c:x val="-3.8302285385058574E-2"/>
                  <c:y val="4.869091347151545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9E5-4A56-B296-ABEF1DCE439F}"/>
                </c:ext>
                <c:ext xmlns:c15="http://schemas.microsoft.com/office/drawing/2012/chart" uri="{CE6537A1-D6FC-4f65-9D91-7224C49458BB}"/>
              </c:extLst>
            </c:dLbl>
            <c:dLbl>
              <c:idx val="6"/>
              <c:layout>
                <c:manualLayout>
                  <c:x val="-7.9864038510407159E-2"/>
                  <c:y val="-6.69902494072298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9E5-4A56-B296-ABEF1DCE439F}"/>
                </c:ext>
                <c:ext xmlns:c15="http://schemas.microsoft.com/office/drawing/2012/chart" uri="{CE6537A1-D6FC-4f65-9D91-7224C49458BB}"/>
              </c:extLst>
            </c:dLbl>
            <c:dLbl>
              <c:idx val="7"/>
              <c:layout>
                <c:manualLayout>
                  <c:x val="-6.5767225423212575E-2"/>
                  <c:y val="5.20998643285530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711-4C28-A477-4EB0F56CE651}"/>
                </c:ext>
                <c:ext xmlns:c15="http://schemas.microsoft.com/office/drawing/2012/chart" uri="{CE6537A1-D6FC-4f65-9D91-7224C49458BB}"/>
              </c:extLst>
            </c:dLbl>
            <c:dLbl>
              <c:idx val="8"/>
              <c:layout>
                <c:manualLayout>
                  <c:x val="-3.8312073169089023E-2"/>
                  <c:y val="4.86910316976250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711-4C28-A477-4EB0F56CE651}"/>
                </c:ext>
                <c:ext xmlns:c15="http://schemas.microsoft.com/office/drawing/2012/chart" uri="{CE6537A1-D6FC-4f65-9D91-7224C49458BB}"/>
              </c:extLst>
            </c:dLbl>
            <c:spPr>
              <a:noFill/>
              <a:ln>
                <a:solidFill>
                  <a:schemeClr val="bg1"/>
                </a:solid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accent2">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'[Chart in Microsoft PowerPoint]S5 TVSH Bruto dhe Neto'!$B$4:$B$13</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'[Chart in Microsoft PowerPoint]S5 TVSH Bruto dhe Neto'!$D$4:$D$13</c:f>
              <c:numCache>
                <c:formatCode>_(* #,##0_);_(* \(#,##0\);_(* "-"??_);_(@_)</c:formatCode>
                <c:ptCount val="10"/>
                <c:pt idx="0">
                  <c:v>22928</c:v>
                </c:pt>
                <c:pt idx="1">
                  <c:v>21475</c:v>
                </c:pt>
                <c:pt idx="2">
                  <c:v>25270</c:v>
                </c:pt>
                <c:pt idx="3">
                  <c:v>27588</c:v>
                </c:pt>
                <c:pt idx="4">
                  <c:v>30817</c:v>
                </c:pt>
                <c:pt idx="5">
                  <c:v>31762</c:v>
                </c:pt>
                <c:pt idx="6">
                  <c:v>33945</c:v>
                </c:pt>
                <c:pt idx="7">
                  <c:v>27218</c:v>
                </c:pt>
                <c:pt idx="8">
                  <c:v>27380</c:v>
                </c:pt>
                <c:pt idx="9">
                  <c:v>27510</c:v>
                </c:pt>
              </c:numCache>
            </c:numRef>
          </c:val>
          <c:smooth val="0"/>
          <c:extLst xmlns:c16r2="http://schemas.microsoft.com/office/drawing/2015/06/chart">
            <c:ext xmlns:c16="http://schemas.microsoft.com/office/drawing/2014/chart" uri="{C3380CC4-5D6E-409C-BE32-E72D297353CC}">
              <c16:uniqueId val="{00000001-A9E5-4A56-B296-ABEF1DCE439F}"/>
            </c:ext>
          </c:extLst>
        </c:ser>
        <c:dLbls>
          <c:dLblPos val="t"/>
          <c:showLegendKey val="0"/>
          <c:showVal val="1"/>
          <c:showCatName val="0"/>
          <c:showSerName val="0"/>
          <c:showPercent val="0"/>
          <c:showBubbleSize val="0"/>
        </c:dLbls>
        <c:marker val="1"/>
        <c:smooth val="0"/>
        <c:axId val="265679840"/>
        <c:axId val="265675488"/>
        <c:extLst xmlns:c16r2="http://schemas.microsoft.com/office/drawing/2015/06/chart">
          <c:ext xmlns:c15="http://schemas.microsoft.com/office/drawing/2012/chart" uri="{02D57815-91ED-43cb-92C2-25804820EDAC}">
            <c15:filteredLineSeries>
              <c15:ser>
                <c:idx val="2"/>
                <c:order val="2"/>
                <c:tx>
                  <c:strRef>
                    <c:extLst xmlns:c16r2="http://schemas.microsoft.com/office/drawing/2015/06/chart">
                      <c:ext uri="{02D57815-91ED-43cb-92C2-25804820EDAC}">
                        <c15:formulaRef>
                          <c15:sqref>'[Chart in Microsoft PowerPoint]S5 TVSH Bruto dhe Neto'!$E$3</c15:sqref>
                        </c15:formulaRef>
                      </c:ext>
                    </c:extLst>
                    <c:strCache>
                      <c:ptCount val="1"/>
                      <c:pt idx="0">
                        <c:v>Plan TVSH Neto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8"/>
                    <c:layout>
                      <c:manualLayout>
                        <c:x val="-2.8104550058932875E-2"/>
                        <c:y val="-3.695384225854485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9E5-4A56-B296-ABEF1DCE439F}"/>
                      </c:ext>
                      <c:ex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uri="{CE6537A1-D6FC-4f65-9D91-7224C49458BB}">
                      <c15:showLeaderLines val="0"/>
                    </c:ext>
                  </c:extLst>
                </c:dLbls>
                <c:cat>
                  <c:numRef>
                    <c:extLst xmlns:c16r2="http://schemas.microsoft.com/office/drawing/2015/06/chart">
                      <c:ext uri="{02D57815-91ED-43cb-92C2-25804820EDAC}">
                        <c15:formulaRef>
                          <c15:sqref>'[Chart in Microsoft PowerPoint]S5 TVSH Bruto dhe Neto'!$B$4:$B$12</c15:sqref>
                        </c15:formulaRef>
                      </c:ext>
                    </c:extLst>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extLst xmlns:c16r2="http://schemas.microsoft.com/office/drawing/2015/06/chart">
                      <c:ext uri="{02D57815-91ED-43cb-92C2-25804820EDAC}">
                        <c15:formulaRef>
                          <c15:sqref>'[Chart in Microsoft PowerPoint]S5 TVSH Bruto dhe Neto'!$E$4:$E$12</c15:sqref>
                        </c15:formulaRef>
                      </c:ext>
                    </c:extLst>
                    <c:numCache>
                      <c:formatCode>General</c:formatCode>
                      <c:ptCount val="9"/>
                    </c:numCache>
                  </c:numRef>
                </c:val>
                <c:smooth val="0"/>
                <c:extLst xmlns:c16r2="http://schemas.microsoft.com/office/drawing/2015/06/chart">
                  <c:ext xmlns:c16="http://schemas.microsoft.com/office/drawing/2014/chart" uri="{C3380CC4-5D6E-409C-BE32-E72D297353CC}">
                    <c16:uniqueId val="{00000002-A9E5-4A56-B296-ABEF1DCE439F}"/>
                  </c:ext>
                </c:extLst>
              </c15:ser>
            </c15:filteredLineSeries>
          </c:ext>
        </c:extLst>
      </c:lineChart>
      <c:catAx>
        <c:axId val="265679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5675488"/>
        <c:crosses val="autoZero"/>
        <c:auto val="1"/>
        <c:lblAlgn val="ctr"/>
        <c:lblOffset val="100"/>
        <c:noMultiLvlLbl val="0"/>
      </c:catAx>
      <c:valAx>
        <c:axId val="265675488"/>
        <c:scaling>
          <c:orientation val="minMax"/>
          <c:max val="50000"/>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5679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C00000"/>
            </a:solidFill>
            <a:ln>
              <a:noFill/>
            </a:ln>
            <a:effectLst>
              <a:innerShdw blurRad="12700">
                <a:srgbClr val="FF0000"/>
              </a:innerShdw>
            </a:effectLst>
            <a:scene3d>
              <a:camera prst="orthographicFront"/>
              <a:lightRig rig="threePt" dir="t">
                <a:rot lat="0" lon="0" rev="2400000"/>
              </a:lightRig>
            </a:scene3d>
            <a:sp3d>
              <a:bevelT/>
              <a:bevelB/>
            </a:sp3d>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Sheet1!$B$63:$B$72</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Sheet1!$C$63:$C$72</c:f>
              <c:numCache>
                <c:formatCode>_(* #,##0_);_(* \(#,##0\);_(* "-"??_);_(@_)</c:formatCode>
                <c:ptCount val="10"/>
                <c:pt idx="0">
                  <c:v>6459</c:v>
                </c:pt>
                <c:pt idx="1">
                  <c:v>7175</c:v>
                </c:pt>
                <c:pt idx="2">
                  <c:v>6579</c:v>
                </c:pt>
                <c:pt idx="3">
                  <c:v>6575</c:v>
                </c:pt>
                <c:pt idx="4">
                  <c:v>7925</c:v>
                </c:pt>
                <c:pt idx="5">
                  <c:v>12444</c:v>
                </c:pt>
                <c:pt idx="6">
                  <c:v>12688</c:v>
                </c:pt>
                <c:pt idx="7">
                  <c:v>17176</c:v>
                </c:pt>
                <c:pt idx="8">
                  <c:v>14596</c:v>
                </c:pt>
                <c:pt idx="9">
                  <c:v>22306</c:v>
                </c:pt>
              </c:numCache>
            </c:numRef>
          </c:val>
          <c:extLst xmlns:c16r2="http://schemas.microsoft.com/office/drawing/2015/06/chart">
            <c:ext xmlns:c16="http://schemas.microsoft.com/office/drawing/2014/chart" uri="{C3380CC4-5D6E-409C-BE32-E72D297353CC}">
              <c16:uniqueId val="{00000000-216B-43DE-A2A1-129E2BB65FFE}"/>
            </c:ext>
          </c:extLst>
        </c:ser>
        <c:dLbls>
          <c:dLblPos val="outEnd"/>
          <c:showLegendKey val="0"/>
          <c:showVal val="1"/>
          <c:showCatName val="0"/>
          <c:showSerName val="0"/>
          <c:showPercent val="0"/>
          <c:showBubbleSize val="0"/>
        </c:dLbls>
        <c:gapWidth val="216"/>
        <c:overlap val="-16"/>
        <c:axId val="265683104"/>
        <c:axId val="265684192"/>
      </c:barChart>
      <c:catAx>
        <c:axId val="265683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5684192"/>
        <c:crosses val="autoZero"/>
        <c:auto val="1"/>
        <c:lblAlgn val="ctr"/>
        <c:lblOffset val="100"/>
        <c:noMultiLvlLbl val="0"/>
      </c:catAx>
      <c:valAx>
        <c:axId val="265684192"/>
        <c:scaling>
          <c:orientation val="minMax"/>
        </c:scaling>
        <c:delete val="0"/>
        <c:axPos val="l"/>
        <c:majorGridlines>
          <c:spPr>
            <a:ln w="9525" cap="flat" cmpd="sng" algn="ctr">
              <a:solidFill>
                <a:schemeClr val="tx2">
                  <a:lumMod val="20000"/>
                  <a:lumOff val="80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56831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Sheet1!$C$28</c:f>
              <c:strCache>
                <c:ptCount val="1"/>
                <c:pt idx="0">
                  <c:v>Fakt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7"/>
              <c:layout>
                <c:manualLayout>
                  <c:x val="-7.1867612293144206E-3"/>
                  <c:y val="-1.615419541263642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7C2-4FFF-82E6-46A421C2154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w="0">
                      <a:noFill/>
                    </a:ln>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Sheet1!$B$29:$B$38</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Sheet1!$C$29:$C$38</c:f>
              <c:numCache>
                <c:formatCode>_(* #,##0_);_(* \(#,##0\);_(* "-"??_);_(@_)</c:formatCode>
                <c:ptCount val="10"/>
                <c:pt idx="0">
                  <c:v>15183</c:v>
                </c:pt>
                <c:pt idx="1">
                  <c:v>13563</c:v>
                </c:pt>
                <c:pt idx="2">
                  <c:v>17634</c:v>
                </c:pt>
                <c:pt idx="3">
                  <c:v>21622</c:v>
                </c:pt>
                <c:pt idx="4">
                  <c:v>26179</c:v>
                </c:pt>
                <c:pt idx="5">
                  <c:v>27631</c:v>
                </c:pt>
                <c:pt idx="6">
                  <c:v>30173</c:v>
                </c:pt>
                <c:pt idx="7">
                  <c:v>32744</c:v>
                </c:pt>
                <c:pt idx="8">
                  <c:v>24813</c:v>
                </c:pt>
                <c:pt idx="9">
                  <c:v>30670</c:v>
                </c:pt>
              </c:numCache>
            </c:numRef>
          </c:val>
          <c:smooth val="0"/>
          <c:extLst xmlns:c16r2="http://schemas.microsoft.com/office/drawing/2015/06/chart">
            <c:ext xmlns:c16="http://schemas.microsoft.com/office/drawing/2014/chart" uri="{C3380CC4-5D6E-409C-BE32-E72D297353CC}">
              <c16:uniqueId val="{00000000-21A9-4D57-BB41-07F1EDE795F8}"/>
            </c:ext>
          </c:extLst>
        </c:ser>
        <c:ser>
          <c:idx val="1"/>
          <c:order val="1"/>
          <c:tx>
            <c:strRef>
              <c:f>Sheet1!$D$28</c:f>
              <c:strCache>
                <c:ptCount val="1"/>
                <c:pt idx="0">
                  <c:v>Plan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7"/>
              <c:layout>
                <c:manualLayout>
                  <c:x val="-4.0283687943262411E-2"/>
                  <c:y val="6.681624725112131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7C2-4FFF-82E6-46A421C2154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C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Sheet1!$B$29:$B$38</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Sheet1!$D$29:$D$38</c:f>
              <c:numCache>
                <c:formatCode>_(* #,##0_);_(* \(#,##0\);_(* "-"??_);_(@_)</c:formatCode>
                <c:ptCount val="10"/>
                <c:pt idx="0">
                  <c:v>20010</c:v>
                </c:pt>
                <c:pt idx="1">
                  <c:v>13742</c:v>
                </c:pt>
                <c:pt idx="2">
                  <c:v>17796</c:v>
                </c:pt>
                <c:pt idx="3">
                  <c:v>21830</c:v>
                </c:pt>
                <c:pt idx="4">
                  <c:v>21580</c:v>
                </c:pt>
                <c:pt idx="5">
                  <c:v>26785</c:v>
                </c:pt>
                <c:pt idx="6">
                  <c:v>30076.136000000002</c:v>
                </c:pt>
                <c:pt idx="7">
                  <c:v>29587.419599081473</c:v>
                </c:pt>
                <c:pt idx="8">
                  <c:v>26760</c:v>
                </c:pt>
                <c:pt idx="9" formatCode="_-* #,##0_-;\-* #,##0_-;_-* &quot;-&quot;??_-;_-@_-">
                  <c:v>29790.01678057541</c:v>
                </c:pt>
              </c:numCache>
            </c:numRef>
          </c:val>
          <c:smooth val="0"/>
          <c:extLst xmlns:c16r2="http://schemas.microsoft.com/office/drawing/2015/06/chart">
            <c:ext xmlns:c16="http://schemas.microsoft.com/office/drawing/2014/chart" uri="{C3380CC4-5D6E-409C-BE32-E72D297353CC}">
              <c16:uniqueId val="{00000001-21A9-4D57-BB41-07F1EDE795F8}"/>
            </c:ext>
          </c:extLst>
        </c:ser>
        <c:dLbls>
          <c:showLegendKey val="0"/>
          <c:showVal val="0"/>
          <c:showCatName val="0"/>
          <c:showSerName val="0"/>
          <c:showPercent val="0"/>
          <c:showBubbleSize val="0"/>
        </c:dLbls>
        <c:marker val="1"/>
        <c:smooth val="0"/>
        <c:axId val="265685824"/>
        <c:axId val="105798544"/>
      </c:lineChart>
      <c:catAx>
        <c:axId val="26568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5798544"/>
        <c:crosses val="autoZero"/>
        <c:auto val="1"/>
        <c:lblAlgn val="ctr"/>
        <c:lblOffset val="100"/>
        <c:noMultiLvlLbl val="0"/>
      </c:catAx>
      <c:valAx>
        <c:axId val="105798544"/>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265685824"/>
        <c:crosses val="autoZero"/>
        <c:crossBetween val="between"/>
      </c:valAx>
      <c:spPr>
        <a:noFill/>
        <a:ln>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2182234699057E-2"/>
          <c:y val="7.1169017908701199E-2"/>
          <c:w val="0.90810414707468012"/>
          <c:h val="0.74679398683712384"/>
        </c:manualLayout>
      </c:layout>
      <c:lineChart>
        <c:grouping val="standard"/>
        <c:varyColors val="0"/>
        <c:ser>
          <c:idx val="0"/>
          <c:order val="0"/>
          <c:tx>
            <c:strRef>
              <c:f>Sheet1!$C$28</c:f>
              <c:strCache>
                <c:ptCount val="1"/>
                <c:pt idx="0">
                  <c:v>Fakt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7"/>
              <c:layout>
                <c:manualLayout>
                  <c:x val="-7.1867612293144206E-3"/>
                  <c:y val="-1.615419541263642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7C2-4FFF-82E6-46A421C2154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w="0">
                      <a:noFill/>
                    </a:ln>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Sheet1!$B$29:$B$38</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Sheet1!$C$29:$C$38</c:f>
              <c:numCache>
                <c:formatCode>_(* #,##0_);_(* \(#,##0\);_(* "-"??_);_(@_)</c:formatCode>
                <c:ptCount val="10"/>
                <c:pt idx="0">
                  <c:v>24939</c:v>
                </c:pt>
                <c:pt idx="1">
                  <c:v>26002</c:v>
                </c:pt>
                <c:pt idx="2">
                  <c:v>22674</c:v>
                </c:pt>
                <c:pt idx="3">
                  <c:v>26721</c:v>
                </c:pt>
                <c:pt idx="4">
                  <c:v>29066</c:v>
                </c:pt>
                <c:pt idx="5">
                  <c:v>29504</c:v>
                </c:pt>
                <c:pt idx="6">
                  <c:v>33700</c:v>
                </c:pt>
                <c:pt idx="7">
                  <c:v>43364</c:v>
                </c:pt>
                <c:pt idx="8">
                  <c:v>30906</c:v>
                </c:pt>
                <c:pt idx="9">
                  <c:v>36074</c:v>
                </c:pt>
              </c:numCache>
            </c:numRef>
          </c:val>
          <c:smooth val="0"/>
          <c:extLst xmlns:c16r2="http://schemas.microsoft.com/office/drawing/2015/06/chart">
            <c:ext xmlns:c16="http://schemas.microsoft.com/office/drawing/2014/chart" uri="{C3380CC4-5D6E-409C-BE32-E72D297353CC}">
              <c16:uniqueId val="{00000000-21A9-4D57-BB41-07F1EDE795F8}"/>
            </c:ext>
          </c:extLst>
        </c:ser>
        <c:ser>
          <c:idx val="1"/>
          <c:order val="1"/>
          <c:tx>
            <c:strRef>
              <c:f>Sheet1!$D$28</c:f>
              <c:strCache>
                <c:ptCount val="1"/>
                <c:pt idx="0">
                  <c:v>Plan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7"/>
              <c:layout>
                <c:manualLayout>
                  <c:x val="-4.0283687943262411E-2"/>
                  <c:y val="6.681624725112131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7C2-4FFF-82E6-46A421C2154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C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Sheet1!$B$29:$B$38</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Sheet1!$D$29:$D$38</c:f>
              <c:numCache>
                <c:formatCode>_(* #,##0_);_(* \(#,##0\);_(* "-"??_);_(@_)</c:formatCode>
                <c:ptCount val="10"/>
                <c:pt idx="0">
                  <c:v>26550</c:v>
                </c:pt>
                <c:pt idx="1">
                  <c:v>27292</c:v>
                </c:pt>
                <c:pt idx="2">
                  <c:v>22888</c:v>
                </c:pt>
                <c:pt idx="3">
                  <c:v>28637</c:v>
                </c:pt>
                <c:pt idx="4">
                  <c:v>29240</c:v>
                </c:pt>
                <c:pt idx="5">
                  <c:v>30748</c:v>
                </c:pt>
                <c:pt idx="6">
                  <c:v>33764.047999999995</c:v>
                </c:pt>
                <c:pt idx="7">
                  <c:v>37792.159632065712</c:v>
                </c:pt>
                <c:pt idx="8">
                  <c:v>36702</c:v>
                </c:pt>
                <c:pt idx="9" formatCode="_-* #,##0_-;\-* #,##0_-;_-* &quot;-&quot;??_-;_-@_-">
                  <c:v>37386.375492555242</c:v>
                </c:pt>
              </c:numCache>
            </c:numRef>
          </c:val>
          <c:smooth val="0"/>
          <c:extLst xmlns:c16r2="http://schemas.microsoft.com/office/drawing/2015/06/chart">
            <c:ext xmlns:c16="http://schemas.microsoft.com/office/drawing/2014/chart" uri="{C3380CC4-5D6E-409C-BE32-E72D297353CC}">
              <c16:uniqueId val="{00000001-21A9-4D57-BB41-07F1EDE795F8}"/>
            </c:ext>
          </c:extLst>
        </c:ser>
        <c:dLbls>
          <c:showLegendKey val="0"/>
          <c:showVal val="0"/>
          <c:showCatName val="0"/>
          <c:showSerName val="0"/>
          <c:showPercent val="0"/>
          <c:showBubbleSize val="0"/>
        </c:dLbls>
        <c:marker val="1"/>
        <c:smooth val="0"/>
        <c:axId val="105786032"/>
        <c:axId val="105799088"/>
      </c:lineChart>
      <c:catAx>
        <c:axId val="10578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5799088"/>
        <c:crosses val="autoZero"/>
        <c:auto val="1"/>
        <c:lblAlgn val="ctr"/>
        <c:lblOffset val="100"/>
        <c:noMultiLvlLbl val="0"/>
      </c:catAx>
      <c:valAx>
        <c:axId val="105799088"/>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05786032"/>
        <c:crosses val="autoZero"/>
        <c:crossBetween val="between"/>
      </c:valAx>
      <c:spPr>
        <a:noFill/>
        <a:ln>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29190795594994"/>
          <c:y val="0.16294346585435293"/>
          <c:w val="0.85748765275308325"/>
          <c:h val="0.63464733570242804"/>
        </c:manualLayout>
      </c:layout>
      <c:lineChart>
        <c:grouping val="standard"/>
        <c:varyColors val="0"/>
        <c:ser>
          <c:idx val="0"/>
          <c:order val="0"/>
          <c:tx>
            <c:strRef>
              <c:f>Sheet1!$C$4</c:f>
              <c:strCache>
                <c:ptCount val="1"/>
                <c:pt idx="0">
                  <c:v>Fakt</c:v>
                </c:pt>
              </c:strCache>
            </c:strRef>
          </c:tx>
          <c:spPr>
            <a:ln w="22225" cap="rnd" cmpd="sng" algn="ctr">
              <a:solidFill>
                <a:schemeClr val="accent1"/>
              </a:solidFill>
              <a:round/>
            </a:ln>
            <a:effectLst/>
          </c:spPr>
          <c:marker>
            <c:symbol val="none"/>
          </c:marker>
          <c:dLbls>
            <c:dLbl>
              <c:idx val="7"/>
              <c:layout>
                <c:manualLayout>
                  <c:x val="-5.5277777777777877E-2"/>
                  <c:y val="5.32753718285214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231-4D06-97CF-86471FD5E49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w="6350">
                      <a:noFill/>
                    </a:ln>
                    <a:solidFill>
                      <a:schemeClr val="accent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Sheet1!$B$5:$B$14</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Sheet1!$C$5:$C$14</c:f>
              <c:numCache>
                <c:formatCode>0</c:formatCode>
                <c:ptCount val="10"/>
                <c:pt idx="0">
                  <c:v>20712</c:v>
                </c:pt>
                <c:pt idx="1">
                  <c:v>18004</c:v>
                </c:pt>
                <c:pt idx="2">
                  <c:v>21316</c:v>
                </c:pt>
                <c:pt idx="3">
                  <c:v>26990</c:v>
                </c:pt>
                <c:pt idx="4">
                  <c:v>29888</c:v>
                </c:pt>
                <c:pt idx="5">
                  <c:v>33708</c:v>
                </c:pt>
                <c:pt idx="6">
                  <c:v>32953</c:v>
                </c:pt>
                <c:pt idx="7">
                  <c:v>30810</c:v>
                </c:pt>
                <c:pt idx="8">
                  <c:v>30319</c:v>
                </c:pt>
                <c:pt idx="9">
                  <c:v>36275</c:v>
                </c:pt>
              </c:numCache>
            </c:numRef>
          </c:val>
          <c:smooth val="0"/>
          <c:extLst xmlns:c16r2="http://schemas.microsoft.com/office/drawing/2015/06/chart">
            <c:ext xmlns:c16="http://schemas.microsoft.com/office/drawing/2014/chart" uri="{C3380CC4-5D6E-409C-BE32-E72D297353CC}">
              <c16:uniqueId val="{00000000-D231-4D06-97CF-86471FD5E493}"/>
            </c:ext>
          </c:extLst>
        </c:ser>
        <c:ser>
          <c:idx val="1"/>
          <c:order val="1"/>
          <c:tx>
            <c:strRef>
              <c:f>Sheet1!$D$4</c:f>
              <c:strCache>
                <c:ptCount val="1"/>
                <c:pt idx="0">
                  <c:v>Plan</c:v>
                </c:pt>
              </c:strCache>
            </c:strRef>
          </c:tx>
          <c:spPr>
            <a:ln w="22225" cap="rnd" cmpd="sng" algn="ctr">
              <a:solidFill>
                <a:schemeClr val="accent2"/>
              </a:solidFill>
              <a:round/>
            </a:ln>
            <a:effectLst/>
          </c:spPr>
          <c:marker>
            <c:symbol val="none"/>
          </c:marker>
          <c:dLbls>
            <c:dLbl>
              <c:idx val="7"/>
              <c:layout>
                <c:manualLayout>
                  <c:x val="-5.5277777777777877E-2"/>
                  <c:y val="-4.40161125692621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231-4D06-97CF-86471FD5E49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ln>
                      <a:solidFill>
                        <a:srgbClr val="C00000"/>
                      </a:solidFill>
                    </a:ln>
                    <a:solidFill>
                      <a:schemeClr val="dk1">
                        <a:lumMod val="65000"/>
                        <a:lumOff val="35000"/>
                      </a:schemeClr>
                    </a:solidFill>
                    <a:effectLst/>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Sheet1!$B$5:$B$14</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Sheet1!$D$5:$D$14</c:f>
              <c:numCache>
                <c:formatCode>0</c:formatCode>
                <c:ptCount val="10"/>
                <c:pt idx="0">
                  <c:v>16210</c:v>
                </c:pt>
                <c:pt idx="1">
                  <c:v>16221</c:v>
                </c:pt>
                <c:pt idx="2">
                  <c:v>21713</c:v>
                </c:pt>
                <c:pt idx="3">
                  <c:v>28214</c:v>
                </c:pt>
                <c:pt idx="4">
                  <c:v>30320</c:v>
                </c:pt>
                <c:pt idx="5">
                  <c:v>34300</c:v>
                </c:pt>
                <c:pt idx="6">
                  <c:v>32652.496600000002</c:v>
                </c:pt>
                <c:pt idx="7">
                  <c:v>35014.515528810509</c:v>
                </c:pt>
                <c:pt idx="8">
                  <c:v>30039</c:v>
                </c:pt>
                <c:pt idx="9">
                  <c:v>32366.295142186293</c:v>
                </c:pt>
              </c:numCache>
            </c:numRef>
          </c:val>
          <c:smooth val="0"/>
          <c:extLst xmlns:c16r2="http://schemas.microsoft.com/office/drawing/2015/06/chart">
            <c:ext xmlns:c16="http://schemas.microsoft.com/office/drawing/2014/chart" uri="{C3380CC4-5D6E-409C-BE32-E72D297353CC}">
              <c16:uniqueId val="{00000001-D231-4D06-97CF-86471FD5E493}"/>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05786576"/>
        <c:axId val="105787664"/>
      </c:lineChart>
      <c:catAx>
        <c:axId val="1057865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spc="20" baseline="0">
                <a:solidFill>
                  <a:schemeClr val="dk1">
                    <a:lumMod val="65000"/>
                    <a:lumOff val="35000"/>
                  </a:schemeClr>
                </a:solidFill>
                <a:latin typeface="+mn-lt"/>
                <a:ea typeface="+mn-ea"/>
                <a:cs typeface="+mn-cs"/>
              </a:defRPr>
            </a:pPr>
            <a:endParaRPr lang="en-US"/>
          </a:p>
        </c:txPr>
        <c:crossAx val="105787664"/>
        <c:crosses val="autoZero"/>
        <c:auto val="1"/>
        <c:lblAlgn val="ctr"/>
        <c:lblOffset val="100"/>
        <c:noMultiLvlLbl val="0"/>
      </c:catAx>
      <c:valAx>
        <c:axId val="1057876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spc="20" baseline="0">
                <a:solidFill>
                  <a:schemeClr val="dk1">
                    <a:lumMod val="65000"/>
                    <a:lumOff val="35000"/>
                  </a:schemeClr>
                </a:solidFill>
                <a:latin typeface="+mn-lt"/>
                <a:ea typeface="+mn-ea"/>
                <a:cs typeface="+mn-cs"/>
              </a:defRPr>
            </a:pPr>
            <a:endParaRPr lang="en-US"/>
          </a:p>
        </c:txPr>
        <c:crossAx val="10578657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rgbClr val="E7E6E6"/>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2022-01-28T07:59:44Z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ERP;Shqiperi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miratimin e programit të reformave ekonomike (ERP) 2022-2024</Titulli>
    <Modifikuesi xmlns="0e656187-b300-4fb0-8bf4-3a50f872073c">valjeta.kaftalli</Modifikuesi>
    <Nr_x002e__x0020_prot_x0020_QBZ xmlns="0e656187-b300-4fb0-8bf4-3a50f872073c">133</Nr_x002e__x0020_prot_x0020_QBZ>
    <Data_x0020_e_x0020_Modifikimit xmlns="0e656187-b300-4fb0-8bf4-3a50f872073c">2022-02-03T14:49:16Z</Data_x0020_e_x0020_Modifikimit>
    <Dekretuar xmlns="0e656187-b300-4fb0-8bf4-3a50f872073c">false</Dekretuar>
    <Data xmlns="0e656187-b300-4fb0-8bf4-3a50f872073c">2022-01-25T23:00:00Z</Data>
    <Nr_x002e__x0020_protokolli_x0020_i_x0020_aktit xmlns="0e656187-b300-4fb0-8bf4-3a50f872073c">403/1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6784CB9DE864F80AB269E9AA885FC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3B36F-68D3-4102-ABF6-58412D3F46DF}">
  <ds:schemaRefs>
    <ds:schemaRef ds:uri="http://schemas.microsoft.com/sharepoint/v3/contenttype/forms"/>
  </ds:schemaRefs>
</ds:datastoreItem>
</file>

<file path=customXml/itemProps2.xml><?xml version="1.0" encoding="utf-8"?>
<ds:datastoreItem xmlns:ds="http://schemas.openxmlformats.org/officeDocument/2006/customXml" ds:itemID="{A48A82F7-7BA3-44B2-9DBF-2FB1EC3F47D6}">
  <ds:schemaRefs>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purl.org/dc/elements/1.1/"/>
  </ds:schemaRefs>
</ds:datastoreItem>
</file>

<file path=customXml/itemProps3.xml><?xml version="1.0" encoding="utf-8"?>
<ds:datastoreItem xmlns:ds="http://schemas.openxmlformats.org/officeDocument/2006/customXml" ds:itemID="{A7F7FDE2-D59E-4EAD-8C5E-C0AB40E58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4620B31-FB0C-4D72-ADFA-ABFF96A4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157</Pages>
  <Words>83673</Words>
  <Characters>476941</Characters>
  <Application>Microsoft Office Word</Application>
  <DocSecurity>0</DocSecurity>
  <Lines>3974</Lines>
  <Paragraphs>1118</Paragraphs>
  <ScaleCrop>false</ScaleCrop>
  <HeadingPairs>
    <vt:vector size="2" baseType="variant">
      <vt:variant>
        <vt:lpstr>Title</vt:lpstr>
      </vt:variant>
      <vt:variant>
        <vt:i4>1</vt:i4>
      </vt:variant>
    </vt:vector>
  </HeadingPairs>
  <TitlesOfParts>
    <vt:vector size="1" baseType="lpstr">
      <vt:lpstr>Për miratimin e programit të reformave ekonomike (ERP) 2022-2024</vt:lpstr>
    </vt:vector>
  </TitlesOfParts>
  <Company/>
  <LinksUpToDate>false</LinksUpToDate>
  <CharactersWithSpaces>559496</CharactersWithSpaces>
  <SharedDoc>false</SharedDoc>
  <HLinks>
    <vt:vector size="210" baseType="variant">
      <vt:variant>
        <vt:i4>3538996</vt:i4>
      </vt:variant>
      <vt:variant>
        <vt:i4>459</vt:i4>
      </vt:variant>
      <vt:variant>
        <vt:i4>0</vt:i4>
      </vt:variant>
      <vt:variant>
        <vt:i4>5</vt:i4>
      </vt:variant>
      <vt:variant>
        <vt:lpwstr>http://www.puna.gov.al/</vt:lpwstr>
      </vt:variant>
      <vt:variant>
        <vt:lpwstr/>
      </vt:variant>
      <vt:variant>
        <vt:i4>5111898</vt:i4>
      </vt:variant>
      <vt:variant>
        <vt:i4>456</vt:i4>
      </vt:variant>
      <vt:variant>
        <vt:i4>0</vt:i4>
      </vt:variant>
      <vt:variant>
        <vt:i4>5</vt:i4>
      </vt:variant>
      <vt:variant>
        <vt:lpwstr>https://www.e-albania.al/sherbimi.aspx?kodi=6093</vt:lpwstr>
      </vt:variant>
      <vt:variant>
        <vt:lpwstr/>
      </vt:variant>
      <vt:variant>
        <vt:i4>2031674</vt:i4>
      </vt:variant>
      <vt:variant>
        <vt:i4>182</vt:i4>
      </vt:variant>
      <vt:variant>
        <vt:i4>0</vt:i4>
      </vt:variant>
      <vt:variant>
        <vt:i4>5</vt:i4>
      </vt:variant>
      <vt:variant>
        <vt:lpwstr/>
      </vt:variant>
      <vt:variant>
        <vt:lpwstr>_Toc473552880</vt:lpwstr>
      </vt:variant>
      <vt:variant>
        <vt:i4>1048634</vt:i4>
      </vt:variant>
      <vt:variant>
        <vt:i4>176</vt:i4>
      </vt:variant>
      <vt:variant>
        <vt:i4>0</vt:i4>
      </vt:variant>
      <vt:variant>
        <vt:i4>5</vt:i4>
      </vt:variant>
      <vt:variant>
        <vt:lpwstr/>
      </vt:variant>
      <vt:variant>
        <vt:lpwstr>_Toc473552879</vt:lpwstr>
      </vt:variant>
      <vt:variant>
        <vt:i4>1048634</vt:i4>
      </vt:variant>
      <vt:variant>
        <vt:i4>170</vt:i4>
      </vt:variant>
      <vt:variant>
        <vt:i4>0</vt:i4>
      </vt:variant>
      <vt:variant>
        <vt:i4>5</vt:i4>
      </vt:variant>
      <vt:variant>
        <vt:lpwstr/>
      </vt:variant>
      <vt:variant>
        <vt:lpwstr>_Toc473552878</vt:lpwstr>
      </vt:variant>
      <vt:variant>
        <vt:i4>1048634</vt:i4>
      </vt:variant>
      <vt:variant>
        <vt:i4>164</vt:i4>
      </vt:variant>
      <vt:variant>
        <vt:i4>0</vt:i4>
      </vt:variant>
      <vt:variant>
        <vt:i4>5</vt:i4>
      </vt:variant>
      <vt:variant>
        <vt:lpwstr/>
      </vt:variant>
      <vt:variant>
        <vt:lpwstr>_Toc473552877</vt:lpwstr>
      </vt:variant>
      <vt:variant>
        <vt:i4>1048634</vt:i4>
      </vt:variant>
      <vt:variant>
        <vt:i4>158</vt:i4>
      </vt:variant>
      <vt:variant>
        <vt:i4>0</vt:i4>
      </vt:variant>
      <vt:variant>
        <vt:i4>5</vt:i4>
      </vt:variant>
      <vt:variant>
        <vt:lpwstr/>
      </vt:variant>
      <vt:variant>
        <vt:lpwstr>_Toc473552876</vt:lpwstr>
      </vt:variant>
      <vt:variant>
        <vt:i4>1048634</vt:i4>
      </vt:variant>
      <vt:variant>
        <vt:i4>152</vt:i4>
      </vt:variant>
      <vt:variant>
        <vt:i4>0</vt:i4>
      </vt:variant>
      <vt:variant>
        <vt:i4>5</vt:i4>
      </vt:variant>
      <vt:variant>
        <vt:lpwstr/>
      </vt:variant>
      <vt:variant>
        <vt:lpwstr>_Toc473552875</vt:lpwstr>
      </vt:variant>
      <vt:variant>
        <vt:i4>1048634</vt:i4>
      </vt:variant>
      <vt:variant>
        <vt:i4>146</vt:i4>
      </vt:variant>
      <vt:variant>
        <vt:i4>0</vt:i4>
      </vt:variant>
      <vt:variant>
        <vt:i4>5</vt:i4>
      </vt:variant>
      <vt:variant>
        <vt:lpwstr/>
      </vt:variant>
      <vt:variant>
        <vt:lpwstr>_Toc473552874</vt:lpwstr>
      </vt:variant>
      <vt:variant>
        <vt:i4>1048634</vt:i4>
      </vt:variant>
      <vt:variant>
        <vt:i4>140</vt:i4>
      </vt:variant>
      <vt:variant>
        <vt:i4>0</vt:i4>
      </vt:variant>
      <vt:variant>
        <vt:i4>5</vt:i4>
      </vt:variant>
      <vt:variant>
        <vt:lpwstr/>
      </vt:variant>
      <vt:variant>
        <vt:lpwstr>_Toc473552873</vt:lpwstr>
      </vt:variant>
      <vt:variant>
        <vt:i4>1048634</vt:i4>
      </vt:variant>
      <vt:variant>
        <vt:i4>134</vt:i4>
      </vt:variant>
      <vt:variant>
        <vt:i4>0</vt:i4>
      </vt:variant>
      <vt:variant>
        <vt:i4>5</vt:i4>
      </vt:variant>
      <vt:variant>
        <vt:lpwstr/>
      </vt:variant>
      <vt:variant>
        <vt:lpwstr>_Toc473552872</vt:lpwstr>
      </vt:variant>
      <vt:variant>
        <vt:i4>1048634</vt:i4>
      </vt:variant>
      <vt:variant>
        <vt:i4>128</vt:i4>
      </vt:variant>
      <vt:variant>
        <vt:i4>0</vt:i4>
      </vt:variant>
      <vt:variant>
        <vt:i4>5</vt:i4>
      </vt:variant>
      <vt:variant>
        <vt:lpwstr/>
      </vt:variant>
      <vt:variant>
        <vt:lpwstr>_Toc473552871</vt:lpwstr>
      </vt:variant>
      <vt:variant>
        <vt:i4>1048634</vt:i4>
      </vt:variant>
      <vt:variant>
        <vt:i4>122</vt:i4>
      </vt:variant>
      <vt:variant>
        <vt:i4>0</vt:i4>
      </vt:variant>
      <vt:variant>
        <vt:i4>5</vt:i4>
      </vt:variant>
      <vt:variant>
        <vt:lpwstr/>
      </vt:variant>
      <vt:variant>
        <vt:lpwstr>_Toc473552870</vt:lpwstr>
      </vt:variant>
      <vt:variant>
        <vt:i4>1114170</vt:i4>
      </vt:variant>
      <vt:variant>
        <vt:i4>116</vt:i4>
      </vt:variant>
      <vt:variant>
        <vt:i4>0</vt:i4>
      </vt:variant>
      <vt:variant>
        <vt:i4>5</vt:i4>
      </vt:variant>
      <vt:variant>
        <vt:lpwstr/>
      </vt:variant>
      <vt:variant>
        <vt:lpwstr>_Toc473552869</vt:lpwstr>
      </vt:variant>
      <vt:variant>
        <vt:i4>1114170</vt:i4>
      </vt:variant>
      <vt:variant>
        <vt:i4>110</vt:i4>
      </vt:variant>
      <vt:variant>
        <vt:i4>0</vt:i4>
      </vt:variant>
      <vt:variant>
        <vt:i4>5</vt:i4>
      </vt:variant>
      <vt:variant>
        <vt:lpwstr/>
      </vt:variant>
      <vt:variant>
        <vt:lpwstr>_Toc473552868</vt:lpwstr>
      </vt:variant>
      <vt:variant>
        <vt:i4>1114170</vt:i4>
      </vt:variant>
      <vt:variant>
        <vt:i4>104</vt:i4>
      </vt:variant>
      <vt:variant>
        <vt:i4>0</vt:i4>
      </vt:variant>
      <vt:variant>
        <vt:i4>5</vt:i4>
      </vt:variant>
      <vt:variant>
        <vt:lpwstr/>
      </vt:variant>
      <vt:variant>
        <vt:lpwstr>_Toc473552867</vt:lpwstr>
      </vt:variant>
      <vt:variant>
        <vt:i4>1114170</vt:i4>
      </vt:variant>
      <vt:variant>
        <vt:i4>98</vt:i4>
      </vt:variant>
      <vt:variant>
        <vt:i4>0</vt:i4>
      </vt:variant>
      <vt:variant>
        <vt:i4>5</vt:i4>
      </vt:variant>
      <vt:variant>
        <vt:lpwstr/>
      </vt:variant>
      <vt:variant>
        <vt:lpwstr>_Toc473552866</vt:lpwstr>
      </vt:variant>
      <vt:variant>
        <vt:i4>1114170</vt:i4>
      </vt:variant>
      <vt:variant>
        <vt:i4>92</vt:i4>
      </vt:variant>
      <vt:variant>
        <vt:i4>0</vt:i4>
      </vt:variant>
      <vt:variant>
        <vt:i4>5</vt:i4>
      </vt:variant>
      <vt:variant>
        <vt:lpwstr/>
      </vt:variant>
      <vt:variant>
        <vt:lpwstr>_Toc473552865</vt:lpwstr>
      </vt:variant>
      <vt:variant>
        <vt:i4>1114170</vt:i4>
      </vt:variant>
      <vt:variant>
        <vt:i4>86</vt:i4>
      </vt:variant>
      <vt:variant>
        <vt:i4>0</vt:i4>
      </vt:variant>
      <vt:variant>
        <vt:i4>5</vt:i4>
      </vt:variant>
      <vt:variant>
        <vt:lpwstr/>
      </vt:variant>
      <vt:variant>
        <vt:lpwstr>_Toc473552864</vt:lpwstr>
      </vt:variant>
      <vt:variant>
        <vt:i4>1114170</vt:i4>
      </vt:variant>
      <vt:variant>
        <vt:i4>80</vt:i4>
      </vt:variant>
      <vt:variant>
        <vt:i4>0</vt:i4>
      </vt:variant>
      <vt:variant>
        <vt:i4>5</vt:i4>
      </vt:variant>
      <vt:variant>
        <vt:lpwstr/>
      </vt:variant>
      <vt:variant>
        <vt:lpwstr>_Toc473552863</vt:lpwstr>
      </vt:variant>
      <vt:variant>
        <vt:i4>1114170</vt:i4>
      </vt:variant>
      <vt:variant>
        <vt:i4>74</vt:i4>
      </vt:variant>
      <vt:variant>
        <vt:i4>0</vt:i4>
      </vt:variant>
      <vt:variant>
        <vt:i4>5</vt:i4>
      </vt:variant>
      <vt:variant>
        <vt:lpwstr/>
      </vt:variant>
      <vt:variant>
        <vt:lpwstr>_Toc473552862</vt:lpwstr>
      </vt:variant>
      <vt:variant>
        <vt:i4>1114170</vt:i4>
      </vt:variant>
      <vt:variant>
        <vt:i4>68</vt:i4>
      </vt:variant>
      <vt:variant>
        <vt:i4>0</vt:i4>
      </vt:variant>
      <vt:variant>
        <vt:i4>5</vt:i4>
      </vt:variant>
      <vt:variant>
        <vt:lpwstr/>
      </vt:variant>
      <vt:variant>
        <vt:lpwstr>_Toc473552861</vt:lpwstr>
      </vt:variant>
      <vt:variant>
        <vt:i4>1114170</vt:i4>
      </vt:variant>
      <vt:variant>
        <vt:i4>62</vt:i4>
      </vt:variant>
      <vt:variant>
        <vt:i4>0</vt:i4>
      </vt:variant>
      <vt:variant>
        <vt:i4>5</vt:i4>
      </vt:variant>
      <vt:variant>
        <vt:lpwstr/>
      </vt:variant>
      <vt:variant>
        <vt:lpwstr>_Toc473552860</vt:lpwstr>
      </vt:variant>
      <vt:variant>
        <vt:i4>1179706</vt:i4>
      </vt:variant>
      <vt:variant>
        <vt:i4>56</vt:i4>
      </vt:variant>
      <vt:variant>
        <vt:i4>0</vt:i4>
      </vt:variant>
      <vt:variant>
        <vt:i4>5</vt:i4>
      </vt:variant>
      <vt:variant>
        <vt:lpwstr/>
      </vt:variant>
      <vt:variant>
        <vt:lpwstr>_Toc473552859</vt:lpwstr>
      </vt:variant>
      <vt:variant>
        <vt:i4>1179706</vt:i4>
      </vt:variant>
      <vt:variant>
        <vt:i4>50</vt:i4>
      </vt:variant>
      <vt:variant>
        <vt:i4>0</vt:i4>
      </vt:variant>
      <vt:variant>
        <vt:i4>5</vt:i4>
      </vt:variant>
      <vt:variant>
        <vt:lpwstr/>
      </vt:variant>
      <vt:variant>
        <vt:lpwstr>_Toc473552858</vt:lpwstr>
      </vt:variant>
      <vt:variant>
        <vt:i4>1179706</vt:i4>
      </vt:variant>
      <vt:variant>
        <vt:i4>44</vt:i4>
      </vt:variant>
      <vt:variant>
        <vt:i4>0</vt:i4>
      </vt:variant>
      <vt:variant>
        <vt:i4>5</vt:i4>
      </vt:variant>
      <vt:variant>
        <vt:lpwstr/>
      </vt:variant>
      <vt:variant>
        <vt:lpwstr>_Toc473552857</vt:lpwstr>
      </vt:variant>
      <vt:variant>
        <vt:i4>1179706</vt:i4>
      </vt:variant>
      <vt:variant>
        <vt:i4>38</vt:i4>
      </vt:variant>
      <vt:variant>
        <vt:i4>0</vt:i4>
      </vt:variant>
      <vt:variant>
        <vt:i4>5</vt:i4>
      </vt:variant>
      <vt:variant>
        <vt:lpwstr/>
      </vt:variant>
      <vt:variant>
        <vt:lpwstr>_Toc473552856</vt:lpwstr>
      </vt:variant>
      <vt:variant>
        <vt:i4>1179706</vt:i4>
      </vt:variant>
      <vt:variant>
        <vt:i4>32</vt:i4>
      </vt:variant>
      <vt:variant>
        <vt:i4>0</vt:i4>
      </vt:variant>
      <vt:variant>
        <vt:i4>5</vt:i4>
      </vt:variant>
      <vt:variant>
        <vt:lpwstr/>
      </vt:variant>
      <vt:variant>
        <vt:lpwstr>_Toc473552855</vt:lpwstr>
      </vt:variant>
      <vt:variant>
        <vt:i4>1179706</vt:i4>
      </vt:variant>
      <vt:variant>
        <vt:i4>26</vt:i4>
      </vt:variant>
      <vt:variant>
        <vt:i4>0</vt:i4>
      </vt:variant>
      <vt:variant>
        <vt:i4>5</vt:i4>
      </vt:variant>
      <vt:variant>
        <vt:lpwstr/>
      </vt:variant>
      <vt:variant>
        <vt:lpwstr>_Toc473552854</vt:lpwstr>
      </vt:variant>
      <vt:variant>
        <vt:i4>1179706</vt:i4>
      </vt:variant>
      <vt:variant>
        <vt:i4>20</vt:i4>
      </vt:variant>
      <vt:variant>
        <vt:i4>0</vt:i4>
      </vt:variant>
      <vt:variant>
        <vt:i4>5</vt:i4>
      </vt:variant>
      <vt:variant>
        <vt:lpwstr/>
      </vt:variant>
      <vt:variant>
        <vt:lpwstr>_Toc473552853</vt:lpwstr>
      </vt:variant>
      <vt:variant>
        <vt:i4>1179706</vt:i4>
      </vt:variant>
      <vt:variant>
        <vt:i4>14</vt:i4>
      </vt:variant>
      <vt:variant>
        <vt:i4>0</vt:i4>
      </vt:variant>
      <vt:variant>
        <vt:i4>5</vt:i4>
      </vt:variant>
      <vt:variant>
        <vt:lpwstr/>
      </vt:variant>
      <vt:variant>
        <vt:lpwstr>_Toc473552852</vt:lpwstr>
      </vt:variant>
      <vt:variant>
        <vt:i4>1179706</vt:i4>
      </vt:variant>
      <vt:variant>
        <vt:i4>8</vt:i4>
      </vt:variant>
      <vt:variant>
        <vt:i4>0</vt:i4>
      </vt:variant>
      <vt:variant>
        <vt:i4>5</vt:i4>
      </vt:variant>
      <vt:variant>
        <vt:lpwstr/>
      </vt:variant>
      <vt:variant>
        <vt:lpwstr>_Toc473552851</vt:lpwstr>
      </vt:variant>
      <vt:variant>
        <vt:i4>1179706</vt:i4>
      </vt:variant>
      <vt:variant>
        <vt:i4>2</vt:i4>
      </vt:variant>
      <vt:variant>
        <vt:i4>0</vt:i4>
      </vt:variant>
      <vt:variant>
        <vt:i4>5</vt:i4>
      </vt:variant>
      <vt:variant>
        <vt:lpwstr/>
      </vt:variant>
      <vt:variant>
        <vt:lpwstr>_Toc473552850</vt:lpwstr>
      </vt:variant>
      <vt:variant>
        <vt:i4>1179667</vt:i4>
      </vt:variant>
      <vt:variant>
        <vt:i4>3</vt:i4>
      </vt:variant>
      <vt:variant>
        <vt:i4>0</vt:i4>
      </vt:variant>
      <vt:variant>
        <vt:i4>5</vt:i4>
      </vt:variant>
      <vt:variant>
        <vt:lpwstr>http://www.arsimi.gov.al/files/userfiles/buxheti/2016/perditesime/Raporti_i_Monitorimit_12-mujori_Janar-Dhjetor_2015_30.01._2016_F_N_(4).pdf</vt:lpwstr>
      </vt:variant>
      <vt:variant>
        <vt:lpwstr/>
      </vt:variant>
      <vt:variant>
        <vt:i4>3407994</vt:i4>
      </vt:variant>
      <vt:variant>
        <vt:i4>0</vt:i4>
      </vt:variant>
      <vt:variant>
        <vt:i4>0</vt:i4>
      </vt:variant>
      <vt:variant>
        <vt:i4>5</vt:i4>
      </vt:variant>
      <vt:variant>
        <vt:lpwstr>http://www.akti.gov.al/dokumenta/strategjia_2009_2015.pdf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reformave ekonomike (ERP) 2022-2024</dc:title>
  <dc:creator>Elson Caka</dc:creator>
  <cp:keywords>ERP;Shqiperi</cp:keywords>
  <cp:lastModifiedBy>Entela Suli</cp:lastModifiedBy>
  <cp:revision>708</cp:revision>
  <cp:lastPrinted>2021-02-04T15:17:00Z</cp:lastPrinted>
  <dcterms:created xsi:type="dcterms:W3CDTF">2022-01-31T13:27:00Z</dcterms:created>
  <dcterms:modified xsi:type="dcterms:W3CDTF">2022-02-03T14:55:00Z</dcterms:modified>
</cp:coreProperties>
</file>