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FF620" w14:textId="48E42AC3" w:rsidR="000C5562" w:rsidRPr="00A511E6" w:rsidRDefault="000C5562" w:rsidP="000C5562">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VENDIM</w:t>
      </w:r>
      <w:bookmarkStart w:id="0" w:name="_GoBack"/>
      <w:bookmarkEnd w:id="0"/>
    </w:p>
    <w:p w14:paraId="3A020AA8" w14:textId="565732FD" w:rsidR="000C5562" w:rsidRPr="00A511E6" w:rsidRDefault="000C5562" w:rsidP="000C5562">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Nr.</w:t>
      </w:r>
      <w:r w:rsidR="00394625" w:rsidRPr="00A511E6">
        <w:rPr>
          <w:rFonts w:ascii="Garamond" w:eastAsiaTheme="minorHAnsi" w:hAnsi="Garamond"/>
          <w:b/>
          <w:bCs/>
          <w:szCs w:val="28"/>
        </w:rPr>
        <w:t xml:space="preserve"> </w:t>
      </w:r>
      <w:r w:rsidRPr="00A511E6">
        <w:rPr>
          <w:rFonts w:ascii="Garamond" w:eastAsiaTheme="minorHAnsi" w:hAnsi="Garamond"/>
          <w:b/>
          <w:bCs/>
          <w:szCs w:val="28"/>
        </w:rPr>
        <w:t>181, datë 30.3.2022</w:t>
      </w:r>
    </w:p>
    <w:p w14:paraId="7B5FB17C" w14:textId="77777777" w:rsidR="000C5562" w:rsidRPr="00A511E6" w:rsidRDefault="000C5562" w:rsidP="000C5562">
      <w:pPr>
        <w:autoSpaceDE w:val="0"/>
        <w:autoSpaceDN w:val="0"/>
        <w:adjustRightInd w:val="0"/>
        <w:ind w:firstLine="284"/>
        <w:jc w:val="center"/>
        <w:rPr>
          <w:rFonts w:ascii="Garamond" w:eastAsiaTheme="minorHAnsi" w:hAnsi="Garamond"/>
          <w:b/>
          <w:bCs/>
          <w:szCs w:val="28"/>
        </w:rPr>
      </w:pPr>
    </w:p>
    <w:p w14:paraId="4F258800" w14:textId="03E264A3" w:rsidR="00654B88" w:rsidRPr="00A511E6" w:rsidRDefault="000C5562" w:rsidP="00654B88">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PËR PËRDORIMIN E FONDIT TË RINDËRTIMIT PËR FINANCIMIN E RIFORCIMIT TË NJËSIVE INDIVIDUALE TË BANIMIT DHE NJËSIVE TË BANIMIT NË NDËRTESA (PALLAT),</w:t>
      </w:r>
      <w:r w:rsidR="005D25EC" w:rsidRPr="00A511E6">
        <w:rPr>
          <w:rFonts w:ascii="Garamond" w:eastAsiaTheme="minorHAnsi" w:hAnsi="Garamond"/>
          <w:b/>
          <w:bCs/>
          <w:szCs w:val="28"/>
        </w:rPr>
        <w:t xml:space="preserve"> </w:t>
      </w:r>
      <w:r w:rsidRPr="00A511E6">
        <w:rPr>
          <w:rFonts w:ascii="Garamond" w:eastAsiaTheme="minorHAnsi" w:hAnsi="Garamond"/>
          <w:b/>
          <w:bCs/>
          <w:szCs w:val="28"/>
        </w:rPr>
        <w:t>NË BASHKITË TIRANË, DURRËS, SHIJAK, LEZHË DHE KRUJË</w:t>
      </w:r>
    </w:p>
    <w:p w14:paraId="1F3B6C13" w14:textId="707A3BDF" w:rsidR="00654B88" w:rsidRPr="00A511E6" w:rsidRDefault="00654B88" w:rsidP="00654B88">
      <w:pPr>
        <w:autoSpaceDE w:val="0"/>
        <w:autoSpaceDN w:val="0"/>
        <w:adjustRightInd w:val="0"/>
        <w:ind w:firstLine="284"/>
        <w:jc w:val="center"/>
        <w:rPr>
          <w:rFonts w:ascii="Garamond" w:eastAsiaTheme="minorHAnsi" w:hAnsi="Garamond"/>
          <w:bCs/>
          <w:i/>
          <w:szCs w:val="28"/>
        </w:rPr>
      </w:pPr>
      <w:r w:rsidRPr="00A511E6">
        <w:rPr>
          <w:rFonts w:ascii="Garamond" w:eastAsiaTheme="minorHAnsi" w:hAnsi="Garamond"/>
          <w:bCs/>
          <w:i/>
          <w:szCs w:val="28"/>
        </w:rPr>
        <w:t>(ndryshuar me vendimin nr. 778, datë 12.12.2022</w:t>
      </w:r>
      <w:r w:rsidR="00B74EEC" w:rsidRPr="00A511E6">
        <w:rPr>
          <w:rFonts w:ascii="Garamond" w:eastAsiaTheme="minorHAnsi" w:hAnsi="Garamond"/>
          <w:bCs/>
          <w:i/>
          <w:szCs w:val="28"/>
        </w:rPr>
        <w:t>, nr. 690, datë 6.12.2023</w:t>
      </w:r>
      <w:r w:rsidRPr="00A511E6">
        <w:rPr>
          <w:rFonts w:ascii="Garamond" w:eastAsiaTheme="minorHAnsi" w:hAnsi="Garamond"/>
          <w:bCs/>
          <w:i/>
          <w:szCs w:val="28"/>
        </w:rPr>
        <w:t>)</w:t>
      </w:r>
    </w:p>
    <w:p w14:paraId="00FE2BCE" w14:textId="25C7E5A6" w:rsidR="00654B88" w:rsidRPr="00A511E6" w:rsidRDefault="00654B88" w:rsidP="00654B88">
      <w:pPr>
        <w:autoSpaceDE w:val="0"/>
        <w:autoSpaceDN w:val="0"/>
        <w:adjustRightInd w:val="0"/>
        <w:ind w:firstLine="284"/>
        <w:jc w:val="right"/>
        <w:rPr>
          <w:rFonts w:ascii="Garamond" w:eastAsiaTheme="minorHAnsi" w:hAnsi="Garamond"/>
          <w:bCs/>
          <w:i/>
          <w:szCs w:val="28"/>
        </w:rPr>
      </w:pPr>
      <w:r w:rsidRPr="00A511E6">
        <w:rPr>
          <w:rFonts w:ascii="Garamond" w:eastAsiaTheme="minorHAnsi" w:hAnsi="Garamond"/>
          <w:bCs/>
          <w:i/>
          <w:szCs w:val="28"/>
        </w:rPr>
        <w:t>(i përditësuar)</w:t>
      </w:r>
    </w:p>
    <w:p w14:paraId="32460F15"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44BD6DE6" w14:textId="5E8281EC"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Në mbështetje të nenit 100 të Kushtetutës, të neneve 13, shkronja “b”, nënndarja “i”, 36, të aktit normativ nr.</w:t>
      </w:r>
      <w:r w:rsidR="00394625" w:rsidRPr="00A511E6">
        <w:rPr>
          <w:rFonts w:ascii="Garamond" w:eastAsiaTheme="minorHAnsi" w:hAnsi="Garamond"/>
          <w:szCs w:val="28"/>
        </w:rPr>
        <w:t xml:space="preserve"> </w:t>
      </w:r>
      <w:r w:rsidRPr="00A511E6">
        <w:rPr>
          <w:rFonts w:ascii="Garamond" w:eastAsiaTheme="minorHAnsi" w:hAnsi="Garamond"/>
          <w:szCs w:val="28"/>
        </w:rPr>
        <w:t>9, datë 16.12.2019, të Këshillit të Ministrave, “Për përballimin e pasojave të fatkeqësisë natyrore”, miratuar me ligjin nr.</w:t>
      </w:r>
      <w:r w:rsidR="00394625" w:rsidRPr="00A511E6">
        <w:rPr>
          <w:rFonts w:ascii="Garamond" w:eastAsiaTheme="minorHAnsi" w:hAnsi="Garamond"/>
          <w:szCs w:val="28"/>
        </w:rPr>
        <w:t xml:space="preserve"> </w:t>
      </w:r>
      <w:r w:rsidRPr="00A511E6">
        <w:rPr>
          <w:rFonts w:ascii="Garamond" w:eastAsiaTheme="minorHAnsi" w:hAnsi="Garamond"/>
          <w:szCs w:val="28"/>
        </w:rPr>
        <w:t>97/2019, të ligjit nr.</w:t>
      </w:r>
      <w:r w:rsidR="00394625" w:rsidRPr="00A511E6">
        <w:rPr>
          <w:rFonts w:ascii="Garamond" w:eastAsiaTheme="minorHAnsi" w:hAnsi="Garamond"/>
          <w:szCs w:val="28"/>
        </w:rPr>
        <w:t xml:space="preserve"> </w:t>
      </w:r>
      <w:r w:rsidRPr="00A511E6">
        <w:rPr>
          <w:rFonts w:ascii="Garamond" w:eastAsiaTheme="minorHAnsi" w:hAnsi="Garamond"/>
          <w:szCs w:val="28"/>
        </w:rPr>
        <w:t>9936, datë 26.6.2008, “Për menaxhimin e sistemit buxhetor në Republikën e Shqipërisë”, të ndryshuar, dhe të nenit 7, të ligjit nr.</w:t>
      </w:r>
      <w:r w:rsidR="00394625" w:rsidRPr="00A511E6">
        <w:rPr>
          <w:rFonts w:ascii="Garamond" w:eastAsiaTheme="minorHAnsi" w:hAnsi="Garamond"/>
          <w:szCs w:val="28"/>
        </w:rPr>
        <w:t xml:space="preserve"> </w:t>
      </w:r>
      <w:r w:rsidRPr="00A511E6">
        <w:rPr>
          <w:rFonts w:ascii="Garamond" w:eastAsiaTheme="minorHAnsi" w:hAnsi="Garamond"/>
          <w:szCs w:val="28"/>
        </w:rPr>
        <w:t xml:space="preserve">115/2021, “Për buxhetin e vitit 2022”, të ndryshuar, me propozimin e </w:t>
      </w:r>
      <w:r w:rsidR="009C6CAC" w:rsidRPr="00A511E6">
        <w:rPr>
          <w:rFonts w:ascii="Garamond" w:eastAsiaTheme="minorHAnsi" w:hAnsi="Garamond"/>
          <w:szCs w:val="28"/>
        </w:rPr>
        <w:t>z</w:t>
      </w:r>
      <w:r w:rsidRPr="00A511E6">
        <w:rPr>
          <w:rFonts w:ascii="Garamond" w:eastAsiaTheme="minorHAnsi" w:hAnsi="Garamond"/>
          <w:szCs w:val="28"/>
        </w:rPr>
        <w:t xml:space="preserve">ëvendëskryeministrit dhe ministër i Shtetit për Rindërtimin dhe Programin e Reformave, Këshilli i Ministrave </w:t>
      </w:r>
    </w:p>
    <w:p w14:paraId="24D6C9C4"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5F071B93" w14:textId="76DA64F1" w:rsidR="000C5562" w:rsidRPr="00A511E6" w:rsidRDefault="000C5562" w:rsidP="000C5562">
      <w:pPr>
        <w:autoSpaceDE w:val="0"/>
        <w:autoSpaceDN w:val="0"/>
        <w:adjustRightInd w:val="0"/>
        <w:ind w:firstLine="284"/>
        <w:jc w:val="center"/>
        <w:rPr>
          <w:rFonts w:ascii="Garamond" w:eastAsiaTheme="minorHAnsi" w:hAnsi="Garamond"/>
          <w:bCs/>
          <w:szCs w:val="28"/>
        </w:rPr>
      </w:pPr>
      <w:r w:rsidRPr="00A511E6">
        <w:rPr>
          <w:rFonts w:ascii="Garamond" w:eastAsiaTheme="minorHAnsi" w:hAnsi="Garamond"/>
          <w:bCs/>
          <w:szCs w:val="28"/>
        </w:rPr>
        <w:t>VENDOSI:</w:t>
      </w:r>
    </w:p>
    <w:p w14:paraId="26011CCF"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13BAEC8C" w14:textId="246B169B"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1. Përdorimin e fondit të rindërtimit, në masën 4 254 481 452 (katër miliardë e dyqind e pesëdhjetë e katër milionë e katërqind e tetëdhjetë e një mijë e katërqind e pesëdhjetë e dy) lekë pa TVSH, nga bashkitë Tiranë, Durrës, Shijak, Lezhë dhe Krujë, për financimin e </w:t>
      </w:r>
      <w:proofErr w:type="spellStart"/>
      <w:r w:rsidRPr="00A511E6">
        <w:rPr>
          <w:rFonts w:ascii="Garamond" w:eastAsiaTheme="minorHAnsi" w:hAnsi="Garamond"/>
          <w:szCs w:val="28"/>
        </w:rPr>
        <w:t>riforcimit</w:t>
      </w:r>
      <w:proofErr w:type="spellEnd"/>
      <w:r w:rsidRPr="00A511E6">
        <w:rPr>
          <w:rFonts w:ascii="Garamond" w:eastAsiaTheme="minorHAnsi" w:hAnsi="Garamond"/>
          <w:szCs w:val="28"/>
        </w:rPr>
        <w:t xml:space="preserve"> të njësive të banimit në ndërtesa (pallat) dhe njësive individuale të banimit, të cilat janë klasifikuar si objekte të pabanueshme ose të dëmtuara rëndë apo të dëmtuara lehtë dhe që nuk duhen rindërtuar nga e para, por kanë nevojë për punime rikonstruksioni ose riparime, sipas </w:t>
      </w:r>
      <w:proofErr w:type="spellStart"/>
      <w:r w:rsidRPr="00A511E6">
        <w:rPr>
          <w:rFonts w:ascii="Garamond" w:eastAsiaTheme="minorHAnsi" w:hAnsi="Garamond"/>
          <w:szCs w:val="28"/>
        </w:rPr>
        <w:t>detajimit</w:t>
      </w:r>
      <w:proofErr w:type="spellEnd"/>
      <w:r w:rsidRPr="00A511E6">
        <w:rPr>
          <w:rFonts w:ascii="Garamond" w:eastAsiaTheme="minorHAnsi" w:hAnsi="Garamond"/>
          <w:szCs w:val="28"/>
        </w:rPr>
        <w:t xml:space="preserve"> të mëposhtëm:</w:t>
      </w:r>
    </w:p>
    <w:p w14:paraId="075A403B" w14:textId="5005E8F8"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a)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Tiranë, në masën 1 166 365 230 (një miliard e njëqind e gjashtëdhjetë e gjashtë milionë e treqind e gjashtëdhjetë e pesë mijë e dyqind e tridhjetë) lekë pa TVSH;</w:t>
      </w:r>
    </w:p>
    <w:p w14:paraId="2C5EC045" w14:textId="280D82E2"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b)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Durrës, në masën 2 419 555 918 (dy miliardë e katërqind e nëntëmbëdhjetë milionë e pesëqind e pesëdhjetë e pesë mijë e nëntëqind e tetëmbëdhjetë) lekë pa TVSH;</w:t>
      </w:r>
    </w:p>
    <w:p w14:paraId="4A02F0AE" w14:textId="1F400645"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c)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Shijak, në masën 30 628 807 (tridhjetë milionë e gjashtëqind e njëzet e tetë mijë e tetëqind e shtatë) lekë pa TVSH;</w:t>
      </w:r>
    </w:p>
    <w:p w14:paraId="6DD82657" w14:textId="6FDCED70"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ç)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Lezhë, në masën 136 176 130 (njëqind e tridhjetë e gjashtë milionë e njëqind e shtatëdhjetë e gjashtë mijë e njëqind e tridhjetë) lekë pa TVSH;</w:t>
      </w:r>
    </w:p>
    <w:p w14:paraId="1843BD5C" w14:textId="329ED72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d)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B</w:t>
      </w:r>
      <w:r w:rsidRPr="00A511E6">
        <w:rPr>
          <w:rFonts w:ascii="Garamond" w:eastAsiaTheme="minorHAnsi" w:hAnsi="Garamond"/>
          <w:szCs w:val="28"/>
        </w:rPr>
        <w:t>ashkinë Krujë, në masën 501 755 367 (pesëqind e një milionë e shtatëqind e pesëdhjetë e pesë mijë e treqind e gjashtëdhjetë e shtatë) lekë pa TVSH.</w:t>
      </w:r>
    </w:p>
    <w:p w14:paraId="78CB8DBC" w14:textId="30932259"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2. Përdorimin e fondit të rindërtimit, për vitin 2022, në masën 850 896 290 (tetëqind e pesëdhjetë milionë e tetëqind e nëntëdhjetë e gjashtë mijë e dyqind e nëntëdhjetë) lekë pa TVSH, i cili përballohet nga shpenzimet buxhetore të fondit të rindërtimit, miratuar për vitin 2022, dhe i transferohet bashkive Tiranë, Durrës, Shijak, Lezhë dhe Krujë, në formën e </w:t>
      </w:r>
      <w:proofErr w:type="spellStart"/>
      <w:r w:rsidRPr="00A511E6">
        <w:rPr>
          <w:rFonts w:ascii="Garamond" w:eastAsiaTheme="minorHAnsi" w:hAnsi="Garamond"/>
          <w:szCs w:val="28"/>
        </w:rPr>
        <w:t>transfertës</w:t>
      </w:r>
      <w:proofErr w:type="spellEnd"/>
      <w:r w:rsidRPr="00A511E6">
        <w:rPr>
          <w:rFonts w:ascii="Garamond" w:eastAsiaTheme="minorHAnsi" w:hAnsi="Garamond"/>
          <w:szCs w:val="28"/>
        </w:rPr>
        <w:t xml:space="preserve"> së pakushtëzuar, sipas </w:t>
      </w:r>
      <w:proofErr w:type="spellStart"/>
      <w:r w:rsidRPr="00A511E6">
        <w:rPr>
          <w:rFonts w:ascii="Garamond" w:eastAsiaTheme="minorHAnsi" w:hAnsi="Garamond"/>
          <w:szCs w:val="28"/>
        </w:rPr>
        <w:t>detajimit</w:t>
      </w:r>
      <w:proofErr w:type="spellEnd"/>
      <w:r w:rsidRPr="00A511E6">
        <w:rPr>
          <w:rFonts w:ascii="Garamond" w:eastAsiaTheme="minorHAnsi" w:hAnsi="Garamond"/>
          <w:szCs w:val="28"/>
        </w:rPr>
        <w:t xml:space="preserve"> të mëposhtëm:</w:t>
      </w:r>
    </w:p>
    <w:p w14:paraId="67C12EA8" w14:textId="219726A8"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a) Bashkisë Tiranë i transferohet fondi, në masën 233 273 046 (dyqind e tridhjetë e tre milionë e dyqind e shtatëdhjetë e tre mijë e dyzet e gjashtë) lekë pa TVSH;</w:t>
      </w:r>
    </w:p>
    <w:p w14:paraId="7927E40E" w14:textId="6B641A4A"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b) Bashkisë Durrës i transferohet fondi, në masën 483 911 184 (katërqind e tetëdhjetë e tre milionë e nëntëqind e njëmbëdhjetë mijë e njëqind e tetëdhjetë e katër) lekë pa TVSH;</w:t>
      </w:r>
    </w:p>
    <w:p w14:paraId="0A64E50D" w14:textId="20C093E3"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c) Bashkisë Shijak i transferohet fondi, në masën 6 125 761 (gjashtë milionë e njëqind e njëzet e pesë mijë e shtatëqind e gjashtëdhjetë e një) lekë pa TVSH;</w:t>
      </w:r>
    </w:p>
    <w:p w14:paraId="5BB3CFDB" w14:textId="6DD0F8A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ç)</w:t>
      </w:r>
      <w:r w:rsidR="005D25EC" w:rsidRPr="00A511E6">
        <w:rPr>
          <w:rFonts w:ascii="Garamond" w:eastAsiaTheme="minorHAnsi" w:hAnsi="Garamond"/>
          <w:szCs w:val="28"/>
        </w:rPr>
        <w:t xml:space="preserve"> </w:t>
      </w:r>
      <w:r w:rsidRPr="00A511E6">
        <w:rPr>
          <w:rFonts w:ascii="Garamond" w:eastAsiaTheme="minorHAnsi" w:hAnsi="Garamond"/>
          <w:szCs w:val="28"/>
        </w:rPr>
        <w:t>Bashkisë Lezhë i transferohet fondi, në masën 27 235 226 (njëzet e shtatë milionë e dyqind e tridhjetë e pesë mijë e dyqind e njëzet e gjashtë) lekë pa TVSH;</w:t>
      </w:r>
    </w:p>
    <w:p w14:paraId="1C39DDE0" w14:textId="6725C7E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d) Bashkisë Krujë i transferohet fondi, në masën 100 351 073 (njëqind milionë e treqind e pesëdhjetë e një mijë e shtatëdhjetë e tre) lekë pa TVSH.</w:t>
      </w:r>
    </w:p>
    <w:p w14:paraId="50C7F05B" w14:textId="77777777"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lastRenderedPageBreak/>
        <w:t xml:space="preserve">  2/1. Përveç përcaktimeve të bëra në shkronjat “b” dhe “c”, të pikës 2, të këtij vendimi ,përdorimin e fondit të rindërtimit, miratuar për vitin 2022, për bashkitë Durrës dhe Shijak, sipas detajimit të mëposhtëm:</w:t>
      </w:r>
    </w:p>
    <w:p w14:paraId="3A655203" w14:textId="78DE10FB"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t>a) Bashkisë Durrës i transferohet fondi, në masën 50 812 754 (pesëdhjetë milionë e tetëqind e dymbëdhjetë mijë e shtatëqind e pesëdhjetë e katër) lekë pa TVSH, në formën e transfertës së pakushtëzuar;</w:t>
      </w:r>
    </w:p>
    <w:p w14:paraId="2F73B5FA" w14:textId="798779BB"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t>b) Bashkisë Shijak i transferohet fondi, në masën 24 503 046 (njëzet e katër milionë e pesëqind e  tre mijë e dyzet e gjashtë) lekë pa TVSH, në formën e transfertës së pakushtëzuar.</w:t>
      </w:r>
    </w:p>
    <w:p w14:paraId="48D933CF"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 xml:space="preserve">2/2. Përdorimin e fondit të rindërtimit, për vitin 2023, në masën 1 994 584 758 (një miliard e nëntëqind e nëntëdhjetë e katër milionë e pesëqind e tetëdhjetë e katër mijë e shtatëqind e pesëdhjetë e tetë) lekë pa TVSH, i cili përballohet nga shpenzimet buxhetore të fondit të rindërtimit, miratuar për vitin 2023, dhe u transferohet bashkive Durrës, Lezhë dhe Krujë në formën e </w:t>
      </w:r>
      <w:proofErr w:type="spellStart"/>
      <w:r w:rsidRPr="00A511E6">
        <w:rPr>
          <w:rFonts w:ascii="Garamond" w:eastAsiaTheme="minorHAnsi" w:hAnsi="Garamond"/>
          <w:i/>
          <w:szCs w:val="28"/>
        </w:rPr>
        <w:t>transfertës</w:t>
      </w:r>
      <w:proofErr w:type="spellEnd"/>
      <w:r w:rsidRPr="00A511E6">
        <w:rPr>
          <w:rFonts w:ascii="Garamond" w:eastAsiaTheme="minorHAnsi" w:hAnsi="Garamond"/>
          <w:i/>
          <w:szCs w:val="28"/>
        </w:rPr>
        <w:t xml:space="preserve"> së pakushtëzuar, sipas </w:t>
      </w:r>
      <w:proofErr w:type="spellStart"/>
      <w:r w:rsidRPr="00A511E6">
        <w:rPr>
          <w:rFonts w:ascii="Garamond" w:eastAsiaTheme="minorHAnsi" w:hAnsi="Garamond"/>
          <w:i/>
          <w:szCs w:val="28"/>
        </w:rPr>
        <w:t>detajimit</w:t>
      </w:r>
      <w:proofErr w:type="spellEnd"/>
      <w:r w:rsidRPr="00A511E6">
        <w:rPr>
          <w:rFonts w:ascii="Garamond" w:eastAsiaTheme="minorHAnsi" w:hAnsi="Garamond"/>
          <w:i/>
          <w:szCs w:val="28"/>
        </w:rPr>
        <w:t xml:space="preserve"> të mëposhtëm:</w:t>
      </w:r>
    </w:p>
    <w:p w14:paraId="4FA57A31"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a) për Bashkinë Durrës, në masën 1 490 187 768 (një miliard e katërqind e nëntëdhjetë milionë e njëqind e tetëdhjetë e shtatë mijë e shtatëqind e gjashtëdhjetë e tetë) lekë pa TVSH;</w:t>
      </w:r>
    </w:p>
    <w:p w14:paraId="1A4D9C85"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b) për Bashkinë Lezhë, në masën 107 654 732 (njëqind e shtatë milionë e gjashtëqind e pesëdhjetë e katër mijë e shtatëqind e tridhjetë e dy) lekë pa TVSH;</w:t>
      </w:r>
    </w:p>
    <w:p w14:paraId="5D55E46E" w14:textId="2E7A5151"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c) për Bashkinë Krujë, në masën 396 742 258 (treqind e nëntëdhjetë e gjashtë milionë e shtatëqind e dyzet e dy mijë e dyqind e pesëdhjetë e tetë) lekë pa TVSH.</w:t>
      </w:r>
    </w:p>
    <w:p w14:paraId="20A293BA" w14:textId="0AA99F98"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3. Bashkitë Tiranë, Durrës, Shijak, Lezhë dhe Krujë caktohen si një</w:t>
      </w:r>
      <w:r w:rsidR="00654B88" w:rsidRPr="00A511E6">
        <w:rPr>
          <w:rFonts w:ascii="Garamond" w:eastAsiaTheme="minorHAnsi" w:hAnsi="Garamond"/>
          <w:szCs w:val="28"/>
        </w:rPr>
        <w:t xml:space="preserve">si zbatuese, sipas pikave 1 e 2 </w:t>
      </w:r>
      <w:r w:rsidR="00654B88" w:rsidRPr="00A511E6">
        <w:rPr>
          <w:rFonts w:ascii="Garamond" w:eastAsiaTheme="minorHAnsi" w:hAnsi="Garamond"/>
          <w:i/>
          <w:szCs w:val="28"/>
        </w:rPr>
        <w:t xml:space="preserve">dhe 2/1 </w:t>
      </w:r>
      <w:r w:rsidRPr="00A511E6">
        <w:rPr>
          <w:rFonts w:ascii="Garamond" w:eastAsiaTheme="minorHAnsi" w:hAnsi="Garamond"/>
          <w:i/>
          <w:szCs w:val="28"/>
        </w:rPr>
        <w:t xml:space="preserve"> të këtij vendimi.</w:t>
      </w:r>
    </w:p>
    <w:p w14:paraId="556DC621" w14:textId="6402480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4. Ngarkohen </w:t>
      </w:r>
      <w:r w:rsidR="00A96F63" w:rsidRPr="00A511E6">
        <w:rPr>
          <w:rFonts w:ascii="Garamond" w:eastAsiaTheme="minorHAnsi" w:hAnsi="Garamond"/>
          <w:szCs w:val="28"/>
        </w:rPr>
        <w:t>z</w:t>
      </w:r>
      <w:r w:rsidRPr="00A511E6">
        <w:rPr>
          <w:rFonts w:ascii="Garamond" w:eastAsiaTheme="minorHAnsi" w:hAnsi="Garamond"/>
          <w:szCs w:val="28"/>
        </w:rPr>
        <w:t>ëvendëskryeministri dhe ministër i Shtetit për Rindërtimin dhe Programin e Reformave, Ministria e Financave dhe Ekonomisë dhe bashkitë Tiranë, Durrës, Shijak, Lezhë dhe Krujë për zbatimin e këtij vendimi.</w:t>
      </w:r>
    </w:p>
    <w:p w14:paraId="6E31FF87" w14:textId="4BF3403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Ky vendim hyn në fuqi menjëherë dhe botohet në Fletoren Zyrtare.</w:t>
      </w:r>
    </w:p>
    <w:p w14:paraId="0F24DA0D"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67E58D2B" w14:textId="77777777" w:rsidR="000C5562" w:rsidRPr="00A511E6" w:rsidRDefault="000C5562" w:rsidP="000C5562">
      <w:pPr>
        <w:ind w:firstLine="284"/>
        <w:jc w:val="right"/>
        <w:rPr>
          <w:rFonts w:ascii="Garamond" w:hAnsi="Garamond"/>
        </w:rPr>
      </w:pPr>
      <w:r w:rsidRPr="00A511E6">
        <w:rPr>
          <w:rFonts w:ascii="Garamond" w:hAnsi="Garamond"/>
        </w:rPr>
        <w:t>ZËVENDËSKRYEMINISTËR</w:t>
      </w:r>
    </w:p>
    <w:p w14:paraId="6C6598B0" w14:textId="77777777" w:rsidR="000C5562" w:rsidRPr="00A511E6" w:rsidRDefault="000C5562" w:rsidP="000C5562">
      <w:pPr>
        <w:ind w:firstLine="284"/>
        <w:jc w:val="right"/>
        <w:rPr>
          <w:rFonts w:ascii="Garamond" w:hAnsi="Garamond"/>
          <w:b/>
        </w:rPr>
      </w:pPr>
      <w:r w:rsidRPr="00A511E6">
        <w:rPr>
          <w:rFonts w:ascii="Garamond" w:hAnsi="Garamond"/>
          <w:b/>
        </w:rPr>
        <w:t xml:space="preserve">Arben </w:t>
      </w:r>
      <w:proofErr w:type="spellStart"/>
      <w:r w:rsidRPr="00A511E6">
        <w:rPr>
          <w:rFonts w:ascii="Garamond" w:hAnsi="Garamond"/>
          <w:b/>
        </w:rPr>
        <w:t>Ahmetaj</w:t>
      </w:r>
      <w:proofErr w:type="spellEnd"/>
    </w:p>
    <w:p w14:paraId="109F91A0" w14:textId="77777777" w:rsidR="000C5562" w:rsidRPr="00A511E6" w:rsidRDefault="000C5562" w:rsidP="000C5562">
      <w:pPr>
        <w:ind w:firstLine="284"/>
        <w:jc w:val="right"/>
        <w:rPr>
          <w:rFonts w:ascii="Garamond" w:hAnsi="Garamond"/>
          <w:b/>
        </w:rPr>
      </w:pPr>
    </w:p>
    <w:p w14:paraId="01732D98" w14:textId="78674690" w:rsidR="007B0021" w:rsidRPr="00A511E6" w:rsidRDefault="007B0021" w:rsidP="000C5562">
      <w:pPr>
        <w:autoSpaceDE w:val="0"/>
        <w:autoSpaceDN w:val="0"/>
        <w:adjustRightInd w:val="0"/>
        <w:ind w:firstLine="284"/>
        <w:jc w:val="center"/>
        <w:rPr>
          <w:rFonts w:ascii="Garamond" w:hAnsi="Garamond"/>
          <w:lang w:val="it-IT"/>
        </w:rPr>
      </w:pPr>
    </w:p>
    <w:sectPr w:rsidR="007B0021" w:rsidRPr="00A511E6" w:rsidSect="00713E00">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708AF" w14:textId="77777777" w:rsidR="005338EF" w:rsidRDefault="005338EF" w:rsidP="001664B7">
      <w:r>
        <w:separator/>
      </w:r>
    </w:p>
  </w:endnote>
  <w:endnote w:type="continuationSeparator" w:id="0">
    <w:p w14:paraId="394962AA" w14:textId="77777777" w:rsidR="005338EF" w:rsidRDefault="005338EF" w:rsidP="001664B7">
      <w:r>
        <w:continuationSeparator/>
      </w:r>
    </w:p>
  </w:endnote>
  <w:endnote w:type="continuationNotice" w:id="1">
    <w:p w14:paraId="6BD0357B" w14:textId="77777777" w:rsidR="005338EF" w:rsidRDefault="00533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387693"/>
      <w:docPartObj>
        <w:docPartGallery w:val="Page Numbers (Bottom of Page)"/>
        <w:docPartUnique/>
      </w:docPartObj>
    </w:sdtPr>
    <w:sdtEndPr>
      <w:rPr>
        <w:noProof/>
      </w:rPr>
    </w:sdtEndPr>
    <w:sdtContent>
      <w:p w14:paraId="01732DAA" w14:textId="19EB4EBA" w:rsidR="00394625" w:rsidRDefault="00394625">
        <w:pPr>
          <w:pStyle w:val="Footer"/>
          <w:jc w:val="right"/>
        </w:pPr>
        <w:r>
          <w:fldChar w:fldCharType="begin"/>
        </w:r>
        <w:r>
          <w:instrText xml:space="preserve"> PAGE   \* MERGEFORMAT </w:instrText>
        </w:r>
        <w:r>
          <w:fldChar w:fldCharType="separate"/>
        </w:r>
        <w:r w:rsidR="00573204">
          <w:rPr>
            <w:noProof/>
          </w:rPr>
          <w:t>2</w:t>
        </w:r>
        <w:r>
          <w:rPr>
            <w:noProof/>
          </w:rPr>
          <w:fldChar w:fldCharType="end"/>
        </w:r>
      </w:p>
    </w:sdtContent>
  </w:sdt>
  <w:p w14:paraId="01732DAB" w14:textId="77777777" w:rsidR="00394625" w:rsidRDefault="00394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A8C77" w14:textId="77777777" w:rsidR="005338EF" w:rsidRDefault="005338EF" w:rsidP="001664B7">
      <w:r>
        <w:separator/>
      </w:r>
    </w:p>
  </w:footnote>
  <w:footnote w:type="continuationSeparator" w:id="0">
    <w:p w14:paraId="0C120EB5" w14:textId="77777777" w:rsidR="005338EF" w:rsidRDefault="005338EF" w:rsidP="001664B7">
      <w:r>
        <w:continuationSeparator/>
      </w:r>
    </w:p>
  </w:footnote>
  <w:footnote w:type="continuationNotice" w:id="1">
    <w:p w14:paraId="248A3547" w14:textId="77777777" w:rsidR="005338EF" w:rsidRDefault="00533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A7EB8" w14:textId="77777777" w:rsidR="00394625" w:rsidRDefault="00394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21CD7"/>
    <w:rsid w:val="0003250B"/>
    <w:rsid w:val="00063C8F"/>
    <w:rsid w:val="00067B9D"/>
    <w:rsid w:val="00080697"/>
    <w:rsid w:val="00092A9C"/>
    <w:rsid w:val="0009762A"/>
    <w:rsid w:val="00097C8F"/>
    <w:rsid w:val="000B2F34"/>
    <w:rsid w:val="000B44AC"/>
    <w:rsid w:val="000C5562"/>
    <w:rsid w:val="000D0C20"/>
    <w:rsid w:val="000E0882"/>
    <w:rsid w:val="000E54E6"/>
    <w:rsid w:val="000F3B45"/>
    <w:rsid w:val="000F58D2"/>
    <w:rsid w:val="0010250C"/>
    <w:rsid w:val="00104E2C"/>
    <w:rsid w:val="00104E37"/>
    <w:rsid w:val="00113F76"/>
    <w:rsid w:val="00143632"/>
    <w:rsid w:val="00146A5D"/>
    <w:rsid w:val="00146C83"/>
    <w:rsid w:val="0014777F"/>
    <w:rsid w:val="001519F2"/>
    <w:rsid w:val="001664B7"/>
    <w:rsid w:val="00175D1F"/>
    <w:rsid w:val="0018006A"/>
    <w:rsid w:val="00180289"/>
    <w:rsid w:val="00192BEF"/>
    <w:rsid w:val="001A1DFD"/>
    <w:rsid w:val="001A4E6C"/>
    <w:rsid w:val="001C03F8"/>
    <w:rsid w:val="001D7A26"/>
    <w:rsid w:val="001E4AD9"/>
    <w:rsid w:val="001E6651"/>
    <w:rsid w:val="001F461A"/>
    <w:rsid w:val="002161A0"/>
    <w:rsid w:val="00233F0E"/>
    <w:rsid w:val="002469B2"/>
    <w:rsid w:val="00251069"/>
    <w:rsid w:val="0025420E"/>
    <w:rsid w:val="002762FD"/>
    <w:rsid w:val="00276E21"/>
    <w:rsid w:val="0029068E"/>
    <w:rsid w:val="00297AA7"/>
    <w:rsid w:val="002B34DE"/>
    <w:rsid w:val="002B72D8"/>
    <w:rsid w:val="002C2A0C"/>
    <w:rsid w:val="002D3827"/>
    <w:rsid w:val="00303AC5"/>
    <w:rsid w:val="0032014A"/>
    <w:rsid w:val="00327424"/>
    <w:rsid w:val="00337A7F"/>
    <w:rsid w:val="00341419"/>
    <w:rsid w:val="003456AE"/>
    <w:rsid w:val="00347715"/>
    <w:rsid w:val="00377965"/>
    <w:rsid w:val="00386606"/>
    <w:rsid w:val="0039233C"/>
    <w:rsid w:val="00394625"/>
    <w:rsid w:val="003A6F96"/>
    <w:rsid w:val="003B3CC9"/>
    <w:rsid w:val="003B60D2"/>
    <w:rsid w:val="003C4B37"/>
    <w:rsid w:val="003E4313"/>
    <w:rsid w:val="003F2C6F"/>
    <w:rsid w:val="0040715D"/>
    <w:rsid w:val="00420E3C"/>
    <w:rsid w:val="00440F44"/>
    <w:rsid w:val="00445633"/>
    <w:rsid w:val="004529AC"/>
    <w:rsid w:val="0046655F"/>
    <w:rsid w:val="004762A4"/>
    <w:rsid w:val="00482EEF"/>
    <w:rsid w:val="004B29EB"/>
    <w:rsid w:val="004C3519"/>
    <w:rsid w:val="004D1AE0"/>
    <w:rsid w:val="004F1DF0"/>
    <w:rsid w:val="004F2404"/>
    <w:rsid w:val="004F5A11"/>
    <w:rsid w:val="00502048"/>
    <w:rsid w:val="00530A12"/>
    <w:rsid w:val="005310DF"/>
    <w:rsid w:val="005338EF"/>
    <w:rsid w:val="00551E96"/>
    <w:rsid w:val="005527F1"/>
    <w:rsid w:val="00560AFD"/>
    <w:rsid w:val="00572957"/>
    <w:rsid w:val="00573204"/>
    <w:rsid w:val="00573352"/>
    <w:rsid w:val="00575B3A"/>
    <w:rsid w:val="0058402C"/>
    <w:rsid w:val="00597E4E"/>
    <w:rsid w:val="005D219A"/>
    <w:rsid w:val="005D2474"/>
    <w:rsid w:val="005D25EC"/>
    <w:rsid w:val="005D279D"/>
    <w:rsid w:val="005E502A"/>
    <w:rsid w:val="00630F3B"/>
    <w:rsid w:val="00654259"/>
    <w:rsid w:val="00654B88"/>
    <w:rsid w:val="00657C80"/>
    <w:rsid w:val="00666139"/>
    <w:rsid w:val="006672D1"/>
    <w:rsid w:val="00670B4E"/>
    <w:rsid w:val="00674BBB"/>
    <w:rsid w:val="00675132"/>
    <w:rsid w:val="006779C4"/>
    <w:rsid w:val="006A4C41"/>
    <w:rsid w:val="006B57A1"/>
    <w:rsid w:val="006D4435"/>
    <w:rsid w:val="006D6FC1"/>
    <w:rsid w:val="006F2475"/>
    <w:rsid w:val="006F4E78"/>
    <w:rsid w:val="00710BF9"/>
    <w:rsid w:val="00713E00"/>
    <w:rsid w:val="007421EF"/>
    <w:rsid w:val="00750E45"/>
    <w:rsid w:val="00752704"/>
    <w:rsid w:val="0077116C"/>
    <w:rsid w:val="00771256"/>
    <w:rsid w:val="00794DBC"/>
    <w:rsid w:val="007A429F"/>
    <w:rsid w:val="007A6FDE"/>
    <w:rsid w:val="007B0021"/>
    <w:rsid w:val="007B077F"/>
    <w:rsid w:val="007B60CE"/>
    <w:rsid w:val="007C54C6"/>
    <w:rsid w:val="007F2235"/>
    <w:rsid w:val="007F7A97"/>
    <w:rsid w:val="00810605"/>
    <w:rsid w:val="00830515"/>
    <w:rsid w:val="00832734"/>
    <w:rsid w:val="008355E7"/>
    <w:rsid w:val="0085209E"/>
    <w:rsid w:val="00852982"/>
    <w:rsid w:val="00863FCE"/>
    <w:rsid w:val="00871747"/>
    <w:rsid w:val="00886039"/>
    <w:rsid w:val="008A02E4"/>
    <w:rsid w:val="008A4329"/>
    <w:rsid w:val="008B0606"/>
    <w:rsid w:val="008B10AD"/>
    <w:rsid w:val="008C32E3"/>
    <w:rsid w:val="008F3564"/>
    <w:rsid w:val="00901D38"/>
    <w:rsid w:val="0090659D"/>
    <w:rsid w:val="00911A4C"/>
    <w:rsid w:val="0094376F"/>
    <w:rsid w:val="00980D8D"/>
    <w:rsid w:val="00986E24"/>
    <w:rsid w:val="00997D01"/>
    <w:rsid w:val="009A094D"/>
    <w:rsid w:val="009C6CAC"/>
    <w:rsid w:val="009E3D48"/>
    <w:rsid w:val="00A13CF0"/>
    <w:rsid w:val="00A179BB"/>
    <w:rsid w:val="00A22F23"/>
    <w:rsid w:val="00A43A98"/>
    <w:rsid w:val="00A43BBC"/>
    <w:rsid w:val="00A511E6"/>
    <w:rsid w:val="00A75F44"/>
    <w:rsid w:val="00A82EC1"/>
    <w:rsid w:val="00A91FC2"/>
    <w:rsid w:val="00A96F63"/>
    <w:rsid w:val="00AD5FB3"/>
    <w:rsid w:val="00AE5E90"/>
    <w:rsid w:val="00AF73D5"/>
    <w:rsid w:val="00B10B3A"/>
    <w:rsid w:val="00B143EC"/>
    <w:rsid w:val="00B22FA3"/>
    <w:rsid w:val="00B27D47"/>
    <w:rsid w:val="00B44CDE"/>
    <w:rsid w:val="00B56AE9"/>
    <w:rsid w:val="00B57C0C"/>
    <w:rsid w:val="00B606F3"/>
    <w:rsid w:val="00B65A47"/>
    <w:rsid w:val="00B74055"/>
    <w:rsid w:val="00B74EEC"/>
    <w:rsid w:val="00B92799"/>
    <w:rsid w:val="00B9661B"/>
    <w:rsid w:val="00BA05E8"/>
    <w:rsid w:val="00BB42E8"/>
    <w:rsid w:val="00BC2402"/>
    <w:rsid w:val="00BC2769"/>
    <w:rsid w:val="00BC277B"/>
    <w:rsid w:val="00BD304D"/>
    <w:rsid w:val="00BD6C96"/>
    <w:rsid w:val="00BE3B7F"/>
    <w:rsid w:val="00BF0076"/>
    <w:rsid w:val="00C23C69"/>
    <w:rsid w:val="00C25012"/>
    <w:rsid w:val="00C57217"/>
    <w:rsid w:val="00C80E92"/>
    <w:rsid w:val="00C8447C"/>
    <w:rsid w:val="00C87EC4"/>
    <w:rsid w:val="00CA3190"/>
    <w:rsid w:val="00CA5CB7"/>
    <w:rsid w:val="00CB044F"/>
    <w:rsid w:val="00CB5010"/>
    <w:rsid w:val="00CC7B7B"/>
    <w:rsid w:val="00CD4247"/>
    <w:rsid w:val="00CE0A35"/>
    <w:rsid w:val="00CF3A98"/>
    <w:rsid w:val="00CF525C"/>
    <w:rsid w:val="00D1169C"/>
    <w:rsid w:val="00D13EDA"/>
    <w:rsid w:val="00D15F15"/>
    <w:rsid w:val="00D20925"/>
    <w:rsid w:val="00D258DA"/>
    <w:rsid w:val="00D462B0"/>
    <w:rsid w:val="00D468E8"/>
    <w:rsid w:val="00D46987"/>
    <w:rsid w:val="00D5067B"/>
    <w:rsid w:val="00D6660D"/>
    <w:rsid w:val="00D66F60"/>
    <w:rsid w:val="00D71668"/>
    <w:rsid w:val="00DA2762"/>
    <w:rsid w:val="00DA52A0"/>
    <w:rsid w:val="00DA7A37"/>
    <w:rsid w:val="00DE09FD"/>
    <w:rsid w:val="00DE70C3"/>
    <w:rsid w:val="00E1438A"/>
    <w:rsid w:val="00E31679"/>
    <w:rsid w:val="00E36D96"/>
    <w:rsid w:val="00E404D7"/>
    <w:rsid w:val="00E4055F"/>
    <w:rsid w:val="00E61B72"/>
    <w:rsid w:val="00E77AE5"/>
    <w:rsid w:val="00E817FB"/>
    <w:rsid w:val="00E95B28"/>
    <w:rsid w:val="00EA0628"/>
    <w:rsid w:val="00EC31DE"/>
    <w:rsid w:val="00EC666A"/>
    <w:rsid w:val="00ED140A"/>
    <w:rsid w:val="00EE121D"/>
    <w:rsid w:val="00EE1B15"/>
    <w:rsid w:val="00EF3F1C"/>
    <w:rsid w:val="00F03D4D"/>
    <w:rsid w:val="00F31536"/>
    <w:rsid w:val="00F32F70"/>
    <w:rsid w:val="00F36F56"/>
    <w:rsid w:val="00F54EB0"/>
    <w:rsid w:val="00F61269"/>
    <w:rsid w:val="00F71F45"/>
    <w:rsid w:val="00F82FE2"/>
    <w:rsid w:val="00F959F1"/>
    <w:rsid w:val="00F9716D"/>
    <w:rsid w:val="00FA4A84"/>
    <w:rsid w:val="00FB470A"/>
    <w:rsid w:val="00FC7CCF"/>
    <w:rsid w:val="00FD089D"/>
    <w:rsid w:val="00FE273B"/>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2D61"/>
  <w15:docId w15:val="{F9FAEA97-C5CA-4ED2-A489-4DDED2CD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349188272">
      <w:bodyDiv w:val="1"/>
      <w:marLeft w:val="0"/>
      <w:marRight w:val="0"/>
      <w:marTop w:val="0"/>
      <w:marBottom w:val="0"/>
      <w:divBdr>
        <w:top w:val="none" w:sz="0" w:space="0" w:color="auto"/>
        <w:left w:val="none" w:sz="0" w:space="0" w:color="auto"/>
        <w:bottom w:val="none" w:sz="0" w:space="0" w:color="auto"/>
        <w:right w:val="none" w:sz="0" w:space="0" w:color="auto"/>
      </w:divBdr>
      <w:divsChild>
        <w:div w:id="1750342336">
          <w:marLeft w:val="0"/>
          <w:marRight w:val="0"/>
          <w:marTop w:val="0"/>
          <w:marBottom w:val="0"/>
          <w:divBdr>
            <w:top w:val="none" w:sz="0" w:space="0" w:color="auto"/>
            <w:left w:val="none" w:sz="0" w:space="0" w:color="auto"/>
            <w:bottom w:val="none" w:sz="0" w:space="0" w:color="auto"/>
            <w:right w:val="none" w:sz="0" w:space="0" w:color="auto"/>
          </w:divBdr>
        </w:div>
        <w:div w:id="1111587343">
          <w:marLeft w:val="0"/>
          <w:marRight w:val="0"/>
          <w:marTop w:val="0"/>
          <w:marBottom w:val="0"/>
          <w:divBdr>
            <w:top w:val="none" w:sz="0" w:space="0" w:color="auto"/>
            <w:left w:val="none" w:sz="0" w:space="0" w:color="auto"/>
            <w:bottom w:val="none" w:sz="0" w:space="0" w:color="auto"/>
            <w:right w:val="none" w:sz="0" w:space="0" w:color="auto"/>
          </w:divBdr>
        </w:div>
        <w:div w:id="1249540405">
          <w:marLeft w:val="0"/>
          <w:marRight w:val="0"/>
          <w:marTop w:val="0"/>
          <w:marBottom w:val="0"/>
          <w:divBdr>
            <w:top w:val="none" w:sz="0" w:space="0" w:color="auto"/>
            <w:left w:val="none" w:sz="0" w:space="0" w:color="auto"/>
            <w:bottom w:val="none" w:sz="0" w:space="0" w:color="auto"/>
            <w:right w:val="none" w:sz="0" w:space="0" w:color="auto"/>
          </w:divBdr>
        </w:div>
        <w:div w:id="258488269">
          <w:marLeft w:val="0"/>
          <w:marRight w:val="0"/>
          <w:marTop w:val="0"/>
          <w:marBottom w:val="0"/>
          <w:divBdr>
            <w:top w:val="none" w:sz="0" w:space="0" w:color="auto"/>
            <w:left w:val="none" w:sz="0" w:space="0" w:color="auto"/>
            <w:bottom w:val="none" w:sz="0" w:space="0" w:color="auto"/>
            <w:right w:val="none" w:sz="0" w:space="0" w:color="auto"/>
          </w:divBdr>
        </w:div>
        <w:div w:id="1315378047">
          <w:marLeft w:val="0"/>
          <w:marRight w:val="0"/>
          <w:marTop w:val="0"/>
          <w:marBottom w:val="0"/>
          <w:divBdr>
            <w:top w:val="none" w:sz="0" w:space="0" w:color="auto"/>
            <w:left w:val="none" w:sz="0" w:space="0" w:color="auto"/>
            <w:bottom w:val="none" w:sz="0" w:space="0" w:color="auto"/>
            <w:right w:val="none" w:sz="0" w:space="0" w:color="auto"/>
          </w:divBdr>
        </w:div>
        <w:div w:id="1963075493">
          <w:marLeft w:val="0"/>
          <w:marRight w:val="0"/>
          <w:marTop w:val="0"/>
          <w:marBottom w:val="0"/>
          <w:divBdr>
            <w:top w:val="none" w:sz="0" w:space="0" w:color="auto"/>
            <w:left w:val="none" w:sz="0" w:space="0" w:color="auto"/>
            <w:bottom w:val="none" w:sz="0" w:space="0" w:color="auto"/>
            <w:right w:val="none" w:sz="0" w:space="0" w:color="auto"/>
          </w:divBdr>
        </w:div>
        <w:div w:id="1829402783">
          <w:marLeft w:val="0"/>
          <w:marRight w:val="0"/>
          <w:marTop w:val="0"/>
          <w:marBottom w:val="0"/>
          <w:divBdr>
            <w:top w:val="none" w:sz="0" w:space="0" w:color="auto"/>
            <w:left w:val="none" w:sz="0" w:space="0" w:color="auto"/>
            <w:bottom w:val="none" w:sz="0" w:space="0" w:color="auto"/>
            <w:right w:val="none" w:sz="0" w:space="0" w:color="auto"/>
          </w:divBdr>
        </w:div>
        <w:div w:id="140392450">
          <w:marLeft w:val="0"/>
          <w:marRight w:val="0"/>
          <w:marTop w:val="0"/>
          <w:marBottom w:val="0"/>
          <w:divBdr>
            <w:top w:val="none" w:sz="0" w:space="0" w:color="auto"/>
            <w:left w:val="none" w:sz="0" w:space="0" w:color="auto"/>
            <w:bottom w:val="none" w:sz="0" w:space="0" w:color="auto"/>
            <w:right w:val="none" w:sz="0" w:space="0" w:color="auto"/>
          </w:divBdr>
        </w:div>
        <w:div w:id="929004403">
          <w:marLeft w:val="0"/>
          <w:marRight w:val="0"/>
          <w:marTop w:val="0"/>
          <w:marBottom w:val="0"/>
          <w:divBdr>
            <w:top w:val="none" w:sz="0" w:space="0" w:color="auto"/>
            <w:left w:val="none" w:sz="0" w:space="0" w:color="auto"/>
            <w:bottom w:val="none" w:sz="0" w:space="0" w:color="auto"/>
            <w:right w:val="none" w:sz="0" w:space="0" w:color="auto"/>
          </w:divBdr>
        </w:div>
        <w:div w:id="574096206">
          <w:marLeft w:val="0"/>
          <w:marRight w:val="0"/>
          <w:marTop w:val="0"/>
          <w:marBottom w:val="0"/>
          <w:divBdr>
            <w:top w:val="none" w:sz="0" w:space="0" w:color="auto"/>
            <w:left w:val="none" w:sz="0" w:space="0" w:color="auto"/>
            <w:bottom w:val="none" w:sz="0" w:space="0" w:color="auto"/>
            <w:right w:val="none" w:sz="0" w:space="0" w:color="auto"/>
          </w:divBdr>
        </w:div>
        <w:div w:id="1372874280">
          <w:marLeft w:val="0"/>
          <w:marRight w:val="0"/>
          <w:marTop w:val="0"/>
          <w:marBottom w:val="0"/>
          <w:divBdr>
            <w:top w:val="none" w:sz="0" w:space="0" w:color="auto"/>
            <w:left w:val="none" w:sz="0" w:space="0" w:color="auto"/>
            <w:bottom w:val="none" w:sz="0" w:space="0" w:color="auto"/>
            <w:right w:val="none" w:sz="0" w:space="0" w:color="auto"/>
          </w:divBdr>
        </w:div>
        <w:div w:id="730465100">
          <w:marLeft w:val="0"/>
          <w:marRight w:val="0"/>
          <w:marTop w:val="0"/>
          <w:marBottom w:val="0"/>
          <w:divBdr>
            <w:top w:val="none" w:sz="0" w:space="0" w:color="auto"/>
            <w:left w:val="none" w:sz="0" w:space="0" w:color="auto"/>
            <w:bottom w:val="none" w:sz="0" w:space="0" w:color="auto"/>
            <w:right w:val="none" w:sz="0" w:space="0" w:color="auto"/>
          </w:divBdr>
        </w:div>
        <w:div w:id="15738580">
          <w:marLeft w:val="0"/>
          <w:marRight w:val="0"/>
          <w:marTop w:val="0"/>
          <w:marBottom w:val="0"/>
          <w:divBdr>
            <w:top w:val="none" w:sz="0" w:space="0" w:color="auto"/>
            <w:left w:val="none" w:sz="0" w:space="0" w:color="auto"/>
            <w:bottom w:val="none" w:sz="0" w:space="0" w:color="auto"/>
            <w:right w:val="none" w:sz="0" w:space="0" w:color="auto"/>
          </w:divBdr>
        </w:div>
      </w:divsChild>
    </w:div>
    <w:div w:id="1431314272">
      <w:bodyDiv w:val="1"/>
      <w:marLeft w:val="0"/>
      <w:marRight w:val="0"/>
      <w:marTop w:val="0"/>
      <w:marBottom w:val="0"/>
      <w:divBdr>
        <w:top w:val="none" w:sz="0" w:space="0" w:color="auto"/>
        <w:left w:val="none" w:sz="0" w:space="0" w:color="auto"/>
        <w:bottom w:val="none" w:sz="0" w:space="0" w:color="auto"/>
        <w:right w:val="none" w:sz="0" w:space="0" w:color="auto"/>
      </w:divBdr>
      <w:divsChild>
        <w:div w:id="1638101381">
          <w:marLeft w:val="0"/>
          <w:marRight w:val="0"/>
          <w:marTop w:val="0"/>
          <w:marBottom w:val="0"/>
          <w:divBdr>
            <w:top w:val="none" w:sz="0" w:space="0" w:color="auto"/>
            <w:left w:val="none" w:sz="0" w:space="0" w:color="auto"/>
            <w:bottom w:val="none" w:sz="0" w:space="0" w:color="auto"/>
            <w:right w:val="none" w:sz="0" w:space="0" w:color="auto"/>
          </w:divBdr>
        </w:div>
        <w:div w:id="388111832">
          <w:marLeft w:val="0"/>
          <w:marRight w:val="0"/>
          <w:marTop w:val="0"/>
          <w:marBottom w:val="0"/>
          <w:divBdr>
            <w:top w:val="none" w:sz="0" w:space="0" w:color="auto"/>
            <w:left w:val="none" w:sz="0" w:space="0" w:color="auto"/>
            <w:bottom w:val="none" w:sz="0" w:space="0" w:color="auto"/>
            <w:right w:val="none" w:sz="0" w:space="0" w:color="auto"/>
          </w:divBdr>
        </w:div>
        <w:div w:id="1786459481">
          <w:marLeft w:val="0"/>
          <w:marRight w:val="0"/>
          <w:marTop w:val="0"/>
          <w:marBottom w:val="0"/>
          <w:divBdr>
            <w:top w:val="none" w:sz="0" w:space="0" w:color="auto"/>
            <w:left w:val="none" w:sz="0" w:space="0" w:color="auto"/>
            <w:bottom w:val="none" w:sz="0" w:space="0" w:color="auto"/>
            <w:right w:val="none" w:sz="0" w:space="0" w:color="auto"/>
          </w:divBdr>
        </w:div>
        <w:div w:id="1096750972">
          <w:marLeft w:val="0"/>
          <w:marRight w:val="0"/>
          <w:marTop w:val="0"/>
          <w:marBottom w:val="0"/>
          <w:divBdr>
            <w:top w:val="none" w:sz="0" w:space="0" w:color="auto"/>
            <w:left w:val="none" w:sz="0" w:space="0" w:color="auto"/>
            <w:bottom w:val="none" w:sz="0" w:space="0" w:color="auto"/>
            <w:right w:val="none" w:sz="0" w:space="0" w:color="auto"/>
          </w:divBdr>
        </w:div>
        <w:div w:id="200753482">
          <w:marLeft w:val="0"/>
          <w:marRight w:val="0"/>
          <w:marTop w:val="0"/>
          <w:marBottom w:val="0"/>
          <w:divBdr>
            <w:top w:val="none" w:sz="0" w:space="0" w:color="auto"/>
            <w:left w:val="none" w:sz="0" w:space="0" w:color="auto"/>
            <w:bottom w:val="none" w:sz="0" w:space="0" w:color="auto"/>
            <w:right w:val="none" w:sz="0" w:space="0" w:color="auto"/>
          </w:divBdr>
        </w:div>
        <w:div w:id="1465392420">
          <w:marLeft w:val="0"/>
          <w:marRight w:val="0"/>
          <w:marTop w:val="0"/>
          <w:marBottom w:val="0"/>
          <w:divBdr>
            <w:top w:val="none" w:sz="0" w:space="0" w:color="auto"/>
            <w:left w:val="none" w:sz="0" w:space="0" w:color="auto"/>
            <w:bottom w:val="none" w:sz="0" w:space="0" w:color="auto"/>
            <w:right w:val="none" w:sz="0" w:space="0" w:color="auto"/>
          </w:divBdr>
        </w:div>
        <w:div w:id="275412095">
          <w:marLeft w:val="0"/>
          <w:marRight w:val="0"/>
          <w:marTop w:val="0"/>
          <w:marBottom w:val="0"/>
          <w:divBdr>
            <w:top w:val="none" w:sz="0" w:space="0" w:color="auto"/>
            <w:left w:val="none" w:sz="0" w:space="0" w:color="auto"/>
            <w:bottom w:val="none" w:sz="0" w:space="0" w:color="auto"/>
            <w:right w:val="none" w:sz="0" w:space="0" w:color="auto"/>
          </w:divBdr>
        </w:div>
        <w:div w:id="1679967325">
          <w:marLeft w:val="0"/>
          <w:marRight w:val="0"/>
          <w:marTop w:val="0"/>
          <w:marBottom w:val="0"/>
          <w:divBdr>
            <w:top w:val="none" w:sz="0" w:space="0" w:color="auto"/>
            <w:left w:val="none" w:sz="0" w:space="0" w:color="auto"/>
            <w:bottom w:val="none" w:sz="0" w:space="0" w:color="auto"/>
            <w:right w:val="none" w:sz="0" w:space="0" w:color="auto"/>
          </w:divBdr>
        </w:div>
        <w:div w:id="970860057">
          <w:marLeft w:val="0"/>
          <w:marRight w:val="0"/>
          <w:marTop w:val="0"/>
          <w:marBottom w:val="0"/>
          <w:divBdr>
            <w:top w:val="none" w:sz="0" w:space="0" w:color="auto"/>
            <w:left w:val="none" w:sz="0" w:space="0" w:color="auto"/>
            <w:bottom w:val="none" w:sz="0" w:space="0" w:color="auto"/>
            <w:right w:val="none" w:sz="0" w:space="0" w:color="auto"/>
          </w:divBdr>
        </w:div>
        <w:div w:id="300842291">
          <w:marLeft w:val="0"/>
          <w:marRight w:val="0"/>
          <w:marTop w:val="0"/>
          <w:marBottom w:val="0"/>
          <w:divBdr>
            <w:top w:val="none" w:sz="0" w:space="0" w:color="auto"/>
            <w:left w:val="none" w:sz="0" w:space="0" w:color="auto"/>
            <w:bottom w:val="none" w:sz="0" w:space="0" w:color="auto"/>
            <w:right w:val="none" w:sz="0" w:space="0" w:color="auto"/>
          </w:divBdr>
        </w:div>
        <w:div w:id="1043947067">
          <w:marLeft w:val="0"/>
          <w:marRight w:val="0"/>
          <w:marTop w:val="0"/>
          <w:marBottom w:val="0"/>
          <w:divBdr>
            <w:top w:val="none" w:sz="0" w:space="0" w:color="auto"/>
            <w:left w:val="none" w:sz="0" w:space="0" w:color="auto"/>
            <w:bottom w:val="none" w:sz="0" w:space="0" w:color="auto"/>
            <w:right w:val="none" w:sz="0" w:space="0" w:color="auto"/>
          </w:divBdr>
        </w:div>
        <w:div w:id="557210418">
          <w:marLeft w:val="0"/>
          <w:marRight w:val="0"/>
          <w:marTop w:val="0"/>
          <w:marBottom w:val="0"/>
          <w:divBdr>
            <w:top w:val="none" w:sz="0" w:space="0" w:color="auto"/>
            <w:left w:val="none" w:sz="0" w:space="0" w:color="auto"/>
            <w:bottom w:val="none" w:sz="0" w:space="0" w:color="auto"/>
            <w:right w:val="none" w:sz="0" w:space="0" w:color="auto"/>
          </w:divBdr>
        </w:div>
        <w:div w:id="614144427">
          <w:marLeft w:val="0"/>
          <w:marRight w:val="0"/>
          <w:marTop w:val="0"/>
          <w:marBottom w:val="0"/>
          <w:divBdr>
            <w:top w:val="none" w:sz="0" w:space="0" w:color="auto"/>
            <w:left w:val="none" w:sz="0" w:space="0" w:color="auto"/>
            <w:bottom w:val="none" w:sz="0" w:space="0" w:color="auto"/>
            <w:right w:val="none" w:sz="0" w:space="0" w:color="auto"/>
          </w:divBdr>
        </w:div>
      </w:divsChild>
    </w:div>
    <w:div w:id="1441334754">
      <w:bodyDiv w:val="1"/>
      <w:marLeft w:val="0"/>
      <w:marRight w:val="0"/>
      <w:marTop w:val="0"/>
      <w:marBottom w:val="0"/>
      <w:divBdr>
        <w:top w:val="none" w:sz="0" w:space="0" w:color="auto"/>
        <w:left w:val="none" w:sz="0" w:space="0" w:color="auto"/>
        <w:bottom w:val="none" w:sz="0" w:space="0" w:color="auto"/>
        <w:right w:val="none" w:sz="0" w:space="0" w:color="auto"/>
      </w:divBdr>
      <w:divsChild>
        <w:div w:id="502479120">
          <w:marLeft w:val="0"/>
          <w:marRight w:val="0"/>
          <w:marTop w:val="0"/>
          <w:marBottom w:val="0"/>
          <w:divBdr>
            <w:top w:val="none" w:sz="0" w:space="0" w:color="auto"/>
            <w:left w:val="none" w:sz="0" w:space="0" w:color="auto"/>
            <w:bottom w:val="none" w:sz="0" w:space="0" w:color="auto"/>
            <w:right w:val="none" w:sz="0" w:space="0" w:color="auto"/>
          </w:divBdr>
        </w:div>
        <w:div w:id="861241106">
          <w:marLeft w:val="0"/>
          <w:marRight w:val="0"/>
          <w:marTop w:val="0"/>
          <w:marBottom w:val="0"/>
          <w:divBdr>
            <w:top w:val="none" w:sz="0" w:space="0" w:color="auto"/>
            <w:left w:val="none" w:sz="0" w:space="0" w:color="auto"/>
            <w:bottom w:val="none" w:sz="0" w:space="0" w:color="auto"/>
            <w:right w:val="none" w:sz="0" w:space="0" w:color="auto"/>
          </w:divBdr>
        </w:div>
        <w:div w:id="215623208">
          <w:marLeft w:val="0"/>
          <w:marRight w:val="0"/>
          <w:marTop w:val="0"/>
          <w:marBottom w:val="0"/>
          <w:divBdr>
            <w:top w:val="none" w:sz="0" w:space="0" w:color="auto"/>
            <w:left w:val="none" w:sz="0" w:space="0" w:color="auto"/>
            <w:bottom w:val="none" w:sz="0" w:space="0" w:color="auto"/>
            <w:right w:val="none" w:sz="0" w:space="0" w:color="auto"/>
          </w:divBdr>
        </w:div>
        <w:div w:id="1567763752">
          <w:marLeft w:val="0"/>
          <w:marRight w:val="0"/>
          <w:marTop w:val="0"/>
          <w:marBottom w:val="0"/>
          <w:divBdr>
            <w:top w:val="none" w:sz="0" w:space="0" w:color="auto"/>
            <w:left w:val="none" w:sz="0" w:space="0" w:color="auto"/>
            <w:bottom w:val="none" w:sz="0" w:space="0" w:color="auto"/>
            <w:right w:val="none" w:sz="0" w:space="0" w:color="auto"/>
          </w:divBdr>
        </w:div>
        <w:div w:id="1838691449">
          <w:marLeft w:val="0"/>
          <w:marRight w:val="0"/>
          <w:marTop w:val="0"/>
          <w:marBottom w:val="0"/>
          <w:divBdr>
            <w:top w:val="none" w:sz="0" w:space="0" w:color="auto"/>
            <w:left w:val="none" w:sz="0" w:space="0" w:color="auto"/>
            <w:bottom w:val="none" w:sz="0" w:space="0" w:color="auto"/>
            <w:right w:val="none" w:sz="0" w:space="0" w:color="auto"/>
          </w:divBdr>
        </w:div>
        <w:div w:id="238636616">
          <w:marLeft w:val="0"/>
          <w:marRight w:val="0"/>
          <w:marTop w:val="0"/>
          <w:marBottom w:val="0"/>
          <w:divBdr>
            <w:top w:val="none" w:sz="0" w:space="0" w:color="auto"/>
            <w:left w:val="none" w:sz="0" w:space="0" w:color="auto"/>
            <w:bottom w:val="none" w:sz="0" w:space="0" w:color="auto"/>
            <w:right w:val="none" w:sz="0" w:space="0" w:color="auto"/>
          </w:divBdr>
        </w:div>
        <w:div w:id="1051811196">
          <w:marLeft w:val="0"/>
          <w:marRight w:val="0"/>
          <w:marTop w:val="0"/>
          <w:marBottom w:val="0"/>
          <w:divBdr>
            <w:top w:val="none" w:sz="0" w:space="0" w:color="auto"/>
            <w:left w:val="none" w:sz="0" w:space="0" w:color="auto"/>
            <w:bottom w:val="none" w:sz="0" w:space="0" w:color="auto"/>
            <w:right w:val="none" w:sz="0" w:space="0" w:color="auto"/>
          </w:divBdr>
        </w:div>
        <w:div w:id="102695872">
          <w:marLeft w:val="0"/>
          <w:marRight w:val="0"/>
          <w:marTop w:val="0"/>
          <w:marBottom w:val="0"/>
          <w:divBdr>
            <w:top w:val="none" w:sz="0" w:space="0" w:color="auto"/>
            <w:left w:val="none" w:sz="0" w:space="0" w:color="auto"/>
            <w:bottom w:val="none" w:sz="0" w:space="0" w:color="auto"/>
            <w:right w:val="none" w:sz="0" w:space="0" w:color="auto"/>
          </w:divBdr>
        </w:div>
        <w:div w:id="1803957801">
          <w:marLeft w:val="0"/>
          <w:marRight w:val="0"/>
          <w:marTop w:val="0"/>
          <w:marBottom w:val="0"/>
          <w:divBdr>
            <w:top w:val="none" w:sz="0" w:space="0" w:color="auto"/>
            <w:left w:val="none" w:sz="0" w:space="0" w:color="auto"/>
            <w:bottom w:val="none" w:sz="0" w:space="0" w:color="auto"/>
            <w:right w:val="none" w:sz="0" w:space="0" w:color="auto"/>
          </w:divBdr>
        </w:div>
        <w:div w:id="1506674575">
          <w:marLeft w:val="0"/>
          <w:marRight w:val="0"/>
          <w:marTop w:val="0"/>
          <w:marBottom w:val="0"/>
          <w:divBdr>
            <w:top w:val="none" w:sz="0" w:space="0" w:color="auto"/>
            <w:left w:val="none" w:sz="0" w:space="0" w:color="auto"/>
            <w:bottom w:val="none" w:sz="0" w:space="0" w:color="auto"/>
            <w:right w:val="none" w:sz="0" w:space="0" w:color="auto"/>
          </w:divBdr>
        </w:div>
        <w:div w:id="89855263">
          <w:marLeft w:val="0"/>
          <w:marRight w:val="0"/>
          <w:marTop w:val="0"/>
          <w:marBottom w:val="0"/>
          <w:divBdr>
            <w:top w:val="none" w:sz="0" w:space="0" w:color="auto"/>
            <w:left w:val="none" w:sz="0" w:space="0" w:color="auto"/>
            <w:bottom w:val="none" w:sz="0" w:space="0" w:color="auto"/>
            <w:right w:val="none" w:sz="0" w:space="0" w:color="auto"/>
          </w:divBdr>
        </w:div>
        <w:div w:id="1535340486">
          <w:marLeft w:val="0"/>
          <w:marRight w:val="0"/>
          <w:marTop w:val="0"/>
          <w:marBottom w:val="0"/>
          <w:divBdr>
            <w:top w:val="none" w:sz="0" w:space="0" w:color="auto"/>
            <w:left w:val="none" w:sz="0" w:space="0" w:color="auto"/>
            <w:bottom w:val="none" w:sz="0" w:space="0" w:color="auto"/>
            <w:right w:val="none" w:sz="0" w:space="0" w:color="auto"/>
          </w:divBdr>
        </w:div>
        <w:div w:id="815687906">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2022-03-31T07:54:15Z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përdorimin e fondit të rindërtimit për financimin e riforcimit të njësive individuale të banimit dhe njësive të banimit në ndërtesa (pallat), në Bashkitë Tiranë, Durrës, Shijak, Lezhë dhe Krujë</Titulli>
    <Modifikuesi xmlns="0e656187-b300-4fb0-8bf4-3a50f872073c">ermira.bukaci</Modifikuesi>
    <Nr_x002e__x0020_prot_x0020_QBZ xmlns="0e656187-b300-4fb0-8bf4-3a50f872073c">476</Nr_x002e__x0020_prot_x0020_QBZ>
    <Data_x0020_e_x0020_Modifikimit xmlns="0e656187-b300-4fb0-8bf4-3a50f872073c">2022-03-31T08:15:25Z</Data_x0020_e_x0020_Modifikimit>
    <Dekretuar xmlns="0e656187-b300-4fb0-8bf4-3a50f872073c">false</Dekretuar>
    <Data xmlns="0e656187-b300-4fb0-8bf4-3a50f872073c">2022-03-29T22:00:00Z</Data>
    <Nr_x002e__x0020_protokolli_x0020_i_x0020_aktit xmlns="0e656187-b300-4fb0-8bf4-3a50f872073c">1750/1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227FD-863F-4BE8-ADDD-AAAD50419D30}">
  <ds:schemaRefs>
    <ds:schemaRef ds:uri="http://schemas.microsoft.com/sharepoint/v3/contenttype/forms"/>
  </ds:schemaRefs>
</ds:datastoreItem>
</file>

<file path=customXml/itemProps2.xml><?xml version="1.0" encoding="utf-8"?>
<ds:datastoreItem xmlns:ds="http://schemas.openxmlformats.org/officeDocument/2006/customXml" ds:itemID="{C305C8F1-879D-4FE4-83D6-B63244DE51CA}">
  <ds:schemaRefs>
    <ds:schemaRef ds:uri="http://schemas.microsoft.com/sharepoint/v3/contenttype/forms"/>
  </ds:schemaRefs>
</ds:datastoreItem>
</file>

<file path=customXml/itemProps3.xml><?xml version="1.0" encoding="utf-8"?>
<ds:datastoreItem xmlns:ds="http://schemas.openxmlformats.org/officeDocument/2006/customXml" ds:itemID="{24D0F712-D4B7-45CB-AC63-345E1049981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0D64545-D331-46BA-B41D-01A93422D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18264EF-2895-4AEE-9289-7FB7B9CD133A}">
  <ds:schemaRefs>
    <ds:schemaRef ds:uri="http://schemas.openxmlformats.org/officeDocument/2006/bibliography"/>
  </ds:schemaRefs>
</ds:datastoreItem>
</file>

<file path=customXml/itemProps6.xml><?xml version="1.0" encoding="utf-8"?>
<ds:datastoreItem xmlns:ds="http://schemas.openxmlformats.org/officeDocument/2006/customXml" ds:itemID="{ADB8FAFA-51F9-4B78-9F1E-7508DAFFC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08E9C43-663E-47D0-AC03-13210F253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Bashkitë Tiranë, Durrës, Shijak, Lezhë dhe Krujë</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Bashkitë Tiranë, Durrës, Shijak, Lezhë dhe Krujë</dc:title>
  <dc:creator>user1</dc:creator>
  <cp:lastModifiedBy>Enida Plaku</cp:lastModifiedBy>
  <cp:revision>6</cp:revision>
  <cp:lastPrinted>2022-03-29T12:13:00Z</cp:lastPrinted>
  <dcterms:created xsi:type="dcterms:W3CDTF">2022-12-20T10:39:00Z</dcterms:created>
  <dcterms:modified xsi:type="dcterms:W3CDTF">2023-12-28T08:42:00Z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