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8E852" w14:textId="77777777" w:rsidR="00084624" w:rsidRPr="00AF32BD" w:rsidRDefault="00084624" w:rsidP="00084624">
      <w:pPr>
        <w:tabs>
          <w:tab w:val="right" w:pos="9060"/>
        </w:tabs>
        <w:ind w:firstLine="284"/>
        <w:jc w:val="center"/>
        <w:rPr>
          <w:rFonts w:ascii="Garamond" w:hAnsi="Garamond"/>
          <w:b/>
          <w:bCs/>
          <w:szCs w:val="24"/>
          <w:lang w:val="sq-AL"/>
        </w:rPr>
      </w:pPr>
      <w:r w:rsidRPr="00AF32BD">
        <w:rPr>
          <w:rFonts w:ascii="Garamond" w:hAnsi="Garamond"/>
          <w:b/>
          <w:bCs/>
          <w:szCs w:val="24"/>
          <w:lang w:val="sq-AL"/>
        </w:rPr>
        <w:t>VENDIM</w:t>
      </w:r>
    </w:p>
    <w:p w14:paraId="1038E853" w14:textId="01066B07" w:rsidR="00084624" w:rsidRPr="00AF32BD" w:rsidRDefault="00084624" w:rsidP="00084624">
      <w:pPr>
        <w:tabs>
          <w:tab w:val="right" w:pos="9060"/>
        </w:tabs>
        <w:ind w:firstLine="284"/>
        <w:jc w:val="center"/>
        <w:rPr>
          <w:rFonts w:ascii="Garamond" w:hAnsi="Garamond"/>
          <w:b/>
          <w:bCs/>
          <w:szCs w:val="24"/>
          <w:lang w:val="sq-AL"/>
        </w:rPr>
      </w:pPr>
      <w:r w:rsidRPr="00AF32BD">
        <w:rPr>
          <w:rFonts w:ascii="Garamond" w:hAnsi="Garamond"/>
          <w:b/>
          <w:szCs w:val="24"/>
          <w:lang w:val="sq-AL"/>
        </w:rPr>
        <w:t>Nr.</w:t>
      </w:r>
      <w:r w:rsidR="00D754FE">
        <w:rPr>
          <w:rFonts w:ascii="Garamond" w:hAnsi="Garamond"/>
          <w:b/>
          <w:szCs w:val="24"/>
          <w:lang w:val="sq-AL"/>
        </w:rPr>
        <w:t xml:space="preserve"> </w:t>
      </w:r>
      <w:r w:rsidR="00AB0DD0" w:rsidRPr="00AF32BD">
        <w:rPr>
          <w:rFonts w:ascii="Garamond" w:hAnsi="Garamond"/>
          <w:b/>
          <w:szCs w:val="24"/>
          <w:lang w:val="sq-AL"/>
        </w:rPr>
        <w:t>221</w:t>
      </w:r>
      <w:r w:rsidRPr="00AF32BD">
        <w:rPr>
          <w:rFonts w:ascii="Garamond" w:hAnsi="Garamond"/>
          <w:b/>
          <w:szCs w:val="24"/>
          <w:lang w:val="sq-AL"/>
        </w:rPr>
        <w:t xml:space="preserve">, datë </w:t>
      </w:r>
      <w:r w:rsidR="00AB0DD0" w:rsidRPr="00AF32BD">
        <w:rPr>
          <w:rFonts w:ascii="Garamond" w:hAnsi="Garamond"/>
          <w:b/>
          <w:szCs w:val="24"/>
          <w:lang w:val="sq-AL"/>
        </w:rPr>
        <w:t>13.4.2022</w:t>
      </w:r>
    </w:p>
    <w:p w14:paraId="1038E854" w14:textId="77777777" w:rsidR="00084624" w:rsidRPr="00AF32BD" w:rsidRDefault="00084624" w:rsidP="00084624">
      <w:pPr>
        <w:ind w:firstLine="284"/>
        <w:rPr>
          <w:rFonts w:ascii="Garamond" w:hAnsi="Garamond"/>
          <w:b/>
          <w:szCs w:val="24"/>
          <w:lang w:val="sq-AL"/>
        </w:rPr>
      </w:pPr>
    </w:p>
    <w:p w14:paraId="1038E855" w14:textId="5E69198F" w:rsidR="00084624" w:rsidRPr="00AF32BD" w:rsidRDefault="00084624" w:rsidP="00084624">
      <w:pPr>
        <w:pStyle w:val="Bodytext20"/>
        <w:spacing w:line="240" w:lineRule="auto"/>
        <w:ind w:left="0" w:firstLine="284"/>
        <w:jc w:val="center"/>
        <w:rPr>
          <w:b/>
          <w:bCs/>
          <w:sz w:val="24"/>
          <w:szCs w:val="24"/>
          <w:lang w:val="sq-AL"/>
        </w:rPr>
      </w:pPr>
      <w:r w:rsidRPr="00AF32BD">
        <w:rPr>
          <w:b/>
          <w:bCs/>
          <w:sz w:val="24"/>
          <w:szCs w:val="24"/>
          <w:lang w:val="sq-AL"/>
        </w:rPr>
        <w:t>PËR DISA NDRYSHIME DHE SHTESA NË VENDIMIN NR.</w:t>
      </w:r>
      <w:r w:rsidR="00D754FE">
        <w:rPr>
          <w:b/>
          <w:bCs/>
          <w:sz w:val="24"/>
          <w:szCs w:val="24"/>
          <w:lang w:val="sq-AL"/>
        </w:rPr>
        <w:t xml:space="preserve"> </w:t>
      </w:r>
      <w:r w:rsidRPr="00AF32BD">
        <w:rPr>
          <w:b/>
          <w:bCs/>
          <w:sz w:val="24"/>
          <w:szCs w:val="24"/>
          <w:lang w:val="sq-AL"/>
        </w:rPr>
        <w:t>795,</w:t>
      </w:r>
      <w:r w:rsidR="00256C07" w:rsidRPr="00AF32BD">
        <w:rPr>
          <w:b/>
          <w:bCs/>
          <w:sz w:val="24"/>
          <w:szCs w:val="24"/>
          <w:lang w:val="sq-AL"/>
        </w:rPr>
        <w:t xml:space="preserve"> </w:t>
      </w:r>
      <w:r w:rsidRPr="00AF32BD">
        <w:rPr>
          <w:b/>
          <w:bCs/>
          <w:sz w:val="24"/>
          <w:szCs w:val="24"/>
          <w:lang w:val="sq-AL"/>
        </w:rPr>
        <w:t>DATË 22.9.2015, TË KËSHILLIT TË MINISTRAVE, “PËR SHPRONËSIMIN, PËR INTERES PUBLIK, TË PRONARËVE</w:t>
      </w:r>
      <w:r w:rsidR="00256C07" w:rsidRPr="00AF32BD">
        <w:rPr>
          <w:b/>
          <w:bCs/>
          <w:sz w:val="24"/>
          <w:szCs w:val="24"/>
          <w:lang w:val="sq-AL"/>
        </w:rPr>
        <w:t xml:space="preserve"> </w:t>
      </w:r>
      <w:r w:rsidRPr="00AF32BD">
        <w:rPr>
          <w:b/>
          <w:bCs/>
          <w:sz w:val="24"/>
          <w:szCs w:val="24"/>
          <w:lang w:val="sq-AL"/>
        </w:rPr>
        <w:t>TË PASURIVE TË PALUAJTSHME, PRONË PRIVATE, QË PREKEN NGA NDËRTIMI I SEGMENTIT RRUGOR “UNAZA LINDORE TIRANË (LOTET I, II)”, TË NDRYSHUAR</w:t>
      </w:r>
    </w:p>
    <w:p w14:paraId="1038E856" w14:textId="77777777" w:rsidR="00084624" w:rsidRPr="00AF32BD" w:rsidRDefault="00084624" w:rsidP="00084624">
      <w:pPr>
        <w:pStyle w:val="Bodytext20"/>
        <w:spacing w:line="240" w:lineRule="auto"/>
        <w:ind w:left="0" w:firstLine="284"/>
        <w:rPr>
          <w:b/>
          <w:bCs/>
          <w:sz w:val="24"/>
          <w:szCs w:val="24"/>
          <w:lang w:val="sq-AL"/>
        </w:rPr>
      </w:pPr>
    </w:p>
    <w:p w14:paraId="1038E857" w14:textId="1A05713C" w:rsidR="00084624" w:rsidRPr="00AF32BD" w:rsidRDefault="00084624" w:rsidP="00084624">
      <w:pPr>
        <w:ind w:firstLine="284"/>
        <w:jc w:val="both"/>
        <w:rPr>
          <w:rFonts w:ascii="Garamond" w:hAnsi="Garamond"/>
          <w:szCs w:val="24"/>
          <w:lang w:val="sq-AL"/>
        </w:rPr>
      </w:pPr>
      <w:r w:rsidRPr="00AF32BD">
        <w:rPr>
          <w:rFonts w:ascii="Garamond" w:hAnsi="Garamond"/>
          <w:szCs w:val="24"/>
          <w:lang w:val="sq-AL"/>
        </w:rPr>
        <w:t>Në mbështetje të nenit 100 të Kushtetutës dhe të neneve 5, 20 e 21, të ligjit nr.</w:t>
      </w:r>
      <w:r w:rsidR="00AF32BD">
        <w:rPr>
          <w:rFonts w:ascii="Garamond" w:hAnsi="Garamond"/>
          <w:szCs w:val="24"/>
          <w:lang w:val="sq-AL"/>
        </w:rPr>
        <w:t xml:space="preserve"> </w:t>
      </w:r>
      <w:r w:rsidRPr="00AF32BD">
        <w:rPr>
          <w:rFonts w:ascii="Garamond" w:hAnsi="Garamond"/>
          <w:szCs w:val="24"/>
          <w:lang w:val="sq-AL"/>
        </w:rPr>
        <w:t>8561,     datë 22.12.1999, “Për shpronësimet dhe marrjen në përdorim të përkohshëm të pasurisë, pronë private, për interes publik”, të ndryshuar, me propozimin e ministrit të Infrastrukturës dhe Energjisë, Këshilli i Ministrave</w:t>
      </w:r>
    </w:p>
    <w:p w14:paraId="1038E858" w14:textId="77777777" w:rsidR="00084624" w:rsidRPr="00AF32BD" w:rsidRDefault="00084624" w:rsidP="00084624">
      <w:pPr>
        <w:pStyle w:val="BodyText"/>
        <w:ind w:firstLine="284"/>
        <w:rPr>
          <w:b/>
          <w:bCs/>
          <w:sz w:val="24"/>
          <w:szCs w:val="24"/>
          <w:lang w:val="sq-AL"/>
        </w:rPr>
      </w:pPr>
    </w:p>
    <w:p w14:paraId="1038E859" w14:textId="77777777" w:rsidR="00084624" w:rsidRPr="00AF32BD" w:rsidRDefault="00084624" w:rsidP="00084624">
      <w:pPr>
        <w:pStyle w:val="BodyText"/>
        <w:ind w:firstLine="284"/>
        <w:jc w:val="center"/>
        <w:rPr>
          <w:bCs/>
          <w:sz w:val="24"/>
          <w:szCs w:val="24"/>
          <w:lang w:val="sq-AL"/>
        </w:rPr>
      </w:pPr>
      <w:r w:rsidRPr="00AF32BD">
        <w:rPr>
          <w:bCs/>
          <w:sz w:val="24"/>
          <w:szCs w:val="24"/>
          <w:lang w:val="sq-AL"/>
        </w:rPr>
        <w:t>VENDOSI:</w:t>
      </w:r>
    </w:p>
    <w:p w14:paraId="1038E85A" w14:textId="77777777" w:rsidR="00084624" w:rsidRPr="00AF32BD" w:rsidRDefault="00084624" w:rsidP="00084624">
      <w:pPr>
        <w:pStyle w:val="BodyText"/>
        <w:ind w:firstLine="284"/>
        <w:jc w:val="center"/>
        <w:rPr>
          <w:sz w:val="24"/>
          <w:szCs w:val="24"/>
          <w:lang w:val="sq-AL"/>
        </w:rPr>
      </w:pPr>
    </w:p>
    <w:p w14:paraId="1038E85B" w14:textId="04B23DF1" w:rsidR="00084624" w:rsidRPr="00AF32BD" w:rsidRDefault="00084624" w:rsidP="00084624">
      <w:pPr>
        <w:pStyle w:val="BodyText"/>
        <w:ind w:firstLine="284"/>
        <w:jc w:val="both"/>
        <w:rPr>
          <w:sz w:val="24"/>
          <w:szCs w:val="24"/>
          <w:lang w:val="sq-AL"/>
        </w:rPr>
      </w:pPr>
      <w:r w:rsidRPr="00AF32BD">
        <w:rPr>
          <w:sz w:val="24"/>
          <w:szCs w:val="24"/>
          <w:lang w:val="sq-AL"/>
        </w:rPr>
        <w:t>I. Në vendimin nr.</w:t>
      </w:r>
      <w:r w:rsidR="00AF32BD">
        <w:rPr>
          <w:sz w:val="24"/>
          <w:szCs w:val="24"/>
          <w:lang w:val="sq-AL"/>
        </w:rPr>
        <w:t xml:space="preserve"> </w:t>
      </w:r>
      <w:r w:rsidRPr="00AF32BD">
        <w:rPr>
          <w:sz w:val="24"/>
          <w:szCs w:val="24"/>
          <w:lang w:val="sq-AL"/>
        </w:rPr>
        <w:t>795, datë 22.9.2015, të Këshillit të Ministrave, të ndryshuar, bëhen këto ndryshime dhe shtesa:</w:t>
      </w:r>
    </w:p>
    <w:p w14:paraId="1038E85C" w14:textId="77777777" w:rsidR="00084624" w:rsidRPr="00AF32BD" w:rsidRDefault="00084624" w:rsidP="00084624">
      <w:pPr>
        <w:pStyle w:val="BodyText"/>
        <w:ind w:firstLine="284"/>
        <w:jc w:val="both"/>
        <w:rPr>
          <w:sz w:val="24"/>
          <w:szCs w:val="24"/>
          <w:lang w:val="sq-AL"/>
        </w:rPr>
      </w:pPr>
      <w:r w:rsidRPr="00AF32BD">
        <w:rPr>
          <w:sz w:val="24"/>
          <w:szCs w:val="24"/>
          <w:lang w:val="sq-AL"/>
        </w:rPr>
        <w:t>1. Në pikën 3 bëhen këto ndryshime:</w:t>
      </w:r>
    </w:p>
    <w:p w14:paraId="1038E85D" w14:textId="77777777" w:rsidR="00084624" w:rsidRPr="00AF32BD" w:rsidRDefault="00084624" w:rsidP="00084624">
      <w:pPr>
        <w:pStyle w:val="BodyText"/>
        <w:ind w:firstLine="284"/>
        <w:jc w:val="both"/>
        <w:rPr>
          <w:sz w:val="24"/>
          <w:szCs w:val="24"/>
          <w:lang w:val="sq-AL"/>
        </w:rPr>
      </w:pPr>
      <w:r w:rsidRPr="00AF32BD">
        <w:rPr>
          <w:sz w:val="24"/>
          <w:szCs w:val="24"/>
          <w:lang w:val="sq-AL"/>
        </w:rPr>
        <w:t>a) Në fjalinë e parë, vlera e shpronësimit “278 268 838 (dyqind e shtatëdhjetë e tetë milionë e dyqind e gjashtëdhjetë e tetë mijë e tetëqind e tridhjetë e tëtë) lekë” zëvendësohet me “293 549 545 (dyqind e nëntëdhjetë e tre milionë e pesëqind e dyzet e nëntë mijë e pesëqind e dyzet e pesë) lekë”.</w:t>
      </w:r>
    </w:p>
    <w:p w14:paraId="1038E85E" w14:textId="77777777" w:rsidR="00084624" w:rsidRPr="00AF32BD" w:rsidRDefault="00084624" w:rsidP="00084624">
      <w:pPr>
        <w:pStyle w:val="BodyText"/>
        <w:ind w:firstLine="284"/>
        <w:jc w:val="both"/>
        <w:rPr>
          <w:sz w:val="24"/>
          <w:szCs w:val="24"/>
          <w:lang w:val="sq-AL"/>
        </w:rPr>
      </w:pPr>
      <w:r w:rsidRPr="00AF32BD">
        <w:rPr>
          <w:sz w:val="24"/>
          <w:szCs w:val="24"/>
          <w:lang w:val="sq-AL"/>
        </w:rPr>
        <w:t>b) Dy nënparagrafët, ku përcaktohen sipërfaqet e pasurive sipas llojeve dhe vlerat e tyre, ndryshohen, si më poshtë vijon:</w:t>
      </w:r>
    </w:p>
    <w:p w14:paraId="1038E85F" w14:textId="77777777" w:rsidR="00084624" w:rsidRPr="00AF32BD" w:rsidRDefault="00084624" w:rsidP="00084624">
      <w:pPr>
        <w:pStyle w:val="BodyText"/>
        <w:ind w:firstLine="284"/>
        <w:jc w:val="both"/>
        <w:rPr>
          <w:sz w:val="24"/>
          <w:szCs w:val="24"/>
          <w:lang w:val="sq-AL"/>
        </w:rPr>
      </w:pPr>
      <w:r w:rsidRPr="00AF32BD">
        <w:rPr>
          <w:sz w:val="24"/>
          <w:szCs w:val="24"/>
          <w:lang w:val="sq-AL"/>
        </w:rPr>
        <w:t>“- tokë “arë”, “truall” dhe “pyll”, me sipërfaqe 136 855.60 (njëqind e tridhjetë e gjashtë mijë e tetëqind e pesëdhjetë e pesë pikë gjashtëdhjetë) m</w:t>
      </w:r>
      <w:r w:rsidRPr="00EE74E6">
        <w:rPr>
          <w:vertAlign w:val="superscript"/>
        </w:rPr>
        <w:t>2</w:t>
      </w:r>
      <w:r w:rsidRPr="00AF32BD">
        <w:rPr>
          <w:sz w:val="24"/>
          <w:szCs w:val="24"/>
          <w:lang w:val="sq-AL"/>
        </w:rPr>
        <w:t>, me vlerë 64 211 333 (gjashtëdhjetë e katër milionë e dyqind e njëmbëdhjetë mijë e treqind e tridhjetë e tre) lekë;</w:t>
      </w:r>
    </w:p>
    <w:p w14:paraId="1038E860" w14:textId="59E02013" w:rsidR="00084624" w:rsidRPr="00AF32BD" w:rsidRDefault="00EB6137" w:rsidP="00084624">
      <w:pPr>
        <w:pStyle w:val="BodyText"/>
        <w:ind w:firstLine="284"/>
        <w:jc w:val="both"/>
        <w:rPr>
          <w:sz w:val="24"/>
          <w:szCs w:val="24"/>
          <w:lang w:val="sq-AL"/>
        </w:rPr>
      </w:pPr>
      <w:r>
        <w:rPr>
          <w:sz w:val="24"/>
          <w:szCs w:val="24"/>
          <w:lang w:val="sq-AL"/>
        </w:rPr>
        <w:t>- “</w:t>
      </w:r>
      <w:r w:rsidR="00084624" w:rsidRPr="00AF32BD">
        <w:rPr>
          <w:sz w:val="24"/>
          <w:szCs w:val="24"/>
          <w:lang w:val="sq-AL"/>
        </w:rPr>
        <w:t>objekte”, me vlerë 229 338 212 (dyqind e njëzet e nëntë milionë e treqind e tridhjetë e tetë mijë e dyqind e dymbëdhjetë) lekë.”.</w:t>
      </w:r>
    </w:p>
    <w:p w14:paraId="1038E861" w14:textId="77777777" w:rsidR="00084624" w:rsidRPr="00AF32BD" w:rsidRDefault="00084624" w:rsidP="00084624">
      <w:pPr>
        <w:pStyle w:val="BodyText"/>
        <w:ind w:firstLine="284"/>
        <w:jc w:val="both"/>
        <w:rPr>
          <w:sz w:val="24"/>
          <w:szCs w:val="24"/>
          <w:lang w:val="sq-AL"/>
        </w:rPr>
      </w:pPr>
      <w:r w:rsidRPr="00AF32BD">
        <w:rPr>
          <w:sz w:val="24"/>
          <w:szCs w:val="24"/>
          <w:lang w:val="sq-AL"/>
        </w:rPr>
        <w:t>2. Në pikën 4 bëhen ndryshimet e mëposhtme:</w:t>
      </w:r>
    </w:p>
    <w:p w14:paraId="1038E862" w14:textId="77777777" w:rsidR="00084624" w:rsidRPr="00AF32BD" w:rsidRDefault="00084624" w:rsidP="00084624">
      <w:pPr>
        <w:pStyle w:val="BodyText"/>
        <w:ind w:firstLine="284"/>
        <w:jc w:val="both"/>
        <w:rPr>
          <w:sz w:val="24"/>
          <w:szCs w:val="24"/>
          <w:lang w:val="sq-AL"/>
        </w:rPr>
      </w:pPr>
      <w:r w:rsidRPr="00AF32BD">
        <w:rPr>
          <w:sz w:val="24"/>
          <w:szCs w:val="24"/>
          <w:lang w:val="sq-AL"/>
        </w:rPr>
        <w:t>a) Në fjalinë e parë, vlera e përgjithshme e shpronësimit, për pasuritë “arë”, “truall”, “pyll” dhe “objekte” prej “278 268 838 (dyqind e shtatëdhjetë e tetë milionë e dyqind e gjashtëdhjetë e tetë mijë e tetëqind e tridhjetë e tetë) lekësh” zëvendësohet me “293 549 545 (dyqind e nëntëdhjetë e tre milionë e pesëqind e dyzet e nëntë mijë e pesëqind e dyzet e pesë) lekë”;</w:t>
      </w:r>
    </w:p>
    <w:p w14:paraId="1038E863" w14:textId="77777777" w:rsidR="00084624" w:rsidRPr="00AF32BD" w:rsidRDefault="00084624" w:rsidP="00084624">
      <w:pPr>
        <w:pStyle w:val="BodyText"/>
        <w:ind w:firstLine="284"/>
        <w:jc w:val="both"/>
        <w:rPr>
          <w:sz w:val="24"/>
          <w:szCs w:val="24"/>
          <w:lang w:val="sq-AL"/>
        </w:rPr>
      </w:pPr>
      <w:r w:rsidRPr="00AF32BD">
        <w:rPr>
          <w:sz w:val="24"/>
          <w:szCs w:val="24"/>
          <w:lang w:val="sq-AL"/>
        </w:rPr>
        <w:t>b) Në fund të pikës shtohet nënparagrafi, me këtë përmbajtje:</w:t>
      </w:r>
    </w:p>
    <w:p w14:paraId="1038E864" w14:textId="6E6CF60D" w:rsidR="00084624" w:rsidRPr="00AF32BD" w:rsidRDefault="00084624" w:rsidP="00084624">
      <w:pPr>
        <w:pStyle w:val="BodyText"/>
        <w:ind w:firstLine="284"/>
        <w:jc w:val="both"/>
        <w:rPr>
          <w:sz w:val="24"/>
          <w:szCs w:val="24"/>
          <w:lang w:val="sq-AL"/>
        </w:rPr>
      </w:pPr>
      <w:r w:rsidRPr="00AF32BD">
        <w:rPr>
          <w:sz w:val="24"/>
          <w:szCs w:val="24"/>
          <w:lang w:val="sq-AL"/>
        </w:rPr>
        <w:t>“-</w:t>
      </w:r>
      <w:r w:rsidR="00394B2E">
        <w:rPr>
          <w:sz w:val="24"/>
          <w:szCs w:val="24"/>
          <w:lang w:val="sq-AL"/>
        </w:rPr>
        <w:t xml:space="preserve"> </w:t>
      </w:r>
      <w:r w:rsidRPr="00AF32BD">
        <w:rPr>
          <w:sz w:val="24"/>
          <w:szCs w:val="24"/>
          <w:lang w:val="sq-AL"/>
        </w:rPr>
        <w:t>15 280 707 (pesëmbëdhjetë milionë e dyqind e tetëdhjetë mijë e shtatëqind e shtatë) lekë të përballohet nga Autoriteti Rrugor Shqiptar.”.</w:t>
      </w:r>
    </w:p>
    <w:p w14:paraId="1038E865" w14:textId="77777777" w:rsidR="00084624" w:rsidRPr="00AF32BD" w:rsidRDefault="00084624" w:rsidP="00084624">
      <w:pPr>
        <w:pStyle w:val="BodyText"/>
        <w:ind w:firstLine="284"/>
        <w:jc w:val="both"/>
        <w:rPr>
          <w:sz w:val="24"/>
          <w:szCs w:val="24"/>
          <w:lang w:val="sq-AL"/>
        </w:rPr>
      </w:pPr>
      <w:r w:rsidRPr="00AF32BD">
        <w:rPr>
          <w:sz w:val="24"/>
          <w:szCs w:val="24"/>
          <w:lang w:val="sq-AL"/>
        </w:rPr>
        <w:t>3. Tabelave bashkëlidhur vendimit në fuqi, të ndryshuar, i shtohet edhe tabela që i bashkëlidhet këtij vendimi.</w:t>
      </w:r>
    </w:p>
    <w:p w14:paraId="1038E866" w14:textId="77777777" w:rsidR="00084624" w:rsidRPr="00AF32BD" w:rsidRDefault="00084624" w:rsidP="00084624">
      <w:pPr>
        <w:pStyle w:val="BodyText"/>
        <w:ind w:firstLine="284"/>
        <w:jc w:val="both"/>
        <w:rPr>
          <w:sz w:val="24"/>
          <w:szCs w:val="24"/>
          <w:lang w:val="sq-AL"/>
        </w:rPr>
      </w:pPr>
      <w:r w:rsidRPr="00AF32BD">
        <w:rPr>
          <w:sz w:val="24"/>
          <w:szCs w:val="24"/>
          <w:lang w:val="sq-AL"/>
        </w:rPr>
        <w:t>II. Shpenzimet procedurale, në vlerën 50 000 (pesëdhjetë mijë) lekë, të përballohen nga buxheti i miratuar për Autoritetin Rrugor Shqiptar.</w:t>
      </w:r>
    </w:p>
    <w:p w14:paraId="1038E867" w14:textId="77777777" w:rsidR="00084624" w:rsidRPr="00AF32BD" w:rsidRDefault="00084624" w:rsidP="00084624">
      <w:pPr>
        <w:pStyle w:val="BodyText"/>
        <w:ind w:firstLine="284"/>
        <w:jc w:val="both"/>
        <w:rPr>
          <w:sz w:val="24"/>
          <w:szCs w:val="24"/>
          <w:lang w:val="sq-AL"/>
        </w:rPr>
      </w:pPr>
      <w:r w:rsidRPr="00AF32BD">
        <w:rPr>
          <w:sz w:val="24"/>
          <w:szCs w:val="24"/>
          <w:lang w:val="sq-AL"/>
        </w:rPr>
        <w:t>III. Ngarkohen Ministria e Infrastrukturës dhe Energjisë, Agjencia Shtetërore për Shpronësimin, Autoriteti Rrugor Shqiptar, Agjencia Shtetërore e Kadastrës, Drejtoria Vendore Tirana Rurale 1, si dhe Drejtoria e Administrimit dhe Mbrojtjes së Tokës pranë Këshillit të Qarkut të Tiranës për zbatimin e këtij vendimi.</w:t>
      </w:r>
    </w:p>
    <w:p w14:paraId="1038E868" w14:textId="77777777" w:rsidR="00084624" w:rsidRPr="00AF32BD" w:rsidRDefault="00084624" w:rsidP="00084624">
      <w:pPr>
        <w:pStyle w:val="BodyText"/>
        <w:ind w:firstLine="284"/>
        <w:jc w:val="both"/>
        <w:rPr>
          <w:sz w:val="24"/>
          <w:szCs w:val="24"/>
          <w:lang w:val="sq-AL"/>
        </w:rPr>
      </w:pPr>
      <w:r w:rsidRPr="00AF32BD">
        <w:rPr>
          <w:sz w:val="24"/>
          <w:szCs w:val="24"/>
          <w:lang w:val="sq-AL"/>
        </w:rPr>
        <w:t>Ky vendim hyn në fuqi menjëherë dhe botohet në Fletoren Zyrtare.</w:t>
      </w:r>
    </w:p>
    <w:p w14:paraId="1038E869" w14:textId="77777777" w:rsidR="00084624" w:rsidRPr="00AF32BD" w:rsidRDefault="00084624" w:rsidP="00084624">
      <w:pPr>
        <w:tabs>
          <w:tab w:val="left" w:pos="260"/>
          <w:tab w:val="left" w:pos="440"/>
        </w:tabs>
        <w:ind w:firstLine="284"/>
        <w:jc w:val="both"/>
        <w:rPr>
          <w:rFonts w:ascii="Garamond" w:hAnsi="Garamond"/>
          <w:szCs w:val="24"/>
          <w:lang w:val="sq-AL"/>
        </w:rPr>
      </w:pPr>
    </w:p>
    <w:p w14:paraId="1038E86A" w14:textId="77777777" w:rsidR="00084624" w:rsidRPr="00AF32BD" w:rsidRDefault="00084624" w:rsidP="00256C07">
      <w:pPr>
        <w:pStyle w:val="BodyText"/>
        <w:ind w:firstLine="284"/>
        <w:jc w:val="right"/>
        <w:rPr>
          <w:bCs/>
          <w:smallCaps/>
          <w:sz w:val="24"/>
          <w:szCs w:val="24"/>
          <w:lang w:val="sq-AL"/>
        </w:rPr>
      </w:pPr>
      <w:r w:rsidRPr="00AF32BD">
        <w:rPr>
          <w:bCs/>
          <w:smallCaps/>
          <w:sz w:val="24"/>
          <w:szCs w:val="24"/>
          <w:lang w:val="sq-AL"/>
        </w:rPr>
        <w:t>KRYEMINISTËR</w:t>
      </w:r>
      <w:r w:rsidR="00256C07" w:rsidRPr="00AF32BD">
        <w:rPr>
          <w:bCs/>
          <w:smallCaps/>
          <w:sz w:val="24"/>
          <w:szCs w:val="24"/>
          <w:lang w:val="sq-AL"/>
        </w:rPr>
        <w:t xml:space="preserve"> </w:t>
      </w:r>
    </w:p>
    <w:p w14:paraId="1038E86B" w14:textId="77777777" w:rsidR="00256C07" w:rsidRPr="00AF32BD" w:rsidRDefault="00256C07" w:rsidP="00256C07">
      <w:pPr>
        <w:pStyle w:val="BodyText"/>
        <w:ind w:firstLine="284"/>
        <w:jc w:val="right"/>
        <w:rPr>
          <w:b/>
          <w:bCs/>
          <w:sz w:val="24"/>
          <w:szCs w:val="24"/>
          <w:lang w:val="sq-AL"/>
        </w:rPr>
      </w:pPr>
      <w:r w:rsidRPr="00AF32BD">
        <w:rPr>
          <w:b/>
          <w:bCs/>
          <w:sz w:val="24"/>
          <w:szCs w:val="24"/>
          <w:lang w:val="sq-AL"/>
        </w:rPr>
        <w:t>Edi Rama</w:t>
      </w:r>
    </w:p>
    <w:p w14:paraId="1038E86C" w14:textId="77777777" w:rsidR="003711B1" w:rsidRPr="00AF32BD" w:rsidRDefault="003711B1" w:rsidP="00256C07">
      <w:pPr>
        <w:pStyle w:val="BodyText"/>
        <w:ind w:firstLine="284"/>
        <w:jc w:val="right"/>
        <w:rPr>
          <w:b/>
          <w:bCs/>
          <w:sz w:val="24"/>
          <w:szCs w:val="24"/>
          <w:lang w:val="sq-AL"/>
        </w:rPr>
      </w:pPr>
    </w:p>
    <w:p w14:paraId="1038E86D" w14:textId="77777777" w:rsidR="003711B1" w:rsidRPr="00AF32BD" w:rsidRDefault="003711B1" w:rsidP="00256C07">
      <w:pPr>
        <w:pStyle w:val="BodyText"/>
        <w:ind w:firstLine="284"/>
        <w:jc w:val="right"/>
        <w:rPr>
          <w:b/>
          <w:sz w:val="24"/>
          <w:szCs w:val="24"/>
          <w:lang w:val="sq-AL"/>
        </w:rPr>
        <w:sectPr w:rsidR="003711B1" w:rsidRPr="00AF32BD" w:rsidSect="002B2A35">
          <w:pgSz w:w="12240" w:h="15840"/>
          <w:pgMar w:top="990" w:right="1440" w:bottom="0" w:left="1440" w:header="720" w:footer="531" w:gutter="0"/>
          <w:cols w:space="720"/>
          <w:docGrid w:linePitch="360"/>
        </w:sectPr>
      </w:pPr>
    </w:p>
    <w:p w14:paraId="1038E86E" w14:textId="74B28B62" w:rsidR="003711B1" w:rsidRPr="008F32DE" w:rsidRDefault="003711B1" w:rsidP="003711B1">
      <w:pPr>
        <w:pStyle w:val="BodyText"/>
        <w:ind w:firstLine="284"/>
        <w:jc w:val="center"/>
        <w:rPr>
          <w:sz w:val="20"/>
          <w:szCs w:val="20"/>
          <w:lang w:val="sq-AL"/>
        </w:rPr>
      </w:pPr>
      <w:r w:rsidRPr="008F32DE">
        <w:rPr>
          <w:sz w:val="20"/>
          <w:szCs w:val="20"/>
          <w:lang w:val="sq-AL"/>
        </w:rPr>
        <w:lastRenderedPageBreak/>
        <w:t>LISTA EMËRORE E PRONARËVE, PASURITË PRONË PRIVATE TË TË CILËVE PREKEN NGA DISA NDRYSHIME DHE SHTESA NË VENDIMIN NR.</w:t>
      </w:r>
      <w:r w:rsidR="00EE74E6" w:rsidRPr="008F32DE">
        <w:rPr>
          <w:sz w:val="20"/>
          <w:szCs w:val="20"/>
          <w:lang w:val="sq-AL"/>
        </w:rPr>
        <w:t xml:space="preserve"> 795, DATË 22.</w:t>
      </w:r>
      <w:r w:rsidRPr="008F32DE">
        <w:rPr>
          <w:sz w:val="20"/>
          <w:szCs w:val="20"/>
          <w:lang w:val="sq-AL"/>
        </w:rPr>
        <w:t xml:space="preserve">9.2015, TË KËSHILLIT </w:t>
      </w:r>
      <w:r w:rsidR="008F32DE" w:rsidRPr="008F32DE">
        <w:rPr>
          <w:sz w:val="20"/>
          <w:szCs w:val="20"/>
          <w:lang w:val="sq-AL"/>
        </w:rPr>
        <w:t>TË MINISTRAVE, PËR SHPRONËSIMIN</w:t>
      </w:r>
      <w:r w:rsidRPr="008F32DE">
        <w:rPr>
          <w:sz w:val="20"/>
          <w:szCs w:val="20"/>
          <w:lang w:val="sq-AL"/>
        </w:rPr>
        <w:t xml:space="preserve"> PËR I</w:t>
      </w:r>
      <w:r w:rsidR="008F32DE" w:rsidRPr="008F32DE">
        <w:rPr>
          <w:sz w:val="20"/>
          <w:szCs w:val="20"/>
          <w:lang w:val="sq-AL"/>
        </w:rPr>
        <w:t>NTERES PUBLIK</w:t>
      </w:r>
      <w:r w:rsidRPr="008F32DE">
        <w:rPr>
          <w:sz w:val="20"/>
          <w:szCs w:val="20"/>
          <w:lang w:val="sq-AL"/>
        </w:rPr>
        <w:t xml:space="preserve"> TË PRONARËVE TË PASURIVE TË PALUAJTSHME, PRONË PRIVATE, QË PREKEN NGA NDËRTIMI I SEGMENTIT RRUGOR “UNAZA LINDORE TIRANË (LOTET I, II)”, TË NDRYSHUAR</w:t>
      </w:r>
    </w:p>
    <w:p w14:paraId="1038E86F" w14:textId="77777777" w:rsidR="003711B1" w:rsidRPr="00AF32BD" w:rsidRDefault="003711B1" w:rsidP="003711B1">
      <w:pPr>
        <w:pStyle w:val="BodyText"/>
        <w:ind w:firstLine="284"/>
        <w:jc w:val="center"/>
        <w:rPr>
          <w:b/>
          <w:sz w:val="24"/>
          <w:szCs w:val="24"/>
          <w:lang w:val="sq-AL"/>
        </w:rPr>
      </w:pPr>
      <w:bookmarkStart w:id="0" w:name="_GoBack"/>
      <w:bookmarkEnd w:id="0"/>
    </w:p>
    <w:tbl>
      <w:tblPr>
        <w:tblW w:w="5000" w:type="pct"/>
        <w:tblLook w:val="04A0" w:firstRow="1" w:lastRow="0" w:firstColumn="1" w:lastColumn="0" w:noHBand="0" w:noVBand="1"/>
      </w:tblPr>
      <w:tblGrid>
        <w:gridCol w:w="390"/>
        <w:gridCol w:w="586"/>
        <w:gridCol w:w="605"/>
        <w:gridCol w:w="659"/>
        <w:gridCol w:w="441"/>
        <w:gridCol w:w="780"/>
        <w:gridCol w:w="638"/>
        <w:gridCol w:w="1094"/>
        <w:gridCol w:w="1073"/>
        <w:gridCol w:w="895"/>
        <w:gridCol w:w="1315"/>
        <w:gridCol w:w="1105"/>
        <w:gridCol w:w="1219"/>
        <w:gridCol w:w="1470"/>
        <w:gridCol w:w="903"/>
        <w:gridCol w:w="1047"/>
      </w:tblGrid>
      <w:tr w:rsidR="003711B1" w:rsidRPr="00AF32BD" w14:paraId="1038E880" w14:textId="77777777" w:rsidTr="003711B1">
        <w:trPr>
          <w:trHeight w:val="675"/>
        </w:trPr>
        <w:tc>
          <w:tcPr>
            <w:tcW w:w="107" w:type="pct"/>
            <w:tcBorders>
              <w:top w:val="single" w:sz="8" w:space="0" w:color="auto"/>
              <w:left w:val="single" w:sz="8" w:space="0" w:color="auto"/>
              <w:bottom w:val="single" w:sz="4" w:space="0" w:color="auto"/>
              <w:right w:val="single" w:sz="4" w:space="0" w:color="auto"/>
            </w:tcBorders>
            <w:shd w:val="clear" w:color="000000" w:fill="D9D9D9"/>
            <w:vAlign w:val="center"/>
            <w:hideMark/>
          </w:tcPr>
          <w:p w14:paraId="1038E870"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Nr.</w:t>
            </w:r>
          </w:p>
        </w:tc>
        <w:tc>
          <w:tcPr>
            <w:tcW w:w="209" w:type="pct"/>
            <w:tcBorders>
              <w:top w:val="single" w:sz="8" w:space="0" w:color="auto"/>
              <w:left w:val="nil"/>
              <w:bottom w:val="single" w:sz="4" w:space="0" w:color="auto"/>
              <w:right w:val="single" w:sz="4" w:space="0" w:color="auto"/>
            </w:tcBorders>
            <w:shd w:val="clear" w:color="000000" w:fill="D9D9D9"/>
            <w:vAlign w:val="center"/>
            <w:hideMark/>
          </w:tcPr>
          <w:p w14:paraId="1038E871"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Emri</w:t>
            </w:r>
          </w:p>
        </w:tc>
        <w:tc>
          <w:tcPr>
            <w:tcW w:w="209" w:type="pct"/>
            <w:tcBorders>
              <w:top w:val="single" w:sz="8" w:space="0" w:color="auto"/>
              <w:left w:val="nil"/>
              <w:bottom w:val="single" w:sz="4" w:space="0" w:color="auto"/>
              <w:right w:val="single" w:sz="4" w:space="0" w:color="auto"/>
            </w:tcBorders>
            <w:shd w:val="clear" w:color="000000" w:fill="D9D9D9"/>
            <w:vAlign w:val="center"/>
            <w:hideMark/>
          </w:tcPr>
          <w:p w14:paraId="1038E872"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Atësia</w:t>
            </w:r>
          </w:p>
        </w:tc>
        <w:tc>
          <w:tcPr>
            <w:tcW w:w="238" w:type="pct"/>
            <w:tcBorders>
              <w:top w:val="single" w:sz="8" w:space="0" w:color="auto"/>
              <w:left w:val="nil"/>
              <w:bottom w:val="single" w:sz="4" w:space="0" w:color="auto"/>
              <w:right w:val="single" w:sz="4" w:space="0" w:color="auto"/>
            </w:tcBorders>
            <w:shd w:val="clear" w:color="000000" w:fill="D9D9D9"/>
            <w:vAlign w:val="center"/>
            <w:hideMark/>
          </w:tcPr>
          <w:p w14:paraId="1038E873"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Mbiemri</w:t>
            </w:r>
          </w:p>
        </w:tc>
        <w:tc>
          <w:tcPr>
            <w:tcW w:w="176" w:type="pct"/>
            <w:tcBorders>
              <w:top w:val="single" w:sz="8" w:space="0" w:color="auto"/>
              <w:left w:val="nil"/>
              <w:bottom w:val="single" w:sz="4" w:space="0" w:color="auto"/>
              <w:right w:val="single" w:sz="4" w:space="0" w:color="auto"/>
            </w:tcBorders>
            <w:shd w:val="clear" w:color="000000" w:fill="D9D9D9"/>
            <w:vAlign w:val="center"/>
            <w:hideMark/>
          </w:tcPr>
          <w:p w14:paraId="1038E874" w14:textId="129E5DE3" w:rsidR="003711B1" w:rsidRPr="00AF32BD" w:rsidRDefault="008F32DE" w:rsidP="003711B1">
            <w:pPr>
              <w:jc w:val="center"/>
              <w:rPr>
                <w:rFonts w:ascii="Garamond" w:hAnsi="Garamond" w:cs="Calibri"/>
                <w:b/>
                <w:bCs/>
                <w:color w:val="000000"/>
                <w:sz w:val="12"/>
                <w:szCs w:val="16"/>
                <w:lang w:val="sq-AL"/>
              </w:rPr>
            </w:pPr>
            <w:r>
              <w:rPr>
                <w:rFonts w:ascii="Garamond" w:hAnsi="Garamond" w:cs="Calibri"/>
                <w:b/>
                <w:bCs/>
                <w:color w:val="000000"/>
                <w:sz w:val="12"/>
                <w:szCs w:val="16"/>
                <w:lang w:val="sq-AL"/>
              </w:rPr>
              <w:t>ZK</w:t>
            </w:r>
          </w:p>
        </w:tc>
        <w:tc>
          <w:tcPr>
            <w:tcW w:w="281" w:type="pct"/>
            <w:tcBorders>
              <w:top w:val="single" w:sz="8" w:space="0" w:color="auto"/>
              <w:left w:val="nil"/>
              <w:bottom w:val="single" w:sz="4" w:space="0" w:color="auto"/>
              <w:right w:val="single" w:sz="4" w:space="0" w:color="auto"/>
            </w:tcBorders>
            <w:shd w:val="clear" w:color="000000" w:fill="D9D9D9"/>
            <w:vAlign w:val="center"/>
            <w:hideMark/>
          </w:tcPr>
          <w:p w14:paraId="1038E875" w14:textId="12EF4D22"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Nr.</w:t>
            </w:r>
            <w:r w:rsidR="008F32DE">
              <w:rPr>
                <w:rFonts w:ascii="Garamond" w:hAnsi="Garamond" w:cs="Calibri"/>
                <w:b/>
                <w:bCs/>
                <w:color w:val="000000"/>
                <w:sz w:val="12"/>
                <w:szCs w:val="16"/>
                <w:lang w:val="sq-AL"/>
              </w:rPr>
              <w:t xml:space="preserve"> </w:t>
            </w:r>
            <w:r w:rsidR="008F32DE" w:rsidRPr="00AF32BD">
              <w:rPr>
                <w:rFonts w:ascii="Garamond" w:hAnsi="Garamond" w:cs="Calibri"/>
                <w:b/>
                <w:bCs/>
                <w:color w:val="000000"/>
                <w:sz w:val="12"/>
                <w:szCs w:val="16"/>
                <w:lang w:val="sq-AL"/>
              </w:rPr>
              <w:t>pas</w:t>
            </w:r>
          </w:p>
        </w:tc>
        <w:tc>
          <w:tcPr>
            <w:tcW w:w="267" w:type="pct"/>
            <w:tcBorders>
              <w:top w:val="single" w:sz="8" w:space="0" w:color="auto"/>
              <w:left w:val="nil"/>
              <w:bottom w:val="single" w:sz="4" w:space="0" w:color="auto"/>
              <w:right w:val="single" w:sz="4" w:space="0" w:color="auto"/>
            </w:tcBorders>
            <w:shd w:val="clear" w:color="000000" w:fill="D9D9D9"/>
            <w:vAlign w:val="center"/>
            <w:hideMark/>
          </w:tcPr>
          <w:p w14:paraId="1038E876"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Lloji pasurisë</w:t>
            </w:r>
          </w:p>
        </w:tc>
        <w:tc>
          <w:tcPr>
            <w:tcW w:w="328" w:type="pct"/>
            <w:tcBorders>
              <w:top w:val="single" w:sz="8" w:space="0" w:color="auto"/>
              <w:left w:val="nil"/>
              <w:bottom w:val="single" w:sz="4" w:space="0" w:color="auto"/>
              <w:right w:val="single" w:sz="4" w:space="0" w:color="auto"/>
            </w:tcBorders>
            <w:shd w:val="clear" w:color="000000" w:fill="D9D9D9"/>
            <w:vAlign w:val="center"/>
            <w:hideMark/>
          </w:tcPr>
          <w:p w14:paraId="1038E877" w14:textId="258F39A2" w:rsidR="003711B1" w:rsidRPr="00AF32BD" w:rsidRDefault="008F32DE"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Sipërfaqja</w:t>
            </w:r>
            <w:r w:rsidR="003711B1" w:rsidRPr="00AF32BD">
              <w:rPr>
                <w:rFonts w:ascii="Garamond" w:hAnsi="Garamond" w:cs="Calibri"/>
                <w:b/>
                <w:bCs/>
                <w:color w:val="000000"/>
                <w:sz w:val="12"/>
                <w:szCs w:val="16"/>
                <w:lang w:val="sq-AL"/>
              </w:rPr>
              <w:t xml:space="preserve"> totale (m²)</w:t>
            </w:r>
          </w:p>
        </w:tc>
        <w:tc>
          <w:tcPr>
            <w:tcW w:w="324" w:type="pct"/>
            <w:tcBorders>
              <w:top w:val="single" w:sz="8" w:space="0" w:color="auto"/>
              <w:left w:val="nil"/>
              <w:bottom w:val="single" w:sz="4" w:space="0" w:color="auto"/>
              <w:right w:val="single" w:sz="4" w:space="0" w:color="auto"/>
            </w:tcBorders>
            <w:shd w:val="clear" w:color="000000" w:fill="D9D9D9"/>
            <w:vAlign w:val="center"/>
            <w:hideMark/>
          </w:tcPr>
          <w:p w14:paraId="1038E878" w14:textId="29FA834A" w:rsidR="003711B1" w:rsidRPr="00AF32BD" w:rsidRDefault="008F32DE"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Sipërfaqja</w:t>
            </w:r>
            <w:r w:rsidR="003711B1" w:rsidRPr="00AF32BD">
              <w:rPr>
                <w:rFonts w:ascii="Garamond" w:hAnsi="Garamond" w:cs="Calibri"/>
                <w:b/>
                <w:bCs/>
                <w:color w:val="000000"/>
                <w:sz w:val="12"/>
                <w:szCs w:val="16"/>
                <w:lang w:val="sq-AL"/>
              </w:rPr>
              <w:t xml:space="preserve"> e shpronësuar</w:t>
            </w:r>
          </w:p>
        </w:tc>
        <w:tc>
          <w:tcPr>
            <w:tcW w:w="267" w:type="pct"/>
            <w:tcBorders>
              <w:top w:val="single" w:sz="8" w:space="0" w:color="auto"/>
              <w:left w:val="nil"/>
              <w:bottom w:val="single" w:sz="4" w:space="0" w:color="auto"/>
              <w:right w:val="single" w:sz="4" w:space="0" w:color="auto"/>
            </w:tcBorders>
            <w:shd w:val="clear" w:color="000000" w:fill="D9D9D9"/>
            <w:vAlign w:val="center"/>
            <w:hideMark/>
          </w:tcPr>
          <w:p w14:paraId="1038E879" w14:textId="21B6AE5E" w:rsidR="003711B1" w:rsidRPr="00AF32BD" w:rsidRDefault="003711B1" w:rsidP="008F32DE">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Çmimi (lek/m²)</w:t>
            </w:r>
          </w:p>
        </w:tc>
        <w:tc>
          <w:tcPr>
            <w:tcW w:w="409" w:type="pct"/>
            <w:tcBorders>
              <w:top w:val="single" w:sz="8" w:space="0" w:color="auto"/>
              <w:left w:val="nil"/>
              <w:bottom w:val="single" w:sz="4" w:space="0" w:color="auto"/>
              <w:right w:val="single" w:sz="4" w:space="0" w:color="auto"/>
            </w:tcBorders>
            <w:shd w:val="clear" w:color="000000" w:fill="D9D9D9"/>
            <w:vAlign w:val="center"/>
            <w:hideMark/>
          </w:tcPr>
          <w:p w14:paraId="1038E87A"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Vlera (lekë)</w:t>
            </w:r>
          </w:p>
        </w:tc>
        <w:tc>
          <w:tcPr>
            <w:tcW w:w="338" w:type="pct"/>
            <w:tcBorders>
              <w:top w:val="single" w:sz="8" w:space="0" w:color="auto"/>
              <w:left w:val="nil"/>
              <w:bottom w:val="single" w:sz="4" w:space="0" w:color="auto"/>
              <w:right w:val="single" w:sz="4" w:space="0" w:color="auto"/>
            </w:tcBorders>
            <w:shd w:val="clear" w:color="000000" w:fill="D9D9D9"/>
            <w:vAlign w:val="center"/>
            <w:hideMark/>
          </w:tcPr>
          <w:p w14:paraId="1038E87B" w14:textId="0C201C50"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Sip.</w:t>
            </w:r>
            <w:r w:rsidR="008F32DE">
              <w:rPr>
                <w:rFonts w:ascii="Garamond" w:hAnsi="Garamond" w:cs="Calibri"/>
                <w:b/>
                <w:bCs/>
                <w:color w:val="000000"/>
                <w:sz w:val="12"/>
                <w:szCs w:val="16"/>
                <w:lang w:val="sq-AL"/>
              </w:rPr>
              <w:t xml:space="preserve"> </w:t>
            </w:r>
            <w:r w:rsidR="008F32DE" w:rsidRPr="00AF32BD">
              <w:rPr>
                <w:rFonts w:ascii="Garamond" w:hAnsi="Garamond" w:cs="Calibri"/>
                <w:b/>
                <w:bCs/>
                <w:color w:val="000000"/>
                <w:sz w:val="12"/>
                <w:szCs w:val="16"/>
                <w:lang w:val="sq-AL"/>
              </w:rPr>
              <w:t xml:space="preserve">ndërtimi </w:t>
            </w:r>
            <w:r w:rsidRPr="00AF32BD">
              <w:rPr>
                <w:rFonts w:ascii="Garamond" w:hAnsi="Garamond" w:cs="Calibri"/>
                <w:b/>
                <w:bCs/>
                <w:color w:val="000000"/>
                <w:sz w:val="12"/>
                <w:szCs w:val="16"/>
                <w:lang w:val="sq-AL"/>
              </w:rPr>
              <w:t>(m²)</w:t>
            </w:r>
          </w:p>
        </w:tc>
        <w:tc>
          <w:tcPr>
            <w:tcW w:w="376" w:type="pct"/>
            <w:tcBorders>
              <w:top w:val="single" w:sz="8" w:space="0" w:color="auto"/>
              <w:left w:val="nil"/>
              <w:bottom w:val="single" w:sz="4" w:space="0" w:color="auto"/>
              <w:right w:val="single" w:sz="4" w:space="0" w:color="auto"/>
            </w:tcBorders>
            <w:shd w:val="clear" w:color="000000" w:fill="D9D9D9"/>
            <w:vAlign w:val="center"/>
            <w:hideMark/>
          </w:tcPr>
          <w:p w14:paraId="1038E87C" w14:textId="46EAE96D"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Çmimi mes.</w:t>
            </w:r>
            <w:r w:rsidR="008F32DE">
              <w:rPr>
                <w:rFonts w:ascii="Garamond" w:hAnsi="Garamond" w:cs="Calibri"/>
                <w:b/>
                <w:bCs/>
                <w:color w:val="000000"/>
                <w:sz w:val="12"/>
                <w:szCs w:val="16"/>
                <w:lang w:val="sq-AL"/>
              </w:rPr>
              <w:t xml:space="preserve"> </w:t>
            </w:r>
            <w:r w:rsidRPr="00AF32BD">
              <w:rPr>
                <w:rFonts w:ascii="Garamond" w:hAnsi="Garamond" w:cs="Calibri"/>
                <w:b/>
                <w:bCs/>
                <w:color w:val="000000"/>
                <w:sz w:val="12"/>
                <w:szCs w:val="16"/>
                <w:lang w:val="sq-AL"/>
              </w:rPr>
              <w:t>sipas sh/blerjeve nga ASHK</w:t>
            </w:r>
          </w:p>
        </w:tc>
        <w:tc>
          <w:tcPr>
            <w:tcW w:w="457" w:type="pct"/>
            <w:tcBorders>
              <w:top w:val="single" w:sz="8" w:space="0" w:color="auto"/>
              <w:left w:val="nil"/>
              <w:bottom w:val="single" w:sz="4" w:space="0" w:color="auto"/>
              <w:right w:val="single" w:sz="4" w:space="0" w:color="auto"/>
            </w:tcBorders>
            <w:shd w:val="clear" w:color="000000" w:fill="D9D9D9"/>
            <w:vAlign w:val="center"/>
            <w:hideMark/>
          </w:tcPr>
          <w:p w14:paraId="1038E87D" w14:textId="2FD1E122" w:rsidR="003711B1" w:rsidRPr="00AF32BD" w:rsidRDefault="003711B1" w:rsidP="008F32DE">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Vlera </w:t>
            </w:r>
            <w:r w:rsidR="008F32DE" w:rsidRPr="00AF32BD">
              <w:rPr>
                <w:rFonts w:ascii="Garamond" w:hAnsi="Garamond" w:cs="Calibri"/>
                <w:b/>
                <w:bCs/>
                <w:color w:val="000000"/>
                <w:sz w:val="12"/>
                <w:szCs w:val="16"/>
                <w:lang w:val="sq-AL"/>
              </w:rPr>
              <w:t xml:space="preserve">totale </w:t>
            </w:r>
            <w:r w:rsidRPr="00AF32BD">
              <w:rPr>
                <w:rFonts w:ascii="Garamond" w:hAnsi="Garamond" w:cs="Calibri"/>
                <w:b/>
                <w:bCs/>
                <w:color w:val="000000"/>
                <w:sz w:val="12"/>
                <w:szCs w:val="16"/>
                <w:lang w:val="sq-AL"/>
              </w:rPr>
              <w:t>(</w:t>
            </w:r>
            <w:r w:rsidR="008F32DE" w:rsidRPr="00AF32BD">
              <w:rPr>
                <w:rFonts w:ascii="Garamond" w:hAnsi="Garamond" w:cs="Calibri"/>
                <w:b/>
                <w:bCs/>
                <w:color w:val="000000"/>
                <w:sz w:val="12"/>
                <w:szCs w:val="16"/>
                <w:lang w:val="sq-AL"/>
              </w:rPr>
              <w:t>lek)</w:t>
            </w:r>
          </w:p>
        </w:tc>
        <w:tc>
          <w:tcPr>
            <w:tcW w:w="438" w:type="pct"/>
            <w:tcBorders>
              <w:top w:val="single" w:sz="8" w:space="0" w:color="auto"/>
              <w:left w:val="nil"/>
              <w:bottom w:val="single" w:sz="4" w:space="0" w:color="auto"/>
              <w:right w:val="single" w:sz="4" w:space="0" w:color="auto"/>
            </w:tcBorders>
            <w:shd w:val="clear" w:color="000000" w:fill="D9D9D9"/>
            <w:noWrap/>
            <w:vAlign w:val="center"/>
            <w:hideMark/>
          </w:tcPr>
          <w:p w14:paraId="1038E87E"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Adresa</w:t>
            </w:r>
          </w:p>
        </w:tc>
        <w:tc>
          <w:tcPr>
            <w:tcW w:w="576" w:type="pct"/>
            <w:tcBorders>
              <w:top w:val="single" w:sz="8" w:space="0" w:color="auto"/>
              <w:left w:val="nil"/>
              <w:bottom w:val="single" w:sz="4" w:space="0" w:color="auto"/>
              <w:right w:val="single" w:sz="8" w:space="0" w:color="auto"/>
            </w:tcBorders>
            <w:shd w:val="clear" w:color="000000" w:fill="D9D9D9"/>
            <w:noWrap/>
            <w:vAlign w:val="center"/>
            <w:hideMark/>
          </w:tcPr>
          <w:p w14:paraId="1038E87F"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Shënime</w:t>
            </w:r>
          </w:p>
        </w:tc>
      </w:tr>
      <w:tr w:rsidR="003711B1" w:rsidRPr="00AF32BD" w14:paraId="1038E891" w14:textId="77777777" w:rsidTr="003711B1">
        <w:trPr>
          <w:trHeight w:val="315"/>
        </w:trPr>
        <w:tc>
          <w:tcPr>
            <w:tcW w:w="107" w:type="pct"/>
            <w:tcBorders>
              <w:top w:val="nil"/>
              <w:left w:val="single" w:sz="8" w:space="0" w:color="auto"/>
              <w:bottom w:val="single" w:sz="4" w:space="0" w:color="auto"/>
              <w:right w:val="single" w:sz="4" w:space="0" w:color="auto"/>
            </w:tcBorders>
            <w:shd w:val="clear" w:color="auto" w:fill="auto"/>
            <w:noWrap/>
            <w:vAlign w:val="center"/>
            <w:hideMark/>
          </w:tcPr>
          <w:p w14:paraId="1038E881"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1</w:t>
            </w:r>
          </w:p>
        </w:tc>
        <w:tc>
          <w:tcPr>
            <w:tcW w:w="209" w:type="pct"/>
            <w:tcBorders>
              <w:top w:val="nil"/>
              <w:left w:val="nil"/>
              <w:bottom w:val="single" w:sz="4" w:space="0" w:color="auto"/>
              <w:right w:val="single" w:sz="4" w:space="0" w:color="auto"/>
            </w:tcBorders>
            <w:shd w:val="clear" w:color="auto" w:fill="auto"/>
            <w:noWrap/>
            <w:vAlign w:val="center"/>
            <w:hideMark/>
          </w:tcPr>
          <w:p w14:paraId="1038E882"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Bajram  </w:t>
            </w:r>
          </w:p>
        </w:tc>
        <w:tc>
          <w:tcPr>
            <w:tcW w:w="209" w:type="pct"/>
            <w:tcBorders>
              <w:top w:val="nil"/>
              <w:left w:val="nil"/>
              <w:bottom w:val="single" w:sz="4" w:space="0" w:color="auto"/>
              <w:right w:val="single" w:sz="4" w:space="0" w:color="auto"/>
            </w:tcBorders>
            <w:shd w:val="clear" w:color="auto" w:fill="auto"/>
            <w:noWrap/>
            <w:vAlign w:val="center"/>
            <w:hideMark/>
          </w:tcPr>
          <w:p w14:paraId="1038E883"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Haxhi</w:t>
            </w:r>
          </w:p>
        </w:tc>
        <w:tc>
          <w:tcPr>
            <w:tcW w:w="238" w:type="pct"/>
            <w:tcBorders>
              <w:top w:val="nil"/>
              <w:left w:val="nil"/>
              <w:bottom w:val="single" w:sz="4" w:space="0" w:color="auto"/>
              <w:right w:val="single" w:sz="4" w:space="0" w:color="auto"/>
            </w:tcBorders>
            <w:shd w:val="clear" w:color="auto" w:fill="auto"/>
            <w:noWrap/>
            <w:vAlign w:val="center"/>
            <w:hideMark/>
          </w:tcPr>
          <w:p w14:paraId="1038E884"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Zhllima</w:t>
            </w:r>
          </w:p>
        </w:tc>
        <w:tc>
          <w:tcPr>
            <w:tcW w:w="176" w:type="pct"/>
            <w:tcBorders>
              <w:top w:val="nil"/>
              <w:left w:val="nil"/>
              <w:bottom w:val="single" w:sz="4" w:space="0" w:color="auto"/>
              <w:right w:val="single" w:sz="4" w:space="0" w:color="auto"/>
            </w:tcBorders>
            <w:shd w:val="clear" w:color="auto" w:fill="auto"/>
            <w:noWrap/>
            <w:vAlign w:val="center"/>
            <w:hideMark/>
          </w:tcPr>
          <w:p w14:paraId="1038E885"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1604</w:t>
            </w:r>
          </w:p>
        </w:tc>
        <w:tc>
          <w:tcPr>
            <w:tcW w:w="281" w:type="pct"/>
            <w:tcBorders>
              <w:top w:val="nil"/>
              <w:left w:val="nil"/>
              <w:bottom w:val="single" w:sz="4" w:space="0" w:color="auto"/>
              <w:right w:val="single" w:sz="4" w:space="0" w:color="auto"/>
            </w:tcBorders>
            <w:shd w:val="clear" w:color="auto" w:fill="auto"/>
            <w:noWrap/>
            <w:vAlign w:val="center"/>
            <w:hideMark/>
          </w:tcPr>
          <w:p w14:paraId="1038E886"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868/15</w:t>
            </w:r>
          </w:p>
        </w:tc>
        <w:tc>
          <w:tcPr>
            <w:tcW w:w="267" w:type="pct"/>
            <w:tcBorders>
              <w:top w:val="nil"/>
              <w:left w:val="nil"/>
              <w:bottom w:val="single" w:sz="4" w:space="0" w:color="auto"/>
              <w:right w:val="single" w:sz="4" w:space="0" w:color="auto"/>
            </w:tcBorders>
            <w:shd w:val="clear" w:color="auto" w:fill="auto"/>
            <w:noWrap/>
            <w:vAlign w:val="center"/>
            <w:hideMark/>
          </w:tcPr>
          <w:p w14:paraId="1038E887"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Arë</w:t>
            </w:r>
          </w:p>
        </w:tc>
        <w:tc>
          <w:tcPr>
            <w:tcW w:w="328" w:type="pct"/>
            <w:tcBorders>
              <w:top w:val="nil"/>
              <w:left w:val="nil"/>
              <w:bottom w:val="single" w:sz="4" w:space="0" w:color="auto"/>
              <w:right w:val="single" w:sz="4" w:space="0" w:color="auto"/>
            </w:tcBorders>
            <w:shd w:val="clear" w:color="auto" w:fill="auto"/>
            <w:noWrap/>
            <w:vAlign w:val="center"/>
            <w:hideMark/>
          </w:tcPr>
          <w:p w14:paraId="1038E888"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3,359.20 </w:t>
            </w:r>
          </w:p>
        </w:tc>
        <w:tc>
          <w:tcPr>
            <w:tcW w:w="324" w:type="pct"/>
            <w:tcBorders>
              <w:top w:val="nil"/>
              <w:left w:val="nil"/>
              <w:bottom w:val="single" w:sz="4" w:space="0" w:color="auto"/>
              <w:right w:val="single" w:sz="4" w:space="0" w:color="auto"/>
            </w:tcBorders>
            <w:shd w:val="clear" w:color="auto" w:fill="auto"/>
            <w:noWrap/>
            <w:vAlign w:val="center"/>
            <w:hideMark/>
          </w:tcPr>
          <w:p w14:paraId="1038E889"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1,315 </w:t>
            </w:r>
          </w:p>
        </w:tc>
        <w:tc>
          <w:tcPr>
            <w:tcW w:w="267" w:type="pct"/>
            <w:tcBorders>
              <w:top w:val="nil"/>
              <w:left w:val="nil"/>
              <w:bottom w:val="single" w:sz="4" w:space="0" w:color="auto"/>
              <w:right w:val="single" w:sz="4" w:space="0" w:color="auto"/>
            </w:tcBorders>
            <w:shd w:val="clear" w:color="auto" w:fill="auto"/>
            <w:noWrap/>
            <w:vAlign w:val="center"/>
            <w:hideMark/>
          </w:tcPr>
          <w:p w14:paraId="1038E88A"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448 </w:t>
            </w:r>
          </w:p>
        </w:tc>
        <w:tc>
          <w:tcPr>
            <w:tcW w:w="409" w:type="pct"/>
            <w:tcBorders>
              <w:top w:val="nil"/>
              <w:left w:val="nil"/>
              <w:bottom w:val="single" w:sz="4" w:space="0" w:color="auto"/>
              <w:right w:val="single" w:sz="4" w:space="0" w:color="auto"/>
            </w:tcBorders>
            <w:shd w:val="clear" w:color="auto" w:fill="auto"/>
            <w:noWrap/>
            <w:vAlign w:val="center"/>
            <w:hideMark/>
          </w:tcPr>
          <w:p w14:paraId="1038E88B"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589,120 </w:t>
            </w:r>
          </w:p>
        </w:tc>
        <w:tc>
          <w:tcPr>
            <w:tcW w:w="338" w:type="pct"/>
            <w:tcBorders>
              <w:top w:val="nil"/>
              <w:left w:val="nil"/>
              <w:bottom w:val="single" w:sz="4" w:space="0" w:color="auto"/>
              <w:right w:val="single" w:sz="4" w:space="0" w:color="auto"/>
            </w:tcBorders>
            <w:shd w:val="clear" w:color="auto" w:fill="auto"/>
            <w:noWrap/>
            <w:vAlign w:val="center"/>
            <w:hideMark/>
          </w:tcPr>
          <w:p w14:paraId="1038E88C"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376" w:type="pct"/>
            <w:tcBorders>
              <w:top w:val="nil"/>
              <w:left w:val="nil"/>
              <w:bottom w:val="single" w:sz="4" w:space="0" w:color="auto"/>
              <w:right w:val="single" w:sz="4" w:space="0" w:color="auto"/>
            </w:tcBorders>
            <w:shd w:val="clear" w:color="auto" w:fill="auto"/>
            <w:noWrap/>
            <w:vAlign w:val="center"/>
            <w:hideMark/>
          </w:tcPr>
          <w:p w14:paraId="1038E88D"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457" w:type="pct"/>
            <w:tcBorders>
              <w:top w:val="nil"/>
              <w:left w:val="nil"/>
              <w:bottom w:val="single" w:sz="4" w:space="0" w:color="auto"/>
              <w:right w:val="single" w:sz="4" w:space="0" w:color="auto"/>
            </w:tcBorders>
            <w:shd w:val="clear" w:color="auto" w:fill="auto"/>
            <w:noWrap/>
            <w:vAlign w:val="center"/>
            <w:hideMark/>
          </w:tcPr>
          <w:p w14:paraId="1038E88E"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589,120 </w:t>
            </w:r>
          </w:p>
        </w:tc>
        <w:tc>
          <w:tcPr>
            <w:tcW w:w="438" w:type="pct"/>
            <w:tcBorders>
              <w:top w:val="nil"/>
              <w:left w:val="nil"/>
              <w:bottom w:val="single" w:sz="4" w:space="0" w:color="auto"/>
              <w:right w:val="single" w:sz="4" w:space="0" w:color="auto"/>
            </w:tcBorders>
            <w:shd w:val="clear" w:color="auto" w:fill="auto"/>
            <w:vAlign w:val="center"/>
            <w:hideMark/>
          </w:tcPr>
          <w:p w14:paraId="1038E88F" w14:textId="11B2DBDA" w:rsidR="003711B1" w:rsidRPr="00AF32BD" w:rsidRDefault="003711B1" w:rsidP="008F32DE">
            <w:pPr>
              <w:rPr>
                <w:rFonts w:ascii="Garamond" w:hAnsi="Garamond" w:cs="Calibri"/>
                <w:color w:val="000000"/>
                <w:sz w:val="12"/>
                <w:szCs w:val="16"/>
                <w:lang w:val="sq-AL"/>
              </w:rPr>
            </w:pPr>
            <w:r w:rsidRPr="00AF32BD">
              <w:rPr>
                <w:rFonts w:ascii="Garamond" w:hAnsi="Garamond" w:cs="Calibri"/>
                <w:color w:val="000000"/>
                <w:sz w:val="12"/>
                <w:szCs w:val="16"/>
                <w:lang w:val="sq-AL"/>
              </w:rPr>
              <w:t>Nj.</w:t>
            </w:r>
            <w:r w:rsidR="00EE74E6">
              <w:rPr>
                <w:rFonts w:ascii="Garamond" w:hAnsi="Garamond" w:cs="Calibri"/>
                <w:color w:val="000000"/>
                <w:sz w:val="12"/>
                <w:szCs w:val="16"/>
                <w:lang w:val="sq-AL"/>
              </w:rPr>
              <w:t xml:space="preserve"> </w:t>
            </w:r>
            <w:r w:rsidRPr="00AF32BD">
              <w:rPr>
                <w:rFonts w:ascii="Garamond" w:hAnsi="Garamond" w:cs="Calibri"/>
                <w:color w:val="000000"/>
                <w:sz w:val="12"/>
                <w:szCs w:val="16"/>
                <w:lang w:val="sq-AL"/>
              </w:rPr>
              <w:t>Administrative Farkë</w:t>
            </w:r>
          </w:p>
        </w:tc>
        <w:tc>
          <w:tcPr>
            <w:tcW w:w="576" w:type="pct"/>
            <w:tcBorders>
              <w:top w:val="nil"/>
              <w:left w:val="nil"/>
              <w:bottom w:val="single" w:sz="4" w:space="0" w:color="auto"/>
              <w:right w:val="single" w:sz="8" w:space="0" w:color="auto"/>
            </w:tcBorders>
            <w:shd w:val="clear" w:color="auto" w:fill="auto"/>
            <w:vAlign w:val="center"/>
            <w:hideMark/>
          </w:tcPr>
          <w:p w14:paraId="1038E890"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Konfirmuar nga ASHK</w:t>
            </w:r>
          </w:p>
        </w:tc>
      </w:tr>
      <w:tr w:rsidR="003711B1" w:rsidRPr="00AF32BD" w14:paraId="1038E8A2" w14:textId="77777777" w:rsidTr="003711B1">
        <w:trPr>
          <w:trHeight w:val="315"/>
        </w:trPr>
        <w:tc>
          <w:tcPr>
            <w:tcW w:w="107" w:type="pct"/>
            <w:tcBorders>
              <w:top w:val="nil"/>
              <w:left w:val="single" w:sz="8" w:space="0" w:color="auto"/>
              <w:bottom w:val="single" w:sz="4" w:space="0" w:color="auto"/>
              <w:right w:val="single" w:sz="4" w:space="0" w:color="auto"/>
            </w:tcBorders>
            <w:shd w:val="clear" w:color="auto" w:fill="auto"/>
            <w:noWrap/>
            <w:vAlign w:val="center"/>
            <w:hideMark/>
          </w:tcPr>
          <w:p w14:paraId="1038E892"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2</w:t>
            </w:r>
          </w:p>
        </w:tc>
        <w:tc>
          <w:tcPr>
            <w:tcW w:w="209" w:type="pct"/>
            <w:tcBorders>
              <w:top w:val="nil"/>
              <w:left w:val="nil"/>
              <w:bottom w:val="single" w:sz="4" w:space="0" w:color="auto"/>
              <w:right w:val="single" w:sz="4" w:space="0" w:color="auto"/>
            </w:tcBorders>
            <w:shd w:val="clear" w:color="auto" w:fill="auto"/>
            <w:noWrap/>
            <w:vAlign w:val="center"/>
            <w:hideMark/>
          </w:tcPr>
          <w:p w14:paraId="1038E893"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Hasan  </w:t>
            </w:r>
          </w:p>
        </w:tc>
        <w:tc>
          <w:tcPr>
            <w:tcW w:w="209" w:type="pct"/>
            <w:tcBorders>
              <w:top w:val="nil"/>
              <w:left w:val="nil"/>
              <w:bottom w:val="single" w:sz="4" w:space="0" w:color="auto"/>
              <w:right w:val="single" w:sz="4" w:space="0" w:color="auto"/>
            </w:tcBorders>
            <w:shd w:val="clear" w:color="auto" w:fill="auto"/>
            <w:noWrap/>
            <w:vAlign w:val="center"/>
            <w:hideMark/>
          </w:tcPr>
          <w:p w14:paraId="1038E894"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Musa</w:t>
            </w:r>
          </w:p>
        </w:tc>
        <w:tc>
          <w:tcPr>
            <w:tcW w:w="238" w:type="pct"/>
            <w:tcBorders>
              <w:top w:val="nil"/>
              <w:left w:val="nil"/>
              <w:bottom w:val="single" w:sz="4" w:space="0" w:color="auto"/>
              <w:right w:val="single" w:sz="4" w:space="0" w:color="auto"/>
            </w:tcBorders>
            <w:shd w:val="clear" w:color="auto" w:fill="auto"/>
            <w:noWrap/>
            <w:vAlign w:val="center"/>
            <w:hideMark/>
          </w:tcPr>
          <w:p w14:paraId="1038E895"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Qordja</w:t>
            </w:r>
          </w:p>
        </w:tc>
        <w:tc>
          <w:tcPr>
            <w:tcW w:w="176" w:type="pct"/>
            <w:tcBorders>
              <w:top w:val="nil"/>
              <w:left w:val="nil"/>
              <w:bottom w:val="single" w:sz="4" w:space="0" w:color="auto"/>
              <w:right w:val="single" w:sz="4" w:space="0" w:color="auto"/>
            </w:tcBorders>
            <w:shd w:val="clear" w:color="auto" w:fill="auto"/>
            <w:noWrap/>
            <w:vAlign w:val="center"/>
            <w:hideMark/>
          </w:tcPr>
          <w:p w14:paraId="1038E896"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3550</w:t>
            </w:r>
          </w:p>
        </w:tc>
        <w:tc>
          <w:tcPr>
            <w:tcW w:w="281" w:type="pct"/>
            <w:tcBorders>
              <w:top w:val="nil"/>
              <w:left w:val="nil"/>
              <w:bottom w:val="single" w:sz="4" w:space="0" w:color="auto"/>
              <w:right w:val="single" w:sz="4" w:space="0" w:color="auto"/>
            </w:tcBorders>
            <w:shd w:val="clear" w:color="auto" w:fill="auto"/>
            <w:noWrap/>
            <w:vAlign w:val="center"/>
            <w:hideMark/>
          </w:tcPr>
          <w:p w14:paraId="1038E897"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170/3</w:t>
            </w:r>
          </w:p>
        </w:tc>
        <w:tc>
          <w:tcPr>
            <w:tcW w:w="267" w:type="pct"/>
            <w:tcBorders>
              <w:top w:val="nil"/>
              <w:left w:val="nil"/>
              <w:bottom w:val="single" w:sz="4" w:space="0" w:color="auto"/>
              <w:right w:val="single" w:sz="4" w:space="0" w:color="auto"/>
            </w:tcBorders>
            <w:shd w:val="clear" w:color="auto" w:fill="auto"/>
            <w:noWrap/>
            <w:vAlign w:val="center"/>
            <w:hideMark/>
          </w:tcPr>
          <w:p w14:paraId="1038E898"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Truall</w:t>
            </w:r>
          </w:p>
        </w:tc>
        <w:tc>
          <w:tcPr>
            <w:tcW w:w="328" w:type="pct"/>
            <w:tcBorders>
              <w:top w:val="nil"/>
              <w:left w:val="nil"/>
              <w:bottom w:val="single" w:sz="4" w:space="0" w:color="auto"/>
              <w:right w:val="single" w:sz="4" w:space="0" w:color="auto"/>
            </w:tcBorders>
            <w:shd w:val="clear" w:color="auto" w:fill="auto"/>
            <w:noWrap/>
            <w:vAlign w:val="center"/>
            <w:hideMark/>
          </w:tcPr>
          <w:p w14:paraId="1038E899"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470 </w:t>
            </w:r>
          </w:p>
        </w:tc>
        <w:tc>
          <w:tcPr>
            <w:tcW w:w="324" w:type="pct"/>
            <w:tcBorders>
              <w:top w:val="nil"/>
              <w:left w:val="nil"/>
              <w:bottom w:val="single" w:sz="4" w:space="0" w:color="auto"/>
              <w:right w:val="single" w:sz="4" w:space="0" w:color="auto"/>
            </w:tcBorders>
            <w:shd w:val="clear" w:color="auto" w:fill="auto"/>
            <w:noWrap/>
            <w:vAlign w:val="center"/>
            <w:hideMark/>
          </w:tcPr>
          <w:p w14:paraId="1038E89A"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53 </w:t>
            </w:r>
          </w:p>
        </w:tc>
        <w:tc>
          <w:tcPr>
            <w:tcW w:w="267" w:type="pct"/>
            <w:tcBorders>
              <w:top w:val="nil"/>
              <w:left w:val="nil"/>
              <w:bottom w:val="single" w:sz="4" w:space="0" w:color="auto"/>
              <w:right w:val="single" w:sz="4" w:space="0" w:color="auto"/>
            </w:tcBorders>
            <w:shd w:val="clear" w:color="auto" w:fill="auto"/>
            <w:noWrap/>
            <w:vAlign w:val="center"/>
            <w:hideMark/>
          </w:tcPr>
          <w:p w14:paraId="1038E89B"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457 </w:t>
            </w:r>
          </w:p>
        </w:tc>
        <w:tc>
          <w:tcPr>
            <w:tcW w:w="409" w:type="pct"/>
            <w:tcBorders>
              <w:top w:val="nil"/>
              <w:left w:val="nil"/>
              <w:bottom w:val="single" w:sz="4" w:space="0" w:color="auto"/>
              <w:right w:val="single" w:sz="4" w:space="0" w:color="auto"/>
            </w:tcBorders>
            <w:shd w:val="clear" w:color="auto" w:fill="auto"/>
            <w:noWrap/>
            <w:vAlign w:val="center"/>
            <w:hideMark/>
          </w:tcPr>
          <w:p w14:paraId="1038E89C"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24,221 </w:t>
            </w:r>
          </w:p>
        </w:tc>
        <w:tc>
          <w:tcPr>
            <w:tcW w:w="338" w:type="pct"/>
            <w:tcBorders>
              <w:top w:val="nil"/>
              <w:left w:val="nil"/>
              <w:bottom w:val="single" w:sz="4" w:space="0" w:color="auto"/>
              <w:right w:val="single" w:sz="4" w:space="0" w:color="auto"/>
            </w:tcBorders>
            <w:shd w:val="clear" w:color="auto" w:fill="auto"/>
            <w:noWrap/>
            <w:vAlign w:val="center"/>
            <w:hideMark/>
          </w:tcPr>
          <w:p w14:paraId="1038E89D"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376" w:type="pct"/>
            <w:tcBorders>
              <w:top w:val="nil"/>
              <w:left w:val="nil"/>
              <w:bottom w:val="single" w:sz="4" w:space="0" w:color="auto"/>
              <w:right w:val="single" w:sz="4" w:space="0" w:color="auto"/>
            </w:tcBorders>
            <w:shd w:val="clear" w:color="auto" w:fill="auto"/>
            <w:noWrap/>
            <w:vAlign w:val="center"/>
            <w:hideMark/>
          </w:tcPr>
          <w:p w14:paraId="1038E89E"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457" w:type="pct"/>
            <w:tcBorders>
              <w:top w:val="nil"/>
              <w:left w:val="nil"/>
              <w:bottom w:val="single" w:sz="4" w:space="0" w:color="auto"/>
              <w:right w:val="single" w:sz="4" w:space="0" w:color="auto"/>
            </w:tcBorders>
            <w:shd w:val="clear" w:color="auto" w:fill="auto"/>
            <w:noWrap/>
            <w:vAlign w:val="center"/>
            <w:hideMark/>
          </w:tcPr>
          <w:p w14:paraId="1038E89F"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24,221 </w:t>
            </w:r>
          </w:p>
        </w:tc>
        <w:tc>
          <w:tcPr>
            <w:tcW w:w="438" w:type="pct"/>
            <w:tcBorders>
              <w:top w:val="nil"/>
              <w:left w:val="nil"/>
              <w:bottom w:val="single" w:sz="4" w:space="0" w:color="auto"/>
              <w:right w:val="single" w:sz="4" w:space="0" w:color="auto"/>
            </w:tcBorders>
            <w:shd w:val="clear" w:color="auto" w:fill="auto"/>
            <w:vAlign w:val="center"/>
            <w:hideMark/>
          </w:tcPr>
          <w:p w14:paraId="1038E8A0" w14:textId="15A8FA69" w:rsidR="003711B1" w:rsidRPr="00AF32BD" w:rsidRDefault="003711B1" w:rsidP="008F32DE">
            <w:pPr>
              <w:rPr>
                <w:rFonts w:ascii="Garamond" w:hAnsi="Garamond" w:cs="Calibri"/>
                <w:color w:val="000000"/>
                <w:sz w:val="12"/>
                <w:szCs w:val="16"/>
                <w:lang w:val="sq-AL"/>
              </w:rPr>
            </w:pPr>
            <w:r w:rsidRPr="00AF32BD">
              <w:rPr>
                <w:rFonts w:ascii="Garamond" w:hAnsi="Garamond" w:cs="Calibri"/>
                <w:color w:val="000000"/>
                <w:sz w:val="12"/>
                <w:szCs w:val="16"/>
                <w:lang w:val="sq-AL"/>
              </w:rPr>
              <w:t>Nj.</w:t>
            </w:r>
            <w:r w:rsidR="00EE74E6">
              <w:rPr>
                <w:rFonts w:ascii="Garamond" w:hAnsi="Garamond" w:cs="Calibri"/>
                <w:color w:val="000000"/>
                <w:sz w:val="12"/>
                <w:szCs w:val="16"/>
                <w:lang w:val="sq-AL"/>
              </w:rPr>
              <w:t xml:space="preserve"> </w:t>
            </w:r>
            <w:r w:rsidRPr="00AF32BD">
              <w:rPr>
                <w:rFonts w:ascii="Garamond" w:hAnsi="Garamond" w:cs="Calibri"/>
                <w:color w:val="000000"/>
                <w:sz w:val="12"/>
                <w:szCs w:val="16"/>
                <w:lang w:val="sq-AL"/>
              </w:rPr>
              <w:t>Administrative Farkë</w:t>
            </w:r>
          </w:p>
        </w:tc>
        <w:tc>
          <w:tcPr>
            <w:tcW w:w="576" w:type="pct"/>
            <w:tcBorders>
              <w:top w:val="nil"/>
              <w:left w:val="nil"/>
              <w:bottom w:val="single" w:sz="4" w:space="0" w:color="auto"/>
              <w:right w:val="single" w:sz="8" w:space="0" w:color="auto"/>
            </w:tcBorders>
            <w:shd w:val="clear" w:color="auto" w:fill="auto"/>
            <w:vAlign w:val="center"/>
            <w:hideMark/>
          </w:tcPr>
          <w:p w14:paraId="1038E8A1"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Konfirmuar nga ASHK</w:t>
            </w:r>
          </w:p>
        </w:tc>
      </w:tr>
      <w:tr w:rsidR="003711B1" w:rsidRPr="00AF32BD" w14:paraId="1038E8B3" w14:textId="77777777" w:rsidTr="003711B1">
        <w:trPr>
          <w:trHeight w:val="315"/>
        </w:trPr>
        <w:tc>
          <w:tcPr>
            <w:tcW w:w="107" w:type="pct"/>
            <w:tcBorders>
              <w:top w:val="nil"/>
              <w:left w:val="single" w:sz="8" w:space="0" w:color="auto"/>
              <w:bottom w:val="single" w:sz="4" w:space="0" w:color="auto"/>
              <w:right w:val="single" w:sz="4" w:space="0" w:color="auto"/>
            </w:tcBorders>
            <w:shd w:val="clear" w:color="auto" w:fill="auto"/>
            <w:noWrap/>
            <w:vAlign w:val="center"/>
            <w:hideMark/>
          </w:tcPr>
          <w:p w14:paraId="1038E8A3"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3</w:t>
            </w:r>
          </w:p>
        </w:tc>
        <w:tc>
          <w:tcPr>
            <w:tcW w:w="209" w:type="pct"/>
            <w:tcBorders>
              <w:top w:val="nil"/>
              <w:left w:val="nil"/>
              <w:bottom w:val="single" w:sz="4" w:space="0" w:color="auto"/>
              <w:right w:val="single" w:sz="4" w:space="0" w:color="auto"/>
            </w:tcBorders>
            <w:shd w:val="clear" w:color="auto" w:fill="auto"/>
            <w:noWrap/>
            <w:vAlign w:val="center"/>
            <w:hideMark/>
          </w:tcPr>
          <w:p w14:paraId="1038E8A4"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Hasan  </w:t>
            </w:r>
          </w:p>
        </w:tc>
        <w:tc>
          <w:tcPr>
            <w:tcW w:w="209" w:type="pct"/>
            <w:tcBorders>
              <w:top w:val="nil"/>
              <w:left w:val="nil"/>
              <w:bottom w:val="single" w:sz="4" w:space="0" w:color="auto"/>
              <w:right w:val="single" w:sz="4" w:space="0" w:color="auto"/>
            </w:tcBorders>
            <w:shd w:val="clear" w:color="auto" w:fill="auto"/>
            <w:noWrap/>
            <w:vAlign w:val="center"/>
            <w:hideMark/>
          </w:tcPr>
          <w:p w14:paraId="1038E8A5"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Musa</w:t>
            </w:r>
          </w:p>
        </w:tc>
        <w:tc>
          <w:tcPr>
            <w:tcW w:w="238" w:type="pct"/>
            <w:tcBorders>
              <w:top w:val="nil"/>
              <w:left w:val="nil"/>
              <w:bottom w:val="single" w:sz="4" w:space="0" w:color="auto"/>
              <w:right w:val="single" w:sz="4" w:space="0" w:color="auto"/>
            </w:tcBorders>
            <w:shd w:val="clear" w:color="auto" w:fill="auto"/>
            <w:noWrap/>
            <w:vAlign w:val="center"/>
            <w:hideMark/>
          </w:tcPr>
          <w:p w14:paraId="1038E8A6"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Qordja</w:t>
            </w:r>
          </w:p>
        </w:tc>
        <w:tc>
          <w:tcPr>
            <w:tcW w:w="176" w:type="pct"/>
            <w:tcBorders>
              <w:top w:val="nil"/>
              <w:left w:val="nil"/>
              <w:bottom w:val="single" w:sz="4" w:space="0" w:color="auto"/>
              <w:right w:val="single" w:sz="4" w:space="0" w:color="auto"/>
            </w:tcBorders>
            <w:shd w:val="clear" w:color="auto" w:fill="auto"/>
            <w:noWrap/>
            <w:vAlign w:val="center"/>
            <w:hideMark/>
          </w:tcPr>
          <w:p w14:paraId="1038E8A7"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3550</w:t>
            </w:r>
          </w:p>
        </w:tc>
        <w:tc>
          <w:tcPr>
            <w:tcW w:w="281" w:type="pct"/>
            <w:tcBorders>
              <w:top w:val="nil"/>
              <w:left w:val="nil"/>
              <w:bottom w:val="single" w:sz="4" w:space="0" w:color="auto"/>
              <w:right w:val="single" w:sz="4" w:space="0" w:color="auto"/>
            </w:tcBorders>
            <w:shd w:val="clear" w:color="auto" w:fill="auto"/>
            <w:noWrap/>
            <w:vAlign w:val="center"/>
            <w:hideMark/>
          </w:tcPr>
          <w:p w14:paraId="1038E8A8"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170/2</w:t>
            </w:r>
          </w:p>
        </w:tc>
        <w:tc>
          <w:tcPr>
            <w:tcW w:w="267" w:type="pct"/>
            <w:tcBorders>
              <w:top w:val="nil"/>
              <w:left w:val="nil"/>
              <w:bottom w:val="single" w:sz="4" w:space="0" w:color="auto"/>
              <w:right w:val="single" w:sz="4" w:space="0" w:color="auto"/>
            </w:tcBorders>
            <w:shd w:val="clear" w:color="auto" w:fill="auto"/>
            <w:noWrap/>
            <w:vAlign w:val="center"/>
            <w:hideMark/>
          </w:tcPr>
          <w:p w14:paraId="1038E8A9"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Arë</w:t>
            </w:r>
          </w:p>
        </w:tc>
        <w:tc>
          <w:tcPr>
            <w:tcW w:w="328" w:type="pct"/>
            <w:tcBorders>
              <w:top w:val="nil"/>
              <w:left w:val="nil"/>
              <w:bottom w:val="single" w:sz="4" w:space="0" w:color="auto"/>
              <w:right w:val="single" w:sz="4" w:space="0" w:color="auto"/>
            </w:tcBorders>
            <w:shd w:val="clear" w:color="auto" w:fill="auto"/>
            <w:noWrap/>
            <w:vAlign w:val="center"/>
            <w:hideMark/>
          </w:tcPr>
          <w:p w14:paraId="1038E8AA"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10,060 </w:t>
            </w:r>
          </w:p>
        </w:tc>
        <w:tc>
          <w:tcPr>
            <w:tcW w:w="324" w:type="pct"/>
            <w:tcBorders>
              <w:top w:val="nil"/>
              <w:left w:val="nil"/>
              <w:bottom w:val="single" w:sz="4" w:space="0" w:color="auto"/>
              <w:right w:val="single" w:sz="4" w:space="0" w:color="auto"/>
            </w:tcBorders>
            <w:shd w:val="clear" w:color="auto" w:fill="auto"/>
            <w:noWrap/>
            <w:vAlign w:val="center"/>
            <w:hideMark/>
          </w:tcPr>
          <w:p w14:paraId="1038E8AB"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642 </w:t>
            </w:r>
          </w:p>
        </w:tc>
        <w:tc>
          <w:tcPr>
            <w:tcW w:w="267" w:type="pct"/>
            <w:tcBorders>
              <w:top w:val="nil"/>
              <w:left w:val="nil"/>
              <w:bottom w:val="single" w:sz="4" w:space="0" w:color="auto"/>
              <w:right w:val="single" w:sz="4" w:space="0" w:color="auto"/>
            </w:tcBorders>
            <w:shd w:val="clear" w:color="auto" w:fill="auto"/>
            <w:noWrap/>
            <w:vAlign w:val="center"/>
            <w:hideMark/>
          </w:tcPr>
          <w:p w14:paraId="1038E8AC"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448 </w:t>
            </w:r>
          </w:p>
        </w:tc>
        <w:tc>
          <w:tcPr>
            <w:tcW w:w="409" w:type="pct"/>
            <w:tcBorders>
              <w:top w:val="nil"/>
              <w:left w:val="nil"/>
              <w:bottom w:val="single" w:sz="4" w:space="0" w:color="auto"/>
              <w:right w:val="single" w:sz="4" w:space="0" w:color="auto"/>
            </w:tcBorders>
            <w:shd w:val="clear" w:color="auto" w:fill="auto"/>
            <w:noWrap/>
            <w:vAlign w:val="center"/>
            <w:hideMark/>
          </w:tcPr>
          <w:p w14:paraId="1038E8AD"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287,616 </w:t>
            </w:r>
          </w:p>
        </w:tc>
        <w:tc>
          <w:tcPr>
            <w:tcW w:w="338" w:type="pct"/>
            <w:tcBorders>
              <w:top w:val="nil"/>
              <w:left w:val="nil"/>
              <w:bottom w:val="single" w:sz="4" w:space="0" w:color="auto"/>
              <w:right w:val="single" w:sz="4" w:space="0" w:color="auto"/>
            </w:tcBorders>
            <w:shd w:val="clear" w:color="auto" w:fill="auto"/>
            <w:noWrap/>
            <w:vAlign w:val="center"/>
            <w:hideMark/>
          </w:tcPr>
          <w:p w14:paraId="1038E8AE"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376" w:type="pct"/>
            <w:tcBorders>
              <w:top w:val="nil"/>
              <w:left w:val="nil"/>
              <w:bottom w:val="single" w:sz="4" w:space="0" w:color="auto"/>
              <w:right w:val="single" w:sz="4" w:space="0" w:color="auto"/>
            </w:tcBorders>
            <w:shd w:val="clear" w:color="auto" w:fill="auto"/>
            <w:noWrap/>
            <w:vAlign w:val="center"/>
            <w:hideMark/>
          </w:tcPr>
          <w:p w14:paraId="1038E8AF"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457" w:type="pct"/>
            <w:tcBorders>
              <w:top w:val="nil"/>
              <w:left w:val="nil"/>
              <w:bottom w:val="single" w:sz="4" w:space="0" w:color="auto"/>
              <w:right w:val="single" w:sz="4" w:space="0" w:color="auto"/>
            </w:tcBorders>
            <w:shd w:val="clear" w:color="auto" w:fill="auto"/>
            <w:noWrap/>
            <w:vAlign w:val="center"/>
            <w:hideMark/>
          </w:tcPr>
          <w:p w14:paraId="1038E8B0"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287,616 </w:t>
            </w:r>
          </w:p>
        </w:tc>
        <w:tc>
          <w:tcPr>
            <w:tcW w:w="438" w:type="pct"/>
            <w:tcBorders>
              <w:top w:val="nil"/>
              <w:left w:val="nil"/>
              <w:bottom w:val="single" w:sz="4" w:space="0" w:color="auto"/>
              <w:right w:val="single" w:sz="4" w:space="0" w:color="auto"/>
            </w:tcBorders>
            <w:shd w:val="clear" w:color="auto" w:fill="auto"/>
            <w:vAlign w:val="center"/>
            <w:hideMark/>
          </w:tcPr>
          <w:p w14:paraId="1038E8B1" w14:textId="0E9B5B2D" w:rsidR="003711B1" w:rsidRPr="00AF32BD" w:rsidRDefault="003711B1" w:rsidP="008F32DE">
            <w:pPr>
              <w:rPr>
                <w:rFonts w:ascii="Garamond" w:hAnsi="Garamond" w:cs="Calibri"/>
                <w:color w:val="000000"/>
                <w:sz w:val="12"/>
                <w:szCs w:val="16"/>
                <w:lang w:val="sq-AL"/>
              </w:rPr>
            </w:pPr>
            <w:r w:rsidRPr="00AF32BD">
              <w:rPr>
                <w:rFonts w:ascii="Garamond" w:hAnsi="Garamond" w:cs="Calibri"/>
                <w:color w:val="000000"/>
                <w:sz w:val="12"/>
                <w:szCs w:val="16"/>
                <w:lang w:val="sq-AL"/>
              </w:rPr>
              <w:t>Nj.</w:t>
            </w:r>
            <w:r w:rsidR="00EE74E6">
              <w:rPr>
                <w:rFonts w:ascii="Garamond" w:hAnsi="Garamond" w:cs="Calibri"/>
                <w:color w:val="000000"/>
                <w:sz w:val="12"/>
                <w:szCs w:val="16"/>
                <w:lang w:val="sq-AL"/>
              </w:rPr>
              <w:t xml:space="preserve"> </w:t>
            </w:r>
            <w:r w:rsidRPr="00AF32BD">
              <w:rPr>
                <w:rFonts w:ascii="Garamond" w:hAnsi="Garamond" w:cs="Calibri"/>
                <w:color w:val="000000"/>
                <w:sz w:val="12"/>
                <w:szCs w:val="16"/>
                <w:lang w:val="sq-AL"/>
              </w:rPr>
              <w:t>Administrative Farkë</w:t>
            </w:r>
          </w:p>
        </w:tc>
        <w:tc>
          <w:tcPr>
            <w:tcW w:w="576" w:type="pct"/>
            <w:tcBorders>
              <w:top w:val="nil"/>
              <w:left w:val="nil"/>
              <w:bottom w:val="single" w:sz="4" w:space="0" w:color="auto"/>
              <w:right w:val="single" w:sz="8" w:space="0" w:color="auto"/>
            </w:tcBorders>
            <w:shd w:val="clear" w:color="auto" w:fill="auto"/>
            <w:vAlign w:val="center"/>
            <w:hideMark/>
          </w:tcPr>
          <w:p w14:paraId="1038E8B2"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Konfirmuar nga ASHK</w:t>
            </w:r>
          </w:p>
        </w:tc>
      </w:tr>
      <w:tr w:rsidR="003711B1" w:rsidRPr="00AF32BD" w14:paraId="1038E8C4" w14:textId="77777777" w:rsidTr="003711B1">
        <w:trPr>
          <w:trHeight w:val="900"/>
        </w:trPr>
        <w:tc>
          <w:tcPr>
            <w:tcW w:w="107" w:type="pct"/>
            <w:tcBorders>
              <w:top w:val="nil"/>
              <w:left w:val="single" w:sz="8" w:space="0" w:color="auto"/>
              <w:bottom w:val="single" w:sz="4" w:space="0" w:color="auto"/>
              <w:right w:val="single" w:sz="4" w:space="0" w:color="auto"/>
            </w:tcBorders>
            <w:shd w:val="clear" w:color="auto" w:fill="auto"/>
            <w:noWrap/>
            <w:vAlign w:val="center"/>
            <w:hideMark/>
          </w:tcPr>
          <w:p w14:paraId="1038E8B4"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4</w:t>
            </w:r>
          </w:p>
        </w:tc>
        <w:tc>
          <w:tcPr>
            <w:tcW w:w="209" w:type="pct"/>
            <w:tcBorders>
              <w:top w:val="nil"/>
              <w:left w:val="nil"/>
              <w:bottom w:val="single" w:sz="4" w:space="0" w:color="auto"/>
              <w:right w:val="single" w:sz="4" w:space="0" w:color="auto"/>
            </w:tcBorders>
            <w:shd w:val="clear" w:color="auto" w:fill="auto"/>
            <w:noWrap/>
            <w:vAlign w:val="center"/>
            <w:hideMark/>
          </w:tcPr>
          <w:p w14:paraId="1038E8B5"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Zenel  </w:t>
            </w:r>
          </w:p>
        </w:tc>
        <w:tc>
          <w:tcPr>
            <w:tcW w:w="209" w:type="pct"/>
            <w:tcBorders>
              <w:top w:val="nil"/>
              <w:left w:val="nil"/>
              <w:bottom w:val="single" w:sz="4" w:space="0" w:color="auto"/>
              <w:right w:val="single" w:sz="4" w:space="0" w:color="auto"/>
            </w:tcBorders>
            <w:shd w:val="clear" w:color="auto" w:fill="auto"/>
            <w:noWrap/>
            <w:vAlign w:val="center"/>
            <w:hideMark/>
          </w:tcPr>
          <w:p w14:paraId="1038E8B6"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Hajdar</w:t>
            </w:r>
          </w:p>
        </w:tc>
        <w:tc>
          <w:tcPr>
            <w:tcW w:w="238" w:type="pct"/>
            <w:tcBorders>
              <w:top w:val="nil"/>
              <w:left w:val="nil"/>
              <w:bottom w:val="single" w:sz="4" w:space="0" w:color="auto"/>
              <w:right w:val="single" w:sz="4" w:space="0" w:color="auto"/>
            </w:tcBorders>
            <w:shd w:val="clear" w:color="auto" w:fill="auto"/>
            <w:noWrap/>
            <w:vAlign w:val="center"/>
            <w:hideMark/>
          </w:tcPr>
          <w:p w14:paraId="1038E8B7"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Balla</w:t>
            </w:r>
          </w:p>
        </w:tc>
        <w:tc>
          <w:tcPr>
            <w:tcW w:w="176" w:type="pct"/>
            <w:tcBorders>
              <w:top w:val="nil"/>
              <w:left w:val="nil"/>
              <w:bottom w:val="single" w:sz="4" w:space="0" w:color="auto"/>
              <w:right w:val="single" w:sz="4" w:space="0" w:color="auto"/>
            </w:tcBorders>
            <w:shd w:val="clear" w:color="auto" w:fill="auto"/>
            <w:noWrap/>
            <w:vAlign w:val="center"/>
            <w:hideMark/>
          </w:tcPr>
          <w:p w14:paraId="1038E8B8"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3550</w:t>
            </w:r>
          </w:p>
        </w:tc>
        <w:tc>
          <w:tcPr>
            <w:tcW w:w="281" w:type="pct"/>
            <w:tcBorders>
              <w:top w:val="nil"/>
              <w:left w:val="nil"/>
              <w:bottom w:val="single" w:sz="4" w:space="0" w:color="auto"/>
              <w:right w:val="single" w:sz="4" w:space="0" w:color="auto"/>
            </w:tcBorders>
            <w:shd w:val="clear" w:color="auto" w:fill="auto"/>
            <w:noWrap/>
            <w:vAlign w:val="center"/>
            <w:hideMark/>
          </w:tcPr>
          <w:p w14:paraId="1038E8B9"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165/9</w:t>
            </w:r>
          </w:p>
        </w:tc>
        <w:tc>
          <w:tcPr>
            <w:tcW w:w="267" w:type="pct"/>
            <w:tcBorders>
              <w:top w:val="nil"/>
              <w:left w:val="nil"/>
              <w:bottom w:val="single" w:sz="4" w:space="0" w:color="auto"/>
              <w:right w:val="single" w:sz="4" w:space="0" w:color="auto"/>
            </w:tcBorders>
            <w:shd w:val="clear" w:color="auto" w:fill="auto"/>
            <w:noWrap/>
            <w:vAlign w:val="center"/>
            <w:hideMark/>
          </w:tcPr>
          <w:p w14:paraId="1038E8BA"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Arë</w:t>
            </w:r>
          </w:p>
        </w:tc>
        <w:tc>
          <w:tcPr>
            <w:tcW w:w="328" w:type="pct"/>
            <w:tcBorders>
              <w:top w:val="nil"/>
              <w:left w:val="nil"/>
              <w:bottom w:val="single" w:sz="4" w:space="0" w:color="auto"/>
              <w:right w:val="single" w:sz="4" w:space="0" w:color="auto"/>
            </w:tcBorders>
            <w:shd w:val="clear" w:color="auto" w:fill="auto"/>
            <w:noWrap/>
            <w:vAlign w:val="center"/>
            <w:hideMark/>
          </w:tcPr>
          <w:p w14:paraId="1038E8BB"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3,400 </w:t>
            </w:r>
          </w:p>
        </w:tc>
        <w:tc>
          <w:tcPr>
            <w:tcW w:w="324" w:type="pct"/>
            <w:tcBorders>
              <w:top w:val="nil"/>
              <w:left w:val="nil"/>
              <w:bottom w:val="single" w:sz="4" w:space="0" w:color="auto"/>
              <w:right w:val="single" w:sz="4" w:space="0" w:color="auto"/>
            </w:tcBorders>
            <w:shd w:val="clear" w:color="auto" w:fill="auto"/>
            <w:noWrap/>
            <w:vAlign w:val="center"/>
            <w:hideMark/>
          </w:tcPr>
          <w:p w14:paraId="1038E8BC"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1,225 </w:t>
            </w:r>
          </w:p>
        </w:tc>
        <w:tc>
          <w:tcPr>
            <w:tcW w:w="267" w:type="pct"/>
            <w:tcBorders>
              <w:top w:val="nil"/>
              <w:left w:val="nil"/>
              <w:bottom w:val="single" w:sz="4" w:space="0" w:color="auto"/>
              <w:right w:val="single" w:sz="4" w:space="0" w:color="auto"/>
            </w:tcBorders>
            <w:shd w:val="clear" w:color="auto" w:fill="auto"/>
            <w:noWrap/>
            <w:vAlign w:val="center"/>
            <w:hideMark/>
          </w:tcPr>
          <w:p w14:paraId="1038E8BD"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230 </w:t>
            </w:r>
          </w:p>
        </w:tc>
        <w:tc>
          <w:tcPr>
            <w:tcW w:w="409" w:type="pct"/>
            <w:tcBorders>
              <w:top w:val="nil"/>
              <w:left w:val="nil"/>
              <w:bottom w:val="single" w:sz="4" w:space="0" w:color="auto"/>
              <w:right w:val="single" w:sz="4" w:space="0" w:color="auto"/>
            </w:tcBorders>
            <w:shd w:val="clear" w:color="auto" w:fill="auto"/>
            <w:noWrap/>
            <w:vAlign w:val="center"/>
            <w:hideMark/>
          </w:tcPr>
          <w:p w14:paraId="1038E8BE"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28,175 </w:t>
            </w:r>
          </w:p>
        </w:tc>
        <w:tc>
          <w:tcPr>
            <w:tcW w:w="338" w:type="pct"/>
            <w:tcBorders>
              <w:top w:val="nil"/>
              <w:left w:val="nil"/>
              <w:bottom w:val="single" w:sz="4" w:space="0" w:color="auto"/>
              <w:right w:val="single" w:sz="4" w:space="0" w:color="auto"/>
            </w:tcBorders>
            <w:shd w:val="clear" w:color="auto" w:fill="auto"/>
            <w:noWrap/>
            <w:vAlign w:val="center"/>
            <w:hideMark/>
          </w:tcPr>
          <w:p w14:paraId="1038E8BF"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376" w:type="pct"/>
            <w:tcBorders>
              <w:top w:val="nil"/>
              <w:left w:val="nil"/>
              <w:bottom w:val="single" w:sz="4" w:space="0" w:color="auto"/>
              <w:right w:val="single" w:sz="4" w:space="0" w:color="auto"/>
            </w:tcBorders>
            <w:shd w:val="clear" w:color="auto" w:fill="auto"/>
            <w:noWrap/>
            <w:vAlign w:val="center"/>
            <w:hideMark/>
          </w:tcPr>
          <w:p w14:paraId="1038E8C0"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457" w:type="pct"/>
            <w:tcBorders>
              <w:top w:val="nil"/>
              <w:left w:val="nil"/>
              <w:bottom w:val="single" w:sz="4" w:space="0" w:color="auto"/>
              <w:right w:val="single" w:sz="4" w:space="0" w:color="auto"/>
            </w:tcBorders>
            <w:shd w:val="clear" w:color="auto" w:fill="auto"/>
            <w:noWrap/>
            <w:vAlign w:val="center"/>
            <w:hideMark/>
          </w:tcPr>
          <w:p w14:paraId="1038E8C1"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281,750 </w:t>
            </w:r>
          </w:p>
        </w:tc>
        <w:tc>
          <w:tcPr>
            <w:tcW w:w="438" w:type="pct"/>
            <w:tcBorders>
              <w:top w:val="nil"/>
              <w:left w:val="nil"/>
              <w:bottom w:val="single" w:sz="4" w:space="0" w:color="auto"/>
              <w:right w:val="single" w:sz="4" w:space="0" w:color="auto"/>
            </w:tcBorders>
            <w:shd w:val="clear" w:color="auto" w:fill="auto"/>
            <w:vAlign w:val="center"/>
            <w:hideMark/>
          </w:tcPr>
          <w:p w14:paraId="1038E8C2" w14:textId="79057655" w:rsidR="003711B1" w:rsidRPr="00AF32BD" w:rsidRDefault="003711B1" w:rsidP="008F32DE">
            <w:pPr>
              <w:rPr>
                <w:rFonts w:ascii="Garamond" w:hAnsi="Garamond" w:cs="Calibri"/>
                <w:color w:val="000000"/>
                <w:sz w:val="12"/>
                <w:szCs w:val="16"/>
                <w:lang w:val="sq-AL"/>
              </w:rPr>
            </w:pPr>
            <w:r w:rsidRPr="00AF32BD">
              <w:rPr>
                <w:rFonts w:ascii="Garamond" w:hAnsi="Garamond" w:cs="Calibri"/>
                <w:color w:val="000000"/>
                <w:sz w:val="12"/>
                <w:szCs w:val="16"/>
                <w:lang w:val="sq-AL"/>
              </w:rPr>
              <w:t>Nj.</w:t>
            </w:r>
            <w:r w:rsidR="00EE74E6">
              <w:rPr>
                <w:rFonts w:ascii="Garamond" w:hAnsi="Garamond" w:cs="Calibri"/>
                <w:color w:val="000000"/>
                <w:sz w:val="12"/>
                <w:szCs w:val="16"/>
                <w:lang w:val="sq-AL"/>
              </w:rPr>
              <w:t xml:space="preserve"> </w:t>
            </w:r>
            <w:r w:rsidRPr="00AF32BD">
              <w:rPr>
                <w:rFonts w:ascii="Garamond" w:hAnsi="Garamond" w:cs="Calibri"/>
                <w:color w:val="000000"/>
                <w:sz w:val="12"/>
                <w:szCs w:val="16"/>
                <w:lang w:val="sq-AL"/>
              </w:rPr>
              <w:t>Administrative Farkë</w:t>
            </w:r>
          </w:p>
        </w:tc>
        <w:tc>
          <w:tcPr>
            <w:tcW w:w="576" w:type="pct"/>
            <w:tcBorders>
              <w:top w:val="nil"/>
              <w:left w:val="nil"/>
              <w:bottom w:val="single" w:sz="4" w:space="0" w:color="auto"/>
              <w:right w:val="single" w:sz="8" w:space="0" w:color="auto"/>
            </w:tcBorders>
            <w:shd w:val="clear" w:color="auto" w:fill="auto"/>
            <w:vAlign w:val="center"/>
            <w:hideMark/>
          </w:tcPr>
          <w:p w14:paraId="1038E8C3" w14:textId="44207B13"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Konfirmuar nga ASHK </w:t>
            </w:r>
            <w:r w:rsidRPr="00AF32BD">
              <w:rPr>
                <w:rFonts w:ascii="Garamond" w:hAnsi="Garamond" w:cs="Calibri"/>
                <w:color w:val="000000"/>
                <w:sz w:val="12"/>
                <w:szCs w:val="16"/>
                <w:lang w:val="sq-AL"/>
              </w:rPr>
              <w:t>(</w:t>
            </w:r>
            <w:r w:rsidR="00EE74E6" w:rsidRPr="00AF32BD">
              <w:rPr>
                <w:rFonts w:ascii="Garamond" w:hAnsi="Garamond" w:cs="Calibri"/>
                <w:color w:val="000000"/>
                <w:sz w:val="12"/>
                <w:szCs w:val="16"/>
                <w:lang w:val="sq-AL"/>
              </w:rPr>
              <w:t>Miratuar</w:t>
            </w:r>
            <w:r w:rsidRPr="00AF32BD">
              <w:rPr>
                <w:rFonts w:ascii="Garamond" w:hAnsi="Garamond" w:cs="Calibri"/>
                <w:color w:val="000000"/>
                <w:sz w:val="12"/>
                <w:szCs w:val="16"/>
                <w:lang w:val="sq-AL"/>
              </w:rPr>
              <w:t xml:space="preserve"> me VKM nr. 795, datë 22.09.2015 me nr. Pasurie 165/9 për Arë 2175 m²)</w:t>
            </w:r>
          </w:p>
        </w:tc>
      </w:tr>
      <w:tr w:rsidR="003711B1" w:rsidRPr="00AF32BD" w14:paraId="1038E8D5" w14:textId="77777777" w:rsidTr="003711B1">
        <w:trPr>
          <w:trHeight w:val="315"/>
        </w:trPr>
        <w:tc>
          <w:tcPr>
            <w:tcW w:w="107" w:type="pct"/>
            <w:tcBorders>
              <w:top w:val="nil"/>
              <w:left w:val="single" w:sz="8" w:space="0" w:color="auto"/>
              <w:bottom w:val="single" w:sz="4" w:space="0" w:color="auto"/>
              <w:right w:val="single" w:sz="4" w:space="0" w:color="auto"/>
            </w:tcBorders>
            <w:shd w:val="clear" w:color="auto" w:fill="auto"/>
            <w:noWrap/>
            <w:vAlign w:val="center"/>
            <w:hideMark/>
          </w:tcPr>
          <w:p w14:paraId="1038E8C5"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5</w:t>
            </w:r>
          </w:p>
        </w:tc>
        <w:tc>
          <w:tcPr>
            <w:tcW w:w="209" w:type="pct"/>
            <w:tcBorders>
              <w:top w:val="nil"/>
              <w:left w:val="nil"/>
              <w:bottom w:val="single" w:sz="4" w:space="0" w:color="auto"/>
              <w:right w:val="single" w:sz="4" w:space="0" w:color="auto"/>
            </w:tcBorders>
            <w:shd w:val="clear" w:color="auto" w:fill="auto"/>
            <w:noWrap/>
            <w:vAlign w:val="center"/>
            <w:hideMark/>
          </w:tcPr>
          <w:p w14:paraId="1038E8C6"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Ejup  </w:t>
            </w:r>
          </w:p>
        </w:tc>
        <w:tc>
          <w:tcPr>
            <w:tcW w:w="209" w:type="pct"/>
            <w:tcBorders>
              <w:top w:val="nil"/>
              <w:left w:val="nil"/>
              <w:bottom w:val="single" w:sz="4" w:space="0" w:color="auto"/>
              <w:right w:val="single" w:sz="4" w:space="0" w:color="auto"/>
            </w:tcBorders>
            <w:shd w:val="clear" w:color="auto" w:fill="auto"/>
            <w:noWrap/>
            <w:vAlign w:val="center"/>
            <w:hideMark/>
          </w:tcPr>
          <w:p w14:paraId="1038E8C7"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Rexhep</w:t>
            </w:r>
          </w:p>
        </w:tc>
        <w:tc>
          <w:tcPr>
            <w:tcW w:w="238" w:type="pct"/>
            <w:tcBorders>
              <w:top w:val="nil"/>
              <w:left w:val="nil"/>
              <w:bottom w:val="single" w:sz="4" w:space="0" w:color="auto"/>
              <w:right w:val="single" w:sz="4" w:space="0" w:color="auto"/>
            </w:tcBorders>
            <w:shd w:val="clear" w:color="auto" w:fill="auto"/>
            <w:noWrap/>
            <w:vAlign w:val="center"/>
            <w:hideMark/>
          </w:tcPr>
          <w:p w14:paraId="1038E8C8"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Iskurti</w:t>
            </w:r>
          </w:p>
        </w:tc>
        <w:tc>
          <w:tcPr>
            <w:tcW w:w="176" w:type="pct"/>
            <w:tcBorders>
              <w:top w:val="nil"/>
              <w:left w:val="nil"/>
              <w:bottom w:val="single" w:sz="4" w:space="0" w:color="auto"/>
              <w:right w:val="single" w:sz="4" w:space="0" w:color="auto"/>
            </w:tcBorders>
            <w:shd w:val="clear" w:color="auto" w:fill="auto"/>
            <w:noWrap/>
            <w:vAlign w:val="center"/>
            <w:hideMark/>
          </w:tcPr>
          <w:p w14:paraId="1038E8C9"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3976</w:t>
            </w:r>
          </w:p>
        </w:tc>
        <w:tc>
          <w:tcPr>
            <w:tcW w:w="281" w:type="pct"/>
            <w:tcBorders>
              <w:top w:val="nil"/>
              <w:left w:val="nil"/>
              <w:bottom w:val="single" w:sz="4" w:space="0" w:color="auto"/>
              <w:right w:val="single" w:sz="4" w:space="0" w:color="auto"/>
            </w:tcBorders>
            <w:shd w:val="clear" w:color="auto" w:fill="auto"/>
            <w:noWrap/>
            <w:vAlign w:val="center"/>
            <w:hideMark/>
          </w:tcPr>
          <w:p w14:paraId="1038E8CA"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170/16-ND</w:t>
            </w:r>
          </w:p>
        </w:tc>
        <w:tc>
          <w:tcPr>
            <w:tcW w:w="267" w:type="pct"/>
            <w:tcBorders>
              <w:top w:val="nil"/>
              <w:left w:val="nil"/>
              <w:bottom w:val="single" w:sz="4" w:space="0" w:color="auto"/>
              <w:right w:val="single" w:sz="4" w:space="0" w:color="auto"/>
            </w:tcBorders>
            <w:shd w:val="clear" w:color="auto" w:fill="auto"/>
            <w:noWrap/>
            <w:vAlign w:val="center"/>
            <w:hideMark/>
          </w:tcPr>
          <w:p w14:paraId="1038E8CB"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Ndërtesë</w:t>
            </w:r>
          </w:p>
        </w:tc>
        <w:tc>
          <w:tcPr>
            <w:tcW w:w="328" w:type="pct"/>
            <w:tcBorders>
              <w:top w:val="nil"/>
              <w:left w:val="nil"/>
              <w:bottom w:val="single" w:sz="4" w:space="0" w:color="auto"/>
              <w:right w:val="single" w:sz="4" w:space="0" w:color="auto"/>
            </w:tcBorders>
            <w:shd w:val="clear" w:color="auto" w:fill="auto"/>
            <w:noWrap/>
            <w:vAlign w:val="center"/>
            <w:hideMark/>
          </w:tcPr>
          <w:p w14:paraId="1038E8CC"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106 </w:t>
            </w:r>
          </w:p>
        </w:tc>
        <w:tc>
          <w:tcPr>
            <w:tcW w:w="324" w:type="pct"/>
            <w:tcBorders>
              <w:top w:val="nil"/>
              <w:left w:val="nil"/>
              <w:bottom w:val="single" w:sz="4" w:space="0" w:color="auto"/>
              <w:right w:val="single" w:sz="4" w:space="0" w:color="auto"/>
            </w:tcBorders>
            <w:shd w:val="clear" w:color="auto" w:fill="auto"/>
            <w:noWrap/>
            <w:vAlign w:val="center"/>
            <w:hideMark/>
          </w:tcPr>
          <w:p w14:paraId="1038E8CD"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267" w:type="pct"/>
            <w:tcBorders>
              <w:top w:val="nil"/>
              <w:left w:val="nil"/>
              <w:bottom w:val="single" w:sz="4" w:space="0" w:color="auto"/>
              <w:right w:val="single" w:sz="4" w:space="0" w:color="auto"/>
            </w:tcBorders>
            <w:shd w:val="clear" w:color="auto" w:fill="auto"/>
            <w:noWrap/>
            <w:vAlign w:val="center"/>
            <w:hideMark/>
          </w:tcPr>
          <w:p w14:paraId="1038E8CE"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409" w:type="pct"/>
            <w:tcBorders>
              <w:top w:val="nil"/>
              <w:left w:val="nil"/>
              <w:bottom w:val="single" w:sz="4" w:space="0" w:color="auto"/>
              <w:right w:val="single" w:sz="4" w:space="0" w:color="auto"/>
            </w:tcBorders>
            <w:shd w:val="clear" w:color="auto" w:fill="auto"/>
            <w:noWrap/>
            <w:vAlign w:val="center"/>
            <w:hideMark/>
          </w:tcPr>
          <w:p w14:paraId="1038E8CF"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w:t>
            </w:r>
          </w:p>
        </w:tc>
        <w:tc>
          <w:tcPr>
            <w:tcW w:w="338" w:type="pct"/>
            <w:tcBorders>
              <w:top w:val="nil"/>
              <w:left w:val="nil"/>
              <w:bottom w:val="single" w:sz="4" w:space="0" w:color="auto"/>
              <w:right w:val="single" w:sz="4" w:space="0" w:color="auto"/>
            </w:tcBorders>
            <w:shd w:val="clear" w:color="auto" w:fill="auto"/>
            <w:noWrap/>
            <w:vAlign w:val="center"/>
            <w:hideMark/>
          </w:tcPr>
          <w:p w14:paraId="1038E8D0"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212 </w:t>
            </w:r>
          </w:p>
        </w:tc>
        <w:tc>
          <w:tcPr>
            <w:tcW w:w="376" w:type="pct"/>
            <w:tcBorders>
              <w:top w:val="nil"/>
              <w:left w:val="nil"/>
              <w:bottom w:val="single" w:sz="4" w:space="0" w:color="auto"/>
              <w:right w:val="single" w:sz="4" w:space="0" w:color="auto"/>
            </w:tcBorders>
            <w:shd w:val="clear" w:color="auto" w:fill="auto"/>
            <w:noWrap/>
            <w:vAlign w:val="center"/>
            <w:hideMark/>
          </w:tcPr>
          <w:p w14:paraId="1038E8D1" w14:textId="77777777" w:rsidR="003711B1" w:rsidRPr="00AF32BD" w:rsidRDefault="003711B1" w:rsidP="003711B1">
            <w:pPr>
              <w:jc w:val="center"/>
              <w:rPr>
                <w:rFonts w:ascii="Garamond" w:hAnsi="Garamond" w:cs="Calibri"/>
                <w:color w:val="000000"/>
                <w:sz w:val="12"/>
                <w:szCs w:val="16"/>
                <w:lang w:val="sq-AL"/>
              </w:rPr>
            </w:pPr>
            <w:r w:rsidRPr="00AF32BD">
              <w:rPr>
                <w:rFonts w:ascii="Garamond" w:hAnsi="Garamond" w:cs="Calibri"/>
                <w:color w:val="000000"/>
                <w:sz w:val="12"/>
                <w:szCs w:val="16"/>
                <w:lang w:val="sq-AL"/>
              </w:rPr>
              <w:t xml:space="preserve">                       66,500 </w:t>
            </w:r>
          </w:p>
        </w:tc>
        <w:tc>
          <w:tcPr>
            <w:tcW w:w="457" w:type="pct"/>
            <w:tcBorders>
              <w:top w:val="nil"/>
              <w:left w:val="nil"/>
              <w:bottom w:val="single" w:sz="4" w:space="0" w:color="auto"/>
              <w:right w:val="single" w:sz="4" w:space="0" w:color="auto"/>
            </w:tcBorders>
            <w:shd w:val="clear" w:color="auto" w:fill="auto"/>
            <w:noWrap/>
            <w:vAlign w:val="center"/>
            <w:hideMark/>
          </w:tcPr>
          <w:p w14:paraId="1038E8D2"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14,098,000 </w:t>
            </w:r>
          </w:p>
        </w:tc>
        <w:tc>
          <w:tcPr>
            <w:tcW w:w="438" w:type="pct"/>
            <w:tcBorders>
              <w:top w:val="nil"/>
              <w:left w:val="nil"/>
              <w:bottom w:val="single" w:sz="4" w:space="0" w:color="auto"/>
              <w:right w:val="single" w:sz="4" w:space="0" w:color="auto"/>
            </w:tcBorders>
            <w:shd w:val="clear" w:color="auto" w:fill="auto"/>
            <w:vAlign w:val="center"/>
            <w:hideMark/>
          </w:tcPr>
          <w:p w14:paraId="1038E8D3" w14:textId="6199826E" w:rsidR="003711B1" w:rsidRPr="00AF32BD" w:rsidRDefault="003711B1" w:rsidP="008F32DE">
            <w:pPr>
              <w:rPr>
                <w:rFonts w:ascii="Garamond" w:hAnsi="Garamond" w:cs="Calibri"/>
                <w:color w:val="000000"/>
                <w:sz w:val="12"/>
                <w:szCs w:val="16"/>
                <w:lang w:val="sq-AL"/>
              </w:rPr>
            </w:pPr>
            <w:r w:rsidRPr="00AF32BD">
              <w:rPr>
                <w:rFonts w:ascii="Garamond" w:hAnsi="Garamond" w:cs="Calibri"/>
                <w:color w:val="000000"/>
                <w:sz w:val="12"/>
                <w:szCs w:val="16"/>
                <w:lang w:val="sq-AL"/>
              </w:rPr>
              <w:t>Nj.</w:t>
            </w:r>
            <w:r w:rsidR="00EE74E6">
              <w:rPr>
                <w:rFonts w:ascii="Garamond" w:hAnsi="Garamond" w:cs="Calibri"/>
                <w:color w:val="000000"/>
                <w:sz w:val="12"/>
                <w:szCs w:val="16"/>
                <w:lang w:val="sq-AL"/>
              </w:rPr>
              <w:t xml:space="preserve"> </w:t>
            </w:r>
            <w:r w:rsidRPr="00AF32BD">
              <w:rPr>
                <w:rFonts w:ascii="Garamond" w:hAnsi="Garamond" w:cs="Calibri"/>
                <w:color w:val="000000"/>
                <w:sz w:val="12"/>
                <w:szCs w:val="16"/>
                <w:lang w:val="sq-AL"/>
              </w:rPr>
              <w:t>Administrative Farkë</w:t>
            </w:r>
          </w:p>
        </w:tc>
        <w:tc>
          <w:tcPr>
            <w:tcW w:w="576" w:type="pct"/>
            <w:tcBorders>
              <w:top w:val="nil"/>
              <w:left w:val="nil"/>
              <w:bottom w:val="single" w:sz="4" w:space="0" w:color="auto"/>
              <w:right w:val="single" w:sz="8" w:space="0" w:color="auto"/>
            </w:tcBorders>
            <w:shd w:val="clear" w:color="auto" w:fill="auto"/>
            <w:vAlign w:val="center"/>
            <w:hideMark/>
          </w:tcPr>
          <w:p w14:paraId="1038E8D4" w14:textId="77777777" w:rsidR="003711B1" w:rsidRPr="00AF32BD" w:rsidRDefault="003711B1" w:rsidP="008F32DE">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Konfirmuar nga ASHK</w:t>
            </w:r>
          </w:p>
        </w:tc>
      </w:tr>
      <w:tr w:rsidR="003711B1" w:rsidRPr="00AF32BD" w14:paraId="1038E8E0" w14:textId="77777777" w:rsidTr="003711B1">
        <w:trPr>
          <w:trHeight w:val="330"/>
        </w:trPr>
        <w:tc>
          <w:tcPr>
            <w:tcW w:w="1487" w:type="pct"/>
            <w:gridSpan w:val="7"/>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038E8D6"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VLERA TOTALI</w:t>
            </w:r>
          </w:p>
        </w:tc>
        <w:tc>
          <w:tcPr>
            <w:tcW w:w="328" w:type="pct"/>
            <w:tcBorders>
              <w:top w:val="nil"/>
              <w:left w:val="nil"/>
              <w:bottom w:val="single" w:sz="4" w:space="0" w:color="auto"/>
              <w:right w:val="single" w:sz="4" w:space="0" w:color="auto"/>
            </w:tcBorders>
            <w:shd w:val="clear" w:color="000000" w:fill="D9D9D9"/>
            <w:noWrap/>
            <w:vAlign w:val="center"/>
            <w:hideMark/>
          </w:tcPr>
          <w:p w14:paraId="1038E8D7" w14:textId="77777777" w:rsidR="003711B1" w:rsidRPr="00AF32BD" w:rsidRDefault="003711B1" w:rsidP="003711B1">
            <w:pP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17,395.20 </w:t>
            </w:r>
          </w:p>
        </w:tc>
        <w:tc>
          <w:tcPr>
            <w:tcW w:w="324" w:type="pct"/>
            <w:tcBorders>
              <w:top w:val="nil"/>
              <w:left w:val="nil"/>
              <w:bottom w:val="single" w:sz="4" w:space="0" w:color="auto"/>
              <w:right w:val="single" w:sz="4" w:space="0" w:color="auto"/>
            </w:tcBorders>
            <w:shd w:val="clear" w:color="000000" w:fill="D9D9D9"/>
            <w:noWrap/>
            <w:vAlign w:val="center"/>
            <w:hideMark/>
          </w:tcPr>
          <w:p w14:paraId="1038E8D8"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3,235 </w:t>
            </w:r>
          </w:p>
        </w:tc>
        <w:tc>
          <w:tcPr>
            <w:tcW w:w="267" w:type="pct"/>
            <w:tcBorders>
              <w:top w:val="nil"/>
              <w:left w:val="nil"/>
              <w:bottom w:val="single" w:sz="4" w:space="0" w:color="auto"/>
              <w:right w:val="single" w:sz="4" w:space="0" w:color="auto"/>
            </w:tcBorders>
            <w:shd w:val="clear" w:color="000000" w:fill="D9D9D9"/>
            <w:noWrap/>
            <w:vAlign w:val="center"/>
            <w:hideMark/>
          </w:tcPr>
          <w:p w14:paraId="1038E8D9"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w:t>
            </w:r>
          </w:p>
        </w:tc>
        <w:tc>
          <w:tcPr>
            <w:tcW w:w="409" w:type="pct"/>
            <w:tcBorders>
              <w:top w:val="nil"/>
              <w:left w:val="nil"/>
              <w:bottom w:val="single" w:sz="4" w:space="0" w:color="auto"/>
              <w:right w:val="single" w:sz="4" w:space="0" w:color="auto"/>
            </w:tcBorders>
            <w:shd w:val="clear" w:color="000000" w:fill="D9D9D9"/>
            <w:noWrap/>
            <w:vAlign w:val="center"/>
            <w:hideMark/>
          </w:tcPr>
          <w:p w14:paraId="1038E8DA"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1,182,707 </w:t>
            </w:r>
          </w:p>
        </w:tc>
        <w:tc>
          <w:tcPr>
            <w:tcW w:w="338" w:type="pct"/>
            <w:tcBorders>
              <w:top w:val="nil"/>
              <w:left w:val="nil"/>
              <w:bottom w:val="single" w:sz="4" w:space="0" w:color="auto"/>
              <w:right w:val="single" w:sz="4" w:space="0" w:color="auto"/>
            </w:tcBorders>
            <w:shd w:val="clear" w:color="000000" w:fill="D9D9D9"/>
            <w:noWrap/>
            <w:vAlign w:val="center"/>
            <w:hideMark/>
          </w:tcPr>
          <w:p w14:paraId="1038E8DB"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212 </w:t>
            </w:r>
          </w:p>
        </w:tc>
        <w:tc>
          <w:tcPr>
            <w:tcW w:w="376" w:type="pct"/>
            <w:tcBorders>
              <w:top w:val="nil"/>
              <w:left w:val="nil"/>
              <w:bottom w:val="single" w:sz="4" w:space="0" w:color="auto"/>
              <w:right w:val="single" w:sz="4" w:space="0" w:color="auto"/>
            </w:tcBorders>
            <w:shd w:val="clear" w:color="000000" w:fill="D9D9D9"/>
            <w:noWrap/>
            <w:vAlign w:val="center"/>
            <w:hideMark/>
          </w:tcPr>
          <w:p w14:paraId="1038E8DC"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66,500 </w:t>
            </w:r>
          </w:p>
        </w:tc>
        <w:tc>
          <w:tcPr>
            <w:tcW w:w="457" w:type="pct"/>
            <w:tcBorders>
              <w:top w:val="nil"/>
              <w:left w:val="nil"/>
              <w:bottom w:val="single" w:sz="4" w:space="0" w:color="auto"/>
              <w:right w:val="single" w:sz="4" w:space="0" w:color="auto"/>
            </w:tcBorders>
            <w:shd w:val="clear" w:color="000000" w:fill="D9D9D9"/>
            <w:noWrap/>
            <w:vAlign w:val="center"/>
            <w:hideMark/>
          </w:tcPr>
          <w:p w14:paraId="1038E8DD"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xml:space="preserve">                         15,280,707 </w:t>
            </w:r>
          </w:p>
        </w:tc>
        <w:tc>
          <w:tcPr>
            <w:tcW w:w="438" w:type="pct"/>
            <w:tcBorders>
              <w:top w:val="nil"/>
              <w:left w:val="nil"/>
              <w:bottom w:val="single" w:sz="8" w:space="0" w:color="auto"/>
              <w:right w:val="single" w:sz="4" w:space="0" w:color="auto"/>
            </w:tcBorders>
            <w:shd w:val="clear" w:color="000000" w:fill="D9D9D9"/>
            <w:noWrap/>
            <w:vAlign w:val="center"/>
            <w:hideMark/>
          </w:tcPr>
          <w:p w14:paraId="1038E8DE"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w:t>
            </w:r>
          </w:p>
        </w:tc>
        <w:tc>
          <w:tcPr>
            <w:tcW w:w="576" w:type="pct"/>
            <w:tcBorders>
              <w:top w:val="nil"/>
              <w:left w:val="nil"/>
              <w:bottom w:val="single" w:sz="8" w:space="0" w:color="auto"/>
              <w:right w:val="single" w:sz="8" w:space="0" w:color="auto"/>
            </w:tcBorders>
            <w:shd w:val="clear" w:color="000000" w:fill="D9D9D9"/>
            <w:noWrap/>
            <w:vAlign w:val="center"/>
            <w:hideMark/>
          </w:tcPr>
          <w:p w14:paraId="1038E8DF" w14:textId="77777777" w:rsidR="003711B1" w:rsidRPr="00AF32BD" w:rsidRDefault="003711B1" w:rsidP="003711B1">
            <w:pPr>
              <w:jc w:val="center"/>
              <w:rPr>
                <w:rFonts w:ascii="Garamond" w:hAnsi="Garamond" w:cs="Calibri"/>
                <w:b/>
                <w:bCs/>
                <w:color w:val="000000"/>
                <w:sz w:val="12"/>
                <w:szCs w:val="16"/>
                <w:lang w:val="sq-AL"/>
              </w:rPr>
            </w:pPr>
            <w:r w:rsidRPr="00AF32BD">
              <w:rPr>
                <w:rFonts w:ascii="Garamond" w:hAnsi="Garamond" w:cs="Calibri"/>
                <w:b/>
                <w:bCs/>
                <w:color w:val="000000"/>
                <w:sz w:val="12"/>
                <w:szCs w:val="16"/>
                <w:lang w:val="sq-AL"/>
              </w:rPr>
              <w:t> </w:t>
            </w:r>
          </w:p>
        </w:tc>
      </w:tr>
    </w:tbl>
    <w:p w14:paraId="1038E8E1" w14:textId="77777777" w:rsidR="003711B1" w:rsidRPr="00AF32BD" w:rsidRDefault="003711B1" w:rsidP="003711B1">
      <w:pPr>
        <w:pStyle w:val="BodyText"/>
        <w:ind w:firstLine="284"/>
        <w:rPr>
          <w:b/>
          <w:sz w:val="24"/>
          <w:szCs w:val="24"/>
          <w:lang w:val="sq-AL"/>
        </w:rPr>
      </w:pPr>
    </w:p>
    <w:p w14:paraId="1038E8E2" w14:textId="77777777" w:rsidR="00AF32BD" w:rsidRPr="00AF32BD" w:rsidRDefault="00AF32BD" w:rsidP="003711B1">
      <w:pPr>
        <w:ind w:firstLine="284"/>
        <w:jc w:val="center"/>
        <w:rPr>
          <w:rFonts w:ascii="Garamond" w:hAnsi="Garamond"/>
          <w:szCs w:val="24"/>
          <w:lang w:val="sq-AL"/>
        </w:rPr>
      </w:pPr>
    </w:p>
    <w:sectPr w:rsidR="00AF32BD" w:rsidRPr="00AF32BD" w:rsidSect="003711B1">
      <w:pgSz w:w="16840" w:h="11907" w:orient="landscape" w:code="9"/>
      <w:pgMar w:top="1418" w:right="1418" w:bottom="1418" w:left="1418" w:header="720" w:footer="53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302E2" w14:textId="77777777" w:rsidR="00AF32BD" w:rsidRDefault="00AF32BD" w:rsidP="002B2A35">
      <w:r>
        <w:separator/>
      </w:r>
    </w:p>
  </w:endnote>
  <w:endnote w:type="continuationSeparator" w:id="0">
    <w:p w14:paraId="4E9A42B0" w14:textId="77777777" w:rsidR="00AF32BD" w:rsidRDefault="00AF32BD" w:rsidP="002B2A35">
      <w:r>
        <w:continuationSeparator/>
      </w:r>
    </w:p>
  </w:endnote>
  <w:endnote w:type="continuationNotice" w:id="1">
    <w:p w14:paraId="718D1F04" w14:textId="77777777" w:rsidR="00C10712" w:rsidRDefault="00C107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443A3F" w14:textId="77777777" w:rsidR="00AF32BD" w:rsidRDefault="00AF32BD" w:rsidP="002B2A35">
      <w:r>
        <w:separator/>
      </w:r>
    </w:p>
  </w:footnote>
  <w:footnote w:type="continuationSeparator" w:id="0">
    <w:p w14:paraId="236516FB" w14:textId="77777777" w:rsidR="00AF32BD" w:rsidRDefault="00AF32BD" w:rsidP="002B2A35">
      <w:r>
        <w:continuationSeparator/>
      </w:r>
    </w:p>
  </w:footnote>
  <w:footnote w:type="continuationNotice" w:id="1">
    <w:p w14:paraId="24C9132C" w14:textId="77777777" w:rsidR="00C10712" w:rsidRDefault="00C1071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0C699B"/>
    <w:multiLevelType w:val="hybridMultilevel"/>
    <w:tmpl w:val="7FE85A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DA6E66"/>
    <w:multiLevelType w:val="hybridMultilevel"/>
    <w:tmpl w:val="360CED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F30950"/>
    <w:multiLevelType w:val="hybridMultilevel"/>
    <w:tmpl w:val="B1E415C4"/>
    <w:lvl w:ilvl="0" w:tplc="5450E5E2">
      <w:start w:val="3"/>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4AD46BF"/>
    <w:multiLevelType w:val="hybridMultilevel"/>
    <w:tmpl w:val="AC62DC6A"/>
    <w:lvl w:ilvl="0" w:tplc="04090013">
      <w:start w:val="1"/>
      <w:numFmt w:val="upperRoman"/>
      <w:lvlText w:val="%1."/>
      <w:lvlJc w:val="righ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D23490F"/>
    <w:multiLevelType w:val="hybridMultilevel"/>
    <w:tmpl w:val="31A609BA"/>
    <w:lvl w:ilvl="0" w:tplc="B5FE59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CF351B"/>
    <w:multiLevelType w:val="hybridMultilevel"/>
    <w:tmpl w:val="F1FAA1C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C606EEE"/>
    <w:multiLevelType w:val="hybridMultilevel"/>
    <w:tmpl w:val="17405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7A4F44"/>
    <w:multiLevelType w:val="hybridMultilevel"/>
    <w:tmpl w:val="6F1858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8F1666"/>
    <w:multiLevelType w:val="hybridMultilevel"/>
    <w:tmpl w:val="0592013A"/>
    <w:lvl w:ilvl="0" w:tplc="ABD47EDC">
      <w:start w:val="2"/>
      <w:numFmt w:val="bullet"/>
      <w:lvlText w:val="-"/>
      <w:lvlJc w:val="left"/>
      <w:pPr>
        <w:ind w:left="360" w:hanging="360"/>
      </w:pPr>
      <w:rPr>
        <w:rFonts w:ascii="Times New Roman" w:eastAsia="Garamond"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F9C570E"/>
    <w:multiLevelType w:val="hybridMultilevel"/>
    <w:tmpl w:val="EA64BA96"/>
    <w:lvl w:ilvl="0" w:tplc="04090013">
      <w:start w:val="1"/>
      <w:numFmt w:val="upperRoman"/>
      <w:lvlText w:val="%1."/>
      <w:lvlJc w:val="righ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E8D16A6"/>
    <w:multiLevelType w:val="hybridMultilevel"/>
    <w:tmpl w:val="8ED04EE0"/>
    <w:lvl w:ilvl="0" w:tplc="73865FC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E925E1C"/>
    <w:multiLevelType w:val="hybridMultilevel"/>
    <w:tmpl w:val="2F52C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937055"/>
    <w:multiLevelType w:val="hybridMultilevel"/>
    <w:tmpl w:val="B4189806"/>
    <w:lvl w:ilvl="0" w:tplc="9D0C5F40">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3">
    <w:nsid w:val="63BC6838"/>
    <w:multiLevelType w:val="hybridMultilevel"/>
    <w:tmpl w:val="F4FC1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3607A59"/>
    <w:multiLevelType w:val="hybridMultilevel"/>
    <w:tmpl w:val="244E20B8"/>
    <w:lvl w:ilvl="0" w:tplc="41826806">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5">
    <w:nsid w:val="7C6800A1"/>
    <w:multiLevelType w:val="hybridMultilevel"/>
    <w:tmpl w:val="1088968E"/>
    <w:lvl w:ilvl="0" w:tplc="5C52383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5"/>
  </w:num>
  <w:num w:numId="3">
    <w:abstractNumId w:val="14"/>
  </w:num>
  <w:num w:numId="4">
    <w:abstractNumId w:val="10"/>
  </w:num>
  <w:num w:numId="5">
    <w:abstractNumId w:val="2"/>
  </w:num>
  <w:num w:numId="6">
    <w:abstractNumId w:val="1"/>
  </w:num>
  <w:num w:numId="7">
    <w:abstractNumId w:val="5"/>
  </w:num>
  <w:num w:numId="8">
    <w:abstractNumId w:val="13"/>
  </w:num>
  <w:num w:numId="9">
    <w:abstractNumId w:val="3"/>
  </w:num>
  <w:num w:numId="10">
    <w:abstractNumId w:val="9"/>
  </w:num>
  <w:num w:numId="11">
    <w:abstractNumId w:val="11"/>
  </w:num>
  <w:num w:numId="12">
    <w:abstractNumId w:val="8"/>
  </w:num>
  <w:num w:numId="13">
    <w:abstractNumId w:val="0"/>
  </w:num>
  <w:num w:numId="14">
    <w:abstractNumId w:val="7"/>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862"/>
    <w:rsid w:val="00033E2C"/>
    <w:rsid w:val="00055601"/>
    <w:rsid w:val="00080B9A"/>
    <w:rsid w:val="00084624"/>
    <w:rsid w:val="000A1589"/>
    <w:rsid w:val="0012055C"/>
    <w:rsid w:val="001363F4"/>
    <w:rsid w:val="00147AB1"/>
    <w:rsid w:val="001522B7"/>
    <w:rsid w:val="0015408C"/>
    <w:rsid w:val="00155179"/>
    <w:rsid w:val="00166182"/>
    <w:rsid w:val="00175FF5"/>
    <w:rsid w:val="001C0C8B"/>
    <w:rsid w:val="001E2F27"/>
    <w:rsid w:val="00241BFE"/>
    <w:rsid w:val="002544E1"/>
    <w:rsid w:val="00256C07"/>
    <w:rsid w:val="002B2A35"/>
    <w:rsid w:val="002C48C6"/>
    <w:rsid w:val="002F1F07"/>
    <w:rsid w:val="00310FC6"/>
    <w:rsid w:val="003149DE"/>
    <w:rsid w:val="003535FA"/>
    <w:rsid w:val="003547C5"/>
    <w:rsid w:val="003711B1"/>
    <w:rsid w:val="00394B2E"/>
    <w:rsid w:val="003C1BF5"/>
    <w:rsid w:val="004227A3"/>
    <w:rsid w:val="004345A9"/>
    <w:rsid w:val="00456889"/>
    <w:rsid w:val="00491137"/>
    <w:rsid w:val="004F0631"/>
    <w:rsid w:val="00506298"/>
    <w:rsid w:val="0055402A"/>
    <w:rsid w:val="00590001"/>
    <w:rsid w:val="006C0199"/>
    <w:rsid w:val="006D0D03"/>
    <w:rsid w:val="006F4BBA"/>
    <w:rsid w:val="006F60FF"/>
    <w:rsid w:val="00712245"/>
    <w:rsid w:val="00754FA4"/>
    <w:rsid w:val="0078311F"/>
    <w:rsid w:val="007A06AE"/>
    <w:rsid w:val="007B31E0"/>
    <w:rsid w:val="007B5D92"/>
    <w:rsid w:val="007C4D57"/>
    <w:rsid w:val="00822C48"/>
    <w:rsid w:val="008603B5"/>
    <w:rsid w:val="008A0BBF"/>
    <w:rsid w:val="008C2D29"/>
    <w:rsid w:val="008E1F76"/>
    <w:rsid w:val="008F32DE"/>
    <w:rsid w:val="0090001A"/>
    <w:rsid w:val="0092550A"/>
    <w:rsid w:val="009A6C8C"/>
    <w:rsid w:val="009B429A"/>
    <w:rsid w:val="009E4DD2"/>
    <w:rsid w:val="009F48E8"/>
    <w:rsid w:val="00A0087D"/>
    <w:rsid w:val="00A1143C"/>
    <w:rsid w:val="00A1574E"/>
    <w:rsid w:val="00A31225"/>
    <w:rsid w:val="00A3131F"/>
    <w:rsid w:val="00A77308"/>
    <w:rsid w:val="00AB0DD0"/>
    <w:rsid w:val="00AF28EA"/>
    <w:rsid w:val="00AF32BD"/>
    <w:rsid w:val="00B01F2D"/>
    <w:rsid w:val="00BA590F"/>
    <w:rsid w:val="00C05B63"/>
    <w:rsid w:val="00C10712"/>
    <w:rsid w:val="00C1173D"/>
    <w:rsid w:val="00C11A85"/>
    <w:rsid w:val="00C14862"/>
    <w:rsid w:val="00C83C39"/>
    <w:rsid w:val="00CB2A05"/>
    <w:rsid w:val="00D21AAC"/>
    <w:rsid w:val="00D3430B"/>
    <w:rsid w:val="00D376FD"/>
    <w:rsid w:val="00D5742B"/>
    <w:rsid w:val="00D754FE"/>
    <w:rsid w:val="00E7064F"/>
    <w:rsid w:val="00E85067"/>
    <w:rsid w:val="00EB6137"/>
    <w:rsid w:val="00EE74E6"/>
    <w:rsid w:val="00F25EE4"/>
    <w:rsid w:val="00F3642E"/>
    <w:rsid w:val="00F846E6"/>
    <w:rsid w:val="00FC0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38E852"/>
  <w15:docId w15:val="{A067A1CE-923C-432D-87A1-E7054D869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862"/>
    <w:pPr>
      <w:spacing w:after="0" w:line="240" w:lineRule="auto"/>
    </w:pPr>
    <w:rPr>
      <w:rFonts w:ascii="Times New Roman" w:eastAsia="Times New Roman" w:hAnsi="Times New Roman" w:cs="Times New Roman"/>
      <w:sz w:val="24"/>
      <w:szCs w:val="20"/>
    </w:rPr>
  </w:style>
  <w:style w:type="paragraph" w:styleId="Heading2">
    <w:name w:val="heading 2"/>
    <w:basedOn w:val="Normal"/>
    <w:next w:val="Normal"/>
    <w:link w:val="Heading2Char"/>
    <w:unhideWhenUsed/>
    <w:qFormat/>
    <w:rsid w:val="00C14862"/>
    <w:pPr>
      <w:keepNext/>
      <w:jc w:val="right"/>
      <w:outlineLvl w:val="1"/>
    </w:pPr>
    <w:rPr>
      <w:rFonts w:ascii="Arial" w:eastAsia="Arial Unicode MS" w:hAnsi="Arial" w:cs="Arial"/>
      <w:b/>
      <w:bCs/>
      <w:szCs w:val="24"/>
      <w:u w:val="single"/>
    </w:rPr>
  </w:style>
  <w:style w:type="paragraph" w:styleId="Heading3">
    <w:name w:val="heading 3"/>
    <w:basedOn w:val="Normal"/>
    <w:next w:val="Normal"/>
    <w:link w:val="Heading3Char"/>
    <w:uiPriority w:val="9"/>
    <w:semiHidden/>
    <w:unhideWhenUsed/>
    <w:qFormat/>
    <w:rsid w:val="00D3430B"/>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C14862"/>
    <w:rPr>
      <w:rFonts w:ascii="Garamond" w:eastAsia="Garamond" w:hAnsi="Garamond" w:cs="Garamond"/>
      <w:shd w:val="clear" w:color="auto" w:fill="FFFFFF"/>
    </w:rPr>
  </w:style>
  <w:style w:type="paragraph" w:styleId="BodyText">
    <w:name w:val="Body Text"/>
    <w:basedOn w:val="Normal"/>
    <w:link w:val="BodyTextChar"/>
    <w:qFormat/>
    <w:rsid w:val="00C14862"/>
    <w:pPr>
      <w:widowControl w:val="0"/>
      <w:shd w:val="clear" w:color="auto" w:fill="FFFFFF"/>
      <w:ind w:firstLine="300"/>
    </w:pPr>
    <w:rPr>
      <w:rFonts w:ascii="Garamond" w:eastAsia="Garamond" w:hAnsi="Garamond" w:cs="Garamond"/>
      <w:sz w:val="22"/>
      <w:szCs w:val="22"/>
    </w:rPr>
  </w:style>
  <w:style w:type="character" w:customStyle="1" w:styleId="BodyTextChar1">
    <w:name w:val="Body Text Char1"/>
    <w:basedOn w:val="DefaultParagraphFont"/>
    <w:uiPriority w:val="99"/>
    <w:semiHidden/>
    <w:rsid w:val="00C14862"/>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C14862"/>
    <w:rPr>
      <w:rFonts w:ascii="Arial" w:eastAsia="Arial Unicode MS" w:hAnsi="Arial" w:cs="Arial"/>
      <w:b/>
      <w:bCs/>
      <w:sz w:val="24"/>
      <w:szCs w:val="24"/>
      <w:u w:val="single"/>
    </w:rPr>
  </w:style>
  <w:style w:type="character" w:customStyle="1" w:styleId="Bodytext2">
    <w:name w:val="Body text (2)_"/>
    <w:link w:val="Bodytext20"/>
    <w:rsid w:val="00C14862"/>
    <w:rPr>
      <w:rFonts w:ascii="Garamond" w:eastAsia="Garamond" w:hAnsi="Garamond" w:cs="Garamond"/>
      <w:shd w:val="clear" w:color="auto" w:fill="FFFFFF"/>
    </w:rPr>
  </w:style>
  <w:style w:type="paragraph" w:customStyle="1" w:styleId="Bodytext20">
    <w:name w:val="Body text (2)"/>
    <w:basedOn w:val="Normal"/>
    <w:link w:val="Bodytext2"/>
    <w:uiPriority w:val="99"/>
    <w:rsid w:val="00C14862"/>
    <w:pPr>
      <w:widowControl w:val="0"/>
      <w:shd w:val="clear" w:color="auto" w:fill="FFFFFF"/>
      <w:spacing w:line="262" w:lineRule="auto"/>
      <w:ind w:left="730"/>
    </w:pPr>
    <w:rPr>
      <w:rFonts w:ascii="Garamond" w:eastAsia="Garamond" w:hAnsi="Garamond" w:cs="Garamond"/>
      <w:sz w:val="22"/>
      <w:szCs w:val="22"/>
    </w:rPr>
  </w:style>
  <w:style w:type="character" w:customStyle="1" w:styleId="Heading3Char">
    <w:name w:val="Heading 3 Char"/>
    <w:basedOn w:val="DefaultParagraphFont"/>
    <w:link w:val="Heading3"/>
    <w:uiPriority w:val="9"/>
    <w:semiHidden/>
    <w:rsid w:val="00D3430B"/>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C05B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B63"/>
    <w:rPr>
      <w:rFonts w:ascii="Segoe UI" w:eastAsia="Times New Roman" w:hAnsi="Segoe UI" w:cs="Segoe UI"/>
      <w:sz w:val="18"/>
      <w:szCs w:val="18"/>
    </w:rPr>
  </w:style>
  <w:style w:type="paragraph" w:styleId="ListParagraph">
    <w:name w:val="List Paragraph"/>
    <w:basedOn w:val="Normal"/>
    <w:uiPriority w:val="34"/>
    <w:qFormat/>
    <w:rsid w:val="00033E2C"/>
    <w:pPr>
      <w:ind w:left="720"/>
      <w:contextualSpacing/>
    </w:pPr>
  </w:style>
  <w:style w:type="paragraph" w:styleId="Header">
    <w:name w:val="header"/>
    <w:basedOn w:val="Normal"/>
    <w:link w:val="HeaderChar"/>
    <w:uiPriority w:val="99"/>
    <w:unhideWhenUsed/>
    <w:rsid w:val="002B2A35"/>
    <w:pPr>
      <w:tabs>
        <w:tab w:val="center" w:pos="4680"/>
        <w:tab w:val="right" w:pos="9360"/>
      </w:tabs>
    </w:pPr>
  </w:style>
  <w:style w:type="character" w:customStyle="1" w:styleId="HeaderChar">
    <w:name w:val="Header Char"/>
    <w:basedOn w:val="DefaultParagraphFont"/>
    <w:link w:val="Header"/>
    <w:uiPriority w:val="99"/>
    <w:rsid w:val="002B2A3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B2A35"/>
    <w:pPr>
      <w:tabs>
        <w:tab w:val="center" w:pos="4680"/>
        <w:tab w:val="right" w:pos="9360"/>
      </w:tabs>
    </w:pPr>
  </w:style>
  <w:style w:type="character" w:customStyle="1" w:styleId="FooterChar">
    <w:name w:val="Footer Char"/>
    <w:basedOn w:val="DefaultParagraphFont"/>
    <w:link w:val="Footer"/>
    <w:uiPriority w:val="99"/>
    <w:rsid w:val="002B2A35"/>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82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221</Nr_x002e__x0020_akti>
    <Data_x0020_e_x0020_Krijimit xmlns="0e656187-b300-4fb0-8bf4-3a50f872073c">2022-04-14T13:35:20Z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2022-04-13T22:00:00Z</Date_x0020_protokolli>
    <Titulli xmlns="0e656187-b300-4fb0-8bf4-3a50f872073c">Për disa ndryshime dhe shtesa në vendimin nr.795, datë 22.9.2015, të Këshillit të Ministrave, “Për shpronësimin, për interes publik, të pronarëve të pasurive të paluajtshme, pronë private, që preken nga ndërtimi i segmentit rrugor “Unaza lindore Tiranë (Lotet I, II)”, të ndryshuar</Titulli>
    <Modifikuesi xmlns="0e656187-b300-4fb0-8bf4-3a50f872073c">nevila.samarxhi</Modifikuesi>
    <Nr_x002e__x0020_prot_x0020_QBZ xmlns="0e656187-b300-4fb0-8bf4-3a50f872073c">581</Nr_x002e__x0020_prot_x0020_QBZ>
    <Data_x0020_e_x0020_Modifikimit xmlns="0e656187-b300-4fb0-8bf4-3a50f872073c">2022-04-14T13:57:49Z</Data_x0020_e_x0020_Modifikimit>
    <Dekretuar xmlns="0e656187-b300-4fb0-8bf4-3a50f872073c">false</Dekretuar>
    <Data xmlns="0e656187-b300-4fb0-8bf4-3a50f872073c">2022-04-12T22:00:00Z</Data>
    <Nr_x002e__x0020_protokolli_x0020_i_x0020_aktit xmlns="0e656187-b300-4fb0-8bf4-3a50f872073c">1462/1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49DA1BE3B6C47DC9901BE0DAB5B9F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49DA1BE3B6C47DC9901BE0DAB5B9F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7144C-19D7-4DFA-BC6F-05290B9A3784}">
  <ds:schemaRefs>
    <ds:schemaRef ds:uri="http://schemas.microsoft.com/office/2006/documentManagement/types"/>
    <ds:schemaRef ds:uri="0e656187-b300-4fb0-8bf4-3a50f872073c"/>
    <ds:schemaRef ds:uri="http://purl.org/dc/elements/1.1/"/>
    <ds:schemaRef ds:uri="http://schemas.microsoft.com/office/2006/metadata/properties"/>
    <ds:schemaRef ds:uri="http://www.w3.org/XML/1998/namespace"/>
    <ds:schemaRef ds:uri="http://purl.org/dc/dcmityp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3B72EB40-F02D-4ADC-8030-AF0FA703E801}">
  <ds:schemaRefs>
    <ds:schemaRef ds:uri="http://schemas.microsoft.com/sharepoint/v3/contenttype/forms"/>
  </ds:schemaRefs>
</ds:datastoreItem>
</file>

<file path=customXml/itemProps3.xml><?xml version="1.0" encoding="utf-8"?>
<ds:datastoreItem xmlns:ds="http://schemas.openxmlformats.org/officeDocument/2006/customXml" ds:itemID="{76D1A7FA-6EEF-4B48-9F31-429261B5A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B024C31-DEBC-470B-A233-BA5C26F5307D}">
  <ds:schemaRefs>
    <ds:schemaRef ds:uri="http://schemas.microsoft.com/sharepoint/v3/contenttype/forms"/>
  </ds:schemaRefs>
</ds:datastoreItem>
</file>

<file path=customXml/itemProps5.xml><?xml version="1.0" encoding="utf-8"?>
<ds:datastoreItem xmlns:ds="http://schemas.openxmlformats.org/officeDocument/2006/customXml" ds:itemID="{7466B484-EEBE-43D5-A60F-F6383B8EA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4D9E4B8-C62F-4748-800A-B687E9C81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Projektvendimi Final, me rregullimet ne teknike ligjislative</vt:lpstr>
    </vt:vector>
  </TitlesOfParts>
  <Company/>
  <LinksUpToDate>false</LinksUpToDate>
  <CharactersWithSpaces>4891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Final, me rregullimet ne teknike ligjislative</dc:title>
  <dc:creator>Besmira Nuredini</dc:creator>
  <cp:lastModifiedBy>Alma Lisaku</cp:lastModifiedBy>
  <cp:revision>16</cp:revision>
  <cp:lastPrinted>2022-04-12T09:48:00Z</cp:lastPrinted>
  <dcterms:created xsi:type="dcterms:W3CDTF">2022-04-12T09:48:00Z</dcterms:created>
  <dcterms:modified xsi:type="dcterms:W3CDTF">2022-04-15T08:14:00Z</dcterms:modified>
</cp:coreProperties>
</file>