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ED4B04" w14:textId="77777777" w:rsidR="00D873D9" w:rsidRPr="00E11790" w:rsidRDefault="00D873D9" w:rsidP="00D873D9">
      <w:pPr>
        <w:autoSpaceDE w:val="0"/>
        <w:autoSpaceDN w:val="0"/>
        <w:adjustRightInd w:val="0"/>
        <w:spacing w:after="0" w:line="240" w:lineRule="auto"/>
        <w:ind w:firstLine="284"/>
        <w:jc w:val="center"/>
        <w:rPr>
          <w:rFonts w:ascii="Garamond" w:eastAsiaTheme="minorHAnsi" w:hAnsi="Garamond" w:cs="Garamond"/>
          <w:b/>
          <w:color w:val="000000"/>
          <w:szCs w:val="24"/>
        </w:rPr>
      </w:pPr>
      <w:r w:rsidRPr="00E11790">
        <w:rPr>
          <w:rFonts w:ascii="Garamond" w:eastAsiaTheme="minorHAnsi" w:hAnsi="Garamond" w:cs="Garamond"/>
          <w:b/>
          <w:color w:val="000000"/>
          <w:szCs w:val="24"/>
        </w:rPr>
        <w:t>VENDIM</w:t>
      </w:r>
    </w:p>
    <w:p w14:paraId="2AED4B05" w14:textId="77777777" w:rsidR="00D873D9" w:rsidRPr="00E11790" w:rsidRDefault="00D873D9" w:rsidP="00D873D9">
      <w:pPr>
        <w:autoSpaceDE w:val="0"/>
        <w:autoSpaceDN w:val="0"/>
        <w:adjustRightInd w:val="0"/>
        <w:spacing w:after="0" w:line="240" w:lineRule="auto"/>
        <w:ind w:firstLine="284"/>
        <w:jc w:val="center"/>
        <w:rPr>
          <w:rFonts w:ascii="Garamond" w:eastAsiaTheme="minorHAnsi" w:hAnsi="Garamond" w:cs="Garamond"/>
          <w:b/>
          <w:color w:val="000000"/>
          <w:szCs w:val="24"/>
        </w:rPr>
      </w:pPr>
      <w:r w:rsidRPr="00E11790">
        <w:rPr>
          <w:rFonts w:ascii="Garamond" w:eastAsiaTheme="minorHAnsi" w:hAnsi="Garamond" w:cs="Garamond"/>
          <w:b/>
          <w:color w:val="000000"/>
          <w:szCs w:val="24"/>
        </w:rPr>
        <w:t>Nr.</w:t>
      </w:r>
      <w:r w:rsidR="009660CD" w:rsidRPr="00E11790">
        <w:rPr>
          <w:rFonts w:ascii="Garamond" w:eastAsiaTheme="minorHAnsi" w:hAnsi="Garamond" w:cs="Garamond"/>
          <w:b/>
          <w:color w:val="000000"/>
          <w:szCs w:val="24"/>
        </w:rPr>
        <w:t xml:space="preserve"> 283</w:t>
      </w:r>
      <w:r w:rsidRPr="00E11790">
        <w:rPr>
          <w:rFonts w:ascii="Garamond" w:eastAsiaTheme="minorHAnsi" w:hAnsi="Garamond" w:cs="Garamond"/>
          <w:b/>
          <w:color w:val="000000"/>
          <w:szCs w:val="24"/>
        </w:rPr>
        <w:t xml:space="preserve">, </w:t>
      </w:r>
      <w:r w:rsidR="009660CD" w:rsidRPr="00E11790">
        <w:rPr>
          <w:rFonts w:ascii="Garamond" w:eastAsiaTheme="minorHAnsi" w:hAnsi="Garamond" w:cs="Garamond"/>
          <w:b/>
          <w:color w:val="000000"/>
          <w:szCs w:val="24"/>
        </w:rPr>
        <w:t>datë 29.4.2022</w:t>
      </w:r>
    </w:p>
    <w:p w14:paraId="2AED4B06" w14:textId="77777777" w:rsidR="00D873D9" w:rsidRPr="00E11790" w:rsidRDefault="00D873D9" w:rsidP="00D873D9">
      <w:pPr>
        <w:autoSpaceDE w:val="0"/>
        <w:autoSpaceDN w:val="0"/>
        <w:adjustRightInd w:val="0"/>
        <w:spacing w:after="0" w:line="240" w:lineRule="auto"/>
        <w:ind w:firstLine="284"/>
        <w:jc w:val="center"/>
        <w:rPr>
          <w:rFonts w:ascii="Garamond" w:eastAsiaTheme="minorHAnsi" w:hAnsi="Garamond" w:cs="Garamond"/>
          <w:b/>
          <w:color w:val="000000"/>
          <w:szCs w:val="24"/>
        </w:rPr>
      </w:pPr>
    </w:p>
    <w:p w14:paraId="2AED4B07" w14:textId="18CC81A4" w:rsidR="00D873D9" w:rsidRPr="00E11790" w:rsidRDefault="00D873D9" w:rsidP="00D873D9">
      <w:pPr>
        <w:autoSpaceDE w:val="0"/>
        <w:autoSpaceDN w:val="0"/>
        <w:adjustRightInd w:val="0"/>
        <w:spacing w:after="0" w:line="240" w:lineRule="auto"/>
        <w:ind w:firstLine="284"/>
        <w:rPr>
          <w:rFonts w:ascii="Garamond" w:eastAsiaTheme="minorHAnsi" w:hAnsi="Garamond" w:cs="Garamond"/>
          <w:b/>
          <w:color w:val="000000"/>
          <w:szCs w:val="24"/>
        </w:rPr>
      </w:pPr>
      <w:r w:rsidRPr="00E11790">
        <w:rPr>
          <w:rFonts w:ascii="Garamond" w:eastAsiaTheme="minorHAnsi" w:hAnsi="Garamond" w:cs="Garamond"/>
          <w:b/>
          <w:color w:val="000000"/>
          <w:szCs w:val="24"/>
        </w:rPr>
        <w:t xml:space="preserve">PËR </w:t>
      </w:r>
      <w:r w:rsidRPr="00E11790">
        <w:rPr>
          <w:rFonts w:ascii="Garamond" w:eastAsiaTheme="minorHAnsi" w:hAnsi="Garamond" w:cs="Garamond"/>
          <w:b/>
          <w:bCs/>
          <w:szCs w:val="24"/>
        </w:rPr>
        <w:t xml:space="preserve">MASAT </w:t>
      </w:r>
      <w:proofErr w:type="spellStart"/>
      <w:r w:rsidRPr="00E11790">
        <w:rPr>
          <w:rFonts w:ascii="Garamond" w:eastAsiaTheme="minorHAnsi" w:hAnsi="Garamond" w:cs="Garamond"/>
          <w:b/>
          <w:bCs/>
          <w:szCs w:val="24"/>
        </w:rPr>
        <w:t>MENAXHUESE</w:t>
      </w:r>
      <w:proofErr w:type="spellEnd"/>
      <w:r w:rsidRPr="00E11790">
        <w:rPr>
          <w:rFonts w:ascii="Garamond" w:eastAsiaTheme="minorHAnsi" w:hAnsi="Garamond" w:cs="Garamond"/>
          <w:b/>
          <w:bCs/>
          <w:szCs w:val="24"/>
        </w:rPr>
        <w:t xml:space="preserve"> TË RUAJTJES SË BURIMEVE PESHKORE DHE PËRFSHIRJEN E INSTITUCIONEVE NË MARRJEN</w:t>
      </w:r>
      <w:r w:rsidR="00E11790">
        <w:rPr>
          <w:rFonts w:ascii="Garamond" w:eastAsiaTheme="minorHAnsi" w:hAnsi="Garamond" w:cs="Garamond"/>
          <w:b/>
          <w:bCs/>
          <w:szCs w:val="24"/>
        </w:rPr>
        <w:t xml:space="preserve"> </w:t>
      </w:r>
      <w:r w:rsidRPr="00E11790">
        <w:rPr>
          <w:rFonts w:ascii="Garamond" w:eastAsiaTheme="minorHAnsi" w:hAnsi="Garamond" w:cs="Garamond"/>
          <w:b/>
          <w:bCs/>
          <w:szCs w:val="24"/>
        </w:rPr>
        <w:t>DHE ZBATIMIN E TYRE</w:t>
      </w:r>
      <w:r w:rsidRPr="00E11790">
        <w:rPr>
          <w:rStyle w:val="FootnoteReference"/>
          <w:rFonts w:ascii="Garamond" w:eastAsiaTheme="minorHAnsi" w:hAnsi="Garamond" w:cs="Garamond"/>
          <w:b/>
          <w:bCs/>
          <w:szCs w:val="24"/>
        </w:rPr>
        <w:footnoteReference w:id="2"/>
      </w:r>
    </w:p>
    <w:p w14:paraId="2AED4B08" w14:textId="77777777" w:rsidR="00D873D9" w:rsidRPr="00E11790" w:rsidRDefault="00D873D9" w:rsidP="00D873D9">
      <w:pPr>
        <w:autoSpaceDE w:val="0"/>
        <w:autoSpaceDN w:val="0"/>
        <w:adjustRightInd w:val="0"/>
        <w:spacing w:after="0" w:line="240" w:lineRule="auto"/>
        <w:ind w:firstLine="284"/>
        <w:jc w:val="center"/>
        <w:rPr>
          <w:rFonts w:ascii="Garamond" w:eastAsiaTheme="minorHAnsi" w:hAnsi="Garamond" w:cs="Garamond"/>
          <w:b/>
          <w:bCs/>
          <w:szCs w:val="24"/>
        </w:rPr>
      </w:pPr>
    </w:p>
    <w:p w14:paraId="2AED4B09" w14:textId="3262453A"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szCs w:val="24"/>
        </w:rPr>
        <w:t xml:space="preserve">Në mbështetje të nenit 100 të Kushtetutës </w:t>
      </w:r>
      <w:r w:rsidRPr="00E11790">
        <w:rPr>
          <w:rFonts w:ascii="Garamond" w:eastAsiaTheme="minorHAnsi" w:hAnsi="Garamond" w:cs="Garamond"/>
          <w:color w:val="000000"/>
          <w:szCs w:val="24"/>
        </w:rPr>
        <w:t>dhe të pikës 2, të nenit 5, të ligjit nr.</w:t>
      </w:r>
      <w:r w:rsid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64/2012, “Për peshkimin”, të ndryshuar, me propozimin e ministrit të Bujqësisë dhe Zhvillimit Rural, Këshilli i Ministrave</w:t>
      </w:r>
    </w:p>
    <w:p w14:paraId="2AED4B0A"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p>
    <w:p w14:paraId="2AED4B0B" w14:textId="77777777" w:rsidR="00D873D9" w:rsidRPr="00E11790" w:rsidRDefault="00D873D9" w:rsidP="00D873D9">
      <w:pPr>
        <w:autoSpaceDE w:val="0"/>
        <w:autoSpaceDN w:val="0"/>
        <w:adjustRightInd w:val="0"/>
        <w:spacing w:after="0" w:line="240" w:lineRule="auto"/>
        <w:ind w:firstLine="284"/>
        <w:jc w:val="center"/>
        <w:rPr>
          <w:rFonts w:ascii="Garamond" w:eastAsiaTheme="minorHAnsi" w:hAnsi="Garamond" w:cs="Garamond"/>
          <w:bCs/>
          <w:color w:val="000000"/>
          <w:szCs w:val="24"/>
        </w:rPr>
      </w:pPr>
      <w:r w:rsidRPr="00E11790">
        <w:rPr>
          <w:rFonts w:ascii="Garamond" w:eastAsiaTheme="minorHAnsi" w:hAnsi="Garamond" w:cs="Garamond"/>
          <w:bCs/>
          <w:color w:val="000000"/>
          <w:szCs w:val="24"/>
        </w:rPr>
        <w:t>VENDOSI:</w:t>
      </w:r>
    </w:p>
    <w:p w14:paraId="2AED4B0C" w14:textId="77777777" w:rsidR="00D873D9" w:rsidRPr="00E11790" w:rsidRDefault="00D873D9" w:rsidP="00D873D9">
      <w:pPr>
        <w:autoSpaceDE w:val="0"/>
        <w:autoSpaceDN w:val="0"/>
        <w:adjustRightInd w:val="0"/>
        <w:spacing w:after="0" w:line="240" w:lineRule="auto"/>
        <w:ind w:firstLine="284"/>
        <w:jc w:val="center"/>
        <w:rPr>
          <w:rFonts w:ascii="Garamond" w:eastAsiaTheme="minorHAnsi" w:hAnsi="Garamond" w:cs="Garamond"/>
          <w:b/>
          <w:bCs/>
          <w:color w:val="000000"/>
          <w:szCs w:val="24"/>
        </w:rPr>
      </w:pPr>
    </w:p>
    <w:p w14:paraId="2AED4B0D" w14:textId="2E664C63" w:rsidR="00D873D9" w:rsidRPr="00E11790" w:rsidRDefault="00D873D9" w:rsidP="00A9134F">
      <w:pPr>
        <w:tabs>
          <w:tab w:val="left" w:pos="8720"/>
        </w:tabs>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1.</w:t>
      </w:r>
      <w:r w:rsid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Marrja e masave </w:t>
      </w:r>
      <w:proofErr w:type="spellStart"/>
      <w:r w:rsidRPr="00E11790">
        <w:rPr>
          <w:rFonts w:ascii="Garamond" w:eastAsiaTheme="minorHAnsi" w:hAnsi="Garamond" w:cs="Garamond"/>
          <w:color w:val="000000"/>
          <w:szCs w:val="24"/>
        </w:rPr>
        <w:t>menaxhuese</w:t>
      </w:r>
      <w:proofErr w:type="spellEnd"/>
      <w:r w:rsidRPr="00E11790">
        <w:rPr>
          <w:rFonts w:ascii="Garamond" w:eastAsiaTheme="minorHAnsi" w:hAnsi="Garamond" w:cs="Garamond"/>
          <w:color w:val="000000"/>
          <w:szCs w:val="24"/>
        </w:rPr>
        <w:t xml:space="preserve"> të ruajtjes së burimeve peshkore ka për qëllim: </w:t>
      </w:r>
    </w:p>
    <w:p w14:paraId="2AED4B0E" w14:textId="77777777"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pacing w:val="-15"/>
          <w:szCs w:val="24"/>
        </w:rPr>
        <w:t>a) ruajtjen e burimeve biologjike detare dhe menaxhimin e peshkimit e të flotës, që shfrytëzon këto burime;</w:t>
      </w:r>
    </w:p>
    <w:p w14:paraId="2AED4B0F" w14:textId="77777777"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 xml:space="preserve">b) të sigurojë që peshkimi të jetë ekologjikisht i qëndrueshëm në planin afatgjatë dhe të menaxhohet në mënyrë që të jetë në përputhje me objektivat e arritjes së përfitimeve ekonomike, sociale dhe të punësimit e të kontribuojë në </w:t>
      </w:r>
      <w:proofErr w:type="spellStart"/>
      <w:r w:rsidRPr="00E11790">
        <w:rPr>
          <w:rFonts w:ascii="Garamond" w:eastAsiaTheme="minorHAnsi" w:hAnsi="Garamond" w:cs="Garamond"/>
          <w:color w:val="000000"/>
          <w:szCs w:val="24"/>
        </w:rPr>
        <w:t>disponueshmërinë</w:t>
      </w:r>
      <w:proofErr w:type="spellEnd"/>
      <w:r w:rsidRPr="00E11790">
        <w:rPr>
          <w:rFonts w:ascii="Garamond" w:eastAsiaTheme="minorHAnsi" w:hAnsi="Garamond" w:cs="Garamond"/>
          <w:color w:val="000000"/>
          <w:szCs w:val="24"/>
        </w:rPr>
        <w:t xml:space="preserve"> e furnizimit me ushqim; </w:t>
      </w:r>
    </w:p>
    <w:p w14:paraId="2AED4B10" w14:textId="77777777"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 xml:space="preserve">c) të zbatojë qasjen e kujdesshme në menaxhimin e peshkimit dhe të sigurojë që shfrytëzimi i burimeve biologjike të gjalla detare të rikthejë dhe të mbajë popullatat e specieve të peshkuara mbi nivelet e afta për të prodhuar rendimentin maksimal të qëndrueshëm; </w:t>
      </w:r>
    </w:p>
    <w:p w14:paraId="2AED4B11" w14:textId="77777777"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ç)</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të zbatojë qasjen e bazuar në ekosistem për menaxhimin e peshkimit për të siguruar që aktivitetet e peshkimit të kenë një ndikim negativ minimal në ekosistemet detare dhe të sigurojë që peshkimi të shmangë degradimin e mjedisit detar;</w:t>
      </w:r>
    </w:p>
    <w:p w14:paraId="2AED4B12" w14:textId="77777777"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d)</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që, gradualisht, të eliminojë hedhurinat, rast pas rasti, duke marrë parasysh mendimet më të mira shkencore të </w:t>
      </w:r>
      <w:proofErr w:type="spellStart"/>
      <w:r w:rsidRPr="00E11790">
        <w:rPr>
          <w:rFonts w:ascii="Garamond" w:eastAsiaTheme="minorHAnsi" w:hAnsi="Garamond" w:cs="Garamond"/>
          <w:color w:val="000000"/>
          <w:szCs w:val="24"/>
        </w:rPr>
        <w:t>disponueshme</w:t>
      </w:r>
      <w:proofErr w:type="spellEnd"/>
      <w:r w:rsidRPr="00E11790">
        <w:rPr>
          <w:rFonts w:ascii="Garamond" w:eastAsiaTheme="minorHAnsi" w:hAnsi="Garamond" w:cs="Garamond"/>
          <w:color w:val="000000"/>
          <w:szCs w:val="24"/>
        </w:rPr>
        <w:t>, duke shmangur e zvogëluar, për aq sa është e mundur, zëniet aksidentale dhe duke siguruar gradualisht që zëniet të zbarkohen;</w:t>
      </w:r>
    </w:p>
    <w:p w14:paraId="2AED4B13" w14:textId="77777777"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dh)</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nëse është e nevojshme, të shfrytëzojë sa më mirë zëniet aksidentale, pa krijuar një treg për këto zënie, që janë nën madhësinë minimale të ruajtjes së referencës;</w:t>
      </w:r>
    </w:p>
    <w:p w14:paraId="2AED4B14" w14:textId="77777777"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e)</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të krijojë kushtet e nevojshme për të bërë sektorin e zënies e të përpunimit dhe aktivitetet në tokë të lidhura me aktivitetet e peshkimit ekonomikisht të qëndrueshëm dhe konkurrues;</w:t>
      </w:r>
    </w:p>
    <w:p w14:paraId="2AED4B15" w14:textId="6DF98A35" w:rsidR="00D873D9" w:rsidRPr="00E11790" w:rsidRDefault="00D873D9" w:rsidP="00A9134F">
      <w:pPr>
        <w:tabs>
          <w:tab w:val="left" w:pos="700"/>
        </w:tabs>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ë)</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të parashikojë masa për të përshtatur kapacitetin e peshkimit të flotës në nivelet e mundësive të peshkimit, në për</w:t>
      </w:r>
      <w:r w:rsidR="00A9134F" w:rsidRPr="00E11790">
        <w:rPr>
          <w:rFonts w:ascii="Garamond" w:eastAsiaTheme="minorHAnsi" w:hAnsi="Garamond" w:cs="Garamond"/>
          <w:color w:val="000000"/>
          <w:szCs w:val="24"/>
        </w:rPr>
        <w:t>puthje me shkronjën “b”, të</w:t>
      </w:r>
      <w:r w:rsid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pikës 1, të këtij vendimi, në mënyrë që flota të jetë ekonomikisht e qëndrueshme, pa </w:t>
      </w:r>
      <w:proofErr w:type="spellStart"/>
      <w:r w:rsidRPr="00E11790">
        <w:rPr>
          <w:rFonts w:ascii="Garamond" w:eastAsiaTheme="minorHAnsi" w:hAnsi="Garamond" w:cs="Garamond"/>
          <w:color w:val="000000"/>
          <w:szCs w:val="24"/>
        </w:rPr>
        <w:t>mbishfrytëzuar</w:t>
      </w:r>
      <w:proofErr w:type="spellEnd"/>
      <w:r w:rsidRPr="00E11790">
        <w:rPr>
          <w:rFonts w:ascii="Garamond" w:eastAsiaTheme="minorHAnsi" w:hAnsi="Garamond" w:cs="Garamond"/>
          <w:color w:val="000000"/>
          <w:szCs w:val="24"/>
        </w:rPr>
        <w:t xml:space="preserve"> burimet biologjike detare;</w:t>
      </w:r>
    </w:p>
    <w:p w14:paraId="2AED4B16" w14:textId="77777777"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f)</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të kontribuojë në sigurimin e një standardi të drejtë jetese për ata që varen nga aktivitetet e peshkimit, duke marrë parasysh peshkimin bregdetar dhe aspektet socio-ekonomike;</w:t>
      </w:r>
    </w:p>
    <w:p w14:paraId="2AED4B17" w14:textId="77777777"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g)</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të kontribuojë në një treg të brendshëm efikas e transparent për produktet e peshkimit dhe të sigurojë kushte të barabarta për tregtimin e tyre brenda vendit;</w:t>
      </w:r>
    </w:p>
    <w:p w14:paraId="2AED4B18" w14:textId="77777777"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gj)</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të marrë parasysh interesat e konsumatorëve dhe të prodhuesve;</w:t>
      </w:r>
    </w:p>
    <w:p w14:paraId="2AED4B19" w14:textId="77777777"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h)</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të promovojë aktivitetet e peshkimit bregdetar, duke marrë parasysh aspektet socio- ekonomike;</w:t>
      </w:r>
    </w:p>
    <w:p w14:paraId="2AED4B1A" w14:textId="5B8C3743"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i)</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të harmonizojë veprimet e masat për menaxhimin e burimeve peshkore me</w:t>
      </w:r>
      <w:r w:rsid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vendimmarrjet për ruajtjen e specieve, </w:t>
      </w:r>
      <w:proofErr w:type="spellStart"/>
      <w:r w:rsidRPr="00E11790">
        <w:rPr>
          <w:rFonts w:ascii="Garamond" w:eastAsiaTheme="minorHAnsi" w:hAnsi="Garamond" w:cs="Garamond"/>
          <w:color w:val="000000"/>
          <w:szCs w:val="24"/>
        </w:rPr>
        <w:t>habitateve</w:t>
      </w:r>
      <w:proofErr w:type="spellEnd"/>
      <w:r w:rsidRPr="00E11790">
        <w:rPr>
          <w:rFonts w:ascii="Garamond" w:eastAsiaTheme="minorHAnsi" w:hAnsi="Garamond" w:cs="Garamond"/>
          <w:color w:val="000000"/>
          <w:szCs w:val="24"/>
        </w:rPr>
        <w:t xml:space="preserve"> dhe zonave të mbrojtura detare;</w:t>
      </w:r>
    </w:p>
    <w:p w14:paraId="2AED4B1B" w14:textId="6E48DE29" w:rsidR="00D873D9" w:rsidRPr="00E11790" w:rsidRDefault="00D873D9" w:rsidP="00A9134F">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j)</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të promovojë mbështetjen e iniciativave për rritjen e vlerës së shtuar të produkteve të peshkimit në shkallë të vogël; </w:t>
      </w:r>
      <w:proofErr w:type="spellStart"/>
      <w:r w:rsidRPr="00E11790">
        <w:rPr>
          <w:rFonts w:ascii="Garamond" w:eastAsiaTheme="minorHAnsi" w:hAnsi="Garamond" w:cs="Garamond"/>
          <w:color w:val="000000"/>
          <w:szCs w:val="24"/>
        </w:rPr>
        <w:t>optimizimi</w:t>
      </w:r>
      <w:proofErr w:type="spellEnd"/>
      <w:r w:rsidRPr="00E11790">
        <w:rPr>
          <w:rFonts w:ascii="Garamond" w:eastAsiaTheme="minorHAnsi" w:hAnsi="Garamond" w:cs="Garamond"/>
          <w:color w:val="000000"/>
          <w:szCs w:val="24"/>
        </w:rPr>
        <w:t xml:space="preserve"> i kanaleve të shpërndarjes, nxitja e zënieve më pak të </w:t>
      </w:r>
      <w:proofErr w:type="spellStart"/>
      <w:r w:rsidRPr="00E11790">
        <w:rPr>
          <w:rFonts w:ascii="Garamond" w:eastAsiaTheme="minorHAnsi" w:hAnsi="Garamond" w:cs="Garamond"/>
          <w:color w:val="000000"/>
          <w:szCs w:val="24"/>
        </w:rPr>
        <w:lastRenderedPageBreak/>
        <w:t>tregtueshme</w:t>
      </w:r>
      <w:proofErr w:type="spellEnd"/>
      <w:r w:rsidRPr="00E11790">
        <w:rPr>
          <w:rFonts w:ascii="Garamond" w:eastAsiaTheme="minorHAnsi" w:hAnsi="Garamond" w:cs="Garamond"/>
          <w:color w:val="000000"/>
          <w:szCs w:val="24"/>
        </w:rPr>
        <w:t xml:space="preserve">, </w:t>
      </w:r>
      <w:proofErr w:type="spellStart"/>
      <w:r w:rsidRPr="00E11790">
        <w:rPr>
          <w:rFonts w:ascii="Garamond" w:eastAsiaTheme="minorHAnsi" w:hAnsi="Garamond" w:cs="Garamond"/>
          <w:color w:val="000000"/>
          <w:szCs w:val="24"/>
        </w:rPr>
        <w:t>ekoetiketimi</w:t>
      </w:r>
      <w:proofErr w:type="spellEnd"/>
      <w:r w:rsidRPr="00E11790">
        <w:rPr>
          <w:rFonts w:ascii="Garamond" w:eastAsiaTheme="minorHAnsi" w:hAnsi="Garamond" w:cs="Garamond"/>
          <w:color w:val="000000"/>
          <w:szCs w:val="24"/>
        </w:rPr>
        <w:t xml:space="preserve"> për produktet e qëndrueshme të peshkimit në shkallë të vogël, informimi dhe ndërgjegjësimi në radhët e konsumatorëve.</w:t>
      </w:r>
    </w:p>
    <w:p w14:paraId="2AED4B1C" w14:textId="77777777" w:rsidR="00D873D9" w:rsidRPr="00E11790" w:rsidRDefault="00D873D9" w:rsidP="00D873D9">
      <w:pPr>
        <w:tabs>
          <w:tab w:val="left" w:pos="360"/>
        </w:tabs>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2. Masat për ruajtjen dhe shfrytëzimin e qëndrueshëm të burimeve biologjike detare përfshijnë:</w:t>
      </w:r>
    </w:p>
    <w:p w14:paraId="2AED4B1D"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a)</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objektivat specifikë për ruajtjen e shfrytëzimin e qëndrueshëm të rezervave dhe masat përkatëse, që synojnë minimizimin e ndikimit të peshkimit në mjedisin detar;</w:t>
      </w:r>
    </w:p>
    <w:p w14:paraId="2AED4B1E"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b)</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përshtatjen e kapacitetit të peshkimit të anijeve me mundësitë e </w:t>
      </w:r>
      <w:proofErr w:type="spellStart"/>
      <w:r w:rsidRPr="00E11790">
        <w:rPr>
          <w:rFonts w:ascii="Garamond" w:eastAsiaTheme="minorHAnsi" w:hAnsi="Garamond" w:cs="Garamond"/>
          <w:color w:val="000000"/>
          <w:szCs w:val="24"/>
        </w:rPr>
        <w:t>disponueshme</w:t>
      </w:r>
      <w:proofErr w:type="spellEnd"/>
      <w:r w:rsidRPr="00E11790">
        <w:rPr>
          <w:rFonts w:ascii="Garamond" w:eastAsiaTheme="minorHAnsi" w:hAnsi="Garamond" w:cs="Garamond"/>
          <w:color w:val="000000"/>
          <w:szCs w:val="24"/>
        </w:rPr>
        <w:t xml:space="preserve"> të peshkimit;</w:t>
      </w:r>
    </w:p>
    <w:p w14:paraId="2AED4B1F"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c)</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stimujt, duke përfshirë ato ekonomikë si mundësitë, e peshkimit, për të promovuar metodat e peshkimit, që kontribuojnë në peshkim më </w:t>
      </w:r>
      <w:proofErr w:type="spellStart"/>
      <w:r w:rsidRPr="00E11790">
        <w:rPr>
          <w:rFonts w:ascii="Garamond" w:eastAsiaTheme="minorHAnsi" w:hAnsi="Garamond" w:cs="Garamond"/>
          <w:color w:val="000000"/>
          <w:szCs w:val="24"/>
        </w:rPr>
        <w:t>selektiv</w:t>
      </w:r>
      <w:proofErr w:type="spellEnd"/>
      <w:r w:rsidRPr="00E11790">
        <w:rPr>
          <w:rFonts w:ascii="Garamond" w:eastAsiaTheme="minorHAnsi" w:hAnsi="Garamond" w:cs="Garamond"/>
          <w:color w:val="000000"/>
          <w:szCs w:val="24"/>
        </w:rPr>
        <w:t>, për të shmangur e zvogëluar, aq sa është e mundur, zëniet aksidentale dhe peshkimin me pak ndikim në ekosistemin detar dhe në burimet e peshkimit;</w:t>
      </w:r>
    </w:p>
    <w:p w14:paraId="2AED4B20"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ç)</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fiksimin dhe </w:t>
      </w:r>
      <w:proofErr w:type="spellStart"/>
      <w:r w:rsidRPr="00E11790">
        <w:rPr>
          <w:rFonts w:ascii="Garamond" w:eastAsiaTheme="minorHAnsi" w:hAnsi="Garamond" w:cs="Garamond"/>
          <w:color w:val="000000"/>
          <w:szCs w:val="24"/>
        </w:rPr>
        <w:t>alokimin</w:t>
      </w:r>
      <w:proofErr w:type="spellEnd"/>
      <w:r w:rsidRPr="00E11790">
        <w:rPr>
          <w:rFonts w:ascii="Garamond" w:eastAsiaTheme="minorHAnsi" w:hAnsi="Garamond" w:cs="Garamond"/>
          <w:color w:val="000000"/>
          <w:szCs w:val="24"/>
        </w:rPr>
        <w:t xml:space="preserve"> e mundësive të peshkimit;</w:t>
      </w:r>
    </w:p>
    <w:p w14:paraId="2AED4B21"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d)</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madhësitë minimale të referencës për ruajtjen;</w:t>
      </w:r>
    </w:p>
    <w:p w14:paraId="2AED4B22"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szCs w:val="24"/>
        </w:rPr>
      </w:pPr>
      <w:r w:rsidRPr="00E11790">
        <w:rPr>
          <w:rFonts w:ascii="Garamond" w:eastAsiaTheme="minorHAnsi" w:hAnsi="Garamond" w:cs="Garamond"/>
          <w:color w:val="000000"/>
          <w:szCs w:val="24"/>
        </w:rPr>
        <w:t>dh)</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projektet pilot për llojet alternative të teknikave të menaxhimit të peshkimit dhe në pajisjet e peshkimit, që rrisin </w:t>
      </w:r>
      <w:proofErr w:type="spellStart"/>
      <w:r w:rsidRPr="00E11790">
        <w:rPr>
          <w:rFonts w:ascii="Garamond" w:eastAsiaTheme="minorHAnsi" w:hAnsi="Garamond" w:cs="Garamond"/>
          <w:color w:val="000000"/>
          <w:szCs w:val="24"/>
        </w:rPr>
        <w:t>selektivitetin</w:t>
      </w:r>
      <w:proofErr w:type="spellEnd"/>
      <w:r w:rsidRPr="00E11790">
        <w:rPr>
          <w:rFonts w:ascii="Garamond" w:eastAsiaTheme="minorHAnsi" w:hAnsi="Garamond" w:cs="Garamond"/>
          <w:color w:val="000000"/>
          <w:szCs w:val="24"/>
        </w:rPr>
        <w:t xml:space="preserve"> ose minimizojnë ndikimin negativ të aktiviteteve të peshkimit në</w:t>
      </w:r>
      <w:r w:rsidRPr="00E11790">
        <w:rPr>
          <w:rFonts w:ascii="Garamond" w:eastAsiaTheme="minorHAnsi" w:hAnsi="Garamond" w:cs="Garamond"/>
          <w:szCs w:val="24"/>
        </w:rPr>
        <w:t xml:space="preserve"> mjedisin detar;</w:t>
      </w:r>
    </w:p>
    <w:p w14:paraId="2AED4B23"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e)</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pajtueshmërinë me detyrimet, sipas legjislacionit të brendshëm mjedisor, duke përfshirë planet e menaxhimit dhe planet e veprimit për ruajtjen e specieve.</w:t>
      </w:r>
    </w:p>
    <w:p w14:paraId="2AED4B24" w14:textId="77777777" w:rsidR="00D873D9" w:rsidRPr="00E11790" w:rsidRDefault="00A9134F" w:rsidP="00D873D9">
      <w:pPr>
        <w:tabs>
          <w:tab w:val="left" w:pos="620"/>
        </w:tabs>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 xml:space="preserve">3. </w:t>
      </w:r>
      <w:r w:rsidR="00D873D9" w:rsidRPr="00E11790">
        <w:rPr>
          <w:rFonts w:ascii="Garamond" w:eastAsiaTheme="minorHAnsi" w:hAnsi="Garamond" w:cs="Garamond"/>
          <w:color w:val="000000"/>
          <w:szCs w:val="24"/>
        </w:rPr>
        <w:t>Masat teknike përfshijnë:</w:t>
      </w:r>
    </w:p>
    <w:p w14:paraId="2AED4B25"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a)</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karakteristikat e mjeteve të peshkimit dhe rregullat që rregullojnë përdorimin e tyre;</w:t>
      </w:r>
    </w:p>
    <w:p w14:paraId="2AED4B26"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b)</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specifikimet lidhur me ndërtimin e mjeteve të peshkimit, duke përfshirë:</w:t>
      </w:r>
    </w:p>
    <w:p w14:paraId="2AED4B27"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i.</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modifikimet ose pajisjet shtesë, që synojnë përmirësimin e </w:t>
      </w:r>
      <w:proofErr w:type="spellStart"/>
      <w:r w:rsidRPr="00E11790">
        <w:rPr>
          <w:rFonts w:ascii="Garamond" w:eastAsiaTheme="minorHAnsi" w:hAnsi="Garamond" w:cs="Garamond"/>
          <w:color w:val="000000"/>
          <w:szCs w:val="24"/>
        </w:rPr>
        <w:t>selektivitetit</w:t>
      </w:r>
      <w:proofErr w:type="spellEnd"/>
      <w:r w:rsidRPr="00E11790">
        <w:rPr>
          <w:rFonts w:ascii="Garamond" w:eastAsiaTheme="minorHAnsi" w:hAnsi="Garamond" w:cs="Garamond"/>
          <w:color w:val="000000"/>
          <w:szCs w:val="24"/>
        </w:rPr>
        <w:t xml:space="preserve"> ose minimizimin e ndikimit negativ në ekosistem;</w:t>
      </w:r>
    </w:p>
    <w:p w14:paraId="2AED4B28"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proofErr w:type="spellStart"/>
      <w:r w:rsidRPr="00E11790">
        <w:rPr>
          <w:rFonts w:ascii="Garamond" w:eastAsiaTheme="minorHAnsi" w:hAnsi="Garamond" w:cs="Garamond"/>
          <w:color w:val="000000"/>
          <w:szCs w:val="24"/>
        </w:rPr>
        <w:t>ii</w:t>
      </w:r>
      <w:proofErr w:type="spellEnd"/>
      <w:r w:rsidRPr="00E11790">
        <w:rPr>
          <w:rFonts w:ascii="Garamond" w:eastAsiaTheme="minorHAnsi" w:hAnsi="Garamond" w:cs="Garamond"/>
          <w:color w:val="000000"/>
          <w:szCs w:val="24"/>
        </w:rPr>
        <w:t>.</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modifikimet ose pajisjet shtesë për të zvogëluar zëniet aksidentale të specieve të rrezikuara, të kërcënuara e të mbrojtura dhe për të zvogëluar zëniet e tjera aksidentale.</w:t>
      </w:r>
    </w:p>
    <w:p w14:paraId="2AED4B29"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c)</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kufizimet ose ndalimet në përdorimin e mjeteve të caktuara të peshkimit, dhe në aktivitetet e peshkimit, në zona ose periudha të veçanta;</w:t>
      </w:r>
    </w:p>
    <w:p w14:paraId="2AED4B2A" w14:textId="2A24D9CF" w:rsidR="00D873D9" w:rsidRPr="00E11790" w:rsidRDefault="00D873D9" w:rsidP="00D873D9">
      <w:pPr>
        <w:tabs>
          <w:tab w:val="left" w:pos="700"/>
          <w:tab w:val="left" w:pos="800"/>
        </w:tabs>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ç)</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ndërprerjen e aktiviteteve të peshkimit nga anijet e peshkimit në një zonë të caktuar për një periudhë minimale të përcaktuar, në mënyrë që të mbrohen grumbullimet e</w:t>
      </w:r>
      <w:r w:rsid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përkohshme të specieve të rrezikuara, rezervat e peshkut në riprodhim, peshqit nën madhësinë e referencës minimale të ruajtjes dhe burimet e tjera detare të cenueshme;</w:t>
      </w:r>
    </w:p>
    <w:p w14:paraId="2AED4B2B" w14:textId="62C49218" w:rsidR="00D873D9" w:rsidRPr="00E11790" w:rsidRDefault="00D873D9" w:rsidP="00D873D9">
      <w:pPr>
        <w:tabs>
          <w:tab w:val="left" w:pos="840"/>
        </w:tabs>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d)</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zvogëlimin e ndikimit negativ të aktiviteteve të peshkimit në </w:t>
      </w:r>
      <w:proofErr w:type="spellStart"/>
      <w:r w:rsidRPr="00E11790">
        <w:rPr>
          <w:rFonts w:ascii="Garamond" w:eastAsiaTheme="minorHAnsi" w:hAnsi="Garamond" w:cs="Garamond"/>
          <w:color w:val="000000"/>
          <w:szCs w:val="24"/>
        </w:rPr>
        <w:t>biodiversitetin</w:t>
      </w:r>
      <w:proofErr w:type="spellEnd"/>
      <w:r w:rsidRPr="00E11790">
        <w:rPr>
          <w:rFonts w:ascii="Garamond" w:eastAsiaTheme="minorHAnsi" w:hAnsi="Garamond" w:cs="Garamond"/>
          <w:color w:val="000000"/>
          <w:szCs w:val="24"/>
        </w:rPr>
        <w:t xml:space="preserve"> detar dhe ekosistemet detare, përfshirë masat që synojnë shmangien dhe zvogëlimin, aq sa është e mundur, të zënieve</w:t>
      </w:r>
      <w:r w:rsid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aksidentale; </w:t>
      </w:r>
    </w:p>
    <w:p w14:paraId="2AED4B2C" w14:textId="7C7FAF12"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szCs w:val="24"/>
        </w:rPr>
      </w:pPr>
      <w:r w:rsidRPr="00E11790">
        <w:rPr>
          <w:rFonts w:ascii="Garamond" w:eastAsiaTheme="minorHAnsi" w:hAnsi="Garamond" w:cs="Garamond"/>
          <w:color w:val="000000"/>
          <w:szCs w:val="24"/>
        </w:rPr>
        <w:t>dh)</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detyrimin e zbarkimit të specieve, për të cilat janë përcaktuar dimensionet minimale, sipas shtojcës </w:t>
      </w:r>
      <w:proofErr w:type="spellStart"/>
      <w:r w:rsidRPr="00E11790">
        <w:rPr>
          <w:rFonts w:ascii="Garamond" w:eastAsiaTheme="minorHAnsi" w:hAnsi="Garamond" w:cs="Garamond"/>
          <w:color w:val="000000"/>
          <w:szCs w:val="24"/>
        </w:rPr>
        <w:t>III</w:t>
      </w:r>
      <w:proofErr w:type="spellEnd"/>
      <w:r w:rsidRPr="00E11790">
        <w:rPr>
          <w:rFonts w:ascii="Garamond" w:eastAsiaTheme="minorHAnsi" w:hAnsi="Garamond" w:cs="Garamond"/>
          <w:color w:val="000000"/>
          <w:szCs w:val="24"/>
        </w:rPr>
        <w:t>, të vendimit nr.</w:t>
      </w:r>
      <w:r w:rsidR="004447B3">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402, datë 8.5.2013, të Këshillit të Ministrave, “Për përcaktimin e masave </w:t>
      </w:r>
      <w:proofErr w:type="spellStart"/>
      <w:r w:rsidRPr="00E11790">
        <w:rPr>
          <w:rFonts w:ascii="Garamond" w:eastAsiaTheme="minorHAnsi" w:hAnsi="Garamond" w:cs="Garamond"/>
          <w:color w:val="000000"/>
          <w:szCs w:val="24"/>
        </w:rPr>
        <w:t>menaxhuese</w:t>
      </w:r>
      <w:proofErr w:type="spellEnd"/>
      <w:r w:rsidRPr="00E11790">
        <w:rPr>
          <w:rFonts w:ascii="Garamond" w:eastAsiaTheme="minorHAnsi" w:hAnsi="Garamond" w:cs="Garamond"/>
          <w:color w:val="000000"/>
          <w:szCs w:val="24"/>
        </w:rPr>
        <w:t xml:space="preserve"> për shfrytëzimin e qëndrueshëm të burimeve peshkore në det”, të ndryshuar, të kryera gjatë aktiviteteve të peshkimit në ujërat territoriale shqiptare ose nga anijet e peshkimit me flamur shqiptar jashtë ujërave territoriale shqiptare.</w:t>
      </w:r>
    </w:p>
    <w:p w14:paraId="2AED4B2D"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szCs w:val="24"/>
        </w:rPr>
      </w:pPr>
      <w:r w:rsidRPr="00E11790">
        <w:rPr>
          <w:rFonts w:ascii="Garamond" w:eastAsiaTheme="minorHAnsi" w:hAnsi="Garamond" w:cs="Garamond"/>
          <w:szCs w:val="24"/>
        </w:rPr>
        <w:t>4. Zbatimi i masave të parashikuara në pikat 2 dhe 3, të këtij vendimi, sigurohet nga:</w:t>
      </w:r>
    </w:p>
    <w:p w14:paraId="2AED4B2E"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szCs w:val="24"/>
        </w:rPr>
      </w:pPr>
      <w:r w:rsidRPr="00E11790">
        <w:rPr>
          <w:rFonts w:ascii="Garamond" w:eastAsiaTheme="minorHAnsi" w:hAnsi="Garamond" w:cs="Garamond"/>
          <w:szCs w:val="24"/>
        </w:rPr>
        <w:t>a)</w:t>
      </w:r>
      <w:r w:rsidR="007A3C1E" w:rsidRPr="00E11790">
        <w:rPr>
          <w:rFonts w:ascii="Garamond" w:eastAsiaTheme="minorHAnsi" w:hAnsi="Garamond" w:cs="Garamond"/>
          <w:szCs w:val="24"/>
        </w:rPr>
        <w:t xml:space="preserve"> </w:t>
      </w:r>
      <w:r w:rsidRPr="00E11790">
        <w:rPr>
          <w:rFonts w:ascii="Garamond" w:eastAsiaTheme="minorHAnsi" w:hAnsi="Garamond" w:cs="Garamond"/>
          <w:szCs w:val="24"/>
        </w:rPr>
        <w:t xml:space="preserve">institucioni përgjegjës për shërbimet e peshkimit dhe të </w:t>
      </w:r>
      <w:proofErr w:type="spellStart"/>
      <w:r w:rsidRPr="00E11790">
        <w:rPr>
          <w:rFonts w:ascii="Garamond" w:eastAsiaTheme="minorHAnsi" w:hAnsi="Garamond" w:cs="Garamond"/>
          <w:szCs w:val="24"/>
        </w:rPr>
        <w:t>akuakulturës</w:t>
      </w:r>
      <w:proofErr w:type="spellEnd"/>
      <w:r w:rsidRPr="00E11790">
        <w:rPr>
          <w:rFonts w:ascii="Garamond" w:eastAsiaTheme="minorHAnsi" w:hAnsi="Garamond" w:cs="Garamond"/>
          <w:szCs w:val="24"/>
        </w:rPr>
        <w:t>;</w:t>
      </w:r>
    </w:p>
    <w:p w14:paraId="2AED4B2F"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szCs w:val="24"/>
        </w:rPr>
      </w:pPr>
      <w:r w:rsidRPr="00E11790">
        <w:rPr>
          <w:rFonts w:ascii="Garamond" w:eastAsiaTheme="minorHAnsi" w:hAnsi="Garamond" w:cs="Garamond"/>
          <w:szCs w:val="24"/>
        </w:rPr>
        <w:t>b)</w:t>
      </w:r>
      <w:r w:rsidR="007A3C1E" w:rsidRPr="00E11790">
        <w:rPr>
          <w:rFonts w:ascii="Garamond" w:eastAsiaTheme="minorHAnsi" w:hAnsi="Garamond" w:cs="Garamond"/>
          <w:szCs w:val="24"/>
        </w:rPr>
        <w:t xml:space="preserve"> </w:t>
      </w:r>
      <w:r w:rsidRPr="00E11790">
        <w:rPr>
          <w:rFonts w:ascii="Garamond" w:eastAsiaTheme="minorHAnsi" w:hAnsi="Garamond" w:cs="Garamond"/>
          <w:szCs w:val="24"/>
        </w:rPr>
        <w:t>Agjencia Kombëtare e Zonave të Mbrojtura, në rastin e peshkimit në zonat e mbrojtura detare e bregdetare.</w:t>
      </w:r>
    </w:p>
    <w:p w14:paraId="2AED4B30"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szCs w:val="24"/>
        </w:rPr>
        <w:t>5.</w:t>
      </w:r>
      <w:r w:rsidR="007A3C1E" w:rsidRPr="00E11790">
        <w:rPr>
          <w:rFonts w:ascii="Garamond" w:eastAsiaTheme="minorHAnsi" w:hAnsi="Garamond" w:cs="Garamond"/>
          <w:szCs w:val="24"/>
        </w:rPr>
        <w:t xml:space="preserve"> </w:t>
      </w:r>
      <w:r w:rsidRPr="00E11790">
        <w:rPr>
          <w:rFonts w:ascii="Garamond" w:eastAsiaTheme="minorHAnsi" w:hAnsi="Garamond" w:cs="Garamond"/>
          <w:szCs w:val="24"/>
        </w:rPr>
        <w:t xml:space="preserve">Objektivat që duhet të arrihen nga </w:t>
      </w:r>
      <w:r w:rsidRPr="00E11790">
        <w:rPr>
          <w:rFonts w:ascii="Garamond" w:eastAsiaTheme="minorHAnsi" w:hAnsi="Garamond" w:cs="Garamond"/>
          <w:color w:val="000000"/>
          <w:szCs w:val="24"/>
        </w:rPr>
        <w:t>zbatimi i një plani shumëvjeçar menaxhimi të peshkimit përcaktohen në pikën 1 të këtij vendimi.</w:t>
      </w:r>
    </w:p>
    <w:p w14:paraId="2AED4B31"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6. Plani shumëvjeçar i menaxhimit të peshkimit hartohet duke iu referuar masave të parashikuara në pikat 2 dhe 3 të këtij vendimi.</w:t>
      </w:r>
    </w:p>
    <w:p w14:paraId="2AED4B32"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7.</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Planet shumëvjeçare të menaxhimit të peshkimit hartohen nga ministri përgjegjës për peshkimin në bashkëpunim me institucionin përgjegjës për shërbimet e peshkimit dhe të </w:t>
      </w:r>
      <w:proofErr w:type="spellStart"/>
      <w:r w:rsidRPr="00E11790">
        <w:rPr>
          <w:rFonts w:ascii="Garamond" w:eastAsiaTheme="minorHAnsi" w:hAnsi="Garamond" w:cs="Garamond"/>
          <w:color w:val="000000"/>
          <w:szCs w:val="24"/>
        </w:rPr>
        <w:t>akuakulturës</w:t>
      </w:r>
      <w:proofErr w:type="spellEnd"/>
      <w:r w:rsidRPr="00E11790">
        <w:rPr>
          <w:rFonts w:ascii="Garamond" w:eastAsiaTheme="minorHAnsi" w:hAnsi="Garamond" w:cs="Garamond"/>
          <w:color w:val="000000"/>
          <w:szCs w:val="24"/>
        </w:rPr>
        <w:t>.</w:t>
      </w:r>
    </w:p>
    <w:p w14:paraId="2AED4B33"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lastRenderedPageBreak/>
        <w:t>8.</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Me përjashtim të pikës 7, të këtij vendimi, hartimi dhe miratimi i planeve të menaxhimit të peshkimit në zonat e mbrojtura detare e bregdetare bëhet nga ministria përgjegjëse për peshkimin në bashkëpunim me ministrinë përgjegjëse për zonat e mbrojtura, në përputhje me kuadrin ligjor në fuqi.</w:t>
      </w:r>
    </w:p>
    <w:p w14:paraId="2AED4B34"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 xml:space="preserve">9. Në rastin kur ministria përgjegjëse për peshkimin e vlerëson të nevojshme, në hartimin e planeve shumëvjeçare të menaxhimit të peshkimit përfshihen edhe institucionet teknike e shkencore. </w:t>
      </w:r>
    </w:p>
    <w:p w14:paraId="2AED4B35" w14:textId="07C52438"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FF0000"/>
          <w:szCs w:val="24"/>
        </w:rPr>
      </w:pPr>
      <w:r w:rsidRPr="00E11790">
        <w:rPr>
          <w:rFonts w:ascii="Garamond" w:eastAsiaTheme="minorHAnsi" w:hAnsi="Garamond" w:cs="Garamond"/>
          <w:color w:val="000000"/>
          <w:szCs w:val="24"/>
        </w:rPr>
        <w:t xml:space="preserve">10. Planet shumëvjeçare miratohen si çështje </w:t>
      </w:r>
      <w:proofErr w:type="spellStart"/>
      <w:r w:rsidRPr="00E11790">
        <w:rPr>
          <w:rFonts w:ascii="Garamond" w:eastAsiaTheme="minorHAnsi" w:hAnsi="Garamond" w:cs="Garamond"/>
          <w:color w:val="000000"/>
          <w:szCs w:val="24"/>
        </w:rPr>
        <w:t>prioritare</w:t>
      </w:r>
      <w:proofErr w:type="spellEnd"/>
      <w:r w:rsidRPr="00E11790">
        <w:rPr>
          <w:rFonts w:ascii="Garamond" w:eastAsiaTheme="minorHAnsi" w:hAnsi="Garamond" w:cs="Garamond"/>
          <w:color w:val="000000"/>
          <w:szCs w:val="24"/>
        </w:rPr>
        <w:t xml:space="preserve"> në bazë të mendimeve shkencore, teknike dhe ekonomike, që përmbajnë masa për ruajtjen dhe që synojnë rivendosjen e ruajtjen e rezervave të peshkut mbi nivelet e afta për të prodhuar rendimentin maksimal të qëndrueshëm, sipas shkronjës “c”, të</w:t>
      </w:r>
      <w:r w:rsid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pikës 1, të këtij vendimi.</w:t>
      </w:r>
      <w:r w:rsidR="00E11790">
        <w:rPr>
          <w:rFonts w:ascii="Garamond" w:eastAsiaTheme="minorHAnsi" w:hAnsi="Garamond" w:cs="Garamond"/>
          <w:color w:val="000000"/>
          <w:szCs w:val="24"/>
        </w:rPr>
        <w:t xml:space="preserve"> </w:t>
      </w:r>
    </w:p>
    <w:p w14:paraId="2AED4B36" w14:textId="77777777" w:rsidR="00D873D9" w:rsidRPr="00E11790" w:rsidRDefault="00A9134F"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11.</w:t>
      </w:r>
      <w:r w:rsidR="007A3C1E" w:rsidRPr="00E11790">
        <w:rPr>
          <w:rFonts w:ascii="Garamond" w:eastAsiaTheme="minorHAnsi" w:hAnsi="Garamond" w:cs="Garamond"/>
          <w:color w:val="000000"/>
          <w:szCs w:val="24"/>
        </w:rPr>
        <w:t xml:space="preserve"> </w:t>
      </w:r>
      <w:r w:rsidR="00D873D9" w:rsidRPr="00E11790">
        <w:rPr>
          <w:rFonts w:ascii="Garamond" w:eastAsiaTheme="minorHAnsi" w:hAnsi="Garamond" w:cs="Garamond"/>
          <w:color w:val="000000"/>
          <w:szCs w:val="24"/>
        </w:rPr>
        <w:t xml:space="preserve">Në rast se nuk është e mundur të përcaktohen objektivat specifikë në lidhje me rendimentin maksimal të qëndrueshëm, sipas shkronjës “c”, të pikës 1, të këtij vendimi, për shkak të </w:t>
      </w:r>
      <w:proofErr w:type="spellStart"/>
      <w:r w:rsidR="00D873D9" w:rsidRPr="00E11790">
        <w:rPr>
          <w:rFonts w:ascii="Garamond" w:eastAsiaTheme="minorHAnsi" w:hAnsi="Garamond" w:cs="Garamond"/>
          <w:color w:val="000000"/>
          <w:szCs w:val="24"/>
        </w:rPr>
        <w:t>të</w:t>
      </w:r>
      <w:proofErr w:type="spellEnd"/>
      <w:r w:rsidR="00D873D9" w:rsidRPr="00E11790">
        <w:rPr>
          <w:rFonts w:ascii="Garamond" w:eastAsiaTheme="minorHAnsi" w:hAnsi="Garamond" w:cs="Garamond"/>
          <w:color w:val="000000"/>
          <w:szCs w:val="24"/>
        </w:rPr>
        <w:t xml:space="preserve"> dhënave të pamjaftueshme, planet shumëvjeçare parashikojnë masa të bazuara në qasjen e kujdesshme në menaxhimin e peshkimit, të cilat sigurojnë të paktën një nivel të krahasueshëm të mbrojtjes së rezervës peshkore në fjalë. </w:t>
      </w:r>
    </w:p>
    <w:p w14:paraId="2AED4B37" w14:textId="496C4032"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12.</w:t>
      </w:r>
      <w:r w:rsidR="004447B3">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Planet shumëvjeçare kanë të bëjnë me:</w:t>
      </w:r>
    </w:p>
    <w:p w14:paraId="2AED4B38"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a)</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një specie të vetme; ose</w:t>
      </w:r>
    </w:p>
    <w:p w14:paraId="2AED4B39"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b)</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në rastin e peshkimit të shumë specieve, kur dinamika e rezervave kryqëzohet, me aktivitetin e peshkimit, që shfrytëzon rezervat e ndryshme në një zonë gjeografike në fjalë, duke marrë parasysh njohuritë m</w:t>
      </w:r>
      <w:bookmarkStart w:id="0" w:name="_GoBack"/>
      <w:bookmarkEnd w:id="0"/>
      <w:r w:rsidRPr="00E11790">
        <w:rPr>
          <w:rFonts w:ascii="Garamond" w:eastAsiaTheme="minorHAnsi" w:hAnsi="Garamond" w:cs="Garamond"/>
          <w:color w:val="000000"/>
          <w:szCs w:val="24"/>
        </w:rPr>
        <w:t>bi ndërveprimet midis rezervave të peshkut, peshkimit dhe ekosistemeve detare.</w:t>
      </w:r>
    </w:p>
    <w:p w14:paraId="2AED4B3A"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13.</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 xml:space="preserve">Planet shumëvjeçare përmbajnë objektiva specifikë të ruajtjes dhe masa konservimi të bazuara në qasjen pro ekosistemit, në mënyrë që të adresojnë problemet specifike të peshkimit të shumë specieve në lidhje me arritjen e objektivave të përcaktuar sipas shkronjës “c”, të pikës 1, të këtij vendimi, për disa stoqe të përfshira në plan dhe nëse këshillimi shkencor tregon se është e pamundur të rritet </w:t>
      </w:r>
      <w:proofErr w:type="spellStart"/>
      <w:r w:rsidRPr="00E11790">
        <w:rPr>
          <w:rFonts w:ascii="Garamond" w:eastAsiaTheme="minorHAnsi" w:hAnsi="Garamond" w:cs="Garamond"/>
          <w:color w:val="000000"/>
          <w:szCs w:val="24"/>
        </w:rPr>
        <w:t>selektiviteti</w:t>
      </w:r>
      <w:proofErr w:type="spellEnd"/>
      <w:r w:rsidRPr="00E11790">
        <w:rPr>
          <w:rFonts w:ascii="Garamond" w:eastAsiaTheme="minorHAnsi" w:hAnsi="Garamond" w:cs="Garamond"/>
          <w:color w:val="000000"/>
          <w:szCs w:val="24"/>
        </w:rPr>
        <w:t xml:space="preserve">. </w:t>
      </w:r>
    </w:p>
    <w:p w14:paraId="2AED4B3B"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14.</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Aty ku është e nevojshme, plani shumëvjeçar përfshin masa alternative specifike të mbrojtjes për disa nga rezervat e përfshira në plan, bazuar në qasjen pro ekosistemit.</w:t>
      </w:r>
    </w:p>
    <w:p w14:paraId="2AED4B3C" w14:textId="3088979B"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15.</w:t>
      </w:r>
      <w:r w:rsidR="007A3C1E" w:rsidRPr="00E11790">
        <w:rPr>
          <w:rFonts w:ascii="Garamond" w:eastAsiaTheme="minorHAnsi" w:hAnsi="Garamond" w:cs="Garamond"/>
          <w:color w:val="000000"/>
          <w:szCs w:val="24"/>
        </w:rPr>
        <w:t xml:space="preserve"> </w:t>
      </w:r>
      <w:r w:rsidRPr="00E11790">
        <w:rPr>
          <w:rFonts w:ascii="Garamond" w:eastAsiaTheme="minorHAnsi" w:hAnsi="Garamond" w:cs="Garamond"/>
          <w:color w:val="000000"/>
          <w:szCs w:val="24"/>
        </w:rPr>
        <w:t>Një plan shumëvjeçar i peshkimit parashikon gjithashtu mundësinë e rishikimit të tij pas vlerësimit paraprak të ndryshimeve të mendimeve shkencore.</w:t>
      </w:r>
      <w:r w:rsidR="00E11790">
        <w:rPr>
          <w:rFonts w:ascii="Garamond" w:eastAsiaTheme="minorHAnsi" w:hAnsi="Garamond" w:cs="Garamond"/>
          <w:color w:val="000000"/>
          <w:szCs w:val="24"/>
        </w:rPr>
        <w:t xml:space="preserve"> </w:t>
      </w:r>
    </w:p>
    <w:p w14:paraId="2AED4B3D"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 xml:space="preserve">16. Ngarkohen ministria përgjegjëse për peshkimin, ministria përgjegjëse për mjedisin, institucioni përgjegjës për shërbimet e peshkimit dhe të </w:t>
      </w:r>
      <w:proofErr w:type="spellStart"/>
      <w:r w:rsidRPr="00E11790">
        <w:rPr>
          <w:rFonts w:ascii="Garamond" w:eastAsiaTheme="minorHAnsi" w:hAnsi="Garamond" w:cs="Garamond"/>
          <w:color w:val="000000"/>
          <w:szCs w:val="24"/>
        </w:rPr>
        <w:t>akuakulturës</w:t>
      </w:r>
      <w:proofErr w:type="spellEnd"/>
      <w:r w:rsidRPr="00E11790">
        <w:rPr>
          <w:rFonts w:ascii="Garamond" w:eastAsiaTheme="minorHAnsi" w:hAnsi="Garamond" w:cs="Garamond"/>
          <w:color w:val="000000"/>
          <w:szCs w:val="24"/>
        </w:rPr>
        <w:t xml:space="preserve"> dhe institucioni përgjegjës për zonat e mbrojtura për zbatimin e këtij vendimi.</w:t>
      </w:r>
    </w:p>
    <w:p w14:paraId="2AED4B3E" w14:textId="77777777" w:rsidR="00D873D9" w:rsidRPr="00E11790" w:rsidRDefault="00D873D9" w:rsidP="00D873D9">
      <w:pPr>
        <w:autoSpaceDE w:val="0"/>
        <w:autoSpaceDN w:val="0"/>
        <w:adjustRightInd w:val="0"/>
        <w:spacing w:after="0" w:line="240" w:lineRule="auto"/>
        <w:ind w:firstLine="284"/>
        <w:jc w:val="both"/>
        <w:rPr>
          <w:rFonts w:ascii="Garamond" w:eastAsiaTheme="minorHAnsi" w:hAnsi="Garamond" w:cs="Garamond"/>
          <w:color w:val="000000"/>
          <w:szCs w:val="24"/>
        </w:rPr>
      </w:pPr>
      <w:r w:rsidRPr="00E11790">
        <w:rPr>
          <w:rFonts w:ascii="Garamond" w:eastAsiaTheme="minorHAnsi" w:hAnsi="Garamond" w:cs="Garamond"/>
          <w:color w:val="000000"/>
          <w:szCs w:val="24"/>
        </w:rPr>
        <w:t>Ky ven</w:t>
      </w:r>
      <w:r w:rsidR="00A9134F" w:rsidRPr="00E11790">
        <w:rPr>
          <w:rFonts w:ascii="Garamond" w:eastAsiaTheme="minorHAnsi" w:hAnsi="Garamond" w:cs="Garamond"/>
          <w:color w:val="000000"/>
          <w:szCs w:val="24"/>
        </w:rPr>
        <w:t xml:space="preserve">dim hyn në fuqi pas botimit në </w:t>
      </w:r>
      <w:r w:rsidRPr="00E11790">
        <w:rPr>
          <w:rFonts w:ascii="Garamond" w:eastAsiaTheme="minorHAnsi" w:hAnsi="Garamond" w:cs="Garamond"/>
          <w:color w:val="000000"/>
          <w:szCs w:val="24"/>
        </w:rPr>
        <w:t xml:space="preserve">Fletoren </w:t>
      </w:r>
      <w:r w:rsidR="00A9134F" w:rsidRPr="00E11790">
        <w:rPr>
          <w:rFonts w:ascii="Garamond" w:eastAsiaTheme="minorHAnsi" w:hAnsi="Garamond" w:cs="Garamond"/>
          <w:color w:val="000000"/>
          <w:szCs w:val="24"/>
        </w:rPr>
        <w:t>Zyrtare</w:t>
      </w:r>
      <w:r w:rsidRPr="00E11790">
        <w:rPr>
          <w:rFonts w:ascii="Garamond" w:eastAsiaTheme="minorHAnsi" w:hAnsi="Garamond" w:cs="Garamond"/>
          <w:color w:val="000000"/>
          <w:szCs w:val="24"/>
        </w:rPr>
        <w:t>.</w:t>
      </w:r>
    </w:p>
    <w:p w14:paraId="2AED4B3F" w14:textId="77777777" w:rsidR="00A9134F" w:rsidRPr="00E11790" w:rsidRDefault="00A9134F" w:rsidP="00D873D9">
      <w:pPr>
        <w:spacing w:after="0" w:line="240" w:lineRule="auto"/>
        <w:ind w:firstLine="284"/>
        <w:jc w:val="center"/>
        <w:rPr>
          <w:rFonts w:ascii="Garamond" w:eastAsia="Times New Roman" w:hAnsi="Garamond"/>
          <w:b/>
          <w:bCs/>
          <w:szCs w:val="24"/>
          <w:lang w:bidi="en-US"/>
        </w:rPr>
      </w:pPr>
    </w:p>
    <w:p w14:paraId="2AED4B40" w14:textId="77777777" w:rsidR="00A368BE" w:rsidRPr="00E11790" w:rsidRDefault="00A368BE" w:rsidP="00A9134F">
      <w:pPr>
        <w:spacing w:after="0" w:line="240" w:lineRule="auto"/>
        <w:ind w:firstLine="284"/>
        <w:jc w:val="right"/>
        <w:rPr>
          <w:rFonts w:ascii="Garamond" w:eastAsia="Times New Roman" w:hAnsi="Garamond"/>
          <w:bCs/>
          <w:szCs w:val="24"/>
          <w:lang w:bidi="en-US"/>
        </w:rPr>
      </w:pPr>
      <w:r w:rsidRPr="00E11790">
        <w:rPr>
          <w:rFonts w:ascii="Garamond" w:eastAsia="Times New Roman" w:hAnsi="Garamond"/>
          <w:bCs/>
          <w:szCs w:val="24"/>
          <w:lang w:bidi="en-US"/>
        </w:rPr>
        <w:t>ZËVENDËSKRYEMINIST</w:t>
      </w:r>
      <w:r w:rsidR="00D873D9" w:rsidRPr="00E11790">
        <w:rPr>
          <w:rFonts w:ascii="Garamond" w:eastAsia="Times New Roman" w:hAnsi="Garamond"/>
          <w:bCs/>
          <w:szCs w:val="24"/>
          <w:lang w:bidi="en-US"/>
        </w:rPr>
        <w:t>ËR</w:t>
      </w:r>
    </w:p>
    <w:p w14:paraId="2AED4B41" w14:textId="77777777" w:rsidR="00A368BE" w:rsidRPr="00E11790" w:rsidRDefault="00A9134F" w:rsidP="00A9134F">
      <w:pPr>
        <w:spacing w:after="0" w:line="240" w:lineRule="auto"/>
        <w:ind w:firstLine="284"/>
        <w:jc w:val="right"/>
        <w:rPr>
          <w:rFonts w:ascii="Garamond" w:eastAsia="Times New Roman" w:hAnsi="Garamond"/>
          <w:b/>
          <w:bCs/>
          <w:szCs w:val="24"/>
          <w:lang w:bidi="en-US"/>
        </w:rPr>
      </w:pPr>
      <w:r w:rsidRPr="00E11790">
        <w:rPr>
          <w:rFonts w:ascii="Garamond" w:eastAsia="Times New Roman" w:hAnsi="Garamond"/>
          <w:b/>
          <w:bCs/>
          <w:szCs w:val="24"/>
          <w:lang w:bidi="en-US"/>
        </w:rPr>
        <w:t xml:space="preserve">Arben </w:t>
      </w:r>
      <w:proofErr w:type="spellStart"/>
      <w:r w:rsidRPr="00E11790">
        <w:rPr>
          <w:rFonts w:ascii="Garamond" w:eastAsia="Times New Roman" w:hAnsi="Garamond"/>
          <w:b/>
          <w:bCs/>
          <w:szCs w:val="24"/>
          <w:lang w:bidi="en-US"/>
        </w:rPr>
        <w:t>Ahmetaj</w:t>
      </w:r>
      <w:proofErr w:type="spellEnd"/>
    </w:p>
    <w:sectPr w:rsidR="00A368BE" w:rsidRPr="00E11790" w:rsidSect="00873ABF">
      <w:footerReference w:type="first" r:id="rId13"/>
      <w:pgSz w:w="11906" w:h="16838" w:code="9"/>
      <w:pgMar w:top="1440" w:right="1440" w:bottom="1440" w:left="1440" w:header="737" w:footer="54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4A9060" w14:textId="77777777" w:rsidR="00E11790" w:rsidRDefault="00E11790" w:rsidP="003A494A">
      <w:pPr>
        <w:spacing w:after="0" w:line="240" w:lineRule="auto"/>
      </w:pPr>
      <w:r>
        <w:separator/>
      </w:r>
    </w:p>
  </w:endnote>
  <w:endnote w:type="continuationSeparator" w:id="0">
    <w:p w14:paraId="4EC3A139" w14:textId="77777777" w:rsidR="00E11790" w:rsidRDefault="00E11790" w:rsidP="003A494A">
      <w:pPr>
        <w:spacing w:after="0" w:line="240" w:lineRule="auto"/>
      </w:pPr>
      <w:r>
        <w:continuationSeparator/>
      </w:r>
    </w:p>
  </w:endnote>
  <w:endnote w:type="continuationNotice" w:id="1">
    <w:p w14:paraId="40D3DF99" w14:textId="77777777" w:rsidR="00F23EAE" w:rsidRDefault="00F23E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ED4B46" w14:textId="77777777" w:rsidR="00E11790" w:rsidRDefault="00E11790">
    <w:pPr>
      <w:pStyle w:val="Footer"/>
      <w:jc w:val="right"/>
    </w:pPr>
  </w:p>
  <w:p w14:paraId="2AED4B47" w14:textId="77777777" w:rsidR="00E11790" w:rsidRDefault="00E11790" w:rsidP="0071000D">
    <w:pPr>
      <w:pStyle w:val="Footer"/>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DB70FF" w14:textId="77777777" w:rsidR="00E11790" w:rsidRDefault="00E11790" w:rsidP="003A494A">
      <w:pPr>
        <w:spacing w:after="0" w:line="240" w:lineRule="auto"/>
      </w:pPr>
      <w:r>
        <w:separator/>
      </w:r>
    </w:p>
  </w:footnote>
  <w:footnote w:type="continuationSeparator" w:id="0">
    <w:p w14:paraId="1D632CE0" w14:textId="77777777" w:rsidR="00E11790" w:rsidRDefault="00E11790" w:rsidP="003A494A">
      <w:pPr>
        <w:spacing w:after="0" w:line="240" w:lineRule="auto"/>
      </w:pPr>
      <w:r>
        <w:continuationSeparator/>
      </w:r>
    </w:p>
  </w:footnote>
  <w:footnote w:type="continuationNotice" w:id="1">
    <w:p w14:paraId="3D9EABFD" w14:textId="77777777" w:rsidR="00F23EAE" w:rsidRDefault="00F23EAE">
      <w:pPr>
        <w:spacing w:after="0" w:line="240" w:lineRule="auto"/>
      </w:pPr>
    </w:p>
  </w:footnote>
  <w:footnote w:id="2">
    <w:p w14:paraId="2AED4B48" w14:textId="77777777" w:rsidR="00E11790" w:rsidRPr="00E11790" w:rsidRDefault="00E11790" w:rsidP="00A9134F">
      <w:pPr>
        <w:pStyle w:val="FootnoteText"/>
        <w:rPr>
          <w:rFonts w:ascii="Garamond" w:hAnsi="Garamond"/>
          <w:lang w:val="sq-AL"/>
        </w:rPr>
      </w:pPr>
      <w:r w:rsidRPr="00E11790">
        <w:rPr>
          <w:rStyle w:val="FootnoteReference"/>
          <w:lang w:val="sq-AL"/>
        </w:rPr>
        <w:footnoteRef/>
      </w:r>
      <w:r w:rsidRPr="00E11790">
        <w:rPr>
          <w:lang w:val="sq-AL"/>
        </w:rPr>
        <w:t xml:space="preserve"> </w:t>
      </w:r>
      <w:r w:rsidRPr="00E11790">
        <w:rPr>
          <w:rFonts w:ascii="Garamond" w:hAnsi="Garamond"/>
          <w:lang w:val="sq-AL"/>
        </w:rPr>
        <w:t>Ky vendim përafron pjesërisht:</w:t>
      </w:r>
    </w:p>
    <w:p w14:paraId="2AED4B49" w14:textId="72AD852F" w:rsidR="00E11790" w:rsidRPr="00E11790" w:rsidRDefault="00E11790" w:rsidP="00E11790">
      <w:pPr>
        <w:pStyle w:val="FootnoteText"/>
        <w:jc w:val="both"/>
        <w:rPr>
          <w:rFonts w:ascii="Garamond" w:hAnsi="Garamond"/>
          <w:lang w:val="sq-AL"/>
        </w:rPr>
      </w:pPr>
      <w:r w:rsidRPr="00E11790">
        <w:rPr>
          <w:rFonts w:ascii="Garamond" w:hAnsi="Garamond"/>
          <w:lang w:val="sq-AL"/>
        </w:rPr>
        <w:t xml:space="preserve">Rregulloren (BE) nr. 1380/2013, të Parlamentit Evropian dhe të Këshillit të datës 11 dhjetor 2013, mbi politikën e përbashkët të peshkimit, që ndryshon rregulloret e Këshillit (KE) nr. 1954/2003 dhe (KE) nr. 1224/2009 dhe që shfuqizon rregulloret e Këshillit (KE) nr. 2371/2002 dhe (KE) nr. 639/2004 dhe vendimin e Këshillit 2004/585/KE; </w:t>
      </w:r>
      <w:proofErr w:type="spellStart"/>
      <w:r w:rsidRPr="00E11790">
        <w:rPr>
          <w:rFonts w:ascii="Garamond" w:hAnsi="Garamond"/>
          <w:iCs/>
          <w:lang w:val="sq-AL"/>
        </w:rPr>
        <w:t>Celex</w:t>
      </w:r>
      <w:proofErr w:type="spellEnd"/>
      <w:r w:rsidRPr="00E11790">
        <w:rPr>
          <w:rFonts w:ascii="Garamond" w:hAnsi="Garamond"/>
          <w:iCs/>
          <w:lang w:val="sq-AL"/>
        </w:rPr>
        <w:t xml:space="preserve"> nr. </w:t>
      </w:r>
      <w:proofErr w:type="spellStart"/>
      <w:r w:rsidRPr="00E11790">
        <w:rPr>
          <w:rFonts w:ascii="Garamond" w:hAnsi="Garamond"/>
          <w:lang w:val="sq-AL"/>
        </w:rPr>
        <w:t>32013R1380</w:t>
      </w:r>
      <w:proofErr w:type="spellEnd"/>
      <w:r w:rsidRPr="00E11790">
        <w:rPr>
          <w:rFonts w:ascii="Garamond" w:hAnsi="Garamond"/>
          <w:lang w:val="sq-AL"/>
        </w:rPr>
        <w:t>, Fletore Zyrtare e BE-së, L 354, 28.12.2013, f. 22–61.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3C23E3"/>
    <w:multiLevelType w:val="hybridMultilevel"/>
    <w:tmpl w:val="C9DC8E3E"/>
    <w:lvl w:ilvl="0" w:tplc="0484001B">
      <w:start w:val="1"/>
      <w:numFmt w:val="lowerRoman"/>
      <w:lvlText w:val="%1."/>
      <w:lvlJc w:val="right"/>
      <w:pPr>
        <w:ind w:left="1800" w:hanging="360"/>
      </w:pPr>
      <w:rPr>
        <w:rFonts w:hint="default"/>
      </w:rPr>
    </w:lvl>
    <w:lvl w:ilvl="1" w:tplc="08090019" w:tentative="1">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144D703A"/>
    <w:multiLevelType w:val="hybridMultilevel"/>
    <w:tmpl w:val="72267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CA5266"/>
    <w:multiLevelType w:val="hybridMultilevel"/>
    <w:tmpl w:val="9D6CC620"/>
    <w:lvl w:ilvl="0" w:tplc="041C000F">
      <w:start w:val="1"/>
      <w:numFmt w:val="decimal"/>
      <w:lvlText w:val="%1."/>
      <w:lvlJc w:val="left"/>
      <w:pPr>
        <w:ind w:left="540" w:hanging="360"/>
      </w:p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3">
    <w:nsid w:val="183316B8"/>
    <w:multiLevelType w:val="hybridMultilevel"/>
    <w:tmpl w:val="6BC29346"/>
    <w:lvl w:ilvl="0" w:tplc="D1707664">
      <w:start w:val="1"/>
      <w:numFmt w:val="lowerLetter"/>
      <w:lvlText w:val="%1)"/>
      <w:lvlJc w:val="left"/>
      <w:pPr>
        <w:ind w:left="1800" w:hanging="360"/>
      </w:pPr>
    </w:lvl>
    <w:lvl w:ilvl="1" w:tplc="0484001B">
      <w:start w:val="1"/>
      <w:numFmt w:val="lowerRoman"/>
      <w:lvlText w:val="%2."/>
      <w:lvlJc w:val="right"/>
      <w:pPr>
        <w:ind w:left="2520" w:hanging="360"/>
      </w:pPr>
      <w:rPr>
        <w:rFonts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23AA7443"/>
    <w:multiLevelType w:val="hybridMultilevel"/>
    <w:tmpl w:val="26A02208"/>
    <w:lvl w:ilvl="0" w:tplc="2B5A8C34">
      <w:start w:val="2"/>
      <w:numFmt w:val="decimal"/>
      <w:lvlText w:val="%1."/>
      <w:lvlJc w:val="right"/>
      <w:pPr>
        <w:ind w:left="1080" w:hanging="720"/>
      </w:pPr>
      <w:rPr>
        <w:rFonts w:ascii="Times New Roman" w:eastAsia="Calibri" w:hAnsi="Times New Roman" w:cs="Times New Roman" w:hint="default"/>
        <w:sz w:val="22"/>
      </w:rPr>
    </w:lvl>
    <w:lvl w:ilvl="1" w:tplc="D4A8BBD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47D0504"/>
    <w:multiLevelType w:val="hybridMultilevel"/>
    <w:tmpl w:val="39AE2E02"/>
    <w:lvl w:ilvl="0" w:tplc="08090017">
      <w:start w:val="1"/>
      <w:numFmt w:val="lowerLetter"/>
      <w:lvlText w:val="%1)"/>
      <w:lvlJc w:val="left"/>
      <w:pPr>
        <w:ind w:left="927" w:hanging="360"/>
      </w:p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nsid w:val="2A9B41D9"/>
    <w:multiLevelType w:val="hybridMultilevel"/>
    <w:tmpl w:val="8E8AD402"/>
    <w:lvl w:ilvl="0" w:tplc="08090017">
      <w:start w:val="1"/>
      <w:numFmt w:val="lowerLetter"/>
      <w:lvlText w:val="%1)"/>
      <w:lvlJc w:val="left"/>
      <w:pPr>
        <w:ind w:left="720" w:hanging="360"/>
      </w:pPr>
    </w:lvl>
    <w:lvl w:ilvl="1" w:tplc="08090019">
      <w:start w:val="1"/>
      <w:numFmt w:val="lowerLetter"/>
      <w:lvlText w:val="%2."/>
      <w:lvlJc w:val="left"/>
      <w:pPr>
        <w:ind w:left="36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D1D7025"/>
    <w:multiLevelType w:val="hybridMultilevel"/>
    <w:tmpl w:val="B49078A6"/>
    <w:lvl w:ilvl="0" w:tplc="AC5E143C">
      <w:start w:val="5"/>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nsid w:val="301A1484"/>
    <w:multiLevelType w:val="hybridMultilevel"/>
    <w:tmpl w:val="868ACA40"/>
    <w:lvl w:ilvl="0" w:tplc="04090019">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9">
    <w:nsid w:val="327F62C9"/>
    <w:multiLevelType w:val="hybridMultilevel"/>
    <w:tmpl w:val="0AEC7B2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35DB414D"/>
    <w:multiLevelType w:val="hybridMultilevel"/>
    <w:tmpl w:val="44B0A5B4"/>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nsid w:val="3E785496"/>
    <w:multiLevelType w:val="hybridMultilevel"/>
    <w:tmpl w:val="B01E13F2"/>
    <w:lvl w:ilvl="0" w:tplc="08090017">
      <w:start w:val="1"/>
      <w:numFmt w:val="lowerLetter"/>
      <w:lvlText w:val="%1)"/>
      <w:lvlJc w:val="left"/>
      <w:pPr>
        <w:ind w:left="927" w:hanging="360"/>
      </w:pPr>
    </w:lvl>
    <w:lvl w:ilvl="1" w:tplc="08090017">
      <w:start w:val="1"/>
      <w:numFmt w:val="lowerLetter"/>
      <w:lvlText w:val="%2)"/>
      <w:lvlJc w:val="left"/>
      <w:pPr>
        <w:ind w:left="1647" w:hanging="360"/>
      </w:pPr>
    </w:lvl>
    <w:lvl w:ilvl="2" w:tplc="0809001B">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nsid w:val="409E2B43"/>
    <w:multiLevelType w:val="hybridMultilevel"/>
    <w:tmpl w:val="3BFC9FB2"/>
    <w:lvl w:ilvl="0" w:tplc="2A960FBE">
      <w:start w:val="10"/>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3">
    <w:nsid w:val="40D72E75"/>
    <w:multiLevelType w:val="hybridMultilevel"/>
    <w:tmpl w:val="14BE3148"/>
    <w:lvl w:ilvl="0" w:tplc="D1707664">
      <w:start w:val="1"/>
      <w:numFmt w:val="lowerLetter"/>
      <w:lvlText w:val="%1)"/>
      <w:lvlJc w:val="left"/>
      <w:pPr>
        <w:ind w:left="1800" w:hanging="360"/>
      </w:pPr>
    </w:lvl>
    <w:lvl w:ilvl="1" w:tplc="041C0019">
      <w:start w:val="1"/>
      <w:numFmt w:val="lowerLetter"/>
      <w:lvlText w:val="%2."/>
      <w:lvlJc w:val="left"/>
      <w:pPr>
        <w:ind w:left="2520" w:hanging="360"/>
      </w:pPr>
      <w:rPr>
        <w:rFonts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nsid w:val="42880B94"/>
    <w:multiLevelType w:val="hybridMultilevel"/>
    <w:tmpl w:val="D15E9D28"/>
    <w:lvl w:ilvl="0" w:tplc="041C0019">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nsid w:val="46073751"/>
    <w:multiLevelType w:val="hybridMultilevel"/>
    <w:tmpl w:val="63C87346"/>
    <w:lvl w:ilvl="0" w:tplc="D1707664">
      <w:start w:val="1"/>
      <w:numFmt w:val="lowerLetter"/>
      <w:lvlText w:val="%1)"/>
      <w:lvlJc w:val="left"/>
      <w:pPr>
        <w:ind w:left="1800" w:hanging="360"/>
      </w:pPr>
    </w:lvl>
    <w:lvl w:ilvl="1" w:tplc="08090017">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nsid w:val="4E387C9E"/>
    <w:multiLevelType w:val="hybridMultilevel"/>
    <w:tmpl w:val="01A8F1C6"/>
    <w:lvl w:ilvl="0" w:tplc="041C000F">
      <w:start w:val="1"/>
      <w:numFmt w:val="decimal"/>
      <w:lvlText w:val="%1."/>
      <w:lvlJc w:val="left"/>
      <w:pPr>
        <w:ind w:left="862" w:hanging="360"/>
      </w:pPr>
    </w:lvl>
    <w:lvl w:ilvl="1" w:tplc="041C0019" w:tentative="1">
      <w:start w:val="1"/>
      <w:numFmt w:val="lowerLetter"/>
      <w:lvlText w:val="%2."/>
      <w:lvlJc w:val="left"/>
      <w:pPr>
        <w:ind w:left="1582" w:hanging="360"/>
      </w:pPr>
    </w:lvl>
    <w:lvl w:ilvl="2" w:tplc="041C001B" w:tentative="1">
      <w:start w:val="1"/>
      <w:numFmt w:val="lowerRoman"/>
      <w:lvlText w:val="%3."/>
      <w:lvlJc w:val="right"/>
      <w:pPr>
        <w:ind w:left="2302" w:hanging="180"/>
      </w:pPr>
    </w:lvl>
    <w:lvl w:ilvl="3" w:tplc="041C000F" w:tentative="1">
      <w:start w:val="1"/>
      <w:numFmt w:val="decimal"/>
      <w:lvlText w:val="%4."/>
      <w:lvlJc w:val="left"/>
      <w:pPr>
        <w:ind w:left="3022" w:hanging="360"/>
      </w:pPr>
    </w:lvl>
    <w:lvl w:ilvl="4" w:tplc="041C0019" w:tentative="1">
      <w:start w:val="1"/>
      <w:numFmt w:val="lowerLetter"/>
      <w:lvlText w:val="%5."/>
      <w:lvlJc w:val="left"/>
      <w:pPr>
        <w:ind w:left="3742" w:hanging="360"/>
      </w:pPr>
    </w:lvl>
    <w:lvl w:ilvl="5" w:tplc="041C001B" w:tentative="1">
      <w:start w:val="1"/>
      <w:numFmt w:val="lowerRoman"/>
      <w:lvlText w:val="%6."/>
      <w:lvlJc w:val="right"/>
      <w:pPr>
        <w:ind w:left="4462" w:hanging="180"/>
      </w:pPr>
    </w:lvl>
    <w:lvl w:ilvl="6" w:tplc="041C000F" w:tentative="1">
      <w:start w:val="1"/>
      <w:numFmt w:val="decimal"/>
      <w:lvlText w:val="%7."/>
      <w:lvlJc w:val="left"/>
      <w:pPr>
        <w:ind w:left="5182" w:hanging="360"/>
      </w:pPr>
    </w:lvl>
    <w:lvl w:ilvl="7" w:tplc="041C0019" w:tentative="1">
      <w:start w:val="1"/>
      <w:numFmt w:val="lowerLetter"/>
      <w:lvlText w:val="%8."/>
      <w:lvlJc w:val="left"/>
      <w:pPr>
        <w:ind w:left="5902" w:hanging="360"/>
      </w:pPr>
    </w:lvl>
    <w:lvl w:ilvl="8" w:tplc="041C001B" w:tentative="1">
      <w:start w:val="1"/>
      <w:numFmt w:val="lowerRoman"/>
      <w:lvlText w:val="%9."/>
      <w:lvlJc w:val="right"/>
      <w:pPr>
        <w:ind w:left="6622" w:hanging="180"/>
      </w:pPr>
    </w:lvl>
  </w:abstractNum>
  <w:abstractNum w:abstractNumId="17">
    <w:nsid w:val="54B20224"/>
    <w:multiLevelType w:val="hybridMultilevel"/>
    <w:tmpl w:val="742C447C"/>
    <w:lvl w:ilvl="0" w:tplc="76262D18">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nsid w:val="594D1C96"/>
    <w:multiLevelType w:val="hybridMultilevel"/>
    <w:tmpl w:val="6C7A1652"/>
    <w:lvl w:ilvl="0" w:tplc="04090017">
      <w:start w:val="1"/>
      <w:numFmt w:val="lowerLetter"/>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nsid w:val="626B7F11"/>
    <w:multiLevelType w:val="hybridMultilevel"/>
    <w:tmpl w:val="2A208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C3F0013"/>
    <w:multiLevelType w:val="hybridMultilevel"/>
    <w:tmpl w:val="0CAA45F8"/>
    <w:lvl w:ilvl="0" w:tplc="0E8EACB2">
      <w:start w:val="3"/>
      <w:numFmt w:val="lowerLetter"/>
      <w:lvlText w:val="%1)"/>
      <w:lvlJc w:val="left"/>
      <w:pPr>
        <w:ind w:left="18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DBD4436"/>
    <w:multiLevelType w:val="hybridMultilevel"/>
    <w:tmpl w:val="3AB00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41F263C"/>
    <w:multiLevelType w:val="hybridMultilevel"/>
    <w:tmpl w:val="C89ED334"/>
    <w:lvl w:ilvl="0" w:tplc="EF2CF012">
      <w:start w:val="1"/>
      <w:numFmt w:val="decimal"/>
      <w:lvlText w:val="%1."/>
      <w:lvlJc w:val="right"/>
      <w:pPr>
        <w:ind w:left="1080" w:hanging="720"/>
      </w:pPr>
      <w:rPr>
        <w:rFonts w:ascii="Times New Roman" w:eastAsia="Calibri" w:hAnsi="Times New Roman" w:cs="Times New Roman"/>
        <w:sz w:val="22"/>
      </w:rPr>
    </w:lvl>
    <w:lvl w:ilvl="1" w:tplc="BAF00A02">
      <w:start w:val="1"/>
      <w:numFmt w:val="lowerLetter"/>
      <w:lvlText w:val="%2)"/>
      <w:lvlJc w:val="left"/>
      <w:pPr>
        <w:ind w:left="1440" w:hanging="360"/>
      </w:pPr>
      <w:rPr>
        <w:rFonts w:hint="default"/>
      </w:rPr>
    </w:lvl>
    <w:lvl w:ilvl="2" w:tplc="FC0E3450">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8A524B8"/>
    <w:multiLevelType w:val="hybridMultilevel"/>
    <w:tmpl w:val="295289A4"/>
    <w:lvl w:ilvl="0" w:tplc="041C000F">
      <w:start w:val="1"/>
      <w:numFmt w:val="decimal"/>
      <w:lvlText w:val="%1."/>
      <w:lvlJc w:val="left"/>
      <w:pPr>
        <w:ind w:left="720" w:hanging="360"/>
      </w:p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796860B3"/>
    <w:multiLevelType w:val="hybridMultilevel"/>
    <w:tmpl w:val="EE0280CC"/>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
  </w:num>
  <w:num w:numId="2">
    <w:abstractNumId w:val="22"/>
  </w:num>
  <w:num w:numId="3">
    <w:abstractNumId w:val="17"/>
  </w:num>
  <w:num w:numId="4">
    <w:abstractNumId w:val="18"/>
  </w:num>
  <w:num w:numId="5">
    <w:abstractNumId w:val="8"/>
  </w:num>
  <w:num w:numId="6">
    <w:abstractNumId w:val="6"/>
  </w:num>
  <w:num w:numId="7">
    <w:abstractNumId w:val="4"/>
  </w:num>
  <w:num w:numId="8">
    <w:abstractNumId w:val="15"/>
  </w:num>
  <w:num w:numId="9">
    <w:abstractNumId w:val="0"/>
  </w:num>
  <w:num w:numId="10">
    <w:abstractNumId w:val="24"/>
  </w:num>
  <w:num w:numId="11">
    <w:abstractNumId w:val="5"/>
  </w:num>
  <w:num w:numId="12">
    <w:abstractNumId w:val="12"/>
  </w:num>
  <w:num w:numId="13">
    <w:abstractNumId w:val="3"/>
  </w:num>
  <w:num w:numId="14">
    <w:abstractNumId w:val="20"/>
  </w:num>
  <w:num w:numId="15">
    <w:abstractNumId w:val="7"/>
  </w:num>
  <w:num w:numId="16">
    <w:abstractNumId w:val="11"/>
  </w:num>
  <w:num w:numId="17">
    <w:abstractNumId w:val="9"/>
  </w:num>
  <w:num w:numId="18">
    <w:abstractNumId w:val="13"/>
  </w:num>
  <w:num w:numId="19">
    <w:abstractNumId w:val="21"/>
  </w:num>
  <w:num w:numId="20">
    <w:abstractNumId w:val="19"/>
  </w:num>
  <w:num w:numId="21">
    <w:abstractNumId w:val="2"/>
  </w:num>
  <w:num w:numId="22">
    <w:abstractNumId w:val="23"/>
  </w:num>
  <w:num w:numId="23">
    <w:abstractNumId w:val="16"/>
  </w:num>
  <w:num w:numId="24">
    <w:abstractNumId w:val="1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8F7"/>
    <w:rsid w:val="000000EB"/>
    <w:rsid w:val="00004FEB"/>
    <w:rsid w:val="00054A6F"/>
    <w:rsid w:val="00057E3B"/>
    <w:rsid w:val="00065249"/>
    <w:rsid w:val="00074AA3"/>
    <w:rsid w:val="0007593D"/>
    <w:rsid w:val="00092960"/>
    <w:rsid w:val="00095E84"/>
    <w:rsid w:val="000A406F"/>
    <w:rsid w:val="000A5D9A"/>
    <w:rsid w:val="000C0CEE"/>
    <w:rsid w:val="000E35F0"/>
    <w:rsid w:val="000F19BA"/>
    <w:rsid w:val="000F4B8E"/>
    <w:rsid w:val="00113EB3"/>
    <w:rsid w:val="00117706"/>
    <w:rsid w:val="00117DA3"/>
    <w:rsid w:val="00124EC6"/>
    <w:rsid w:val="001327CC"/>
    <w:rsid w:val="0013640B"/>
    <w:rsid w:val="0015714F"/>
    <w:rsid w:val="0016005E"/>
    <w:rsid w:val="00163B18"/>
    <w:rsid w:val="001758F7"/>
    <w:rsid w:val="00177C91"/>
    <w:rsid w:val="00187101"/>
    <w:rsid w:val="001A34BB"/>
    <w:rsid w:val="001A7590"/>
    <w:rsid w:val="001C0692"/>
    <w:rsid w:val="001D74BB"/>
    <w:rsid w:val="001D7CB1"/>
    <w:rsid w:val="001E1DB4"/>
    <w:rsid w:val="001E3475"/>
    <w:rsid w:val="00202B2C"/>
    <w:rsid w:val="00203482"/>
    <w:rsid w:val="00207208"/>
    <w:rsid w:val="00213185"/>
    <w:rsid w:val="002137CD"/>
    <w:rsid w:val="0022559A"/>
    <w:rsid w:val="002368B3"/>
    <w:rsid w:val="00242635"/>
    <w:rsid w:val="00244305"/>
    <w:rsid w:val="00271484"/>
    <w:rsid w:val="00274A06"/>
    <w:rsid w:val="0028140D"/>
    <w:rsid w:val="002879A9"/>
    <w:rsid w:val="002B259E"/>
    <w:rsid w:val="002C2E3E"/>
    <w:rsid w:val="002C4838"/>
    <w:rsid w:val="002D51B0"/>
    <w:rsid w:val="002E29A6"/>
    <w:rsid w:val="002F4EAF"/>
    <w:rsid w:val="002F63C4"/>
    <w:rsid w:val="00307FF6"/>
    <w:rsid w:val="00310106"/>
    <w:rsid w:val="00323939"/>
    <w:rsid w:val="003404E1"/>
    <w:rsid w:val="003412F3"/>
    <w:rsid w:val="00350605"/>
    <w:rsid w:val="00370AC6"/>
    <w:rsid w:val="003710E2"/>
    <w:rsid w:val="00372797"/>
    <w:rsid w:val="0038292B"/>
    <w:rsid w:val="00384949"/>
    <w:rsid w:val="00390F53"/>
    <w:rsid w:val="003A211F"/>
    <w:rsid w:val="003A494A"/>
    <w:rsid w:val="003B2B82"/>
    <w:rsid w:val="003C68CE"/>
    <w:rsid w:val="004034E1"/>
    <w:rsid w:val="0043013A"/>
    <w:rsid w:val="00432F87"/>
    <w:rsid w:val="004362CA"/>
    <w:rsid w:val="00442154"/>
    <w:rsid w:val="004447B3"/>
    <w:rsid w:val="00466DCC"/>
    <w:rsid w:val="00487852"/>
    <w:rsid w:val="004B3C8C"/>
    <w:rsid w:val="004C3E4A"/>
    <w:rsid w:val="004E4CA5"/>
    <w:rsid w:val="00506577"/>
    <w:rsid w:val="00512FFA"/>
    <w:rsid w:val="00535C6C"/>
    <w:rsid w:val="00547FA4"/>
    <w:rsid w:val="00566241"/>
    <w:rsid w:val="00586D2B"/>
    <w:rsid w:val="005A1D38"/>
    <w:rsid w:val="005A41C3"/>
    <w:rsid w:val="005B17CC"/>
    <w:rsid w:val="005B5A5B"/>
    <w:rsid w:val="005B63A3"/>
    <w:rsid w:val="005B6ED5"/>
    <w:rsid w:val="005C2CBB"/>
    <w:rsid w:val="005C4284"/>
    <w:rsid w:val="005D5AD6"/>
    <w:rsid w:val="005E4B66"/>
    <w:rsid w:val="00606943"/>
    <w:rsid w:val="00645477"/>
    <w:rsid w:val="00685322"/>
    <w:rsid w:val="00690653"/>
    <w:rsid w:val="006A2D76"/>
    <w:rsid w:val="007002B8"/>
    <w:rsid w:val="0071000D"/>
    <w:rsid w:val="00714F4C"/>
    <w:rsid w:val="0072285F"/>
    <w:rsid w:val="00723461"/>
    <w:rsid w:val="00764DA6"/>
    <w:rsid w:val="007726C9"/>
    <w:rsid w:val="0079000F"/>
    <w:rsid w:val="00797BAD"/>
    <w:rsid w:val="007A026C"/>
    <w:rsid w:val="007A3C1E"/>
    <w:rsid w:val="007B7C5E"/>
    <w:rsid w:val="007C2172"/>
    <w:rsid w:val="007D395C"/>
    <w:rsid w:val="007D4C88"/>
    <w:rsid w:val="00807386"/>
    <w:rsid w:val="008172D7"/>
    <w:rsid w:val="00831BED"/>
    <w:rsid w:val="00873ABF"/>
    <w:rsid w:val="00886046"/>
    <w:rsid w:val="008A2C4A"/>
    <w:rsid w:val="008D6C8B"/>
    <w:rsid w:val="008E56F6"/>
    <w:rsid w:val="008E7937"/>
    <w:rsid w:val="008F261A"/>
    <w:rsid w:val="0090177A"/>
    <w:rsid w:val="0090326A"/>
    <w:rsid w:val="0091250A"/>
    <w:rsid w:val="00923FDE"/>
    <w:rsid w:val="00927387"/>
    <w:rsid w:val="0092764D"/>
    <w:rsid w:val="00935B40"/>
    <w:rsid w:val="009403DE"/>
    <w:rsid w:val="0094385E"/>
    <w:rsid w:val="0095679B"/>
    <w:rsid w:val="009630B1"/>
    <w:rsid w:val="009660CD"/>
    <w:rsid w:val="009915C2"/>
    <w:rsid w:val="009A33C7"/>
    <w:rsid w:val="009A5FAB"/>
    <w:rsid w:val="009B3E66"/>
    <w:rsid w:val="009E1788"/>
    <w:rsid w:val="00A051E0"/>
    <w:rsid w:val="00A06CE7"/>
    <w:rsid w:val="00A06FC7"/>
    <w:rsid w:val="00A301AF"/>
    <w:rsid w:val="00A368BE"/>
    <w:rsid w:val="00A57935"/>
    <w:rsid w:val="00A84D5C"/>
    <w:rsid w:val="00A87E0E"/>
    <w:rsid w:val="00A9134F"/>
    <w:rsid w:val="00A95661"/>
    <w:rsid w:val="00AA1986"/>
    <w:rsid w:val="00AA2796"/>
    <w:rsid w:val="00AA333E"/>
    <w:rsid w:val="00AB5C94"/>
    <w:rsid w:val="00AD196C"/>
    <w:rsid w:val="00AD5364"/>
    <w:rsid w:val="00B013A8"/>
    <w:rsid w:val="00B21605"/>
    <w:rsid w:val="00B31C10"/>
    <w:rsid w:val="00B369A3"/>
    <w:rsid w:val="00B468EB"/>
    <w:rsid w:val="00B53EFC"/>
    <w:rsid w:val="00B67AE6"/>
    <w:rsid w:val="00B71C11"/>
    <w:rsid w:val="00B72603"/>
    <w:rsid w:val="00B73941"/>
    <w:rsid w:val="00B83F54"/>
    <w:rsid w:val="00B843CF"/>
    <w:rsid w:val="00B845FA"/>
    <w:rsid w:val="00B90679"/>
    <w:rsid w:val="00BA33E4"/>
    <w:rsid w:val="00BC30EF"/>
    <w:rsid w:val="00BD6F4C"/>
    <w:rsid w:val="00BE4F75"/>
    <w:rsid w:val="00C03E24"/>
    <w:rsid w:val="00C12572"/>
    <w:rsid w:val="00C1282E"/>
    <w:rsid w:val="00C30F99"/>
    <w:rsid w:val="00C4211E"/>
    <w:rsid w:val="00C43FB1"/>
    <w:rsid w:val="00C47235"/>
    <w:rsid w:val="00C5528C"/>
    <w:rsid w:val="00CA12EF"/>
    <w:rsid w:val="00CE06FE"/>
    <w:rsid w:val="00CE2F22"/>
    <w:rsid w:val="00D06DCC"/>
    <w:rsid w:val="00D07121"/>
    <w:rsid w:val="00D10AB7"/>
    <w:rsid w:val="00D127C3"/>
    <w:rsid w:val="00D35648"/>
    <w:rsid w:val="00D360F2"/>
    <w:rsid w:val="00D51CA8"/>
    <w:rsid w:val="00D60265"/>
    <w:rsid w:val="00D61996"/>
    <w:rsid w:val="00D63170"/>
    <w:rsid w:val="00D63B82"/>
    <w:rsid w:val="00D70DCE"/>
    <w:rsid w:val="00D71204"/>
    <w:rsid w:val="00D720D4"/>
    <w:rsid w:val="00D74909"/>
    <w:rsid w:val="00D873D9"/>
    <w:rsid w:val="00D91965"/>
    <w:rsid w:val="00DA03B7"/>
    <w:rsid w:val="00DA161A"/>
    <w:rsid w:val="00DA2361"/>
    <w:rsid w:val="00DA4055"/>
    <w:rsid w:val="00DA6D54"/>
    <w:rsid w:val="00DC479F"/>
    <w:rsid w:val="00DC573A"/>
    <w:rsid w:val="00DD0F19"/>
    <w:rsid w:val="00DE17A2"/>
    <w:rsid w:val="00DE1B94"/>
    <w:rsid w:val="00E11790"/>
    <w:rsid w:val="00E13FE9"/>
    <w:rsid w:val="00E16E9A"/>
    <w:rsid w:val="00E2449D"/>
    <w:rsid w:val="00E2576F"/>
    <w:rsid w:val="00E43C21"/>
    <w:rsid w:val="00E5441D"/>
    <w:rsid w:val="00E6060F"/>
    <w:rsid w:val="00E67720"/>
    <w:rsid w:val="00E711C8"/>
    <w:rsid w:val="00E72286"/>
    <w:rsid w:val="00E7380A"/>
    <w:rsid w:val="00EB1002"/>
    <w:rsid w:val="00EC2109"/>
    <w:rsid w:val="00ED6417"/>
    <w:rsid w:val="00EE048A"/>
    <w:rsid w:val="00F01F5C"/>
    <w:rsid w:val="00F136C3"/>
    <w:rsid w:val="00F177CE"/>
    <w:rsid w:val="00F23EAE"/>
    <w:rsid w:val="00F32875"/>
    <w:rsid w:val="00F533F9"/>
    <w:rsid w:val="00F57612"/>
    <w:rsid w:val="00F64A87"/>
    <w:rsid w:val="00F65F4A"/>
    <w:rsid w:val="00F70A83"/>
    <w:rsid w:val="00F75E7B"/>
    <w:rsid w:val="00F77315"/>
    <w:rsid w:val="00F8571A"/>
    <w:rsid w:val="00FA0215"/>
    <w:rsid w:val="00FB0BE5"/>
    <w:rsid w:val="00FD248B"/>
    <w:rsid w:val="00FE2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ED4B04"/>
  <w15:docId w15:val="{C2D861D3-1AC3-42A9-99A0-E6747DD3A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58F7"/>
    <w:pPr>
      <w:spacing w:after="200" w:line="276" w:lineRule="auto"/>
    </w:pPr>
    <w:rPr>
      <w:rFonts w:ascii="Times New Roman" w:eastAsia="Calibri" w:hAnsi="Times New Roman" w:cs="Times New Roman"/>
      <w:sz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758F7"/>
    <w:pPr>
      <w:spacing w:before="100" w:beforeAutospacing="1" w:after="100" w:afterAutospacing="1" w:line="240" w:lineRule="auto"/>
    </w:pPr>
    <w:rPr>
      <w:rFonts w:eastAsia="Times New Roman"/>
      <w:szCs w:val="24"/>
      <w:lang w:val="en-US"/>
    </w:rPr>
  </w:style>
  <w:style w:type="paragraph" w:styleId="ListParagraph">
    <w:name w:val="List Paragraph"/>
    <w:basedOn w:val="Normal"/>
    <w:uiPriority w:val="99"/>
    <w:qFormat/>
    <w:rsid w:val="001758F7"/>
    <w:pPr>
      <w:ind w:left="720"/>
      <w:contextualSpacing/>
    </w:pPr>
  </w:style>
  <w:style w:type="paragraph" w:styleId="FootnoteText">
    <w:name w:val="footnote text"/>
    <w:basedOn w:val="Normal"/>
    <w:link w:val="FootnoteTextChar"/>
    <w:uiPriority w:val="99"/>
    <w:unhideWhenUsed/>
    <w:rsid w:val="003A494A"/>
    <w:pPr>
      <w:spacing w:after="0" w:line="240" w:lineRule="auto"/>
    </w:pPr>
    <w:rPr>
      <w:rFonts w:ascii="Calibri" w:hAnsi="Calibri"/>
      <w:sz w:val="20"/>
      <w:szCs w:val="20"/>
      <w:lang w:val="en-US"/>
    </w:rPr>
  </w:style>
  <w:style w:type="character" w:customStyle="1" w:styleId="FootnoteTextChar">
    <w:name w:val="Footnote Text Char"/>
    <w:basedOn w:val="DefaultParagraphFont"/>
    <w:link w:val="FootnoteText"/>
    <w:uiPriority w:val="99"/>
    <w:rsid w:val="003A494A"/>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3A494A"/>
    <w:rPr>
      <w:vertAlign w:val="superscript"/>
    </w:rPr>
  </w:style>
  <w:style w:type="paragraph" w:styleId="BalloonText">
    <w:name w:val="Balloon Text"/>
    <w:basedOn w:val="Normal"/>
    <w:link w:val="BalloonTextChar"/>
    <w:uiPriority w:val="99"/>
    <w:semiHidden/>
    <w:unhideWhenUsed/>
    <w:rsid w:val="00E722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286"/>
    <w:rPr>
      <w:rFonts w:ascii="Segoe UI" w:eastAsia="Calibri" w:hAnsi="Segoe UI" w:cs="Segoe UI"/>
      <w:sz w:val="18"/>
      <w:szCs w:val="18"/>
      <w:lang w:val="sq-AL"/>
    </w:rPr>
  </w:style>
  <w:style w:type="character" w:styleId="CommentReference">
    <w:name w:val="annotation reference"/>
    <w:basedOn w:val="DefaultParagraphFont"/>
    <w:uiPriority w:val="99"/>
    <w:semiHidden/>
    <w:unhideWhenUsed/>
    <w:rsid w:val="0094385E"/>
    <w:rPr>
      <w:sz w:val="16"/>
      <w:szCs w:val="16"/>
    </w:rPr>
  </w:style>
  <w:style w:type="paragraph" w:styleId="CommentText">
    <w:name w:val="annotation text"/>
    <w:basedOn w:val="Normal"/>
    <w:link w:val="CommentTextChar"/>
    <w:uiPriority w:val="99"/>
    <w:unhideWhenUsed/>
    <w:rsid w:val="0094385E"/>
    <w:pPr>
      <w:spacing w:line="240" w:lineRule="auto"/>
    </w:pPr>
    <w:rPr>
      <w:sz w:val="20"/>
      <w:szCs w:val="20"/>
    </w:rPr>
  </w:style>
  <w:style w:type="character" w:customStyle="1" w:styleId="CommentTextChar">
    <w:name w:val="Comment Text Char"/>
    <w:basedOn w:val="DefaultParagraphFont"/>
    <w:link w:val="CommentText"/>
    <w:uiPriority w:val="99"/>
    <w:rsid w:val="0094385E"/>
    <w:rPr>
      <w:rFonts w:ascii="Times New Roman" w:eastAsia="Calibri"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4385E"/>
    <w:rPr>
      <w:b/>
      <w:bCs/>
    </w:rPr>
  </w:style>
  <w:style w:type="character" w:customStyle="1" w:styleId="CommentSubjectChar">
    <w:name w:val="Comment Subject Char"/>
    <w:basedOn w:val="CommentTextChar"/>
    <w:link w:val="CommentSubject"/>
    <w:uiPriority w:val="99"/>
    <w:semiHidden/>
    <w:rsid w:val="0094385E"/>
    <w:rPr>
      <w:rFonts w:ascii="Times New Roman" w:eastAsia="Calibri" w:hAnsi="Times New Roman" w:cs="Times New Roman"/>
      <w:b/>
      <w:bCs/>
      <w:sz w:val="20"/>
      <w:szCs w:val="20"/>
      <w:lang w:val="sq-AL"/>
    </w:rPr>
  </w:style>
  <w:style w:type="paragraph" w:customStyle="1" w:styleId="CM1">
    <w:name w:val="CM1"/>
    <w:basedOn w:val="Normal"/>
    <w:next w:val="Normal"/>
    <w:uiPriority w:val="99"/>
    <w:rsid w:val="00350605"/>
    <w:pPr>
      <w:autoSpaceDE w:val="0"/>
      <w:autoSpaceDN w:val="0"/>
      <w:adjustRightInd w:val="0"/>
      <w:spacing w:after="0" w:line="240" w:lineRule="auto"/>
    </w:pPr>
    <w:rPr>
      <w:rFonts w:eastAsiaTheme="minorHAnsi"/>
      <w:szCs w:val="24"/>
    </w:rPr>
  </w:style>
  <w:style w:type="paragraph" w:customStyle="1" w:styleId="CM3">
    <w:name w:val="CM3"/>
    <w:basedOn w:val="Normal"/>
    <w:next w:val="Normal"/>
    <w:uiPriority w:val="99"/>
    <w:rsid w:val="00350605"/>
    <w:pPr>
      <w:autoSpaceDE w:val="0"/>
      <w:autoSpaceDN w:val="0"/>
      <w:adjustRightInd w:val="0"/>
      <w:spacing w:after="0" w:line="240" w:lineRule="auto"/>
    </w:pPr>
    <w:rPr>
      <w:rFonts w:eastAsiaTheme="minorHAnsi"/>
      <w:szCs w:val="24"/>
    </w:rPr>
  </w:style>
  <w:style w:type="paragraph" w:styleId="HTMLPreformatted">
    <w:name w:val="HTML Preformatted"/>
    <w:basedOn w:val="Normal"/>
    <w:link w:val="HTMLPreformattedChar"/>
    <w:uiPriority w:val="99"/>
    <w:semiHidden/>
    <w:unhideWhenUsed/>
    <w:rsid w:val="00D10AB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10AB7"/>
    <w:rPr>
      <w:rFonts w:ascii="Consolas" w:eastAsia="Calibri" w:hAnsi="Consolas" w:cs="Times New Roman"/>
      <w:sz w:val="20"/>
      <w:szCs w:val="20"/>
      <w:lang w:val="sq-AL"/>
    </w:rPr>
  </w:style>
  <w:style w:type="paragraph" w:styleId="Header">
    <w:name w:val="header"/>
    <w:basedOn w:val="Normal"/>
    <w:link w:val="HeaderChar"/>
    <w:uiPriority w:val="99"/>
    <w:unhideWhenUsed/>
    <w:rsid w:val="009567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79B"/>
    <w:rPr>
      <w:rFonts w:ascii="Times New Roman" w:eastAsia="Calibri" w:hAnsi="Times New Roman" w:cs="Times New Roman"/>
      <w:sz w:val="24"/>
      <w:lang w:val="sq-AL"/>
    </w:rPr>
  </w:style>
  <w:style w:type="paragraph" w:styleId="Footer">
    <w:name w:val="footer"/>
    <w:basedOn w:val="Normal"/>
    <w:link w:val="FooterChar"/>
    <w:uiPriority w:val="99"/>
    <w:unhideWhenUsed/>
    <w:rsid w:val="009567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79B"/>
    <w:rPr>
      <w:rFonts w:ascii="Times New Roman" w:eastAsia="Calibri" w:hAnsi="Times New Roman" w:cs="Times New Roman"/>
      <w:sz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432292">
      <w:bodyDiv w:val="1"/>
      <w:marLeft w:val="0"/>
      <w:marRight w:val="0"/>
      <w:marTop w:val="0"/>
      <w:marBottom w:val="0"/>
      <w:divBdr>
        <w:top w:val="none" w:sz="0" w:space="0" w:color="auto"/>
        <w:left w:val="none" w:sz="0" w:space="0" w:color="auto"/>
        <w:bottom w:val="none" w:sz="0" w:space="0" w:color="auto"/>
        <w:right w:val="none" w:sz="0" w:space="0" w:color="auto"/>
      </w:divBdr>
    </w:div>
    <w:div w:id="1025524729">
      <w:bodyDiv w:val="1"/>
      <w:marLeft w:val="0"/>
      <w:marRight w:val="0"/>
      <w:marTop w:val="0"/>
      <w:marBottom w:val="0"/>
      <w:divBdr>
        <w:top w:val="none" w:sz="0" w:space="0" w:color="auto"/>
        <w:left w:val="none" w:sz="0" w:space="0" w:color="auto"/>
        <w:bottom w:val="none" w:sz="0" w:space="0" w:color="auto"/>
        <w:right w:val="none" w:sz="0" w:space="0" w:color="auto"/>
      </w:divBdr>
    </w:div>
    <w:div w:id="208530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283</Nr_x002e__x0020_akti>
    <Data_x0020_e_x0020_Krijimit xmlns="0e656187-b300-4fb0-8bf4-3a50f872073c">2022-05-04T09:21:53Z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2022-04-28T22:00:00Z</Date_x0020_protokolli>
    <Titulli xmlns="0e656187-b300-4fb0-8bf4-3a50f872073c">Për masat menaxhuese të ruajtjes së burimeve peshkore dhe përfshirjen e institucioneve në marrjen dhe zbatimin e tyre</Titulli>
    <Modifikuesi xmlns="0e656187-b300-4fb0-8bf4-3a50f872073c">Suada.Daci</Modifikuesi>
    <Nr_x002e__x0020_prot_x0020_QBZ xmlns="0e656187-b300-4fb0-8bf4-3a50f872073c">670</Nr_x002e__x0020_prot_x0020_QBZ>
    <Data_x0020_e_x0020_Modifikimit xmlns="0e656187-b300-4fb0-8bf4-3a50f872073c">2022-05-04T09:49:47Z</Data_x0020_e_x0020_Modifikimit>
    <Dekretuar xmlns="0e656187-b300-4fb0-8bf4-3a50f872073c">false</Dekretuar>
    <Data xmlns="0e656187-b300-4fb0-8bf4-3a50f872073c">2022-04-28T22:00:00Z</Data>
    <Nr_x002e__x0020_protokolli_x0020_i_x0020_aktit xmlns="0e656187-b300-4fb0-8bf4-3a50f872073c">2352/1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DBE74255D28408CA46149DB568F2B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DBE74255D28408CA46149DB568F2B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96EA3-912E-4390-9385-BC8BD1016E49}">
  <ds:schemaRefs>
    <ds:schemaRef ds:uri="http://purl.org/dc/elements/1.1/"/>
    <ds:schemaRef ds:uri="http://schemas.microsoft.com/office/2006/metadata/properties"/>
    <ds:schemaRef ds:uri="http://purl.org/dc/dcmitype/"/>
    <ds:schemaRef ds:uri="http://schemas.openxmlformats.org/package/2006/metadata/core-properties"/>
    <ds:schemaRef ds:uri="http://www.w3.org/XML/1998/namespace"/>
    <ds:schemaRef ds:uri="http://schemas.microsoft.com/office/2006/documentManagement/types"/>
    <ds:schemaRef ds:uri="0e656187-b300-4fb0-8bf4-3a50f872073c"/>
    <ds:schemaRef ds:uri="http://purl.org/dc/terms/"/>
  </ds:schemaRefs>
</ds:datastoreItem>
</file>

<file path=customXml/itemProps2.xml><?xml version="1.0" encoding="utf-8"?>
<ds:datastoreItem xmlns:ds="http://schemas.openxmlformats.org/officeDocument/2006/customXml" ds:itemID="{BA2C237E-CA7D-45EC-B114-196BF97DC9D9}">
  <ds:schemaRefs>
    <ds:schemaRef ds:uri="http://schemas.microsoft.com/sharepoint/v3/contenttype/forms"/>
  </ds:schemaRefs>
</ds:datastoreItem>
</file>

<file path=customXml/itemProps3.xml><?xml version="1.0" encoding="utf-8"?>
<ds:datastoreItem xmlns:ds="http://schemas.openxmlformats.org/officeDocument/2006/customXml" ds:itemID="{EF0C8495-BCA5-4771-BDED-52DB44503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BC0D2ED-5313-412B-A811-B1455B2F6B3D}">
  <ds:schemaRefs>
    <ds:schemaRef ds:uri="http://schemas.microsoft.com/sharepoint/v3/contenttype/forms"/>
  </ds:schemaRefs>
</ds:datastoreItem>
</file>

<file path=customXml/itemProps5.xml><?xml version="1.0" encoding="utf-8"?>
<ds:datastoreItem xmlns:ds="http://schemas.openxmlformats.org/officeDocument/2006/customXml" ds:itemID="{572E2D1F-95D2-4755-8176-A6538464A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91562AE-6EFF-48F9-BCF8-DDAF00005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1394</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Projektvendimi per miratim ne KM</vt:lpstr>
    </vt:vector>
  </TitlesOfParts>
  <Company>HP Inc.</Company>
  <LinksUpToDate>false</LinksUpToDate>
  <CharactersWithSpaces>9328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per miratim ne KM</dc:title>
  <dc:creator>Roland Kristo</dc:creator>
  <cp:lastModifiedBy>Jorina Kryeziu</cp:lastModifiedBy>
  <cp:revision>14</cp:revision>
  <cp:lastPrinted>2022-04-27T09:52:00Z</cp:lastPrinted>
  <dcterms:created xsi:type="dcterms:W3CDTF">2022-04-27T09:52:00Z</dcterms:created>
  <dcterms:modified xsi:type="dcterms:W3CDTF">2022-05-04T10:51:00Z</dcterms:modified>
</cp:coreProperties>
</file>