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B1ACB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76B1ACC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F2061"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285</w:t>
      </w: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F2061"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29.4.2022</w:t>
      </w:r>
    </w:p>
    <w:p w14:paraId="576B1ACD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6B1ACE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KRITERET E V</w:t>
      </w:r>
      <w:r w:rsidR="00F35E95"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ENDOSJES DHE TË FUNKSIONIMIT </w:t>
      </w: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STACIONEVE </w:t>
      </w:r>
      <w:proofErr w:type="spellStart"/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ANKORIMIT/BREGËZIMIT</w:t>
      </w:r>
    </w:p>
    <w:p w14:paraId="576B1ACF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6B1AD0" w14:textId="248AD65C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 të pikës 2, të nenit 21, të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43/2020, “Për aktivitetet e turizmit detar”, me propozimin e ministrit të Infrastrukturës dhe Energjisë dhe ministrit të Turizmit dhe Mjedisit, Këshilli i Ministrave</w:t>
      </w:r>
    </w:p>
    <w:p w14:paraId="576B1AD1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6B1AD2" w14:textId="77777777" w:rsidR="00963A58" w:rsidRPr="0092529F" w:rsidRDefault="00F35E95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CD4277" w:rsidRPr="009252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576B1AD3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6B1AD4" w14:textId="77777777" w:rsidR="00963A58" w:rsidRPr="0092529F" w:rsidRDefault="00F35E95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Përcaktimin e kritereve të vendosjes të stacioneve </w:t>
      </w:r>
      <w:proofErr w:type="spellStart"/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të mjeteve lundruese për qëllime turistike dhe argëtimi si dhe mënyrës së funksionimit për vendosjen e tyre, në vijën bregdetare të Republikës së Shqipërisë, sipas parashikimeve të këtij vendimi.</w:t>
      </w:r>
    </w:p>
    <w:p w14:paraId="576B1AD5" w14:textId="77777777" w:rsidR="00963A58" w:rsidRPr="0092529F" w:rsidRDefault="00F35E95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Ky vendim zbatohet:</w:t>
      </w:r>
    </w:p>
    <w:p w14:paraId="576B1AD6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çdo person fizik dhe juridik, vendas dhe i huaj, të cilët aplikojnë për vendosjen e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të mjeteve lundruese për qëllime turistike dhe argëtimi, nëpërmjet lidhjes së kontratës së qirasë për funksionimin e këtyre stacioneve;</w:t>
      </w:r>
    </w:p>
    <w:p w14:paraId="576B1AD7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çdo institucion publik i ngarkuar, i cili përfshihet në procesin e planifikimit, dhënies me qira ose përdorim dhe monitorimit të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ankorimit/bregëzimit.</w:t>
      </w:r>
    </w:p>
    <w:p w14:paraId="576B1AD8" w14:textId="3C53DD82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Stacionet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të mjeteve lundruese për qëllime turistike dhe argëtimi vendosen vetëm në zonat e miratuara nga Këshilli Kombëtar i Territorit (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KKT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-ja), sipas përcaktimit të pikës 2, të nenit 6, të ligjit nr.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43/2020, “Për aktivitetet e turizmit detar”, dhe numri maksimal i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 bregëzimit përcaktohet me urdhër të ministrit përgjegjës për turizmin, bazuar në propozimin e Agjencisë Kombëtare të Bregdetit.</w:t>
      </w:r>
    </w:p>
    <w:p w14:paraId="576B1AD9" w14:textId="78658689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Asnjë hapësirë detare dhe sipërfaqe toke në funksion të vendosjes të stacionit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nuk mund të jepet me qira apo të vihet në dispozicion, kur bie ndesh me kontrata të lidhura apo në proces shqyrtimi, bazuar në ligjin nr.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55/2015, “Për investimet strategjike në Republikën e Shqipërisë”, i ndryshuar, apo të vënies në dispozicion të pronës investitorëve në zonat me përparësi zhvillimin e turizmit.</w:t>
      </w:r>
    </w:p>
    <w:p w14:paraId="576B1ADA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Stacioni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ankorimit/bregëzimit të mjeteve lundruese për qëllime turistike dhe argëtimi plotëson kriteret e mëposhtme:</w:t>
      </w:r>
    </w:p>
    <w:p w14:paraId="576B1ADB" w14:textId="64A1538D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ë përballojë në kushte sigurie, përveç peshës së tij dhe ngarkesa të tjera të përhershme, veprimet e transmetuara nga lëvizja e valëve, nga rrymat detare, nga tërheqjet gjatë ankorimit, nga erërat, nga çdo lëkundje eventuale sizmike, nga mbingarkesa vertikale të ndryshueshme dhe veprime horizontale, kushtet lokale të motit, ndryshimet në nivelin e detit, karakteristikat e mjeteve lundruese dhe mënyra e ankorimit;</w:t>
      </w:r>
    </w:p>
    <w:p w14:paraId="576B1ADC" w14:textId="1C0F3A44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sz w:val="24"/>
          <w:szCs w:val="24"/>
          <w:lang w:val="sq-AL"/>
        </w:rPr>
        <w:t>ë sigurojë dhe të marrë të gjitha masat për mbrojtjen maksimale të mjedisit detar;</w:t>
      </w:r>
    </w:p>
    <w:p w14:paraId="576B1ADD" w14:textId="0F3B07B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ë ketë lartësinë minimale mbi nivelin e detit 0.5 m;</w:t>
      </w:r>
    </w:p>
    <w:p w14:paraId="576B1ADE" w14:textId="66A3B61E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ë ketë shërbimet higjienike të vendosura në raport 1 njësi higjienike (përbëhet nga të paktën tualete të dedikuara për femra dhe meshkuj, lavamanë dhe dush</w:t>
      </w:r>
      <w:r w:rsidRPr="0092529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25 mjete lundruese, si dhe të respektojë kriteret e parashikuara në legjislacionin në fuqi për personat me aftësi të kufizuara;</w:t>
      </w:r>
    </w:p>
    <w:p w14:paraId="576B1ADF" w14:textId="318E9768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sigurojë një sistem për grumbullimin e ujërave të zeza që do të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gjenerohen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gjatë sezonit turistik dhe të bëhet trajtimi i tyre me impiante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depurimi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legjislacionit në fuqi; </w:t>
      </w:r>
    </w:p>
    <w:p w14:paraId="576B1AE0" w14:textId="465349F2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realizojë furnizimin me energji elektrike nëpërmjet një sistemi me materiale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rezistente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korrozionit dhe në përputhje me rregulloret aktuale të sigurisë teknike;</w:t>
      </w:r>
    </w:p>
    <w:p w14:paraId="576B1AE1" w14:textId="0448A89A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e)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realizojë ndriçimin e zonës së ankorimit të mjeteve lundruese me minimumi 5-7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lux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ndërkohë ndriçimi i zonës së parkimit të mjeteve dhe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karelave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realizohet minimumi me 7-10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lux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76B1AE2" w14:textId="7278CDB2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sigurojë furnizimin me ujë në kushtet e mungesës së rrjetit të ujit të pijshëm, nëpërmjet vendosjes së depozitave për ujë të pijshëm dhe ujë industrial në raport me kapacitetin e stacionit (200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2529F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3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ujë industrial për 200 mjete lundruese dhe 40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2529F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3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ujë të pijshëm për 200 mjete lundruese);</w:t>
      </w:r>
    </w:p>
    <w:p w14:paraId="576B1AE3" w14:textId="1F7816E2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ë vendosë mjetet e sigurisë në det (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kamerdare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litari i nevojshëm) në çdo 25 metra;</w:t>
      </w:r>
    </w:p>
    <w:p w14:paraId="576B1AE4" w14:textId="5D12A142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instalojë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sinjalistikën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detare (fenerë, bova sinjalizuese, litarë lundrues kufizues, fare etj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në përputhje me dispozitat e Kodit Detar dhe aktet ligjore në zbatim të tij dhe me standardet specifike kombëtare dhe ndërkombëtare; </w:t>
      </w:r>
    </w:p>
    <w:p w14:paraId="576B1AE5" w14:textId="2EC153EB" w:rsidR="00963A58" w:rsidRPr="0092529F" w:rsidRDefault="00F35E95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</w:t>
      </w:r>
      <w:r w:rsidR="0092529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realizojë trajtimin e mbetjeve, nëpërmjet vendosjes së kontejnerëve, me një kapacitet 1.5 </w:t>
      </w:r>
      <w:proofErr w:type="spellStart"/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963A58" w:rsidRPr="0092529F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3</w:t>
      </w:r>
      <w:proofErr w:type="spellEnd"/>
      <w:r w:rsidR="00963A58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50 mjete lundruese. Tërheqja e mbetjeve të ngurta dhe vajore nga mjetet lundruese dhe nga kontejnerët të bëhet nga shoqëri të licencuara në zbatim të legjislacionit në fuqi;</w:t>
      </w:r>
    </w:p>
    <w:p w14:paraId="576B1AE6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Të sigurojë ndihmën e parë nëpërmjet njoftimit të mjekut të dedikuar (kontraktuar) dhe përdorimit të kasetës së emergjencës, pajisur me mjetet dhe produktet më të rëndësishme të ndihmës së parë.</w:t>
      </w:r>
    </w:p>
    <w:p w14:paraId="576B1AE7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Mënyra e funksionimit për vendosjen e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të mjeteve lundruese për qëllime turistike dhe argëtimi bëhet nëpërmjet dhënies me qira çdo personi fizik ose juridik, vendas dhe i huaj, që shfaq interes për zhvillimin e projektit për vendosjen e këtyre stacioneve nga ministria përgjegjëse për turizmin, nëpërmjet Agjencisë Kombëtare të Bregdetit.</w:t>
      </w:r>
    </w:p>
    <w:p w14:paraId="576B1AE8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Dhënia me qira realizohet nëpërmjet kontratës së qirasë të lidhur ndërmjet Agjencisë Kombëtare të Bregdetit dhe subjektit fitues me afat deri në  10 (dhjetë) vjet sipas kontratës tip</w:t>
      </w:r>
      <w:r w:rsidRPr="0092529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miratuar me urdhër të ministrit përgjegjës për turizmin. Subjektit fitues i ndalohet ta japë atë apo pjesë të saj te të tretë me nënkontratë.</w:t>
      </w:r>
    </w:p>
    <w:p w14:paraId="576B1AE9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Tarifa minimale e dhënies me qira të sipërfaqes së truallit në funksion të stacionit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të mjeteve lundruese për qëllime turistike dhe argëtimi është, në përputhje me legjislacionin në fuqi për dhënien me qira të pasurisë së paluajtshme shtetërore.</w:t>
      </w:r>
    </w:p>
    <w:p w14:paraId="576B1AEA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Të ardhurat, që krijohen nga kontratat e qirasë apo përdorimit, të rregulluara sipas këtij vendimi, derdhen në masën 100% në buxhetin e shtetit.</w:t>
      </w:r>
    </w:p>
    <w:p w14:paraId="576B1AEB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Në rastet kur kërkohet miratimi i një lejeje ndërtimi, subjekti fitues aplikon në përputhje me dispozitat e legjislacionit në fuqi mbi planifikimin dhe zhvillimin e territorit.</w:t>
      </w:r>
    </w:p>
    <w:p w14:paraId="576B1AEC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administrativo-ligjor për vendosjen dhe funksionimin e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ankorimit/bregëzimit, në zbatim të këtij vendimi, përmban:</w:t>
      </w:r>
    </w:p>
    <w:p w14:paraId="576B1AED" w14:textId="090BA783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kërkesën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zhvillimin e veprimtarisë në hapësirën detare dhe pronën e paluajtshme shtetërore, në funksion të zhvillimit dhe funksionimit të stacionit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ankorimit/bregëzimit;</w:t>
      </w:r>
    </w:p>
    <w:p w14:paraId="576B1AEE" w14:textId="1F25FAF9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FF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ekstraktin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historik, i cili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gjenerohet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2529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faqja e Qendrës Kombëtare të Biznesit nga Agjencia Kombëtare e Bregdetit dhe administrohet në dosjen e procedurës;</w:t>
      </w:r>
      <w:r w:rsidRPr="0092529F">
        <w:rPr>
          <w:rFonts w:ascii="Garamond" w:hAnsi="Garamond" w:cs="Times New Roman"/>
          <w:i/>
          <w:iCs/>
          <w:color w:val="FF0000"/>
          <w:sz w:val="24"/>
          <w:szCs w:val="24"/>
          <w:lang w:val="sq-AL"/>
        </w:rPr>
        <w:t xml:space="preserve"> </w:t>
      </w:r>
    </w:p>
    <w:p w14:paraId="576B1AEF" w14:textId="0F19E6A5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që nuk është në proces falimentimi dhe kapitalet e tij të mos jenë në proces ekzekutimi nga përmbaruesit;</w:t>
      </w:r>
    </w:p>
    <w:p w14:paraId="576B1AF0" w14:textId="6FB206A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 nuk është subjekt i procedurave për deklarimin e falimentimit dhe nuk ka një urdhër likuidimi të detyruar ose administrimi nga gjykata, ose të mos ketë një marrëveshje me kreditorët apo ndonjë procedurë tjetër të ngjashme;</w:t>
      </w:r>
    </w:p>
    <w:p w14:paraId="576B1AF1" w14:textId="1BB63626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dokumentin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që vërteton që nuk është dënuar me vendim gjykate të formës së prerë për vepra që lidhen me veprimtarinë profesionale, si person fizik ose juridik, ortak apo aksionar i shoqërisë;</w:t>
      </w:r>
    </w:p>
    <w:p w14:paraId="576B1AF2" w14:textId="3847FE7C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529F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përkatës nga administrata tatimore se subjekti ka përmbushur detyrimet për pagimin e tatimeve, detyrimet për derdhjen e kontributeve të sigurimeve shoqërore, në përputhje me legjislacionin shqiptar ose me dispozitat e zbatueshme në shtetin e origjinës.</w:t>
      </w:r>
    </w:p>
    <w:p w14:paraId="576B1AF3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Dokumentacioni teknik përmban:</w:t>
      </w:r>
    </w:p>
    <w:p w14:paraId="576B1AF4" w14:textId="77777777" w:rsidR="00963A58" w:rsidRPr="0092529F" w:rsidRDefault="00963A58" w:rsidP="00F35E95">
      <w:pPr>
        <w:tabs>
          <w:tab w:val="left" w:pos="40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projektidenë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, në përputhje me kriteret e përcaktuara në pikën 5, të këtij vendimi;</w:t>
      </w:r>
    </w:p>
    <w:p w14:paraId="576B1AF5" w14:textId="77777777" w:rsidR="00963A58" w:rsidRPr="0092529F" w:rsidRDefault="00963A58" w:rsidP="00F35E95">
      <w:pPr>
        <w:tabs>
          <w:tab w:val="left" w:pos="40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projektin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inxhinierik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kriteret e përcaktuara në pikën 5, të këtij vendimi; </w:t>
      </w:r>
    </w:p>
    <w:p w14:paraId="576B1AF6" w14:textId="77777777" w:rsidR="00963A58" w:rsidRPr="0092529F" w:rsidRDefault="00963A58" w:rsidP="00F35E95">
      <w:pPr>
        <w:tabs>
          <w:tab w:val="left" w:pos="460"/>
          <w:tab w:val="left" w:pos="1880"/>
          <w:tab w:val="left" w:pos="198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vlerën e investimit;</w:t>
      </w:r>
    </w:p>
    <w:p w14:paraId="576B1AF7" w14:textId="77777777" w:rsidR="00963A58" w:rsidRPr="0092529F" w:rsidRDefault="00963A58" w:rsidP="00F35E95">
      <w:pPr>
        <w:tabs>
          <w:tab w:val="left" w:pos="460"/>
          <w:tab w:val="left" w:pos="1880"/>
          <w:tab w:val="left" w:pos="198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ç)  planin e zbatimit, grafikun, fazat dhe afatet e realizimit të investimit.</w:t>
      </w:r>
    </w:p>
    <w:p w14:paraId="576B1AF8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financiar përmban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planbiznesin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, në përputhje me kriteret  e përcaktuara në pikën 5, të këtij vendimi, i cili të përmbajë, të paktën, dokumentacionin e mëposhtëm:</w:t>
      </w:r>
    </w:p>
    <w:p w14:paraId="576B1AF9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shpenzimet kapitale për kryerjen e investimit;</w:t>
      </w:r>
    </w:p>
    <w:p w14:paraId="576B1AFA" w14:textId="77777777" w:rsidR="00963A58" w:rsidRPr="0092529F" w:rsidRDefault="00963A58" w:rsidP="00F35E95">
      <w:pPr>
        <w:tabs>
          <w:tab w:val="left" w:pos="48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shpenzimet për kostot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ardhurat.</w:t>
      </w:r>
    </w:p>
    <w:p w14:paraId="576B1AFB" w14:textId="77777777" w:rsidR="00963A58" w:rsidRPr="0092529F" w:rsidRDefault="00963A58" w:rsidP="00F35E95">
      <w:pPr>
        <w:tabs>
          <w:tab w:val="left" w:pos="180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në lidhje me ndikimin mjedisor përmban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impaktin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mjedisor të zhvillimit të  investimit dhe përmirësimet e propozuara, në përputhje me legjislacionin në fuqi për mbrojtjen e mjedisit.</w:t>
      </w:r>
    </w:p>
    <w:p w14:paraId="576B1AFC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Dokumentacioni i përcaktuar në pikat 11, 12, 13 dhe 14, të këtij vendimi, depozitohet pranë Agjencisë Kombëtare të Bregdetit.</w:t>
      </w:r>
    </w:p>
    <w:p w14:paraId="576B1AFD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16.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Në kontratën, që do të nënshkruhet, përveç termave të përgjithshëm të kontratës duhet të mbahen parasysh:</w:t>
      </w:r>
    </w:p>
    <w:p w14:paraId="576B1AFE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natyra dhe objekti i veprimtarisë së Agjencisë Kombëtare të Bregdetit;</w:t>
      </w:r>
    </w:p>
    <w:p w14:paraId="576B1AFF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kohëzgjatja e kontratës;</w:t>
      </w:r>
    </w:p>
    <w:p w14:paraId="576B1B00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vlera e projektit;</w:t>
      </w:r>
    </w:p>
    <w:p w14:paraId="576B1B01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pronësia 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projektit dhe detyrimet e palëve, sipas rastit, për dhënien me qira të hapësirës për zhvillimin e projektit dhe çdo lehtësi tjetër e mundshme;</w:t>
      </w:r>
    </w:p>
    <w:p w14:paraId="576B1B02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tarifa e përdorimit ose qirasë;</w:t>
      </w:r>
    </w:p>
    <w:p w14:paraId="576B1B03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për rishikimin dhe miratimin e projekteve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inxhinierike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planeve të ndërtimit dhe specifikimeve nga Agjencia Kombëtare e Bregdetit, si dhe procedurat për testimin dhe kontrollin përfundimtar, miratimin e pranimin e mjetit të infrastrukturës, rregullat e standardet, në bazë të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cilave janë projektuar projektet, që duhet të jenë në përputhje me praktikat më të mira;</w:t>
      </w:r>
    </w:p>
    <w:p w14:paraId="576B1B04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drejta e Agjencisë Kombëtare të Bregdetit për të monitoruar zbatimin e detyrimeve të kontratës, kushtet dhe masa, në të cilën Agjencia Kombëtare e Bregdetit mund të urdhërojë ndryshime për punët dhe kushtet e shërbimit. E drejta e Agjencisë Kombëtare të Bregdetit për të marrë masa të tjera të arsyeshme për të siguruar që mjeti infrastrukturor të operohet si duhet dhe shërbimet të jepen në përputhje me kërkesat e zbatueshme ligjore dhe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kontraktuale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76B1B05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ë) detyrimet e zhvilluesit për t’i dhënë autoritetit kontraktues apo një autoriteti tjetër publik, sipas rastit, raporte dhe informacion tjetër për veprimtarinë;</w:t>
      </w:r>
    </w:p>
    <w:p w14:paraId="576B1B06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çdo kufizim për transferimin e të drejtave dhe të detyrimeve të zhvilluesit, sipas kontratës;</w:t>
      </w:r>
    </w:p>
    <w:p w14:paraId="576B1B07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çdo kufizim ose kusht për transferimin e një interesi kontrollues të zhvilluesit;</w:t>
      </w:r>
    </w:p>
    <w:p w14:paraId="576B1B08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gj)  përkufizimi dhe pasoja e forcës madhore, ndryshimi në ligj dhe ndryshime të tjera në rrethana (duke përfshirë çdo të drejtë të palëve për të kërkuar kompensimin ose rishikimin e kontratës);</w:t>
      </w:r>
    </w:p>
    <w:p w14:paraId="576B1B09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garancitë për t’u përmbushur dhe politikat e sigurimeve që duhet të ndiqen nga zhvilluesi për zbatimin e kontratës;</w:t>
      </w:r>
    </w:p>
    <w:p w14:paraId="576B1B0A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procedurat e rregullimit të shkeljes së kontratës, të bërë nga njëra prej palëve;</w:t>
      </w:r>
    </w:p>
    <w:p w14:paraId="576B1B0B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j)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detyrimi i qiramarrësit për të kthyer në gjendjen fillestare e të pacenuar hapësirën tokësore dhe detare, objekt të kontratës;</w:t>
      </w:r>
    </w:p>
    <w:p w14:paraId="576B1B0C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kushtet dhe procedurat për ndryshimin dhe/ose përfundimin e kontratës;</w:t>
      </w:r>
    </w:p>
    <w:p w14:paraId="576B1B0D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l)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ligji i zbatueshëm dhe mekanizmat për zgjidhjen e mosmarrëveshjeve që mund të lindin ndërmjet Agjencisë Kombëtare të Bregdetit dhe zhvilluesit;</w:t>
      </w:r>
    </w:p>
    <w:p w14:paraId="576B1B0E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ll)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drejtat dhe detyrimet e palëve për informacionin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konfidencial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76B1B0F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17.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 i kërkesës për zhvillimin e veprimtarisë në hapësirën detare dhe pronën e paluajtshme shtetërore, në funksion të zhvillimit dhe funksionimit të stacionit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 bëhet nga një komision, i ngritur me urdhër të ministrit përgjegjës për turizmin. Komisioni ka në përbërje jo më pak se 5 persona, specialistë të fushës, nga Agjencia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Kombëtare e Bregdetit, Agjencia e Zhvillimit të Territorit, Drejtoria e Përgjithshme Detare, Ministria e Turizmit dhe Mjedisit, Ministria  e Infrastrukturës dhe Energjisë dhe drejtohet nga përfaqësuesi, anëtar i Agjencisë Kombëtare të Bregdetit. </w:t>
      </w:r>
    </w:p>
    <w:p w14:paraId="576B1B10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18.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Komision nuk mund të marrin pjesë personat që kanë konflikt interesi me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përputhje me parashikimet e legjislacionit në fuqi për konfliktin e interesit. Anëtarët e Komisionit kanë detyrimin të ruajnë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konfidencialitetin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përmbajtjes së aplikimeve. Mënyra e organizimit dhe funksionimit të këtij komisioni përcaktohet me urdhër të ministrit përgjegjës për turizmin.</w:t>
      </w:r>
    </w:p>
    <w:p w14:paraId="576B1B11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19.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Përgjithshme Detare monitoron zbatimin e kritereve teknike kundër ndotjeve në zbatim të konventës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MARPOL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dhe, në rast se konstaton shkelje, merr masë administrative në zbatim të Kodit Detar dhe akteve ligjore në zbatim të tij përkundrejt subjektit dhe i propozon njësisë përgjegjëse (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AKB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) plotësimin e kushteve.</w:t>
      </w:r>
    </w:p>
    <w:p w14:paraId="576B1B12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20.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Agjencia Kombëtare e Bregdetit pas lidhjes së çdo kontrate me subjektin investues, njofton zyrtarisht:</w:t>
      </w:r>
    </w:p>
    <w:p w14:paraId="576B1B13" w14:textId="5B614946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Drejtorinë e Përgjithshme të Policisë së Shtetit, Drejtorinë e Përgjithshme Detare, Qendrën Ndërinstitucionale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Detare dhe Shërbimin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Hidrografik</w:t>
      </w:r>
      <w:proofErr w:type="spellEnd"/>
      <w:r w:rsidR="003763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576B1B14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vendndodhjen e stacionit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ankorimit;</w:t>
      </w:r>
    </w:p>
    <w:p w14:paraId="576B1B15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subjektin investues;</w:t>
      </w:r>
    </w:p>
    <w:p w14:paraId="576B1B16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afatin e realizimit të projektit;</w:t>
      </w:r>
    </w:p>
    <w:p w14:paraId="576B1B17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teknike të projektit. </w:t>
      </w:r>
    </w:p>
    <w:p w14:paraId="576B1B18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Njësinë e vetëqeverisjes vendore në territorin ku zhvillohet aktiviteti turistik, prefektin e qarkut dhe strukturat qendrore, në nivel vendor, si të shëndetësisë, mjedisit, furnizimit me energji elektrike.</w:t>
      </w:r>
    </w:p>
    <w:p w14:paraId="576B1B19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21.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Hidrografik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përditëson në hartat detare stacionet e reja të ankorimit.</w:t>
      </w:r>
    </w:p>
    <w:p w14:paraId="576B1B1A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22.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Përgjithshme Detare informon subjektet lundruese për stacionet e reja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ankorimit/bregëzimit.</w:t>
      </w:r>
    </w:p>
    <w:p w14:paraId="576B1B1B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23.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Policia Kufitare monitoron aktivitetin e stacioneve </w:t>
      </w:r>
      <w:proofErr w:type="spellStart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sezonale</w:t>
      </w:r>
      <w:proofErr w:type="spellEnd"/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ankorimit/bregëzimit, në përputhje me legjislacionin në fuqi.</w:t>
      </w:r>
    </w:p>
    <w:p w14:paraId="576B1B1C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24.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Përgjatë periudhës së funksionimit të stacioneve të ankorimit/bregëzimit, në territorin funksional lejohen të ofrohen vetëm:</w:t>
      </w:r>
    </w:p>
    <w:p w14:paraId="576B1B1D" w14:textId="1243736B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13FD2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 ankorimit/bregëzimit apo parkimit të mjeteve lundruese;</w:t>
      </w:r>
    </w:p>
    <w:p w14:paraId="576B1B1E" w14:textId="59A06346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13FD2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 ruajtjes së mjeteve;</w:t>
      </w:r>
    </w:p>
    <w:p w14:paraId="576B1B1F" w14:textId="73E72285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13FD2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i furnizimit të pijeve dhe ushqimit.</w:t>
      </w:r>
    </w:p>
    <w:p w14:paraId="576B1B20" w14:textId="77777777" w:rsidR="00963A58" w:rsidRPr="0092529F" w:rsidRDefault="00963A58" w:rsidP="00F35E95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25.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përgjegjëse për turizmin, ministria përgjegjëse për transportin, ministria përgjegjëse për rendin dhe sigurinë publike dhe Ministria e Mbrojtjes për zbatimin e këtij vendimi.</w:t>
      </w:r>
    </w:p>
    <w:p w14:paraId="576B1B21" w14:textId="77777777" w:rsidR="00963A58" w:rsidRPr="0092529F" w:rsidRDefault="00963A58" w:rsidP="00F35E95">
      <w:pPr>
        <w:tabs>
          <w:tab w:val="left" w:pos="1380"/>
          <w:tab w:val="left" w:pos="5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dim hyn në fuqi pas botimit në 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F35E95"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92529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76B1B22" w14:textId="77777777" w:rsidR="00963A58" w:rsidRPr="0092529F" w:rsidRDefault="00963A58" w:rsidP="00F35E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6B1B23" w14:textId="77777777" w:rsidR="00963A58" w:rsidRPr="0092529F" w:rsidRDefault="00F35E95" w:rsidP="00F35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76B1B24" w14:textId="77777777" w:rsidR="00963A58" w:rsidRPr="0092529F" w:rsidRDefault="00F35E95" w:rsidP="00F35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bookmarkStart w:id="0" w:name="_GoBack"/>
      <w:bookmarkEnd w:id="0"/>
      <w:r w:rsidRPr="009252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hmetaj</w:t>
      </w:r>
      <w:proofErr w:type="spellEnd"/>
    </w:p>
    <w:p w14:paraId="576B1B25" w14:textId="77777777" w:rsidR="000042BC" w:rsidRPr="0092529F" w:rsidRDefault="000042BC" w:rsidP="00F35E95">
      <w:pPr>
        <w:tabs>
          <w:tab w:val="left" w:pos="1395"/>
          <w:tab w:val="left" w:pos="558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0042BC" w:rsidRPr="0092529F" w:rsidSect="002F5FD3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257A7" w14:textId="77777777" w:rsidR="0092529F" w:rsidRDefault="0092529F" w:rsidP="00C35F1E">
      <w:pPr>
        <w:spacing w:after="0" w:line="240" w:lineRule="auto"/>
      </w:pPr>
      <w:r>
        <w:separator/>
      </w:r>
    </w:p>
  </w:endnote>
  <w:endnote w:type="continuationSeparator" w:id="0">
    <w:p w14:paraId="15B99022" w14:textId="77777777" w:rsidR="0092529F" w:rsidRDefault="0092529F" w:rsidP="00C35F1E">
      <w:pPr>
        <w:spacing w:after="0" w:line="240" w:lineRule="auto"/>
      </w:pPr>
      <w:r>
        <w:continuationSeparator/>
      </w:r>
    </w:p>
  </w:endnote>
  <w:endnote w:type="continuationNotice" w:id="1">
    <w:p w14:paraId="6449C4F1" w14:textId="77777777" w:rsidR="006109A8" w:rsidRDefault="006109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B1B2A" w14:textId="77777777" w:rsidR="0092529F" w:rsidRDefault="0092529F">
    <w:pPr>
      <w:pStyle w:val="Footer"/>
      <w:jc w:val="right"/>
    </w:pPr>
  </w:p>
  <w:p w14:paraId="576B1B2B" w14:textId="77777777" w:rsidR="0092529F" w:rsidRDefault="009252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CB479" w14:textId="77777777" w:rsidR="0092529F" w:rsidRDefault="0092529F" w:rsidP="00C35F1E">
      <w:pPr>
        <w:spacing w:after="0" w:line="240" w:lineRule="auto"/>
      </w:pPr>
      <w:r>
        <w:separator/>
      </w:r>
    </w:p>
  </w:footnote>
  <w:footnote w:type="continuationSeparator" w:id="0">
    <w:p w14:paraId="4FF43BAD" w14:textId="77777777" w:rsidR="0092529F" w:rsidRDefault="0092529F" w:rsidP="00C35F1E">
      <w:pPr>
        <w:spacing w:after="0" w:line="240" w:lineRule="auto"/>
      </w:pPr>
      <w:r>
        <w:continuationSeparator/>
      </w:r>
    </w:p>
  </w:footnote>
  <w:footnote w:type="continuationNotice" w:id="1">
    <w:p w14:paraId="1400B798" w14:textId="77777777" w:rsidR="006109A8" w:rsidRDefault="006109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A794A"/>
    <w:multiLevelType w:val="hybridMultilevel"/>
    <w:tmpl w:val="B82AD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31E13"/>
    <w:multiLevelType w:val="hybridMultilevel"/>
    <w:tmpl w:val="E27A18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51689A"/>
    <w:multiLevelType w:val="hybridMultilevel"/>
    <w:tmpl w:val="855EC9F6"/>
    <w:lvl w:ilvl="0" w:tplc="5C3CE0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85579"/>
    <w:multiLevelType w:val="hybridMultilevel"/>
    <w:tmpl w:val="EA4C06BC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9A2E35"/>
    <w:multiLevelType w:val="hybridMultilevel"/>
    <w:tmpl w:val="A0BA81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BA60888"/>
    <w:multiLevelType w:val="hybridMultilevel"/>
    <w:tmpl w:val="9AA6680E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8C761B"/>
    <w:multiLevelType w:val="hybridMultilevel"/>
    <w:tmpl w:val="62C6C058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12EF1088"/>
    <w:multiLevelType w:val="hybridMultilevel"/>
    <w:tmpl w:val="020605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B03DC"/>
    <w:multiLevelType w:val="hybridMultilevel"/>
    <w:tmpl w:val="9E105E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74EA7"/>
    <w:multiLevelType w:val="hybridMultilevel"/>
    <w:tmpl w:val="5ECAF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13383"/>
    <w:multiLevelType w:val="hybridMultilevel"/>
    <w:tmpl w:val="DEB69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102E19"/>
    <w:multiLevelType w:val="hybridMultilevel"/>
    <w:tmpl w:val="4A728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B297A"/>
    <w:multiLevelType w:val="hybridMultilevel"/>
    <w:tmpl w:val="C53E74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7E07C9"/>
    <w:multiLevelType w:val="hybridMultilevel"/>
    <w:tmpl w:val="CFB862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AF462F"/>
    <w:multiLevelType w:val="hybridMultilevel"/>
    <w:tmpl w:val="75105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B25C84"/>
    <w:multiLevelType w:val="hybridMultilevel"/>
    <w:tmpl w:val="2FE26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AB0F26"/>
    <w:multiLevelType w:val="hybridMultilevel"/>
    <w:tmpl w:val="382C6704"/>
    <w:lvl w:ilvl="0" w:tplc="5FD83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72BED"/>
    <w:multiLevelType w:val="hybridMultilevel"/>
    <w:tmpl w:val="77D8016A"/>
    <w:lvl w:ilvl="0" w:tplc="BAFAB7EA">
      <w:start w:val="1"/>
      <w:numFmt w:val="lowerLetter"/>
      <w:lvlText w:val="%1)"/>
      <w:lvlJc w:val="left"/>
      <w:pPr>
        <w:ind w:left="1170" w:hanging="360"/>
      </w:pPr>
      <w:rPr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617ADE54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74AFF"/>
    <w:multiLevelType w:val="hybridMultilevel"/>
    <w:tmpl w:val="9886C2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8961E9"/>
    <w:multiLevelType w:val="hybridMultilevel"/>
    <w:tmpl w:val="7C9CCE8C"/>
    <w:lvl w:ilvl="0" w:tplc="F48C4D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D5C0D"/>
    <w:multiLevelType w:val="hybridMultilevel"/>
    <w:tmpl w:val="62A496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A588A"/>
    <w:multiLevelType w:val="hybridMultilevel"/>
    <w:tmpl w:val="2480B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C28C1"/>
    <w:multiLevelType w:val="hybridMultilevel"/>
    <w:tmpl w:val="5CFC8C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316091"/>
    <w:multiLevelType w:val="hybridMultilevel"/>
    <w:tmpl w:val="EFA66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6934AF"/>
    <w:multiLevelType w:val="hybridMultilevel"/>
    <w:tmpl w:val="CD5A7A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465D8B"/>
    <w:multiLevelType w:val="hybridMultilevel"/>
    <w:tmpl w:val="DD9A1D1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>
    <w:nsid w:val="6C6B18AB"/>
    <w:multiLevelType w:val="hybridMultilevel"/>
    <w:tmpl w:val="3BFA4E00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7">
    <w:nsid w:val="70BF2C7A"/>
    <w:multiLevelType w:val="hybridMultilevel"/>
    <w:tmpl w:val="095EB8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369F7"/>
    <w:multiLevelType w:val="hybridMultilevel"/>
    <w:tmpl w:val="E018B4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5615FD9"/>
    <w:multiLevelType w:val="hybridMultilevel"/>
    <w:tmpl w:val="97A2A4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E042DC"/>
    <w:multiLevelType w:val="hybridMultilevel"/>
    <w:tmpl w:val="7040B018"/>
    <w:lvl w:ilvl="0" w:tplc="2E8C214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D2609F"/>
    <w:multiLevelType w:val="hybridMultilevel"/>
    <w:tmpl w:val="EDDE0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B8365A"/>
    <w:multiLevelType w:val="hybridMultilevel"/>
    <w:tmpl w:val="3FFC38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21"/>
  </w:num>
  <w:num w:numId="4">
    <w:abstractNumId w:val="0"/>
  </w:num>
  <w:num w:numId="5">
    <w:abstractNumId w:val="26"/>
  </w:num>
  <w:num w:numId="6">
    <w:abstractNumId w:val="18"/>
  </w:num>
  <w:num w:numId="7">
    <w:abstractNumId w:val="15"/>
  </w:num>
  <w:num w:numId="8">
    <w:abstractNumId w:val="6"/>
  </w:num>
  <w:num w:numId="9">
    <w:abstractNumId w:val="14"/>
  </w:num>
  <w:num w:numId="10">
    <w:abstractNumId w:val="10"/>
  </w:num>
  <w:num w:numId="11">
    <w:abstractNumId w:val="27"/>
  </w:num>
  <w:num w:numId="12">
    <w:abstractNumId w:val="20"/>
  </w:num>
  <w:num w:numId="13">
    <w:abstractNumId w:val="25"/>
  </w:num>
  <w:num w:numId="14">
    <w:abstractNumId w:val="22"/>
  </w:num>
  <w:num w:numId="15">
    <w:abstractNumId w:val="2"/>
  </w:num>
  <w:num w:numId="16">
    <w:abstractNumId w:val="16"/>
  </w:num>
  <w:num w:numId="17">
    <w:abstractNumId w:val="30"/>
  </w:num>
  <w:num w:numId="18">
    <w:abstractNumId w:val="5"/>
  </w:num>
  <w:num w:numId="19">
    <w:abstractNumId w:val="17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13"/>
  </w:num>
  <w:num w:numId="25">
    <w:abstractNumId w:val="7"/>
  </w:num>
  <w:num w:numId="26">
    <w:abstractNumId w:val="1"/>
  </w:num>
  <w:num w:numId="27">
    <w:abstractNumId w:val="11"/>
  </w:num>
  <w:num w:numId="28">
    <w:abstractNumId w:val="4"/>
  </w:num>
  <w:num w:numId="29">
    <w:abstractNumId w:val="28"/>
  </w:num>
  <w:num w:numId="30">
    <w:abstractNumId w:val="12"/>
  </w:num>
  <w:num w:numId="31">
    <w:abstractNumId w:val="31"/>
  </w:num>
  <w:num w:numId="32">
    <w:abstractNumId w:val="2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4FD"/>
    <w:rsid w:val="000042BC"/>
    <w:rsid w:val="00005964"/>
    <w:rsid w:val="000240ED"/>
    <w:rsid w:val="00050B13"/>
    <w:rsid w:val="00087DD3"/>
    <w:rsid w:val="000B5363"/>
    <w:rsid w:val="000F58C1"/>
    <w:rsid w:val="0010662F"/>
    <w:rsid w:val="00106B36"/>
    <w:rsid w:val="00107FBD"/>
    <w:rsid w:val="00115D05"/>
    <w:rsid w:val="00121DA4"/>
    <w:rsid w:val="001312D3"/>
    <w:rsid w:val="00164C93"/>
    <w:rsid w:val="0016682A"/>
    <w:rsid w:val="001B63E6"/>
    <w:rsid w:val="001D5A8E"/>
    <w:rsid w:val="0023209F"/>
    <w:rsid w:val="00261AA1"/>
    <w:rsid w:val="00272378"/>
    <w:rsid w:val="002856BA"/>
    <w:rsid w:val="0028776F"/>
    <w:rsid w:val="00291479"/>
    <w:rsid w:val="002C34FA"/>
    <w:rsid w:val="002D182C"/>
    <w:rsid w:val="002F2061"/>
    <w:rsid w:val="002F2282"/>
    <w:rsid w:val="002F5FD3"/>
    <w:rsid w:val="00313FD2"/>
    <w:rsid w:val="00315A56"/>
    <w:rsid w:val="00327AD7"/>
    <w:rsid w:val="00375C15"/>
    <w:rsid w:val="00376375"/>
    <w:rsid w:val="003B400D"/>
    <w:rsid w:val="003C5DF5"/>
    <w:rsid w:val="003F4FC4"/>
    <w:rsid w:val="00404039"/>
    <w:rsid w:val="00410F95"/>
    <w:rsid w:val="004146D1"/>
    <w:rsid w:val="00450C45"/>
    <w:rsid w:val="00454739"/>
    <w:rsid w:val="00470E6C"/>
    <w:rsid w:val="004A3DA2"/>
    <w:rsid w:val="004D1218"/>
    <w:rsid w:val="004E37EE"/>
    <w:rsid w:val="004F2125"/>
    <w:rsid w:val="004F6A4B"/>
    <w:rsid w:val="00503876"/>
    <w:rsid w:val="005118B4"/>
    <w:rsid w:val="00525F65"/>
    <w:rsid w:val="00541588"/>
    <w:rsid w:val="00586F55"/>
    <w:rsid w:val="006109A8"/>
    <w:rsid w:val="00610CFE"/>
    <w:rsid w:val="00626705"/>
    <w:rsid w:val="00694639"/>
    <w:rsid w:val="006E2ADA"/>
    <w:rsid w:val="007164E6"/>
    <w:rsid w:val="00720503"/>
    <w:rsid w:val="00734B84"/>
    <w:rsid w:val="00742C32"/>
    <w:rsid w:val="00752EA1"/>
    <w:rsid w:val="00764F15"/>
    <w:rsid w:val="00773524"/>
    <w:rsid w:val="0077374B"/>
    <w:rsid w:val="00774FCF"/>
    <w:rsid w:val="00777696"/>
    <w:rsid w:val="007D3FEB"/>
    <w:rsid w:val="007E780A"/>
    <w:rsid w:val="007F073F"/>
    <w:rsid w:val="008043B0"/>
    <w:rsid w:val="008333DD"/>
    <w:rsid w:val="00841075"/>
    <w:rsid w:val="00841EE1"/>
    <w:rsid w:val="00843BDE"/>
    <w:rsid w:val="0084433C"/>
    <w:rsid w:val="00874A6C"/>
    <w:rsid w:val="008A1C7D"/>
    <w:rsid w:val="008E0694"/>
    <w:rsid w:val="008E3414"/>
    <w:rsid w:val="009007E9"/>
    <w:rsid w:val="0090655B"/>
    <w:rsid w:val="00924E01"/>
    <w:rsid w:val="0092529F"/>
    <w:rsid w:val="00947876"/>
    <w:rsid w:val="009564FD"/>
    <w:rsid w:val="0096137C"/>
    <w:rsid w:val="00963A58"/>
    <w:rsid w:val="00974CD2"/>
    <w:rsid w:val="00981DD8"/>
    <w:rsid w:val="00992B49"/>
    <w:rsid w:val="009B0C81"/>
    <w:rsid w:val="009B761B"/>
    <w:rsid w:val="009D3DD1"/>
    <w:rsid w:val="009D4B99"/>
    <w:rsid w:val="009E7A8C"/>
    <w:rsid w:val="00A5462A"/>
    <w:rsid w:val="00A6778B"/>
    <w:rsid w:val="00A74F7C"/>
    <w:rsid w:val="00AF161F"/>
    <w:rsid w:val="00AF7A1A"/>
    <w:rsid w:val="00B060A1"/>
    <w:rsid w:val="00B275DD"/>
    <w:rsid w:val="00B32021"/>
    <w:rsid w:val="00B633B3"/>
    <w:rsid w:val="00B64480"/>
    <w:rsid w:val="00B67A60"/>
    <w:rsid w:val="00B90D18"/>
    <w:rsid w:val="00B97A7D"/>
    <w:rsid w:val="00BB4B0C"/>
    <w:rsid w:val="00BB4B7D"/>
    <w:rsid w:val="00BC18BC"/>
    <w:rsid w:val="00BC23D7"/>
    <w:rsid w:val="00BF2DA7"/>
    <w:rsid w:val="00BF69D9"/>
    <w:rsid w:val="00C01867"/>
    <w:rsid w:val="00C20FA0"/>
    <w:rsid w:val="00C2181E"/>
    <w:rsid w:val="00C276B2"/>
    <w:rsid w:val="00C305DB"/>
    <w:rsid w:val="00C35F1E"/>
    <w:rsid w:val="00C800C2"/>
    <w:rsid w:val="00C814AD"/>
    <w:rsid w:val="00C92FE0"/>
    <w:rsid w:val="00CA176F"/>
    <w:rsid w:val="00CC0513"/>
    <w:rsid w:val="00CD4277"/>
    <w:rsid w:val="00CE04D5"/>
    <w:rsid w:val="00CE2386"/>
    <w:rsid w:val="00CE79CB"/>
    <w:rsid w:val="00D04589"/>
    <w:rsid w:val="00D11AD5"/>
    <w:rsid w:val="00D45F08"/>
    <w:rsid w:val="00D66359"/>
    <w:rsid w:val="00DB2EC4"/>
    <w:rsid w:val="00DE7ED8"/>
    <w:rsid w:val="00DF4133"/>
    <w:rsid w:val="00E3682F"/>
    <w:rsid w:val="00EC37D7"/>
    <w:rsid w:val="00EE2335"/>
    <w:rsid w:val="00F30C27"/>
    <w:rsid w:val="00F35E95"/>
    <w:rsid w:val="00F41646"/>
    <w:rsid w:val="00F50174"/>
    <w:rsid w:val="00F73F5B"/>
    <w:rsid w:val="00F961D9"/>
    <w:rsid w:val="00FB3CC6"/>
    <w:rsid w:val="00FC1302"/>
    <w:rsid w:val="00FC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B1ACB"/>
  <w15:docId w15:val="{871A0A81-5CF5-4E85-B7FF-34265331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4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6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4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4F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4F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021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92F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35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F1E"/>
  </w:style>
  <w:style w:type="paragraph" w:styleId="Footer">
    <w:name w:val="footer"/>
    <w:basedOn w:val="Normal"/>
    <w:link w:val="FooterChar"/>
    <w:uiPriority w:val="99"/>
    <w:unhideWhenUsed/>
    <w:rsid w:val="00C35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2022-05-04T09:21:52Z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kriteret e vendosjes dhe të funksionimit të stacioneve sezonale të ankorimit/bregëzimit</Titulli>
    <Modifikuesi xmlns="0e656187-b300-4fb0-8bf4-3a50f872073c">Suada.Daci</Modifikuesi>
    <Nr_x002e__x0020_prot_x0020_QBZ xmlns="0e656187-b300-4fb0-8bf4-3a50f872073c">668</Nr_x002e__x0020_prot_x0020_QBZ>
    <Data_x0020_e_x0020_Modifikimit xmlns="0e656187-b300-4fb0-8bf4-3a50f872073c">2022-05-04T09:52:04Z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B2B45FDC0433494E503E59FBA5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B2B45FDC0433494E503E59FBA5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4550C-2B9E-471C-9791-AE4B235B197F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5F7253-D0A0-420E-BFAF-42251A19F3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3DC9F-7DF1-4EA5-9541-BE7E1DFAD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F2DF24-0F7A-41C9-9452-65EE0BCB8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05104B-1F15-40F7-81E2-FCC4E34DE1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F2F403-EE30-4DD1-9496-3F6EDC91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miratim “Për kriteret e vendosjes dhe të funksionimit të stacioneve sezonale të ankorimit/bregëzimit”</vt:lpstr>
    </vt:vector>
  </TitlesOfParts>
  <Company/>
  <LinksUpToDate>false</LinksUpToDate>
  <CharactersWithSpaces>13562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miratim “Për kriteret e vendosjes dhe të funksionimit të stacioneve sezonale të ankorimit/bregëzimit”</dc:title>
  <dc:creator>Enerieta Tarelli;Elton Orozi</dc:creator>
  <cp:lastModifiedBy>Jorina Kryeziu</cp:lastModifiedBy>
  <cp:revision>29</cp:revision>
  <cp:lastPrinted>2022-04-27T09:55:00Z</cp:lastPrinted>
  <dcterms:created xsi:type="dcterms:W3CDTF">2022-04-27T09:55:00Z</dcterms:created>
  <dcterms:modified xsi:type="dcterms:W3CDTF">2022-05-04T10:54:00Z</dcterms:modified>
</cp:coreProperties>
</file>