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42D27" w14:textId="58363B30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VENDIM</w:t>
      </w:r>
    </w:p>
    <w:p w14:paraId="2F34E77E" w14:textId="70C30E0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Nr.</w:t>
      </w:r>
      <w:r w:rsidR="00074B30" w:rsidRPr="007254D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345</w:t>
      </w:r>
      <w:r w:rsidRPr="007254D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, datë </w:t>
      </w:r>
      <w:r w:rsidR="00074B30" w:rsidRPr="007254D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26.5.2022</w:t>
      </w:r>
    </w:p>
    <w:p w14:paraId="1BA19AB4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C90F23A" w14:textId="16900843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 PËRCAKTIMIN E MËNYRËS SË MBLEDHJES DHE ADMINISTRIMIT TË TË DHËNAVE TË HUMBJEVE NGA FATKEQËSITË</w:t>
      </w:r>
    </w:p>
    <w:p w14:paraId="5563C462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6F71B559" w14:textId="0DBBBC98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Në mbështetje të nenit 100 të Kushtetutës dhe të pikës 2, të nenit 48, të ligjit nr.</w:t>
      </w:r>
      <w:r w:rsid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45/2019, “Për mbrojtjen civile”, me propozimin e ministrit të Mbrojtjes, Këshilli i Ministrave</w:t>
      </w:r>
    </w:p>
    <w:p w14:paraId="7846F7B0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6B5D20B9" w14:textId="1595A4BB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VENDOSI:</w:t>
      </w:r>
    </w:p>
    <w:p w14:paraId="6EBD46C0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329AB3E4" w14:textId="28DD567A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1.  Në Bazën e të Dhënave të Humbjeve nga Fatkeqësitë ruhen dhe përpunohen të dhënat, si më poshtë vijon: </w:t>
      </w:r>
    </w:p>
    <w:p w14:paraId="73F3FBB4" w14:textId="634ACCF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a) </w:t>
      </w:r>
      <w:r w:rsid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</w:t>
      </w: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ë dhëna për datën e ndodhjes së fatkeqësisë, shtrirjen territoriale të saj dhe çdo e dhënë tjetër mbi fatkeqësinë konkrete;</w:t>
      </w:r>
    </w:p>
    <w:p w14:paraId="720C2C56" w14:textId="46611C55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b) </w:t>
      </w:r>
      <w:r w:rsid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</w:t>
      </w: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ë dhëna për dëmet materiale dhe jomateriale, të shkaktuara nga fatkeqësia;</w:t>
      </w:r>
    </w:p>
    <w:p w14:paraId="580DDA80" w14:textId="14F6BD4C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c) </w:t>
      </w:r>
      <w:r w:rsid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</w:t>
      </w: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ë dhëna për humbjet e shkaktuara nga fatkeqësia.</w:t>
      </w:r>
    </w:p>
    <w:p w14:paraId="3899BA78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2. Të dhëna parësore konsiderohen të dhënat e grumbulluara nga kjo bazë të dhënash, të cilat janë:</w:t>
      </w:r>
    </w:p>
    <w:p w14:paraId="3DA3629E" w14:textId="2353564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a) të dhëna mbi fatkeqësinë, të cilat do të përfshijnë informacion</w:t>
      </w:r>
      <w:r w:rsidR="00E31C1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bookmarkStart w:id="0" w:name="_GoBack"/>
      <w:bookmarkEnd w:id="0"/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për:</w:t>
      </w:r>
    </w:p>
    <w:p w14:paraId="0606F2D6" w14:textId="3C7FC7B9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i. llojin e fatkeqësisë;</w:t>
      </w:r>
    </w:p>
    <w:p w14:paraId="539EAEC4" w14:textId="58C4E4FF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ii. datën e ndodhjes së fatkeqësisë;</w:t>
      </w:r>
    </w:p>
    <w:p w14:paraId="09A389CC" w14:textId="3DABDA56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iii. shtrirjen territoriale të fatkeqësisë;</w:t>
      </w:r>
    </w:p>
    <w:p w14:paraId="61E9FC7F" w14:textId="3563A0CE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b) të dhëna për dëmet e shkaktuara, të cilat do të përfshijnë informacion për:</w:t>
      </w:r>
    </w:p>
    <w:p w14:paraId="589BD734" w14:textId="4DD9CBBA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i. listën e pronave publike dhe shtetërore të dëmtuara, si dhe shkallën e dëmeve të shkaktuara;</w:t>
      </w:r>
    </w:p>
    <w:p w14:paraId="6D9BBA68" w14:textId="67B83DB9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ii. listën e pronave private të dëmtuara, si dhe shkallën e dëmeve të shkaktuara;</w:t>
      </w:r>
    </w:p>
    <w:p w14:paraId="0A4B23CB" w14:textId="7A42BC81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iii. listën e dëmeve të shkaktuara në mjedis;</w:t>
      </w:r>
    </w:p>
    <w:p w14:paraId="7FA8C788" w14:textId="4AA08F48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iv. listën e pasurive kulturore të dëmtuara, si dhe shkallën e dëmeve të shkaktuara; </w:t>
      </w:r>
    </w:p>
    <w:p w14:paraId="08FBB3BB" w14:textId="4A8424F1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v. numrin e personave të plagosur, të prekur nga sëmundje infektive dhe sëmundjet që lidhen me traumën e shkaktuar.</w:t>
      </w:r>
    </w:p>
    <w:p w14:paraId="72694AB6" w14:textId="76E4F496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c) të dhëna mbi humbjet, të cilat do të përfshijnë informacion për:</w:t>
      </w:r>
    </w:p>
    <w:p w14:paraId="36078A98" w14:textId="29D4BB6A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i. numrin e humbjeve në jetë njerëzish;</w:t>
      </w:r>
      <w:r w:rsidRPr="007254D6">
        <w:rPr>
          <w:rFonts w:ascii="Garamond" w:eastAsiaTheme="minorHAnsi" w:hAnsi="Garamond" w:cs="Times New Roman"/>
          <w:strike/>
          <w:color w:val="000000"/>
          <w:sz w:val="24"/>
          <w:szCs w:val="24"/>
          <w:lang w:eastAsia="en-US"/>
        </w:rPr>
        <w:t xml:space="preserve"> </w:t>
      </w:r>
    </w:p>
    <w:p w14:paraId="5A5CB425" w14:textId="21188312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ii. humbjet në gjënë e gjallë, duke përcaktuar llojin e gjësë së gjallë, sasinë dhe koston financiare për çdo lloj;</w:t>
      </w:r>
    </w:p>
    <w:p w14:paraId="3177E1DC" w14:textId="0C77205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iii. koston financiare të kompensimit të dëmeve të shkaktuara nga fatkeqësia;</w:t>
      </w:r>
    </w:p>
    <w:p w14:paraId="5F207668" w14:textId="64CD3BB3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iv. koston e shpenzimeve për marrjen e masave rehabilituese ndaj fatkeqësive në infrastrukturën e dëmtuar;</w:t>
      </w:r>
    </w:p>
    <w:p w14:paraId="7B6B6A8A" w14:textId="0E331E66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v. koston e shpenzimeve për marrjen e masave parandaluese ndaj fatkeqësive në infrastrukturën e dëmtuar.</w:t>
      </w:r>
    </w:p>
    <w:p w14:paraId="402F8B83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3. Të dhëna dytësore, të cilat administrohen nga një tjetër bazë të dhënash shtetërore dhe reflektohen në Bazën e të Dhënave të Humbjeve nga Fatkeqësitë, përmes ndërveprimit, janë:</w:t>
      </w:r>
    </w:p>
    <w:p w14:paraId="790E62F0" w14:textId="5EFF83F8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a) të dhënat identifikuese për personat e vdekur ose të dëmtuar si pasojë e ndodhjes së një fatkeqësie;</w:t>
      </w:r>
    </w:p>
    <w:p w14:paraId="37F6772A" w14:textId="6025745D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b) të dhënat identifikuese për pasuritë e paluajtshme.</w:t>
      </w:r>
    </w:p>
    <w:p w14:paraId="791DA286" w14:textId="22D24A79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4. Baza e të Dhënave të Humbjeve nga Fatkeqësitë shkëmben informacion e ndërvepron me baza shtetërore të të dhënave elektronike, si më poshtë vijon:</w:t>
      </w:r>
    </w:p>
    <w:p w14:paraId="37061A78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a) Regjistrin Kombëtar të Gjendjes Civile, për të dhënat dytësore që lidhen me përbërësit e gjendjes civile të personave të vdekur.</w:t>
      </w:r>
    </w:p>
    <w:p w14:paraId="00323C93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b)</w:t>
      </w: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ab/>
        <w:t>Bazën Shtetërore të të Dhënave Kadastrale, për të dhënat dytësore që lidhen me përbërësit dhe elementet identifikuese të pasurive të paluajtshme.</w:t>
      </w:r>
    </w:p>
    <w:p w14:paraId="1EB26819" w14:textId="59C92B2C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5. Dhënës të informacionit në Bazën e të Dhënave të Humbjeve nga Fatkeqësitë janë:</w:t>
      </w:r>
    </w:p>
    <w:p w14:paraId="4B282302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a) bashkitë për territorin e tyre;</w:t>
      </w:r>
    </w:p>
    <w:p w14:paraId="5DD3D7CB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b) ministritë e linjës dhe institucionet qendrore sipas fushave përkatëse të përgjegjësisë;</w:t>
      </w:r>
    </w:p>
    <w:p w14:paraId="230A7F4F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c) institucionet e tjera publike dhe subjekte private, në bazë të kërkesës së AKMC-së.</w:t>
      </w:r>
    </w:p>
    <w:p w14:paraId="1CF8B7D2" w14:textId="6E0D30CD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lastRenderedPageBreak/>
        <w:t>6. AKMC-ja, kur vlerëson se institucionet e tjera publike zotërojnë informacion për një fatkeqësi dhe, për shkak të natyrës së veprimtarisë, institucioni nuk ka privilegjet e përdoruesit dhe ndërvepruesit në Bazën e të Dhënave të Humbjeve nga Fatkeqësitë, kërkon zyrtarisht prej tyre dhënien e informacionit. Kërkesa për informacion drejtuar institucionit publik i bëhet me dije edhe organit të tij epror.</w:t>
      </w:r>
    </w:p>
    <w:p w14:paraId="74027072" w14:textId="6CB30020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7. AKMC-ja, kur vlerëson se një subjekt privat, i cili, për shkak të veprimtarisë, zotëron informacion për një fatkeqësi apo është cenuar nga një fatkeqësi, kërkon zyrtarisht prej tij dhënien e informacionit.</w:t>
      </w:r>
    </w:p>
    <w:p w14:paraId="5B7A1638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8. Në kërkesën për informacion drejtuar institucioneve të tjera publike dhe subjekteve private, AKMC-ja duhet të përcaktojë qartësisht informacionin dhe të dhënat konkrete që kërkohen, formën dhe mënyrën e dhënies së informacionit.</w:t>
      </w:r>
    </w:p>
    <w:p w14:paraId="7BFE1BDE" w14:textId="13284303" w:rsidR="00455CDD" w:rsidRPr="007254D6" w:rsidRDefault="00455CDD" w:rsidP="00455CDD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9. Institucionet e tjera publike dhe subjektet private, brenda 15 (pesëmbëdhjetë) ditëve nga marrja e kërkesës, duhet të japin informacionin e kërkuar nga ana e AKMC-së. </w:t>
      </w:r>
    </w:p>
    <w:p w14:paraId="70E2B6D2" w14:textId="1F90BEB8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10. Në rastet kur për shkaqe objektive informacioni i kërkuar është i pamundur të jepet brenda afatit 15-ditor, institucionet e tjera publike dhe subjektet private i kërkojnë AKMC-së shtyrjen e afatit të dhënies së informacionit, duke shpjeguar arsyet. Afati për dhënien e informacionit mund të shtyhet deri në 15 ditë, pas përfundimit të afatit 15-ditor.</w:t>
      </w:r>
    </w:p>
    <w:p w14:paraId="62B2B601" w14:textId="7680512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11. Detyrimet e institucioneve në lidhje me Bazën e të Dhënave të Humbjeve nga Fatkeqësitë janë:</w:t>
      </w:r>
    </w:p>
    <w:p w14:paraId="7CFD1CDA" w14:textId="4733DFBF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a) AKMC-ja, si administrator i Bazës së të Dhënave të Humbjeve nga Fatkeqësitë, në bashkëpunim me njësinë e dedikuar pranë Agjencisë Kombëtare të Shoqërisë së Informacionit (AKSHI), ka këto detyra:</w:t>
      </w:r>
    </w:p>
    <w:p w14:paraId="23B635AC" w14:textId="2BAE38F0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i. </w:t>
      </w:r>
      <w:r w:rsid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s</w:t>
      </w: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igurimin e vazhdueshmërisë së pandërprerë dhe mirëfunksionimin e Bazës së të Dhënave të Humbjeve nga Fatkeqësitë;</w:t>
      </w:r>
    </w:p>
    <w:p w14:paraId="2035CEF8" w14:textId="6AF5259D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ii. </w:t>
      </w:r>
      <w:r w:rsid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</w:t>
      </w: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rkivimin e sigurt të të dhënave dhe ruajtjen periodike të kopjeve të të dhënave në mjedis rezervë, të shkëputur dhe të pavarur nga sistemi kryesor;</w:t>
      </w:r>
    </w:p>
    <w:p w14:paraId="4B51BE82" w14:textId="72AC2AE0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iii. </w:t>
      </w:r>
      <w:r w:rsid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s</w:t>
      </w: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igurimin e një alternative funksionale edhe në rastin kur sistemi kryesor nuk mund të përdoret për arsye objektive;</w:t>
      </w:r>
    </w:p>
    <w:p w14:paraId="1A0666D5" w14:textId="5A58F969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iv. </w:t>
      </w:r>
      <w:r w:rsid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</w:t>
      </w: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nalizimin e nevojave për ndryshime në bazën e të dhënave, me qëllim përmirësimin dhe përditësimin e të gjitha elementeve përbërëse të saj;</w:t>
      </w:r>
    </w:p>
    <w:p w14:paraId="02A3B88C" w14:textId="107111B8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v. Krijimin dhe administrimin për nivelet e aksesit në Bazën e të Dhënave të Humbjeve nga Fatkeqësitë;</w:t>
      </w:r>
    </w:p>
    <w:p w14:paraId="5DEB8B0E" w14:textId="080F78D2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vi. Krijimin e përdoruesve me privilegjet përkatëse për të punuar në Bazën e të Dhënave të Humbjeve nga Fatkeqësitë;</w:t>
      </w:r>
    </w:p>
    <w:p w14:paraId="30427AC5" w14:textId="529F6D7E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vii. Shpërndarjen e privilegjeve për përdoruesit dhe heqjen e së drejtës për të punuar në Bazën e të Dhënave të Humbjeve nga Fatkeqësitë, në rast të largimit të tyre nga funksioni;</w:t>
      </w:r>
    </w:p>
    <w:p w14:paraId="016CAA84" w14:textId="118017CC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viii. Mbikëqyrjen dhe monitorimin e veprimeve që kryhen në Bazën e të Dhënave të Humbjeve nga Fatkeqësitë, në përgjithësi;</w:t>
      </w:r>
    </w:p>
    <w:p w14:paraId="40D6405A" w14:textId="5D1C725F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ix. Ndryshimin apo anulimin në nivelin e aksesit të një përdoruesi pa njoftim, kur vëren se ai nuk zbaton rregullat e përdorimit, dyshohet se po i shkakton dëm Bazës së të Dhënave të Humbjeve nga Fatkeqësitë në përgjithësi ose nuk përdor Bazën e të Dhënave të Humbjeve nga Fatkeqësitë për realizimin e detyrave, brenda një afati të përcaktuar nga AKMC-ja;</w:t>
      </w:r>
    </w:p>
    <w:p w14:paraId="766F9196" w14:textId="238F448A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x. Hedhjen e të dhënave parësore të përcaktuara në pikën 2, të këtij vendimi, për institucionet e tjera publike dhe subjektet private, në përputhje me informacionin e marrë prej tyre, sipas përcaktimit të pikave 7 e 8, të këtij vendimi;</w:t>
      </w:r>
    </w:p>
    <w:p w14:paraId="31312B71" w14:textId="5C17DCC4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xi. Hartimin e udhëzimeve për funksionet e Bazës së të Dhënave të Humbjeve nga Fatkeqësitë në ndihmë të përdoruesve të tij;</w:t>
      </w:r>
    </w:p>
    <w:p w14:paraId="465C62F2" w14:textId="51C8BD3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xii. Trajnimin e përdoruesve të Bazës së të Dhënave të Humbjeve nga Fatkeqësitë.</w:t>
      </w:r>
    </w:p>
    <w:p w14:paraId="560A261B" w14:textId="7FC9D0F1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b) Ministritë e linjës dhe institucionet qendrore, sipas fushës së përgjegjësisë, kanë detyrim hedhjen dhe përditësimin e të dhënave parësore në Bazën e të Dhënave të Humbjeve nga Fatkeqësitë, të përcaktuara në pikën 2, të këtij vendimi. </w:t>
      </w:r>
    </w:p>
    <w:p w14:paraId="5E64B5AB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c) Bashkitë, brenda territorit të tyre administrativ, kanë detyrim hedhjen dhe përditësimin e të dhënave parësore në Bazën e të Dhënave të Humbjeve nga Fatkeqësitë, të përcaktuara në pikën 2, të këtij vendimi. </w:t>
      </w:r>
    </w:p>
    <w:p w14:paraId="589A557C" w14:textId="491D24D4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lastRenderedPageBreak/>
        <w:t>ç) Prefekti i qarkut ka detyrimin të sigurojë që bashkitë në juridiksionin e vet të hedhin dhe të përditësojnë të dhënat e përcaktuara në pikën 2, të këtij vendimi, për fatkeqësitë e ndodhura.</w:t>
      </w:r>
    </w:p>
    <w:p w14:paraId="0D5CE352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12. Nivelet e aksesit për subjektet e interesuara:</w:t>
      </w:r>
    </w:p>
    <w:p w14:paraId="18213C29" w14:textId="5FFEDC3B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a) AKMC-ja, si administrator i sistemit, ka të drejtë leximi, shkrimi dhe modifikimi të dhënave në sistem;</w:t>
      </w:r>
    </w:p>
    <w:p w14:paraId="4E0DB7A0" w14:textId="77777777" w:rsidR="00455CDD" w:rsidRPr="007254D6" w:rsidRDefault="00455CDD" w:rsidP="00455CDD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b)</w:t>
      </w: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ab/>
        <w:t>Bashkitë kanë të drejtë leximi, shkrimi dhe modifikimi për të dhënat që lidhen me territorin e juridiksionit të tyre;</w:t>
      </w:r>
    </w:p>
    <w:p w14:paraId="7F4A60F1" w14:textId="58603A19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c)  Prefekti i qarkut ka të drejtë leximi për të dhënat e administruara nga bashkitë në territorin e juridiksionit të tij;</w:t>
      </w:r>
    </w:p>
    <w:p w14:paraId="63760C5D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ç) Ministritë e linjës dhe institucionet qendrore kanë të drejtë leximi, shkrimi dhe modifikimi për të dhënat që lidhen me fushën e tyre të përgjegjësisë.</w:t>
      </w:r>
    </w:p>
    <w:p w14:paraId="2177AED5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13. Të drejtat dhe detyrimet e përdoruesve të Bazës së të Dhënave të Humbjeve nga Fatkeqësitë janë:</w:t>
      </w:r>
    </w:p>
    <w:p w14:paraId="107DCDA1" w14:textId="1B88AD03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a) të ruajnë konfidencialitetin e privilegjeve të aksesit në Bazën e të Dhënave të Humbjeve nga Fatkeqësitë, si dhe të mbajnë përgjegjësi personale të drejtpërdrejtë, në rast të shkeljes së rregullave, të pakujdesisë apo të keqpërdorimit të nivelit të tyre të aksesit;</w:t>
      </w:r>
    </w:p>
    <w:p w14:paraId="4546422D" w14:textId="7D84991A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b) të ruajnë konfidencialitetin e të dhënave personale të personave të dëmtuar, si pasojë e një fatkeqësie, në përputhje me legjislacionin për mbrojtjen e të dhënave personale;</w:t>
      </w:r>
    </w:p>
    <w:p w14:paraId="33658407" w14:textId="08896463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c) të përdorin Bazën e të Dhënave të Humbjeve nga Fatkeqësitë vetëm për realizimin e detyrave të tyre;</w:t>
      </w:r>
    </w:p>
    <w:p w14:paraId="5886C58D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ç)  të përditësojnë të dhënat sipas fushës së përgjegjësisë.</w:t>
      </w:r>
    </w:p>
    <w:p w14:paraId="7F976036" w14:textId="494D680B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14. Ministritë e linjës, institucionet qendrore dhe njësitë e vetëqeverisjes vendore ushtrojnë të drejtat dhe detyrimet që kanë për Bazën e të Dhënave të Humbjeve nga Fatkeqësitë, nëpërmjet të paktën një përdoruesi me privilegjet përkatëse.</w:t>
      </w:r>
    </w:p>
    <w:p w14:paraId="22E02647" w14:textId="5F80E971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15. Të gjitha ndryshimet në arkitekturën </w:t>
      </w:r>
      <w:r w:rsidRPr="007254D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eastAsia="en-US"/>
        </w:rPr>
        <w:t>software</w:t>
      </w: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dhe</w:t>
      </w:r>
      <w:r w:rsidRPr="007254D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eastAsia="en-US"/>
        </w:rPr>
        <w:t xml:space="preserve"> hardware</w:t>
      </w: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sistemit “Baza e të Dhënave të Humbjeve nga Fatkeqësitë”, të cilat mund të ndodhin në varësi të nevojave të institucionit dhe praktikave evropiane e ndërkombëtare në fushën e mbrojtjes së të dhënave, bëhen në përputhje me legjislacionin në fuqi.</w:t>
      </w:r>
    </w:p>
    <w:p w14:paraId="235F0488" w14:textId="62735866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16. Efektet financiare të këtij vendimi do të mbulohen nga fondi i dedikuar i buxhetit të shtetit për mbrojtjen civile.</w:t>
      </w:r>
    </w:p>
    <w:p w14:paraId="48DB3F34" w14:textId="631075E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17. Ngarkohen bashkitë për territorin e tyre administrativ - territorial, prefekti i qarkut për bashkitë dhe strukturat e tjera që veprojnë në nivel qarku, ministritë e linjës dhe institucionet qendrore, sipas fushave përkatëse të përgjegjësisë, institucionet e tjera publike dhe subjekte private, në bazë të kërkesës së AKMC-së dhe në veçanti AKMC-ja, si administrator i Bazës së të Dhënave të Humbjeve nga Fatkeqësitë dhe Njësia e dedikuar pranë Agjencisë Kombëtare të Shoqërisë së Informacionit (AKSHI) për zbatimin e këtij vendimi.</w:t>
      </w:r>
    </w:p>
    <w:p w14:paraId="123AFE8B" w14:textId="04CBB11A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Ky vendim hyn në fuqi pas botimit në Fletoren Zyrtare.</w:t>
      </w:r>
    </w:p>
    <w:p w14:paraId="7C43D550" w14:textId="7777777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36DDA3AA" w14:textId="33B0FCDA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KRYEMINISTËR</w:t>
      </w:r>
    </w:p>
    <w:p w14:paraId="35E43684" w14:textId="5E8251E7" w:rsidR="00455CDD" w:rsidRPr="007254D6" w:rsidRDefault="00455CDD" w:rsidP="00455C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7254D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Edi Rama</w:t>
      </w:r>
    </w:p>
    <w:sectPr w:rsidR="00455CDD" w:rsidRPr="007254D6" w:rsidSect="007254D6">
      <w:pgSz w:w="11907" w:h="16839" w:code="9"/>
      <w:pgMar w:top="1170" w:right="1440" w:bottom="90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19873" w14:textId="77777777" w:rsidR="007254D6" w:rsidRDefault="007254D6" w:rsidP="0000587D">
      <w:pPr>
        <w:spacing w:after="0" w:line="240" w:lineRule="auto"/>
      </w:pPr>
      <w:r>
        <w:separator/>
      </w:r>
    </w:p>
  </w:endnote>
  <w:endnote w:type="continuationSeparator" w:id="0">
    <w:p w14:paraId="736E4E83" w14:textId="77777777" w:rsidR="007254D6" w:rsidRDefault="007254D6" w:rsidP="0000587D">
      <w:pPr>
        <w:spacing w:after="0" w:line="240" w:lineRule="auto"/>
      </w:pPr>
      <w:r>
        <w:continuationSeparator/>
      </w:r>
    </w:p>
  </w:endnote>
  <w:endnote w:type="continuationNotice" w:id="1">
    <w:p w14:paraId="724CECED" w14:textId="77777777" w:rsidR="00D2330C" w:rsidRDefault="00D233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03776B" w14:textId="77777777" w:rsidR="007254D6" w:rsidRDefault="007254D6" w:rsidP="0000587D">
      <w:pPr>
        <w:spacing w:after="0" w:line="240" w:lineRule="auto"/>
      </w:pPr>
      <w:r>
        <w:separator/>
      </w:r>
    </w:p>
  </w:footnote>
  <w:footnote w:type="continuationSeparator" w:id="0">
    <w:p w14:paraId="6AC90EB0" w14:textId="77777777" w:rsidR="007254D6" w:rsidRDefault="007254D6" w:rsidP="0000587D">
      <w:pPr>
        <w:spacing w:after="0" w:line="240" w:lineRule="auto"/>
      </w:pPr>
      <w:r>
        <w:continuationSeparator/>
      </w:r>
    </w:p>
  </w:footnote>
  <w:footnote w:type="continuationNotice" w:id="1">
    <w:p w14:paraId="2DA60DC8" w14:textId="77777777" w:rsidR="00D2330C" w:rsidRDefault="00D233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7D75"/>
    <w:multiLevelType w:val="hybridMultilevel"/>
    <w:tmpl w:val="809EBB44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D256A47"/>
    <w:multiLevelType w:val="hybridMultilevel"/>
    <w:tmpl w:val="4E8CB8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54D51"/>
    <w:multiLevelType w:val="hybridMultilevel"/>
    <w:tmpl w:val="E3945A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07501C"/>
    <w:multiLevelType w:val="hybridMultilevel"/>
    <w:tmpl w:val="35C2CEE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591766"/>
    <w:multiLevelType w:val="hybridMultilevel"/>
    <w:tmpl w:val="645A4F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0C7D7A"/>
    <w:multiLevelType w:val="hybridMultilevel"/>
    <w:tmpl w:val="69AA362A"/>
    <w:lvl w:ilvl="0" w:tplc="399678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9722EE"/>
    <w:multiLevelType w:val="hybridMultilevel"/>
    <w:tmpl w:val="0CE274D0"/>
    <w:lvl w:ilvl="0" w:tplc="BEA661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E661F4"/>
    <w:multiLevelType w:val="hybridMultilevel"/>
    <w:tmpl w:val="29F4FBD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2008E"/>
    <w:multiLevelType w:val="hybridMultilevel"/>
    <w:tmpl w:val="091233C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0767C"/>
    <w:multiLevelType w:val="hybridMultilevel"/>
    <w:tmpl w:val="E2685234"/>
    <w:lvl w:ilvl="0" w:tplc="9642F906">
      <w:start w:val="3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E596EBF"/>
    <w:multiLevelType w:val="hybridMultilevel"/>
    <w:tmpl w:val="CD665D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D07ACD"/>
    <w:multiLevelType w:val="hybridMultilevel"/>
    <w:tmpl w:val="C6A086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B052DC"/>
    <w:multiLevelType w:val="hybridMultilevel"/>
    <w:tmpl w:val="B40E05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DB32AA"/>
    <w:multiLevelType w:val="hybridMultilevel"/>
    <w:tmpl w:val="9E6AB5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E84D53"/>
    <w:multiLevelType w:val="hybridMultilevel"/>
    <w:tmpl w:val="139A5B9E"/>
    <w:lvl w:ilvl="0" w:tplc="BAF00F58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A8276D"/>
    <w:multiLevelType w:val="hybridMultilevel"/>
    <w:tmpl w:val="631238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E165A6"/>
    <w:multiLevelType w:val="hybridMultilevel"/>
    <w:tmpl w:val="B1D85AC2"/>
    <w:lvl w:ilvl="0" w:tplc="2D46611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F5359EC"/>
    <w:multiLevelType w:val="hybridMultilevel"/>
    <w:tmpl w:val="96C6AD8E"/>
    <w:lvl w:ilvl="0" w:tplc="3094E4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12"/>
  </w:num>
  <w:num w:numId="5">
    <w:abstractNumId w:val="1"/>
  </w:num>
  <w:num w:numId="6">
    <w:abstractNumId w:val="11"/>
  </w:num>
  <w:num w:numId="7">
    <w:abstractNumId w:val="5"/>
  </w:num>
  <w:num w:numId="8">
    <w:abstractNumId w:val="7"/>
  </w:num>
  <w:num w:numId="9">
    <w:abstractNumId w:val="3"/>
  </w:num>
  <w:num w:numId="10">
    <w:abstractNumId w:val="6"/>
  </w:num>
  <w:num w:numId="11">
    <w:abstractNumId w:val="8"/>
  </w:num>
  <w:num w:numId="12">
    <w:abstractNumId w:val="17"/>
  </w:num>
  <w:num w:numId="13">
    <w:abstractNumId w:val="4"/>
  </w:num>
  <w:num w:numId="14">
    <w:abstractNumId w:val="0"/>
  </w:num>
  <w:num w:numId="15">
    <w:abstractNumId w:val="10"/>
  </w:num>
  <w:num w:numId="16">
    <w:abstractNumId w:val="16"/>
  </w:num>
  <w:num w:numId="17">
    <w:abstractNumId w:val="9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F3B"/>
    <w:rsid w:val="00000C98"/>
    <w:rsid w:val="0000587D"/>
    <w:rsid w:val="0002046F"/>
    <w:rsid w:val="00025F21"/>
    <w:rsid w:val="00047696"/>
    <w:rsid w:val="000631E3"/>
    <w:rsid w:val="00074B30"/>
    <w:rsid w:val="0009610A"/>
    <w:rsid w:val="000A1045"/>
    <w:rsid w:val="000B3B9B"/>
    <w:rsid w:val="000D61B5"/>
    <w:rsid w:val="000D7459"/>
    <w:rsid w:val="00126F73"/>
    <w:rsid w:val="00166B87"/>
    <w:rsid w:val="00167008"/>
    <w:rsid w:val="00167141"/>
    <w:rsid w:val="00185D40"/>
    <w:rsid w:val="0019732D"/>
    <w:rsid w:val="001B2E06"/>
    <w:rsid w:val="001D0162"/>
    <w:rsid w:val="001F2E58"/>
    <w:rsid w:val="00210E5E"/>
    <w:rsid w:val="0025530C"/>
    <w:rsid w:val="00265477"/>
    <w:rsid w:val="002654E0"/>
    <w:rsid w:val="00291544"/>
    <w:rsid w:val="002E77F4"/>
    <w:rsid w:val="0031091A"/>
    <w:rsid w:val="00321BAF"/>
    <w:rsid w:val="00324E63"/>
    <w:rsid w:val="00327389"/>
    <w:rsid w:val="00375556"/>
    <w:rsid w:val="0037738F"/>
    <w:rsid w:val="00383A04"/>
    <w:rsid w:val="00390DAC"/>
    <w:rsid w:val="003A27EE"/>
    <w:rsid w:val="003A6449"/>
    <w:rsid w:val="003B2C16"/>
    <w:rsid w:val="003C7115"/>
    <w:rsid w:val="003D784D"/>
    <w:rsid w:val="003E5A36"/>
    <w:rsid w:val="003F41A6"/>
    <w:rsid w:val="003F6733"/>
    <w:rsid w:val="00406F93"/>
    <w:rsid w:val="00411AE4"/>
    <w:rsid w:val="00420397"/>
    <w:rsid w:val="00420C24"/>
    <w:rsid w:val="00433F38"/>
    <w:rsid w:val="00436EA1"/>
    <w:rsid w:val="004550D3"/>
    <w:rsid w:val="00455CDD"/>
    <w:rsid w:val="004B5AF5"/>
    <w:rsid w:val="004C2BF0"/>
    <w:rsid w:val="004F2FAB"/>
    <w:rsid w:val="005137E9"/>
    <w:rsid w:val="00516C4C"/>
    <w:rsid w:val="005171FB"/>
    <w:rsid w:val="00523A8D"/>
    <w:rsid w:val="00557B96"/>
    <w:rsid w:val="00580168"/>
    <w:rsid w:val="00592931"/>
    <w:rsid w:val="005976C1"/>
    <w:rsid w:val="005B261E"/>
    <w:rsid w:val="005C39E0"/>
    <w:rsid w:val="005C3DFE"/>
    <w:rsid w:val="005C4C3D"/>
    <w:rsid w:val="005D50A7"/>
    <w:rsid w:val="005E45FE"/>
    <w:rsid w:val="005F3D1E"/>
    <w:rsid w:val="0060318F"/>
    <w:rsid w:val="00622119"/>
    <w:rsid w:val="00636EFC"/>
    <w:rsid w:val="00674D75"/>
    <w:rsid w:val="00683EF0"/>
    <w:rsid w:val="006A0894"/>
    <w:rsid w:val="006A411A"/>
    <w:rsid w:val="006B0503"/>
    <w:rsid w:val="006B6407"/>
    <w:rsid w:val="006C6628"/>
    <w:rsid w:val="006D326E"/>
    <w:rsid w:val="007031A7"/>
    <w:rsid w:val="00712674"/>
    <w:rsid w:val="00713778"/>
    <w:rsid w:val="007254D6"/>
    <w:rsid w:val="007476AF"/>
    <w:rsid w:val="007800D7"/>
    <w:rsid w:val="00780C18"/>
    <w:rsid w:val="00792781"/>
    <w:rsid w:val="007A6FF4"/>
    <w:rsid w:val="007B746B"/>
    <w:rsid w:val="007C169D"/>
    <w:rsid w:val="007D1713"/>
    <w:rsid w:val="007F28B5"/>
    <w:rsid w:val="00815145"/>
    <w:rsid w:val="0085213D"/>
    <w:rsid w:val="008571EB"/>
    <w:rsid w:val="00876E41"/>
    <w:rsid w:val="008B4182"/>
    <w:rsid w:val="008B7C28"/>
    <w:rsid w:val="008D05B3"/>
    <w:rsid w:val="008E70A0"/>
    <w:rsid w:val="008F1A73"/>
    <w:rsid w:val="00900FE1"/>
    <w:rsid w:val="00916310"/>
    <w:rsid w:val="0094081E"/>
    <w:rsid w:val="00947312"/>
    <w:rsid w:val="00960312"/>
    <w:rsid w:val="0098752D"/>
    <w:rsid w:val="00990B9B"/>
    <w:rsid w:val="009973CB"/>
    <w:rsid w:val="009A4AFD"/>
    <w:rsid w:val="009B0E8D"/>
    <w:rsid w:val="009B1E14"/>
    <w:rsid w:val="009B7C8F"/>
    <w:rsid w:val="009D7C0A"/>
    <w:rsid w:val="009E2611"/>
    <w:rsid w:val="009F08B4"/>
    <w:rsid w:val="00A32A46"/>
    <w:rsid w:val="00A375BD"/>
    <w:rsid w:val="00A41D0B"/>
    <w:rsid w:val="00A57EC9"/>
    <w:rsid w:val="00A854F6"/>
    <w:rsid w:val="00A86AD4"/>
    <w:rsid w:val="00AD0EA4"/>
    <w:rsid w:val="00AF3085"/>
    <w:rsid w:val="00B06AB9"/>
    <w:rsid w:val="00B45F3B"/>
    <w:rsid w:val="00B51E83"/>
    <w:rsid w:val="00B64EAA"/>
    <w:rsid w:val="00B83BC5"/>
    <w:rsid w:val="00B87F3D"/>
    <w:rsid w:val="00B95ACF"/>
    <w:rsid w:val="00BC1D1E"/>
    <w:rsid w:val="00BC3BA6"/>
    <w:rsid w:val="00BD0DF2"/>
    <w:rsid w:val="00BD5773"/>
    <w:rsid w:val="00BE0AB2"/>
    <w:rsid w:val="00C02BA1"/>
    <w:rsid w:val="00C162BD"/>
    <w:rsid w:val="00C203BF"/>
    <w:rsid w:val="00C25071"/>
    <w:rsid w:val="00C27747"/>
    <w:rsid w:val="00C4434E"/>
    <w:rsid w:val="00C56B5D"/>
    <w:rsid w:val="00C57DAF"/>
    <w:rsid w:val="00C72795"/>
    <w:rsid w:val="00C82042"/>
    <w:rsid w:val="00CB511D"/>
    <w:rsid w:val="00D12BC1"/>
    <w:rsid w:val="00D142FD"/>
    <w:rsid w:val="00D2330C"/>
    <w:rsid w:val="00D73AF9"/>
    <w:rsid w:val="00DA7724"/>
    <w:rsid w:val="00DB1F44"/>
    <w:rsid w:val="00DC727C"/>
    <w:rsid w:val="00DD2DA6"/>
    <w:rsid w:val="00DE1EC3"/>
    <w:rsid w:val="00DE4739"/>
    <w:rsid w:val="00E04E54"/>
    <w:rsid w:val="00E21F3F"/>
    <w:rsid w:val="00E232DD"/>
    <w:rsid w:val="00E277C0"/>
    <w:rsid w:val="00E31C16"/>
    <w:rsid w:val="00E33484"/>
    <w:rsid w:val="00E36266"/>
    <w:rsid w:val="00E572D6"/>
    <w:rsid w:val="00E71CF6"/>
    <w:rsid w:val="00E82D33"/>
    <w:rsid w:val="00E92D00"/>
    <w:rsid w:val="00EA3F69"/>
    <w:rsid w:val="00EC2B63"/>
    <w:rsid w:val="00ED1022"/>
    <w:rsid w:val="00EF1A20"/>
    <w:rsid w:val="00F416D3"/>
    <w:rsid w:val="00F43C48"/>
    <w:rsid w:val="00F44EB6"/>
    <w:rsid w:val="00F45B70"/>
    <w:rsid w:val="00F46F0B"/>
    <w:rsid w:val="00F7366C"/>
    <w:rsid w:val="00F761B5"/>
    <w:rsid w:val="00F825F6"/>
    <w:rsid w:val="00F83204"/>
    <w:rsid w:val="00F84B7E"/>
    <w:rsid w:val="00FA75C2"/>
    <w:rsid w:val="00FB4237"/>
    <w:rsid w:val="00FC32B2"/>
    <w:rsid w:val="00FD6955"/>
    <w:rsid w:val="00FE584E"/>
    <w:rsid w:val="00FE7469"/>
    <w:rsid w:val="00FF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5E206"/>
  <w15:docId w15:val="{650A7C38-2CB8-48CA-B26F-7033F011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EF0"/>
    <w:rPr>
      <w:rFonts w:ascii="Calibri" w:eastAsia="Calibri" w:hAnsi="Calibri" w:cs="Calibri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EF0"/>
    <w:pPr>
      <w:ind w:left="720"/>
      <w:contextualSpacing/>
    </w:pPr>
  </w:style>
  <w:style w:type="paragraph" w:customStyle="1" w:styleId="Akti">
    <w:name w:val="Akti"/>
    <w:basedOn w:val="Normal"/>
    <w:qFormat/>
    <w:rsid w:val="00375556"/>
    <w:pPr>
      <w:keepNext/>
      <w:widowControl w:val="0"/>
      <w:spacing w:before="100" w:beforeAutospacing="1" w:line="256" w:lineRule="auto"/>
      <w:jc w:val="center"/>
      <w:outlineLvl w:val="0"/>
    </w:pPr>
    <w:rPr>
      <w:rFonts w:ascii="CG Times" w:eastAsia="Times New Roman" w:hAnsi="CG Times" w:cs="Times New Roman"/>
      <w:b/>
      <w:bCs/>
      <w:caps/>
      <w:color w:val="000000"/>
      <w:lang w:eastAsia="sq-AL"/>
    </w:rPr>
  </w:style>
  <w:style w:type="paragraph" w:customStyle="1" w:styleId="Paragrafi">
    <w:name w:val="Paragrafi"/>
    <w:basedOn w:val="Normal"/>
    <w:qFormat/>
    <w:rsid w:val="00375556"/>
    <w:pPr>
      <w:widowControl w:val="0"/>
      <w:spacing w:before="100" w:beforeAutospacing="1" w:line="256" w:lineRule="auto"/>
      <w:ind w:firstLine="720"/>
      <w:jc w:val="both"/>
    </w:pPr>
    <w:rPr>
      <w:rFonts w:ascii="CG Times" w:eastAsia="Times New Roman" w:hAnsi="CG Times" w:cs="Times New Roman"/>
      <w:lang w:eastAsia="sq-AL"/>
    </w:rPr>
  </w:style>
  <w:style w:type="character" w:customStyle="1" w:styleId="TitleChar">
    <w:name w:val="Title Char"/>
    <w:link w:val="Title"/>
    <w:rsid w:val="00B87F3D"/>
    <w:rPr>
      <w:rFonts w:ascii="Arial" w:hAnsi="Arial" w:cs="Arial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B87F3D"/>
    <w:pPr>
      <w:autoSpaceDE w:val="0"/>
      <w:autoSpaceDN w:val="0"/>
      <w:spacing w:after="0" w:line="240" w:lineRule="auto"/>
      <w:jc w:val="center"/>
    </w:pPr>
    <w:rPr>
      <w:rFonts w:ascii="Arial" w:eastAsiaTheme="minorHAnsi" w:hAnsi="Arial" w:cs="Arial"/>
      <w:b/>
      <w:bCs/>
      <w:sz w:val="24"/>
      <w:szCs w:val="24"/>
      <w:lang w:val="en-US" w:eastAsia="en-US"/>
    </w:rPr>
  </w:style>
  <w:style w:type="character" w:customStyle="1" w:styleId="TitleChar1">
    <w:name w:val="Title Char1"/>
    <w:basedOn w:val="DefaultParagraphFont"/>
    <w:uiPriority w:val="10"/>
    <w:rsid w:val="00B87F3D"/>
    <w:rPr>
      <w:rFonts w:asciiTheme="majorHAnsi" w:eastAsiaTheme="majorEastAsia" w:hAnsiTheme="majorHAnsi" w:cstheme="majorBidi"/>
      <w:spacing w:val="-10"/>
      <w:kern w:val="28"/>
      <w:sz w:val="56"/>
      <w:szCs w:val="56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E06"/>
    <w:rPr>
      <w:rFonts w:ascii="Tahoma" w:eastAsia="Calibri" w:hAnsi="Tahoma" w:cs="Tahoma"/>
      <w:sz w:val="16"/>
      <w:szCs w:val="16"/>
      <w:lang w:val="sq-AL" w:eastAsia="it-IT"/>
    </w:rPr>
  </w:style>
  <w:style w:type="paragraph" w:customStyle="1" w:styleId="Default">
    <w:name w:val="Default"/>
    <w:rsid w:val="005929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85D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5D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5D40"/>
    <w:rPr>
      <w:rFonts w:ascii="Calibri" w:eastAsia="Calibri" w:hAnsi="Calibri" w:cs="Calibri"/>
      <w:sz w:val="20"/>
      <w:szCs w:val="20"/>
      <w:lang w:val="sq-AL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D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D40"/>
    <w:rPr>
      <w:rFonts w:ascii="Calibri" w:eastAsia="Calibri" w:hAnsi="Calibri" w:cs="Calibri"/>
      <w:b/>
      <w:bCs/>
      <w:sz w:val="20"/>
      <w:szCs w:val="20"/>
      <w:lang w:val="sq-AL" w:eastAsia="it-IT"/>
    </w:rPr>
  </w:style>
  <w:style w:type="paragraph" w:styleId="Header">
    <w:name w:val="header"/>
    <w:basedOn w:val="Normal"/>
    <w:link w:val="HeaderChar"/>
    <w:uiPriority w:val="99"/>
    <w:unhideWhenUsed/>
    <w:rsid w:val="0000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87D"/>
    <w:rPr>
      <w:rFonts w:ascii="Calibri" w:eastAsia="Calibri" w:hAnsi="Calibri" w:cs="Calibri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00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87D"/>
    <w:rPr>
      <w:rFonts w:ascii="Calibri" w:eastAsia="Calibri" w:hAnsi="Calibri" w:cs="Calibri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2022-05-30T11:02:28Z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përcaktimin e mënyrës së mbledhjes dhe administrimit të të dhënave të humbjeve nga fatkeqësitë</Titulli>
    <Modifikuesi xmlns="0e656187-b300-4fb0-8bf4-3a50f872073c">nevila.samarxhi</Modifikuesi>
    <Nr_x002e__x0020_prot_x0020_QBZ xmlns="0e656187-b300-4fb0-8bf4-3a50f872073c">844</Nr_x002e__x0020_prot_x0020_QBZ>
    <Data_x0020_e_x0020_Modifikimit xmlns="0e656187-b300-4fb0-8bf4-3a50f872073c">2022-05-30T12:53:49Z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2954/1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533EA014442E6AD6AE4BB4CD65D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533EA014442E6AD6AE4BB4CD65D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EF473-12A5-4399-A7CA-2DC40551FBB0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07EA17B-EFF7-484B-B8D6-9E6D7E9D73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1D4AD8-E250-4B9F-86B0-057D29BAE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3E1D73-7D67-4B66-805E-21865B8C34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3DD270-6E6C-4B6E-BF2D-125F4958F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9D3BBE-9C65-4883-AA9D-353CD359E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bashkërenduar</vt:lpstr>
    </vt:vector>
  </TitlesOfParts>
  <Company/>
  <LinksUpToDate>false</LinksUpToDate>
  <CharactersWithSpaces>9762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bashkërenduar</dc:title>
  <dc:creator>Emergjenca</dc:creator>
  <cp:lastModifiedBy>Jorina Kryeziu</cp:lastModifiedBy>
  <cp:revision>12</cp:revision>
  <cp:lastPrinted>2022-05-25T09:26:00Z</cp:lastPrinted>
  <dcterms:created xsi:type="dcterms:W3CDTF">2022-05-25T09:27:00Z</dcterms:created>
  <dcterms:modified xsi:type="dcterms:W3CDTF">2022-05-31T07:35:00Z</dcterms:modified>
</cp:coreProperties>
</file>